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eastAsia="en-GB"/>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361137" w:rsidRPr="00B57B36" w:rsidRDefault="00361137" w:rsidP="00361137">
      <w:pPr>
        <w:pStyle w:val="CETTitle"/>
      </w:pPr>
      <w:r w:rsidRPr="002B467A">
        <w:lastRenderedPageBreak/>
        <w:t>A Regression Model for Estimating Sugar Crystal Size in a Fed-Batch Vacuum Evaporative Crystalliser</w:t>
      </w:r>
    </w:p>
    <w:p w:rsidR="00361137" w:rsidRPr="00B57B36" w:rsidRDefault="00361137" w:rsidP="00361137">
      <w:pPr>
        <w:pStyle w:val="CETAuthors"/>
      </w:pPr>
      <w:r w:rsidRPr="002B467A">
        <w:rPr>
          <w:lang w:val="ig-NG"/>
        </w:rPr>
        <w:t>Edikan P.</w:t>
      </w:r>
      <w:r w:rsidRPr="002B467A">
        <w:t xml:space="preserve"> Felix</w:t>
      </w:r>
      <w:r>
        <w:rPr>
          <w:vertAlign w:val="superscript"/>
          <w:lang w:val="ig-NG"/>
        </w:rPr>
        <w:t>a</w:t>
      </w:r>
      <w:r w:rsidRPr="002B467A">
        <w:rPr>
          <w:lang w:val="ig-NG"/>
        </w:rPr>
        <w:t>, Sunday B.</w:t>
      </w:r>
      <w:r w:rsidRPr="002B467A">
        <w:t xml:space="preserve"> Alabi</w:t>
      </w:r>
      <w:r>
        <w:rPr>
          <w:vertAlign w:val="superscript"/>
          <w:lang w:val="ig-NG"/>
        </w:rPr>
        <w:t>a</w:t>
      </w:r>
      <w:r>
        <w:rPr>
          <w:vertAlign w:val="superscript"/>
          <w:lang w:val="en-US"/>
        </w:rPr>
        <w:t>,</w:t>
      </w:r>
      <w:r w:rsidRPr="00735897">
        <w:rPr>
          <w:lang w:val="en-US"/>
        </w:rPr>
        <w:t>*</w:t>
      </w:r>
      <w:r w:rsidRPr="002B467A">
        <w:rPr>
          <w:lang w:val="ig-NG"/>
        </w:rPr>
        <w:t>,  Aniediong M</w:t>
      </w:r>
      <w:r w:rsidRPr="002B467A">
        <w:t>. Umo</w:t>
      </w:r>
      <w:r>
        <w:rPr>
          <w:vertAlign w:val="superscript"/>
          <w:lang w:val="ig-NG"/>
        </w:rPr>
        <w:t>b</w:t>
      </w:r>
    </w:p>
    <w:p w:rsidR="00361137" w:rsidRPr="00B57B36" w:rsidRDefault="00361137" w:rsidP="00361137">
      <w:pPr>
        <w:pStyle w:val="CETAddress"/>
      </w:pPr>
      <w:r w:rsidRPr="00B57B36">
        <w:rPr>
          <w:vertAlign w:val="superscript"/>
        </w:rPr>
        <w:t>a</w:t>
      </w:r>
      <w:r w:rsidRPr="00735897">
        <w:t>Department of Chemical and Petroleum Engineering,  University of Uyo, Uyo, Akwa Ibom State, Nigeria</w:t>
      </w:r>
    </w:p>
    <w:p w:rsidR="00361137" w:rsidRPr="00B57B36" w:rsidRDefault="00361137" w:rsidP="00361137">
      <w:pPr>
        <w:pStyle w:val="CETAddress"/>
      </w:pPr>
      <w:r w:rsidRPr="00B57B36">
        <w:rPr>
          <w:vertAlign w:val="superscript"/>
        </w:rPr>
        <w:t>b</w:t>
      </w:r>
      <w:r w:rsidRPr="00735897">
        <w:t>Department of Chemical/Petrochemical Engineering, Akwa Ibom State University, Ikot Akpaden, Akwa Ibom State, Nigeria</w:t>
      </w:r>
    </w:p>
    <w:p w:rsidR="00361137" w:rsidRPr="00B57B36" w:rsidRDefault="00361137" w:rsidP="00361137">
      <w:pPr>
        <w:pStyle w:val="CETemail"/>
      </w:pPr>
      <w:r w:rsidRPr="00735897">
        <w:t>sundayalabi@uniuyo.edu.ng</w:t>
      </w:r>
    </w:p>
    <w:p w:rsidR="00361137" w:rsidRPr="000C0240" w:rsidRDefault="00361137" w:rsidP="00361137">
      <w:pPr>
        <w:pStyle w:val="CETBodytext"/>
        <w:rPr>
          <w:lang w:val="en-NZ"/>
        </w:rPr>
      </w:pPr>
      <w:r w:rsidRPr="000C0240">
        <w:rPr>
          <w:lang w:val="en-NZ"/>
        </w:rPr>
        <w:t>Crystallisation occurs in a large group of biotechnological, food, pharmaceutical and chemical processes. These processes are usually carried out in a batch or fed-batch mode. Traditionally, in sugar industry, the crystals quality is examined at the end of the process. Consequently, lack of real time measurement of sugar crystal size in a fed-batch vacuum evaporative crystalliser hinders the feedback control and optimisation of the crystallisation process. A mathematical model can be used for online estimation of the sugar crystal size. Unfortunately, the existing sugar crystallisation models are not in the form suitable for online implementation. Therefore, based on these existing models and seven process variables namely temperature (T), vacuum pressure (P</w:t>
      </w:r>
      <w:r w:rsidR="006F682B" w:rsidRPr="006F682B">
        <w:rPr>
          <w:vertAlign w:val="subscript"/>
          <w:lang w:val="en-NZ"/>
        </w:rPr>
        <w:t>vac</w:t>
      </w:r>
      <w:r w:rsidRPr="000C0240">
        <w:rPr>
          <w:lang w:val="en-NZ"/>
        </w:rPr>
        <w:t>), feed flowrate (F</w:t>
      </w:r>
      <w:r w:rsidRPr="000C0240">
        <w:rPr>
          <w:vertAlign w:val="subscript"/>
          <w:lang w:val="en-NZ"/>
        </w:rPr>
        <w:t>f</w:t>
      </w:r>
      <w:r w:rsidRPr="000C0240">
        <w:rPr>
          <w:lang w:val="en-NZ"/>
        </w:rPr>
        <w:t>), steam flowrate (Fs), crystallisation time (t), initial super-saturation (S</w:t>
      </w:r>
      <w:r w:rsidRPr="000C0240">
        <w:rPr>
          <w:vertAlign w:val="subscript"/>
          <w:lang w:val="en-NZ"/>
        </w:rPr>
        <w:t>0</w:t>
      </w:r>
      <w:r w:rsidRPr="000C0240">
        <w:rPr>
          <w:lang w:val="en-NZ"/>
        </w:rPr>
        <w:t>) and initial crystal size (L</w:t>
      </w:r>
      <w:r w:rsidRPr="000C0240">
        <w:rPr>
          <w:vertAlign w:val="subscript"/>
          <w:lang w:val="en-NZ"/>
        </w:rPr>
        <w:t>0</w:t>
      </w:r>
      <w:r w:rsidRPr="000C0240">
        <w:rPr>
          <w:lang w:val="en-NZ"/>
        </w:rPr>
        <w:t>), 128 data sets which were obtained from a 2-level factorial experimental design using MINITAB 14 were used to obtain a simple but online-implementable 6-input regression model for estimating crystal size. The initial crystal size (L</w:t>
      </w:r>
      <w:r w:rsidRPr="000C0240">
        <w:rPr>
          <w:vertAlign w:val="subscript"/>
          <w:lang w:val="en-NZ"/>
        </w:rPr>
        <w:t>0</w:t>
      </w:r>
      <w:r w:rsidRPr="000C0240">
        <w:rPr>
          <w:lang w:val="en-NZ"/>
        </w:rPr>
        <w:t>) was found to play no significant role within the range of the studied process conditions. The performance of the model was evaluated. The coefficient of determination, R</w:t>
      </w:r>
      <w:r w:rsidRPr="000C0240">
        <w:rPr>
          <w:vertAlign w:val="superscript"/>
          <w:lang w:val="en-NZ"/>
        </w:rPr>
        <w:t>2</w:t>
      </w:r>
      <w:r w:rsidRPr="000C0240">
        <w:rPr>
          <w:lang w:val="en-NZ"/>
        </w:rPr>
        <w:t xml:space="preserve"> was obtained as 0.994 and the maximum absolute relative error (MARE) was obtained as 4.6%. The high R</w:t>
      </w:r>
      <w:r w:rsidRPr="000C0240">
        <w:rPr>
          <w:vertAlign w:val="superscript"/>
          <w:lang w:val="en-NZ"/>
        </w:rPr>
        <w:t>2</w:t>
      </w:r>
      <w:r w:rsidRPr="000C0240">
        <w:rPr>
          <w:lang w:val="en-NZ"/>
        </w:rPr>
        <w:t xml:space="preserve"> (~1.0) and the reasonably low MARE values are an indication that the proposed model can be used online for accurate estimation of sugar crystal size in a fed-batch vacuum evaporative crystalliser.</w:t>
      </w:r>
    </w:p>
    <w:p w:rsidR="00361137" w:rsidRPr="00B57B36" w:rsidRDefault="00361137" w:rsidP="00361137">
      <w:pPr>
        <w:pStyle w:val="CETHeading1"/>
        <w:rPr>
          <w:lang w:val="en-GB"/>
        </w:rPr>
      </w:pPr>
      <w:r w:rsidRPr="00B57B36">
        <w:rPr>
          <w:lang w:val="en-GB"/>
        </w:rPr>
        <w:t>Introduction</w:t>
      </w:r>
    </w:p>
    <w:p w:rsidR="0051685E" w:rsidRPr="0051685E" w:rsidRDefault="0051685E" w:rsidP="0051685E">
      <w:pPr>
        <w:pStyle w:val="CETBodytext"/>
        <w:rPr>
          <w:lang w:val="en-GB"/>
        </w:rPr>
      </w:pPr>
      <w:r w:rsidRPr="0051685E">
        <w:rPr>
          <w:lang w:val="en-GB"/>
        </w:rPr>
        <w:t>Crystallisation is common in pharmaceutical, chemical and food processing industries (e.g. sugar refining). Industrially, these processes are carried out in a batch or fed-batch mode. In the sugar refining industry, the aim of sugar crystallisation is to separate sucrose from th</w:t>
      </w:r>
      <w:r w:rsidR="00D0707A">
        <w:rPr>
          <w:lang w:val="en-GB"/>
        </w:rPr>
        <w:t>e syrup/molasses and to obtain</w:t>
      </w:r>
      <w:r w:rsidRPr="0051685E">
        <w:rPr>
          <w:lang w:val="en-GB"/>
        </w:rPr>
        <w:t xml:space="preserve"> quality sugar crystals (White et al, 1998; Anabel, 2001). The crystal </w:t>
      </w:r>
      <w:r w:rsidR="00D0707A" w:rsidRPr="0051685E">
        <w:rPr>
          <w:lang w:val="en-GB"/>
        </w:rPr>
        <w:t>quality</w:t>
      </w:r>
      <w:r w:rsidR="00D0707A">
        <w:rPr>
          <w:lang w:val="en-GB"/>
        </w:rPr>
        <w:t>,</w:t>
      </w:r>
      <w:r w:rsidRPr="0051685E">
        <w:rPr>
          <w:lang w:val="en-GB"/>
        </w:rPr>
        <w:t xml:space="preserve"> traditionally</w:t>
      </w:r>
      <w:r w:rsidR="00D0707A">
        <w:rPr>
          <w:lang w:val="en-GB"/>
        </w:rPr>
        <w:t>,</w:t>
      </w:r>
      <w:r w:rsidRPr="0051685E">
        <w:rPr>
          <w:lang w:val="en-GB"/>
        </w:rPr>
        <w:t xml:space="preserve"> is examined by crystal size distribution (CSD) at the end of the process. The CSD is quantified by the average crystal size of the distribution in the mean aperture (MA) and the width of the distribution in the coefficient of crystal size variation (CV) (Adrian, 1983). The CSD of sugar products affect it</w:t>
      </w:r>
      <w:r>
        <w:rPr>
          <w:lang w:val="en-GB"/>
        </w:rPr>
        <w:t>s acceptability in the market. “</w:t>
      </w:r>
      <w:r w:rsidRPr="0051685E">
        <w:rPr>
          <w:lang w:val="en-GB"/>
        </w:rPr>
        <w:t>Customers’ acceptance requires individual crystals to be strong, non-aggregated, uniform in size and non-caking in the package. While for industrial purposes, reasonable size and size uniformity are desirable for filtering, washing an</w:t>
      </w:r>
      <w:r>
        <w:rPr>
          <w:lang w:val="en-GB"/>
        </w:rPr>
        <w:t>d reacting with other chemicals”</w:t>
      </w:r>
      <w:r w:rsidRPr="0051685E">
        <w:rPr>
          <w:lang w:val="en-GB"/>
        </w:rPr>
        <w:t xml:space="preserve"> (Umo and Alabi, 2016). Large variation of CSD from market specification usually results in final product recycling which requires extra cost, energy and time. Thus, there is the need to determine the size of the sugar crystals real-time</w:t>
      </w:r>
      <w:r w:rsidR="00B86D99">
        <w:rPr>
          <w:lang w:val="en-GB"/>
        </w:rPr>
        <w:t>.</w:t>
      </w:r>
    </w:p>
    <w:p w:rsidR="0051685E" w:rsidRPr="0051685E" w:rsidRDefault="0051685E" w:rsidP="0051685E">
      <w:pPr>
        <w:pStyle w:val="CETBodytext"/>
        <w:rPr>
          <w:lang w:val="en-GB"/>
        </w:rPr>
      </w:pPr>
      <w:r w:rsidRPr="0051685E">
        <w:rPr>
          <w:lang w:val="en-GB"/>
        </w:rPr>
        <w:t xml:space="preserve">Georgieva et al  (2003) stated that there are no techniques for the real time (online)  measurement of CSD in the sugar industries and that generally, data are limited to measurements made at the end of each batch by laboratory (sieve) analysis. As good as laboratory analysis may be, there is a challenge of deviation from the required values due to the fact that during the crystallisation process, samples taken from the pan (crystalliser) for analysis do not wholly represent the nature of the crystals at the time the analysis is completed. Although Schoolnees-Muir et al (2008) reported  that online measurement techniques are being developed for CSD during crystallisation processes, but none of these techniques have been commercially applied in the sugar industries (in South Africa). </w:t>
      </w:r>
      <w:r w:rsidR="006E53CB">
        <w:rPr>
          <w:lang w:val="en-GB"/>
        </w:rPr>
        <w:t>A review of these techniques is</w:t>
      </w:r>
      <w:r w:rsidRPr="0051685E">
        <w:rPr>
          <w:lang w:val="en-GB"/>
        </w:rPr>
        <w:t xml:space="preserve"> presented in the works of Meenesh et a</w:t>
      </w:r>
      <w:r w:rsidR="00B86D99">
        <w:rPr>
          <w:lang w:val="en-GB"/>
        </w:rPr>
        <w:t>l (2012). These new methods can</w:t>
      </w:r>
      <w:r w:rsidRPr="0051685E">
        <w:rPr>
          <w:lang w:val="en-GB"/>
        </w:rPr>
        <w:t xml:space="preserve"> provide certain informati</w:t>
      </w:r>
      <w:r w:rsidR="00B86D99">
        <w:rPr>
          <w:lang w:val="en-GB"/>
        </w:rPr>
        <w:t>on on particle shapes and sizes;</w:t>
      </w:r>
      <w:r w:rsidRPr="0051685E">
        <w:rPr>
          <w:lang w:val="en-GB"/>
        </w:rPr>
        <w:t xml:space="preserve"> however</w:t>
      </w:r>
      <w:r w:rsidR="00B86D99">
        <w:rPr>
          <w:lang w:val="en-GB"/>
        </w:rPr>
        <w:t>, they</w:t>
      </w:r>
      <w:r>
        <w:rPr>
          <w:lang w:val="en-GB"/>
        </w:rPr>
        <w:t xml:space="preserve"> are</w:t>
      </w:r>
      <w:r w:rsidRPr="0051685E">
        <w:rPr>
          <w:lang w:val="en-GB"/>
        </w:rPr>
        <w:t xml:space="preserve"> limited </w:t>
      </w:r>
      <w:r w:rsidRPr="0051685E">
        <w:rPr>
          <w:lang w:val="en-GB"/>
        </w:rPr>
        <w:lastRenderedPageBreak/>
        <w:t>by large time delay and data-processing requirements. Thus, there is a</w:t>
      </w:r>
      <w:r w:rsidR="00B86D99">
        <w:rPr>
          <w:lang w:val="en-GB"/>
        </w:rPr>
        <w:t>n</w:t>
      </w:r>
      <w:r w:rsidRPr="0051685E">
        <w:rPr>
          <w:lang w:val="en-GB"/>
        </w:rPr>
        <w:t xml:space="preserve"> urgent need for better techniques to estimate crystal</w:t>
      </w:r>
      <w:r w:rsidR="00B86D99">
        <w:rPr>
          <w:lang w:val="en-GB"/>
        </w:rPr>
        <w:t xml:space="preserve"> size and related properties on</w:t>
      </w:r>
      <w:r w:rsidRPr="0051685E">
        <w:rPr>
          <w:lang w:val="en-GB"/>
        </w:rPr>
        <w:t>line (Zhang et al, 2015; Presles et al, 2009)</w:t>
      </w:r>
      <w:r w:rsidR="00B86D99">
        <w:rPr>
          <w:lang w:val="en-GB"/>
        </w:rPr>
        <w:t>.</w:t>
      </w:r>
    </w:p>
    <w:p w:rsidR="00361137" w:rsidRDefault="00985D3D" w:rsidP="0051685E">
      <w:pPr>
        <w:pStyle w:val="CETBodytext"/>
        <w:rPr>
          <w:lang w:val="en-GB"/>
        </w:rPr>
      </w:pPr>
      <w:r>
        <w:rPr>
          <w:lang w:val="en-GB"/>
        </w:rPr>
        <w:t>Sliskovic et al (2011)</w:t>
      </w:r>
      <w:r w:rsidR="0051685E" w:rsidRPr="0051685E">
        <w:rPr>
          <w:lang w:val="en-GB"/>
        </w:rPr>
        <w:t xml:space="preserve"> sug</w:t>
      </w:r>
      <w:r w:rsidR="006E53CB">
        <w:rPr>
          <w:lang w:val="en-GB"/>
        </w:rPr>
        <w:t>gested that</w:t>
      </w:r>
      <w:r w:rsidR="00B86D99">
        <w:rPr>
          <w:lang w:val="en-GB"/>
        </w:rPr>
        <w:t>,</w:t>
      </w:r>
      <w:r w:rsidR="006E53CB">
        <w:rPr>
          <w:lang w:val="en-GB"/>
        </w:rPr>
        <w:t xml:space="preserve"> to guarantee</w:t>
      </w:r>
      <w:r w:rsidR="0051685E" w:rsidRPr="0051685E">
        <w:rPr>
          <w:lang w:val="en-GB"/>
        </w:rPr>
        <w:t xml:space="preserve"> final product quality, process safety and efficiency, real time monitoring and control systems should be installed in the industrial plants. It is therefore paramount that a model for real-time e</w:t>
      </w:r>
      <w:r w:rsidR="00B86D99">
        <w:rPr>
          <w:lang w:val="en-GB"/>
        </w:rPr>
        <w:t>stimation of sugar crystal size</w:t>
      </w:r>
      <w:r w:rsidR="0051685E" w:rsidRPr="0051685E">
        <w:rPr>
          <w:lang w:val="en-GB"/>
        </w:rPr>
        <w:t xml:space="preserve"> be developed to assist in addressing the issue of sugar crystal quality. Garcia (2001) developed a dynamic model to simulate the process units of a sugar factory. This dynamic model which is theoretical in nature consists of differential and algebraic equations which are difficult to solve. Georgieva et al (2003) compared the white, black and grey box modelling strategies which were applied to a fed-batch evaporative sugar crystallisation process. The grey box model was found to be most promising as it offers a compromise between the extensive efforts required in obtaining fully parameterized mechanistic models and the poor generalization of the data-based models. However, the model wa</w:t>
      </w:r>
      <w:r w:rsidR="00B86D99">
        <w:rPr>
          <w:lang w:val="en-GB"/>
        </w:rPr>
        <w:t>s considerably complex and, requires</w:t>
      </w:r>
      <w:r w:rsidR="0051685E" w:rsidRPr="0051685E">
        <w:rPr>
          <w:lang w:val="en-GB"/>
        </w:rPr>
        <w:t xml:space="preserve"> sophisticated software tools and computational power. Luis (2011) applied the classical model-based predictive control and the neural network model predictive control to a fed-batch crystallization process. Unfortunately, the control loops were characterized by strong nonlinearities, difficult dynamics and large delay. A common limitation of all the existing crystallisation process models is that they contain variables that are difficult to measure online. Thus, these models are not in the form which can be directly utilised as soft sensor for real time estimation of CSD in the sugar crystallisation unit. Hence, the main contribution of this study is the development of a regression model for online estimation of sugar crystal size. The developed model focuses only on the input parameters that can easily be measured online. Moreover, it eliminates the computational burden associated with the existing theoretical models while retaining their</w:t>
      </w:r>
      <w:r w:rsidR="0051685E">
        <w:rPr>
          <w:lang w:val="en-GB"/>
        </w:rPr>
        <w:t xml:space="preserve"> good generalization capability.</w:t>
      </w:r>
      <w:bookmarkStart w:id="0" w:name="_GoBack"/>
      <w:bookmarkEnd w:id="0"/>
    </w:p>
    <w:p w:rsidR="00361137" w:rsidRDefault="00361137" w:rsidP="00361137">
      <w:pPr>
        <w:pStyle w:val="CETHeading1"/>
      </w:pPr>
      <w:r w:rsidRPr="001625C8">
        <w:t>Methods</w:t>
      </w:r>
    </w:p>
    <w:p w:rsidR="00361137" w:rsidRDefault="00361137" w:rsidP="00361137">
      <w:pPr>
        <w:pStyle w:val="CETheadingx"/>
      </w:pPr>
      <w:r>
        <w:t>Modelling a</w:t>
      </w:r>
      <w:r w:rsidRPr="00D654B1">
        <w:t>pproach</w:t>
      </w:r>
    </w:p>
    <w:p w:rsidR="00361137" w:rsidRPr="00D82461" w:rsidRDefault="00361137" w:rsidP="00361137">
      <w:pPr>
        <w:pStyle w:val="CETBodytext"/>
        <w:rPr>
          <w:color w:val="FF0000"/>
          <w:lang w:val="en-GB"/>
        </w:rPr>
      </w:pPr>
      <w:r w:rsidRPr="00D654B1">
        <w:rPr>
          <w:lang w:val="en-GB"/>
        </w:rPr>
        <w:t>To estimate the crystal size (L) of sugar at any time (t) in a cry</w:t>
      </w:r>
      <w:r w:rsidR="009A2DA0">
        <w:rPr>
          <w:lang w:val="en-GB"/>
        </w:rPr>
        <w:t>s</w:t>
      </w:r>
      <w:r w:rsidRPr="00D654B1">
        <w:rPr>
          <w:lang w:val="en-GB"/>
        </w:rPr>
        <w:t xml:space="preserve">tallisation unit, Anabel (2001) postulated that change in the size of the crystal is directly proportional </w:t>
      </w:r>
      <w:r w:rsidR="009A2DA0">
        <w:rPr>
          <w:lang w:val="en-GB"/>
        </w:rPr>
        <w:t>to the time the sugar seed spent</w:t>
      </w:r>
      <w:r w:rsidRPr="00D654B1">
        <w:rPr>
          <w:lang w:val="en-GB"/>
        </w:rPr>
        <w:t xml:space="preserve"> in the crystalliser and other factors that affect the change in the crystal size are lumped in the crystal growth rate (G). This re</w:t>
      </w:r>
      <w:r w:rsidR="00C25D00">
        <w:rPr>
          <w:lang w:val="en-GB"/>
        </w:rPr>
        <w:t>lationship is expressed in Eq</w:t>
      </w:r>
      <w:r>
        <w:rPr>
          <w:lang w:val="en-GB"/>
        </w:rPr>
        <w:t>(</w:t>
      </w:r>
      <w:r w:rsidRPr="00D654B1">
        <w:rPr>
          <w:lang w:val="en-GB"/>
        </w:rPr>
        <w:t>1</w:t>
      </w:r>
      <w:r>
        <w:rPr>
          <w:lang w:val="en-GB"/>
        </w:rPr>
        <w:t>)</w:t>
      </w:r>
      <w:r w:rsidRPr="00D654B1">
        <w:rPr>
          <w:lang w:val="en-GB"/>
        </w:rPr>
        <w:t xml:space="preserve">. </w:t>
      </w:r>
      <w:r w:rsidR="00173F71">
        <w:rPr>
          <w:lang w:val="en-GB"/>
        </w:rPr>
        <w:t>F</w:t>
      </w:r>
      <w:r w:rsidR="00173F71" w:rsidRPr="00D654B1">
        <w:rPr>
          <w:lang w:val="en-GB"/>
        </w:rPr>
        <w:t>or the statement of Anabel (2001) to hold, the crystal</w:t>
      </w:r>
      <w:r w:rsidR="00173F71">
        <w:rPr>
          <w:lang w:val="en-GB"/>
        </w:rPr>
        <w:t>s</w:t>
      </w:r>
      <w:r w:rsidR="00173F71" w:rsidRPr="00D654B1">
        <w:rPr>
          <w:lang w:val="en-GB"/>
        </w:rPr>
        <w:t xml:space="preserve"> must have a Common History (CH). CH crystals are crystals nucleated at the same instant of time and then grown under the same temperature and super-saturation for the same length of time without any further nucleation or crystal breakage (Iswanto et al, 2007). </w:t>
      </w:r>
      <w:r w:rsidR="00173F71">
        <w:rPr>
          <w:lang w:val="en-GB"/>
        </w:rPr>
        <w:t xml:space="preserve">Therefore, </w:t>
      </w:r>
      <w:r w:rsidR="00173F71">
        <w:t>with</w:t>
      </w:r>
      <w:r w:rsidR="00EA4D30">
        <w:t xml:space="preserve"> proper process control in a </w:t>
      </w:r>
      <w:r w:rsidR="00EA4D30" w:rsidRPr="00AA537D">
        <w:t xml:space="preserve">fed-batch vacuum evaporative </w:t>
      </w:r>
      <w:r w:rsidR="00EA4D30">
        <w:t>crystallizer, the factors that affect G are maintained at specified set-point values and consequently, G does not vary with time</w:t>
      </w:r>
      <w:r w:rsidR="00B86D99">
        <w:t xml:space="preserve"> under these conditions</w:t>
      </w:r>
      <w:r w:rsidR="002429BF">
        <w:t>.</w:t>
      </w:r>
      <w:r w:rsidR="006E53CB">
        <w:t xml:space="preserve"> </w:t>
      </w:r>
      <w:r w:rsidR="00173F71">
        <w:t xml:space="preserve">Consequently, by integrating </w:t>
      </w:r>
      <w:r w:rsidR="00173F71">
        <w:rPr>
          <w:lang w:val="en-GB"/>
        </w:rPr>
        <w:t>Eq (1)</w:t>
      </w:r>
      <w:r w:rsidRPr="00D654B1">
        <w:rPr>
          <w:lang w:val="en-GB"/>
        </w:rPr>
        <w:t xml:space="preserve"> between the limits (L, L</w:t>
      </w:r>
      <w:r w:rsidRPr="00D654B1">
        <w:rPr>
          <w:vertAlign w:val="subscript"/>
          <w:lang w:val="en-GB"/>
        </w:rPr>
        <w:t>o</w:t>
      </w:r>
      <w:r w:rsidRPr="00D654B1">
        <w:rPr>
          <w:lang w:val="en-GB"/>
        </w:rPr>
        <w:t>) and (t, 0),</w:t>
      </w:r>
      <w:r>
        <w:rPr>
          <w:lang w:val="en-GB"/>
        </w:rPr>
        <w:t xml:space="preserve"> the resulting equation is Eq(</w:t>
      </w:r>
      <w:r w:rsidRPr="00D654B1">
        <w:rPr>
          <w:lang w:val="en-GB"/>
        </w:rPr>
        <w:t>2</w:t>
      </w:r>
      <w:r>
        <w:rPr>
          <w:lang w:val="en-GB"/>
        </w:rPr>
        <w:t>)</w:t>
      </w:r>
      <w:r w:rsidRPr="00D654B1">
        <w:rPr>
          <w:lang w:val="en-GB"/>
        </w:rPr>
        <w:t xml:space="preserve"> which was used in this work to obtain an online-implementable sugar crystal size model.</w:t>
      </w:r>
    </w:p>
    <w:tbl>
      <w:tblPr>
        <w:tblW w:w="5000" w:type="pct"/>
        <w:tblLook w:val="04A0"/>
      </w:tblPr>
      <w:tblGrid>
        <w:gridCol w:w="8188"/>
        <w:gridCol w:w="815"/>
      </w:tblGrid>
      <w:tr w:rsidR="00361137" w:rsidRPr="00B57B36" w:rsidTr="00361137">
        <w:tc>
          <w:tcPr>
            <w:tcW w:w="8188" w:type="dxa"/>
            <w:shd w:val="clear" w:color="auto" w:fill="auto"/>
            <w:vAlign w:val="center"/>
          </w:tcPr>
          <w:p w:rsidR="00361137" w:rsidRPr="00A36B57" w:rsidRDefault="00284017" w:rsidP="002C6BC0">
            <w:pPr>
              <w:pStyle w:val="CETEquation"/>
            </w:pPr>
            <m:oMathPara>
              <m:oMathParaPr>
                <m:jc m:val="left"/>
              </m:oMathParaPr>
              <m:oMath>
                <m:f>
                  <m:fPr>
                    <m:ctrlPr>
                      <w:rPr>
                        <w:rFonts w:ascii="Cambria Math" w:hAnsi="Cambria Math"/>
                        <w:i/>
                      </w:rPr>
                    </m:ctrlPr>
                  </m:fPr>
                  <m:num>
                    <m:r>
                      <w:rPr>
                        <w:rFonts w:ascii="Cambria Math" w:hAnsi="Cambria Math"/>
                      </w:rPr>
                      <m:t>dL</m:t>
                    </m:r>
                  </m:num>
                  <m:den>
                    <m:r>
                      <w:rPr>
                        <w:rFonts w:ascii="Cambria Math" w:hAnsi="Cambria Math"/>
                      </w:rPr>
                      <m:t>dt</m:t>
                    </m:r>
                  </m:den>
                </m:f>
                <m:r>
                  <w:rPr>
                    <w:rFonts w:ascii="Cambria Math" w:hAnsi="Cambria Math"/>
                  </w:rPr>
                  <m:t>=G</m:t>
                </m:r>
              </m:oMath>
            </m:oMathPara>
          </w:p>
        </w:tc>
        <w:tc>
          <w:tcPr>
            <w:tcW w:w="815" w:type="dxa"/>
            <w:shd w:val="clear" w:color="auto" w:fill="auto"/>
            <w:vAlign w:val="center"/>
          </w:tcPr>
          <w:p w:rsidR="00361137" w:rsidRPr="00B57B36" w:rsidRDefault="00361137" w:rsidP="00361137">
            <w:pPr>
              <w:pStyle w:val="CETEquation"/>
              <w:jc w:val="right"/>
            </w:pPr>
            <w:r w:rsidRPr="00B57B36">
              <w:t>(1)</w:t>
            </w:r>
          </w:p>
        </w:tc>
      </w:tr>
    </w:tbl>
    <w:tbl>
      <w:tblPr>
        <w:tblpPr w:leftFromText="180" w:rightFromText="180" w:vertAnchor="text" w:horzAnchor="margin" w:tblpY="109"/>
        <w:tblW w:w="5000" w:type="pct"/>
        <w:tblLook w:val="04A0"/>
      </w:tblPr>
      <w:tblGrid>
        <w:gridCol w:w="8178"/>
        <w:gridCol w:w="825"/>
      </w:tblGrid>
      <w:tr w:rsidR="00361137" w:rsidRPr="00B57B36" w:rsidTr="00361137">
        <w:tc>
          <w:tcPr>
            <w:tcW w:w="7982" w:type="dxa"/>
            <w:shd w:val="clear" w:color="auto" w:fill="auto"/>
            <w:vAlign w:val="center"/>
          </w:tcPr>
          <w:p w:rsidR="00361137" w:rsidRPr="00A36B57" w:rsidRDefault="00361137" w:rsidP="00361137">
            <w:pPr>
              <w:pStyle w:val="CETEquation"/>
            </w:pPr>
            <m:oMathPara>
              <m:oMathParaPr>
                <m:jc m:val="left"/>
              </m:oMathParaPr>
              <m:oMath>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+Gt</m:t>
                </m:r>
              </m:oMath>
            </m:oMathPara>
          </w:p>
        </w:tc>
        <w:tc>
          <w:tcPr>
            <w:tcW w:w="805" w:type="dxa"/>
            <w:shd w:val="clear" w:color="auto" w:fill="auto"/>
            <w:vAlign w:val="center"/>
          </w:tcPr>
          <w:p w:rsidR="00175F28" w:rsidRPr="00175F28" w:rsidRDefault="00361137" w:rsidP="00175F28">
            <w:pPr>
              <w:pStyle w:val="CETEquation"/>
              <w:jc w:val="right"/>
            </w:pPr>
            <w:r>
              <w:t>(2</w:t>
            </w:r>
            <w:r w:rsidRPr="00B57B36">
              <w:t>)</w:t>
            </w:r>
          </w:p>
        </w:tc>
      </w:tr>
    </w:tbl>
    <w:p w:rsidR="00361137" w:rsidRDefault="00361137" w:rsidP="00361137">
      <w:pPr>
        <w:pStyle w:val="CETheadingx"/>
      </w:pPr>
      <w:r w:rsidRPr="002473A5">
        <w:t>Regression model for sugar crystal growth rate</w:t>
      </w:r>
    </w:p>
    <w:p w:rsidR="00361137" w:rsidRPr="002473A5" w:rsidRDefault="00361137" w:rsidP="00361137">
      <w:pPr>
        <w:pStyle w:val="CETBodytext"/>
      </w:pPr>
      <w:r w:rsidRPr="002473A5">
        <w:t>Several researchers including Wright and White (1969), Lauret et al (2000), Georgieva et al (2003) and Iswanto et al (2006) have developed models for predicting sugar crystal growth rate (G)</w:t>
      </w:r>
      <w:r>
        <w:t>.</w:t>
      </w:r>
      <w:r w:rsidRPr="002473A5">
        <w:t xml:space="preserve"> The limitations in model</w:t>
      </w:r>
      <w:r w:rsidR="00B86D99">
        <w:t>l</w:t>
      </w:r>
      <w:r w:rsidRPr="002473A5">
        <w:t xml:space="preserve">ing sugar crystal growth rate are </w:t>
      </w:r>
      <w:r w:rsidR="00175F28" w:rsidRPr="002473A5">
        <w:t>expound</w:t>
      </w:r>
      <w:r w:rsidR="00175F28">
        <w:t>ed</w:t>
      </w:r>
      <w:r w:rsidRPr="002473A5">
        <w:t xml:space="preserve"> in the work of Lauret et al (2000).The crystal growth phenomenon is complex because of the large number of interacting variables and the effect</w:t>
      </w:r>
      <w:r w:rsidR="00251118">
        <w:t>s</w:t>
      </w:r>
      <w:r w:rsidRPr="002473A5">
        <w:t xml:space="preserve"> of some of these vari</w:t>
      </w:r>
      <w:r w:rsidR="00D82461">
        <w:t>ables on the kinetics are</w:t>
      </w:r>
      <w:r w:rsidRPr="002473A5">
        <w:t xml:space="preserve"> nonlinear</w:t>
      </w:r>
      <w:r w:rsidR="00D82461">
        <w:t xml:space="preserve"> in nature</w:t>
      </w:r>
      <w:r w:rsidR="00B86D99">
        <w:t xml:space="preserve"> </w:t>
      </w:r>
      <w:r w:rsidR="00D82461">
        <w:t>and/</w:t>
      </w:r>
      <w:r w:rsidRPr="002473A5">
        <w:t>or even unpredictable. Because of the difficu</w:t>
      </w:r>
      <w:r w:rsidR="00D82461">
        <w:t xml:space="preserve">lty in formulating the </w:t>
      </w:r>
      <w:r w:rsidR="00D82461" w:rsidRPr="002429BF">
        <w:rPr>
          <w:color w:val="000000" w:themeColor="text1"/>
        </w:rPr>
        <w:t>physical</w:t>
      </w:r>
      <w:r w:rsidR="00D82461">
        <w:t>-</w:t>
      </w:r>
      <w:r w:rsidRPr="002473A5">
        <w:t>based mathematical models, the empirical correlations have a long tradition (Georgieva et al, 2003). The challenge with the existing empirical models is due to the difficulty of estimating the parameters of the empirical expressions through nonlinear programming (NLP) optimization technique which gives poor results, in that the convergence to the optimum parameters are not guaranteed, especially when the optimized parameters are many (more than two). This mo</w:t>
      </w:r>
      <w:r w:rsidR="00175F28">
        <w:t>tivated the choice of the</w:t>
      </w:r>
      <w:r w:rsidRPr="002473A5">
        <w:t xml:space="preserve"> growth rate model developed by Georgieva et al (2003)</w:t>
      </w:r>
      <w:r>
        <w:t xml:space="preserve"> in this work, as given in Eq(</w:t>
      </w:r>
      <w:r w:rsidRPr="002473A5">
        <w:t>3</w:t>
      </w:r>
      <w:r>
        <w:t>)</w:t>
      </w:r>
      <w:r w:rsidR="00D82461">
        <w:t>,</w:t>
      </w:r>
    </w:p>
    <w:tbl>
      <w:tblPr>
        <w:tblpPr w:leftFromText="180" w:rightFromText="180" w:vertAnchor="text" w:horzAnchor="margin" w:tblpY="109"/>
        <w:tblW w:w="5000" w:type="pct"/>
        <w:tblLook w:val="04A0"/>
      </w:tblPr>
      <w:tblGrid>
        <w:gridCol w:w="8178"/>
        <w:gridCol w:w="825"/>
      </w:tblGrid>
      <w:tr w:rsidR="00361137" w:rsidRPr="00B57B36" w:rsidTr="00361137">
        <w:tc>
          <w:tcPr>
            <w:tcW w:w="7982" w:type="dxa"/>
            <w:shd w:val="clear" w:color="auto" w:fill="auto"/>
            <w:vAlign w:val="center"/>
          </w:tcPr>
          <w:p w:rsidR="00361137" w:rsidRPr="00A36B57" w:rsidRDefault="00361137" w:rsidP="002C6BC0">
            <w:pPr>
              <w:pStyle w:val="CETEquation"/>
            </w:pPr>
            <m:oMathPara>
              <m:oMathParaPr>
                <m:jc m:val="left"/>
              </m:oMathParaPr>
              <m:oMath>
                <m:r>
                  <w:rPr>
                    <w:rFonts w:ascii="Cambria Math" w:hAnsi="Cambria Math"/>
                    <w:lang w:val="en-US"/>
                  </w:rPr>
                  <m:t>G=</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g</m:t>
                    </m:r>
                  </m:sub>
                </m:sSub>
                <m:func>
                  <m:funcPr>
                    <m:ctrlPr>
                      <w:rPr>
                        <w:rFonts w:ascii="Cambria Math" w:hAnsi="Cambria Math"/>
                        <w:lang w:val="en-US"/>
                      </w:rPr>
                    </m:ctrlPr>
                  </m:funcPr>
                  <m:fName>
                    <m:r>
                      <m:rPr>
                        <m:sty m:val="p"/>
                      </m:rPr>
                      <w:rPr>
                        <w:rFonts w:ascii="Cambria Math" w:hAnsi="Cambria Math"/>
                        <w:lang w:val="en-US"/>
                      </w:rPr>
                      <m:t>exp</m:t>
                    </m:r>
                  </m:fName>
                  <m:e>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-57000</m:t>
                            </m:r>
                          </m:num>
                          <m:den>
                            <m:r>
                              <w:rPr>
                                <w:rFonts w:ascii="Cambria Math" w:hAnsi="Cambria Math"/>
                                <w:lang w:val="en-US"/>
                              </w:rPr>
                              <m:t>R</m:t>
                            </m:r>
                            <m:d>
                              <m:dPr>
                                <m:ctrlPr>
                                  <w:rPr>
                                    <w:rFonts w:ascii="Cambria Math" w:hAnsi="Cambria Math"/>
                                    <w:i/>
                                    <w:lang w:val="en-US"/>
                                  </w:rPr>
                                </m:ctrlPr>
                              </m:dPr>
                              <m:e>
                                <m:r>
                                  <w:rPr>
                                    <w:rFonts w:ascii="Cambria Math" w:hAnsi="Cambria Math"/>
                                    <w:lang w:val="en-US"/>
                                  </w:rPr>
                                  <m:t>T+273</m:t>
                                </m:r>
                              </m:e>
                            </m:d>
                          </m:den>
                        </m:f>
                      </m:e>
                    </m:d>
                  </m:e>
                </m:func>
                <m:d>
                  <m:dPr>
                    <m:ctrlPr>
                      <w:rPr>
                        <w:rFonts w:ascii="Cambria Math" w:hAnsi="Cambria Math"/>
                        <w:i/>
                        <w:lang w:val="en-US"/>
                      </w:rPr>
                    </m:ctrlPr>
                  </m:dPr>
                  <m:e>
                    <m:r>
                      <w:rPr>
                        <w:rFonts w:ascii="Cambria Math" w:hAnsi="Cambria Math"/>
                        <w:lang w:val="en-US"/>
                      </w:rPr>
                      <m:t>S-1</m:t>
                    </m:r>
                  </m:e>
                </m:d>
                <m:r>
                  <m:rPr>
                    <m:sty m:val="p"/>
                  </m:rPr>
                  <w:rPr>
                    <w:rFonts w:ascii="Cambria Math" w:hAnsi="Cambria Math"/>
                    <w:lang w:val="en-US"/>
                  </w:rPr>
                  <m:t>exp⁡</m:t>
                </m:r>
                <m:r>
                  <w:rPr>
                    <w:rFonts w:ascii="Cambria Math" w:hAnsi="Cambria Math"/>
                    <w:lang w:val="en-US"/>
                  </w:rPr>
                  <m:t>[-13.863</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sol</m:t>
                        </m:r>
                      </m:sub>
                    </m:sSub>
                  </m:e>
                </m:d>
                <m:r>
                  <w:rPr>
                    <w:rFonts w:ascii="Cambria Math" w:hAnsi="Cambria Math"/>
                    <w:lang w:val="en-US"/>
                  </w:rPr>
                  <m:t>](1+2</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c</m:t>
                    </m:r>
                  </m:sub>
                </m:sSub>
                <m:r>
                  <w:rPr>
                    <w:rFonts w:ascii="Cambria Math" w:hAnsi="Cambria Math"/>
                    <w:lang w:val="en-US"/>
                  </w:rPr>
                  <m:t>)</m:t>
                </m:r>
              </m:oMath>
            </m:oMathPara>
          </w:p>
        </w:tc>
        <w:tc>
          <w:tcPr>
            <w:tcW w:w="805" w:type="dxa"/>
            <w:shd w:val="clear" w:color="auto" w:fill="auto"/>
            <w:vAlign w:val="center"/>
          </w:tcPr>
          <w:p w:rsidR="00361137" w:rsidRPr="00B57B36" w:rsidRDefault="00361137" w:rsidP="00361137">
            <w:pPr>
              <w:pStyle w:val="CETEquation"/>
              <w:jc w:val="right"/>
            </w:pPr>
            <w:r>
              <w:t>(3</w:t>
            </w:r>
            <w:r w:rsidRPr="00B57B36">
              <w:t>)</w:t>
            </w:r>
          </w:p>
        </w:tc>
      </w:tr>
    </w:tbl>
    <w:p w:rsidR="00361137" w:rsidRDefault="00D225DB" w:rsidP="00361137">
      <w:pPr>
        <w:pStyle w:val="CETBodytext"/>
      </w:pPr>
      <w:r>
        <w:rPr>
          <w:color w:val="000000" w:themeColor="text1"/>
        </w:rPr>
        <w:lastRenderedPageBreak/>
        <w:t>w</w:t>
      </w:r>
      <w:r w:rsidR="00D82461" w:rsidRPr="004B60BC">
        <w:rPr>
          <w:color w:val="000000" w:themeColor="text1"/>
        </w:rPr>
        <w:t>here</w:t>
      </w:r>
      <w:r w:rsidR="002429BF" w:rsidRPr="004B60BC">
        <w:rPr>
          <w:color w:val="000000" w:themeColor="text1"/>
        </w:rPr>
        <w:t xml:space="preserve"> K</w:t>
      </w:r>
      <w:r w:rsidR="002429BF" w:rsidRPr="00D225DB">
        <w:rPr>
          <w:color w:val="000000" w:themeColor="text1"/>
          <w:vertAlign w:val="subscript"/>
        </w:rPr>
        <w:t>g</w:t>
      </w:r>
      <w:r w:rsidR="002429BF" w:rsidRPr="004B60BC">
        <w:rPr>
          <w:color w:val="000000" w:themeColor="text1"/>
        </w:rPr>
        <w:t>, R, T, S,</w:t>
      </w: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sol</m:t>
            </m:r>
          </m:sub>
        </m:sSub>
      </m:oMath>
      <w:r w:rsidR="002429BF" w:rsidRPr="004B60BC">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c</m:t>
            </m:r>
          </m:sub>
        </m:sSub>
      </m:oMath>
      <w:r w:rsidR="002429BF" w:rsidRPr="004B60BC">
        <w:rPr>
          <w:color w:val="000000" w:themeColor="text1"/>
        </w:rPr>
        <w:t xml:space="preserve"> are the kinetic constant, gas constant, temperature, supe</w:t>
      </w:r>
      <w:r w:rsidR="004B60BC">
        <w:rPr>
          <w:color w:val="000000" w:themeColor="text1"/>
        </w:rPr>
        <w:t>r</w:t>
      </w:r>
      <w:r w:rsidR="002429BF" w:rsidRPr="004B60BC">
        <w:rPr>
          <w:color w:val="000000" w:themeColor="text1"/>
        </w:rPr>
        <w:t>-saturation</w:t>
      </w:r>
      <w:r w:rsidR="004B60BC" w:rsidRPr="004B60BC">
        <w:rPr>
          <w:color w:val="000000" w:themeColor="text1"/>
        </w:rPr>
        <w:t>, purity of solution and the volume fraction of crystals</w:t>
      </w:r>
      <w:r>
        <w:rPr>
          <w:color w:val="000000" w:themeColor="text1"/>
        </w:rPr>
        <w:t>,</w:t>
      </w:r>
      <w:r w:rsidR="004B60BC" w:rsidRPr="004B60BC">
        <w:rPr>
          <w:color w:val="000000" w:themeColor="text1"/>
        </w:rPr>
        <w:t xml:space="preserve"> respective</w:t>
      </w:r>
      <w:r w:rsidR="004B60BC">
        <w:rPr>
          <w:color w:val="000000" w:themeColor="text1"/>
        </w:rPr>
        <w:t>ly</w:t>
      </w:r>
      <w:r w:rsidR="004B60BC">
        <w:t xml:space="preserve">. </w:t>
      </w:r>
      <w:r w:rsidR="00A53A3C">
        <w:t>Unfortunately,</w:t>
      </w:r>
      <w:r>
        <w:t xml:space="preserve"> </w:t>
      </w:r>
      <w:r w:rsidR="00A53A3C" w:rsidRPr="009D3ACA">
        <w:t>volume fraction of crystal (V</w:t>
      </w:r>
      <w:r w:rsidR="00A53A3C" w:rsidRPr="001B4896">
        <w:rPr>
          <w:vertAlign w:val="subscript"/>
        </w:rPr>
        <w:t>c</w:t>
      </w:r>
      <w:r w:rsidR="00A53A3C" w:rsidRPr="009D3ACA">
        <w:t>) and the purity of the solution (P</w:t>
      </w:r>
      <w:r w:rsidR="00A53A3C" w:rsidRPr="001B4896">
        <w:rPr>
          <w:vertAlign w:val="subscript"/>
        </w:rPr>
        <w:t>sol</w:t>
      </w:r>
      <w:r w:rsidR="00A53A3C" w:rsidRPr="009D3ACA">
        <w:t>)</w:t>
      </w:r>
      <w:r w:rsidR="00251118">
        <w:t xml:space="preserve"> can</w:t>
      </w:r>
      <w:r w:rsidR="00361137" w:rsidRPr="009D3ACA">
        <w:t xml:space="preserve">not easily </w:t>
      </w:r>
      <w:r w:rsidR="00251118">
        <w:t xml:space="preserve">be </w:t>
      </w:r>
      <w:r w:rsidR="00A53A3C">
        <w:t>measured online.</w:t>
      </w:r>
      <w:r w:rsidR="00361137" w:rsidRPr="009D3ACA">
        <w:t xml:space="preserve"> Thus, this model</w:t>
      </w:r>
      <w:r w:rsidR="00A53A3C">
        <w:t xml:space="preserve"> (Eq (3))</w:t>
      </w:r>
      <w:r w:rsidR="00361137" w:rsidRPr="009D3ACA">
        <w:t xml:space="preserve"> cannot be</w:t>
      </w:r>
      <w:r w:rsidR="00361137">
        <w:t xml:space="preserve"> directly substituted into Eq(</w:t>
      </w:r>
      <w:r w:rsidR="00361137" w:rsidRPr="009D3ACA">
        <w:t>2</w:t>
      </w:r>
      <w:r w:rsidR="00361137">
        <w:t>)</w:t>
      </w:r>
      <w:r w:rsidR="00361137" w:rsidRPr="009D3ACA">
        <w:t xml:space="preserve"> for online estimation of c</w:t>
      </w:r>
      <w:r w:rsidR="00257A03">
        <w:t xml:space="preserve">rystal size. Consequently, </w:t>
      </w:r>
      <w:r w:rsidR="00361137">
        <w:t>Eq(</w:t>
      </w:r>
      <w:r w:rsidR="00361137" w:rsidRPr="009D3ACA">
        <w:t>3</w:t>
      </w:r>
      <w:r w:rsidR="00361137">
        <w:t>)</w:t>
      </w:r>
      <w:r w:rsidR="00251118">
        <w:t xml:space="preserve"> wa</w:t>
      </w:r>
      <w:r w:rsidR="00361137" w:rsidRPr="009D3ACA">
        <w:t>s used</w:t>
      </w:r>
      <w:r w:rsidR="00175F28">
        <w:t xml:space="preserve"> in this work to simulate</w:t>
      </w:r>
      <w:r w:rsidR="00361137" w:rsidRPr="009D3ACA">
        <w:t xml:space="preserve"> growth rate in the design of experime</w:t>
      </w:r>
      <w:r w:rsidR="00251118">
        <w:t>nt (DOE) to develop a new</w:t>
      </w:r>
      <w:r w:rsidR="00361137" w:rsidRPr="009D3ACA">
        <w:t xml:space="preserve"> model </w:t>
      </w:r>
      <w:r w:rsidR="00251118">
        <w:t xml:space="preserve">with the capability </w:t>
      </w:r>
      <w:r w:rsidR="00361137" w:rsidRPr="009D3ACA">
        <w:t xml:space="preserve">for online estimation of linear growth rate as a function of temperature (T) and </w:t>
      </w:r>
      <w:r w:rsidR="00251118">
        <w:t>super-saturation (S) which can</w:t>
      </w:r>
      <w:r w:rsidR="00361137" w:rsidRPr="009D3ACA">
        <w:t xml:space="preserve"> be easily measured and/or estimated </w:t>
      </w:r>
      <w:r w:rsidR="00C25D00" w:rsidRPr="009D3ACA">
        <w:t>online. The</w:t>
      </w:r>
      <w:r w:rsidR="00361137" w:rsidRPr="009D3ACA">
        <w:t xml:space="preserve"> resulting regression model is in the form expressed in Eq</w:t>
      </w:r>
      <w:r w:rsidR="00361137">
        <w:t>(</w:t>
      </w:r>
      <w:r w:rsidR="00361137" w:rsidRPr="009D3ACA">
        <w:t>4</w:t>
      </w:r>
      <w:r w:rsidR="00361137">
        <w:t>)</w:t>
      </w:r>
      <w:r w:rsidR="00361137" w:rsidRPr="009D3ACA">
        <w:t xml:space="preserve">, where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23825" cy="190500"/>
            <wp:effectExtent l="0" t="0" r="0" b="0"/>
            <wp:docPr id="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clrChange>
                        <a:clrFrom>
                          <a:srgbClr val="FFFFFF"/>
                        </a:clrFrom>
                        <a:clrTo>
                          <a:srgbClr val="FFFFFF">
                            <a:alpha val="0"/>
                          </a:srgbClr>
                        </a:clrTo>
                      </a:clrChange>
                    </a:blip>
                    <a:srcRect/>
                    <a:stretch/>
                  </pic:blipFill>
                  <pic:spPr>
                    <a:xfrm>
                      <a:off x="0" y="0"/>
                      <a:ext cx="123825" cy="190500"/>
                    </a:xfrm>
                    <a:prstGeom prst="rect">
                      <a:avLst/>
                    </a:prstGeom>
                    <a:ln>
                      <a:noFill/>
                    </a:ln>
                  </pic:spPr>
                </pic:pic>
              </a:graphicData>
            </a:graphic>
          </wp:inline>
        </w:drawing>
      </w:r>
      <w:r w:rsidR="00284017" w:rsidRPr="009D3ACA">
        <w:fldChar w:fldCharType="end"/>
      </w:r>
      <w:r w:rsidR="00361137" w:rsidRPr="009D3ACA">
        <w:t xml:space="preserve">and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23825" cy="190500"/>
            <wp:effectExtent l="0" t="0" r="0" b="0"/>
            <wp:docPr id="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clrChange>
                        <a:clrFrom>
                          <a:srgbClr val="FFFFFF"/>
                        </a:clrFrom>
                        <a:clrTo>
                          <a:srgbClr val="FFFFFF">
                            <a:alpha val="0"/>
                          </a:srgbClr>
                        </a:clrTo>
                      </a:clrChange>
                    </a:blip>
                    <a:srcRect/>
                    <a:stretch/>
                  </pic:blipFill>
                  <pic:spPr>
                    <a:xfrm>
                      <a:off x="0" y="0"/>
                      <a:ext cx="123825" cy="190500"/>
                    </a:xfrm>
                    <a:prstGeom prst="rect">
                      <a:avLst/>
                    </a:prstGeom>
                    <a:ln>
                      <a:noFill/>
                    </a:ln>
                  </pic:spPr>
                </pic:pic>
              </a:graphicData>
            </a:graphic>
          </wp:inline>
        </w:drawing>
      </w:r>
      <w:r w:rsidR="00284017" w:rsidRPr="009D3ACA">
        <w:fldChar w:fldCharType="end"/>
      </w:r>
      <w:r w:rsidR="00361137" w:rsidRPr="009D3ACA">
        <w:t xml:space="preserve"> are the independent variables (temperature and super-saturation)</w:t>
      </w:r>
      <w:r w:rsidR="00361137">
        <w:t xml:space="preserve">; </w:t>
      </w:r>
      <m:oMath>
        <m:sSub>
          <m:sSubPr>
            <m:ctrlPr>
              <w:rPr>
                <w:rFonts w:ascii="Cambria Math" w:hAnsi="Cambria Math"/>
                <w:i/>
              </w:rPr>
            </m:ctrlPr>
          </m:sSubPr>
          <m:e>
            <m:r>
              <w:rPr>
                <w:rFonts w:ascii="Cambria Math" w:hAnsi="Cambria Math"/>
              </w:rPr>
              <m:t>a</m:t>
            </m:r>
          </m:e>
          <m:sub>
            <m:r>
              <w:rPr>
                <w:rFonts w:ascii="Cambria Math" w:hAnsi="Cambria Math"/>
              </w:rPr>
              <m:t>0</m:t>
            </m:r>
          </m:sub>
        </m:sSub>
      </m:oMath>
      <w:r w:rsidR="00361137" w:rsidRPr="009D3ACA">
        <w:t xml:space="preserve"> is the offset term (intercept);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23825" cy="190500"/>
            <wp:effectExtent l="0" t="0" r="0" b="0"/>
            <wp:docPr id="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2" cstate="print">
                      <a:clrChange>
                        <a:clrFrom>
                          <a:srgbClr val="FFFFFF"/>
                        </a:clrFrom>
                        <a:clrTo>
                          <a:srgbClr val="FFFFFF">
                            <a:alpha val="0"/>
                          </a:srgbClr>
                        </a:clrTo>
                      </a:clrChange>
                    </a:blip>
                    <a:srcRect/>
                    <a:stretch/>
                  </pic:blipFill>
                  <pic:spPr>
                    <a:xfrm>
                      <a:off x="0" y="0"/>
                      <a:ext cx="123825" cy="190500"/>
                    </a:xfrm>
                    <a:prstGeom prst="rect">
                      <a:avLst/>
                    </a:prstGeom>
                    <a:ln>
                      <a:noFill/>
                    </a:ln>
                  </pic:spPr>
                </pic:pic>
              </a:graphicData>
            </a:graphic>
          </wp:inline>
        </w:drawing>
      </w:r>
      <w:r w:rsidR="00284017" w:rsidRPr="009D3ACA">
        <w:fldChar w:fldCharType="end"/>
      </w:r>
      <w:r w:rsidR="00361137" w:rsidRPr="009D3ACA">
        <w:t xml:space="preserve"> and </w:t>
      </w:r>
      <m:oMath>
        <m:sSub>
          <m:sSubPr>
            <m:ctrlPr>
              <w:rPr>
                <w:rFonts w:ascii="Cambria Math" w:hAnsi="Cambria Math"/>
                <w:i/>
              </w:rPr>
            </m:ctrlPr>
          </m:sSubPr>
          <m:e>
            <m:r>
              <w:rPr>
                <w:rFonts w:ascii="Cambria Math" w:hAnsi="Cambria Math"/>
              </w:rPr>
              <m:t>a</m:t>
            </m:r>
          </m:e>
          <m:sub>
            <m:r>
              <w:rPr>
                <w:rFonts w:ascii="Cambria Math" w:hAnsi="Cambria Math"/>
              </w:rPr>
              <m:t>2</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23825" cy="190500"/>
            <wp:effectExtent l="0" t="0" r="0" b="0"/>
            <wp:docPr id="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3" cstate="print">
                      <a:clrChange>
                        <a:clrFrom>
                          <a:srgbClr val="FFFFFF"/>
                        </a:clrFrom>
                        <a:clrTo>
                          <a:srgbClr val="FFFFFF">
                            <a:alpha val="0"/>
                          </a:srgbClr>
                        </a:clrTo>
                      </a:clrChange>
                    </a:blip>
                    <a:srcRect/>
                    <a:stretch/>
                  </pic:blipFill>
                  <pic:spPr>
                    <a:xfrm>
                      <a:off x="0" y="0"/>
                      <a:ext cx="123825" cy="190500"/>
                    </a:xfrm>
                    <a:prstGeom prst="rect">
                      <a:avLst/>
                    </a:prstGeom>
                    <a:ln>
                      <a:noFill/>
                    </a:ln>
                  </pic:spPr>
                </pic:pic>
              </a:graphicData>
            </a:graphic>
          </wp:inline>
        </w:drawing>
      </w:r>
      <w:r w:rsidR="00284017" w:rsidRPr="009D3ACA">
        <w:fldChar w:fldCharType="end"/>
      </w:r>
      <w:r w:rsidR="00361137" w:rsidRPr="009D3ACA">
        <w:t xml:space="preserve">are the linear effects, </w:t>
      </w:r>
      <m:oMath>
        <m:sSub>
          <m:sSubPr>
            <m:ctrlPr>
              <w:rPr>
                <w:rFonts w:ascii="Cambria Math" w:hAnsi="Cambria Math"/>
                <w:i/>
              </w:rPr>
            </m:ctrlPr>
          </m:sSubPr>
          <m:e>
            <m:r>
              <w:rPr>
                <w:rFonts w:ascii="Cambria Math" w:hAnsi="Cambria Math"/>
              </w:rPr>
              <m:t>a</m:t>
            </m:r>
          </m:e>
          <m:sub>
            <m:r>
              <w:rPr>
                <w:rFonts w:ascii="Cambria Math" w:hAnsi="Cambria Math"/>
              </w:rPr>
              <m:t>3</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23825" cy="190500"/>
            <wp:effectExtent l="0" t="0" r="0" b="0"/>
            <wp:docPr id="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clrChange>
                        <a:clrFrom>
                          <a:srgbClr val="FFFFFF"/>
                        </a:clrFrom>
                        <a:clrTo>
                          <a:srgbClr val="FFFFFF">
                            <a:alpha val="0"/>
                          </a:srgbClr>
                        </a:clrTo>
                      </a:clrChange>
                    </a:blip>
                    <a:srcRect/>
                    <a:stretch/>
                  </pic:blipFill>
                  <pic:spPr>
                    <a:xfrm>
                      <a:off x="0" y="0"/>
                      <a:ext cx="123825" cy="190500"/>
                    </a:xfrm>
                    <a:prstGeom prst="rect">
                      <a:avLst/>
                    </a:prstGeom>
                    <a:ln>
                      <a:noFill/>
                    </a:ln>
                  </pic:spPr>
                </pic:pic>
              </a:graphicData>
            </a:graphic>
          </wp:inline>
        </w:drawing>
      </w:r>
      <w:r w:rsidR="00284017" w:rsidRPr="009D3ACA">
        <w:fldChar w:fldCharType="end"/>
      </w:r>
      <w:r w:rsidR="00361137" w:rsidRPr="009D3ACA">
        <w:t xml:space="preserve"> and </w:t>
      </w:r>
      <m:oMath>
        <m:sSub>
          <m:sSubPr>
            <m:ctrlPr>
              <w:rPr>
                <w:rFonts w:ascii="Cambria Math" w:hAnsi="Cambria Math"/>
                <w:i/>
              </w:rPr>
            </m:ctrlPr>
          </m:sSubPr>
          <m:e>
            <m:r>
              <w:rPr>
                <w:rFonts w:ascii="Cambria Math" w:hAnsi="Cambria Math"/>
              </w:rPr>
              <m:t>a</m:t>
            </m:r>
          </m:e>
          <m:sub>
            <m:r>
              <w:rPr>
                <w:rFonts w:ascii="Cambria Math" w:hAnsi="Cambria Math"/>
              </w:rPr>
              <m:t>4</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23825" cy="190500"/>
            <wp:effectExtent l="0" t="0" r="0" b="0"/>
            <wp:docPr id="1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5" cstate="print">
                      <a:clrChange>
                        <a:clrFrom>
                          <a:srgbClr val="FFFFFF"/>
                        </a:clrFrom>
                        <a:clrTo>
                          <a:srgbClr val="FFFFFF">
                            <a:alpha val="0"/>
                          </a:srgbClr>
                        </a:clrTo>
                      </a:clrChange>
                    </a:blip>
                    <a:srcRect/>
                    <a:stretch/>
                  </pic:blipFill>
                  <pic:spPr>
                    <a:xfrm>
                      <a:off x="0" y="0"/>
                      <a:ext cx="123825" cy="190500"/>
                    </a:xfrm>
                    <a:prstGeom prst="rect">
                      <a:avLst/>
                    </a:prstGeom>
                    <a:ln>
                      <a:noFill/>
                    </a:ln>
                  </pic:spPr>
                </pic:pic>
              </a:graphicData>
            </a:graphic>
          </wp:inline>
        </w:drawing>
      </w:r>
      <w:r w:rsidR="00284017" w:rsidRPr="009D3ACA">
        <w:fldChar w:fldCharType="end"/>
      </w:r>
      <w:r w:rsidR="00361137" w:rsidRPr="009D3ACA">
        <w:t xml:space="preserve"> are the quadratic effects while </w:t>
      </w:r>
      <m:oMath>
        <m:sSub>
          <m:sSubPr>
            <m:ctrlPr>
              <w:rPr>
                <w:rFonts w:ascii="Cambria Math" w:hAnsi="Cambria Math"/>
                <w:i/>
              </w:rPr>
            </m:ctrlPr>
          </m:sSubPr>
          <m:e>
            <m:r>
              <w:rPr>
                <w:rFonts w:ascii="Cambria Math" w:hAnsi="Cambria Math"/>
              </w:rPr>
              <m:t>a</m:t>
            </m:r>
          </m:e>
          <m:sub>
            <m:r>
              <w:rPr>
                <w:rFonts w:ascii="Cambria Math" w:hAnsi="Cambria Math"/>
              </w:rPr>
              <m:t>12</m:t>
            </m:r>
          </m:sub>
        </m:sSub>
      </m:oMath>
      <w:r w:rsidR="00284017" w:rsidRPr="009D3ACA">
        <w:fldChar w:fldCharType="begin"/>
      </w:r>
      <w:r w:rsidR="00361137" w:rsidRPr="009D3ACA">
        <w:instrText xml:space="preserve"> QUOTE </w:instrText>
      </w:r>
      <w:r w:rsidR="00361137" w:rsidRPr="009D3ACA">
        <w:rPr>
          <w:noProof/>
          <w:lang w:val="en-GB" w:eastAsia="en-GB"/>
        </w:rPr>
        <w:drawing>
          <wp:inline distT="0" distB="0" distL="0" distR="0">
            <wp:extent cx="171450" cy="190500"/>
            <wp:effectExtent l="0" t="0" r="0" b="0"/>
            <wp:docPr id="1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6" cstate="print">
                      <a:clrChange>
                        <a:clrFrom>
                          <a:srgbClr val="FFFFFF"/>
                        </a:clrFrom>
                        <a:clrTo>
                          <a:srgbClr val="FFFFFF">
                            <a:alpha val="0"/>
                          </a:srgbClr>
                        </a:clrTo>
                      </a:clrChange>
                    </a:blip>
                    <a:srcRect/>
                    <a:stretch/>
                  </pic:blipFill>
                  <pic:spPr>
                    <a:xfrm>
                      <a:off x="0" y="0"/>
                      <a:ext cx="171450" cy="190500"/>
                    </a:xfrm>
                    <a:prstGeom prst="rect">
                      <a:avLst/>
                    </a:prstGeom>
                    <a:ln>
                      <a:noFill/>
                    </a:ln>
                  </pic:spPr>
                </pic:pic>
              </a:graphicData>
            </a:graphic>
          </wp:inline>
        </w:drawing>
      </w:r>
      <w:r w:rsidR="00284017" w:rsidRPr="009D3ACA">
        <w:fldChar w:fldCharType="end"/>
      </w:r>
      <w:r w:rsidR="00361137" w:rsidRPr="009D3ACA">
        <w:t xml:space="preserve"> is the interaction effect.</w:t>
      </w:r>
    </w:p>
    <w:tbl>
      <w:tblPr>
        <w:tblpPr w:leftFromText="180" w:rightFromText="180" w:vertAnchor="text" w:horzAnchor="margin" w:tblpY="109"/>
        <w:tblW w:w="5000" w:type="pct"/>
        <w:tblLook w:val="04A0"/>
      </w:tblPr>
      <w:tblGrid>
        <w:gridCol w:w="8178"/>
        <w:gridCol w:w="825"/>
      </w:tblGrid>
      <w:tr w:rsidR="00361137" w:rsidRPr="00B57B36" w:rsidTr="00361137">
        <w:tc>
          <w:tcPr>
            <w:tcW w:w="7982" w:type="dxa"/>
            <w:shd w:val="clear" w:color="auto" w:fill="auto"/>
            <w:vAlign w:val="center"/>
          </w:tcPr>
          <w:p w:rsidR="00361137" w:rsidRPr="00A36B57" w:rsidRDefault="00361137" w:rsidP="00361137">
            <w:pPr>
              <w:pStyle w:val="CETEquation"/>
            </w:pPr>
            <m:oMathPara>
              <m:oMathParaPr>
                <m:jc m:val="left"/>
              </m:oMathParaPr>
              <m:oMath>
                <m:r>
                  <w:rPr>
                    <w:rFonts w:ascii="Cambria Math" w:hAnsi="Cambria Math"/>
                  </w:rPr>
                  <m:t>G=</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12</m:t>
                    </m:r>
                  </m:sub>
                </m:sSub>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805" w:type="dxa"/>
            <w:shd w:val="clear" w:color="auto" w:fill="auto"/>
            <w:vAlign w:val="center"/>
          </w:tcPr>
          <w:p w:rsidR="00361137" w:rsidRPr="00B57B36" w:rsidRDefault="00361137" w:rsidP="00361137">
            <w:pPr>
              <w:pStyle w:val="CETEquation"/>
              <w:jc w:val="right"/>
            </w:pPr>
            <w:r>
              <w:t>(4</w:t>
            </w:r>
            <w:r w:rsidRPr="00B57B36">
              <w:t>)</w:t>
            </w:r>
          </w:p>
        </w:tc>
      </w:tr>
    </w:tbl>
    <w:p w:rsidR="00361137" w:rsidRDefault="00361137" w:rsidP="00361137">
      <w:pPr>
        <w:pStyle w:val="CETBodytext"/>
      </w:pPr>
      <w:r w:rsidRPr="009D3ACA">
        <w:rPr>
          <w:lang w:val="en-GB"/>
        </w:rPr>
        <w:t>The DOE, based on response surface central composite method on Minitab 14 statistical software</w:t>
      </w:r>
      <w:r w:rsidR="00251118">
        <w:rPr>
          <w:lang w:val="en-GB"/>
        </w:rPr>
        <w:t xml:space="preserve"> package</w:t>
      </w:r>
      <w:r w:rsidRPr="009D3ACA">
        <w:rPr>
          <w:lang w:val="en-GB"/>
        </w:rPr>
        <w:t xml:space="preserve">, was </w:t>
      </w:r>
      <w:r w:rsidR="00D225DB">
        <w:rPr>
          <w:lang w:val="en-GB"/>
        </w:rPr>
        <w:t>used to fit the required data to</w:t>
      </w:r>
      <w:r w:rsidRPr="009D3ACA">
        <w:rPr>
          <w:lang w:val="en-GB"/>
        </w:rPr>
        <w:t xml:space="preserve"> Eq</w:t>
      </w:r>
      <w:r>
        <w:rPr>
          <w:lang w:val="en-GB"/>
        </w:rPr>
        <w:t>(</w:t>
      </w:r>
      <w:r w:rsidRPr="009D3ACA">
        <w:rPr>
          <w:lang w:val="en-GB"/>
        </w:rPr>
        <w:t>4</w:t>
      </w:r>
      <w:r>
        <w:rPr>
          <w:lang w:val="en-GB"/>
        </w:rPr>
        <w:t>)</w:t>
      </w:r>
      <w:r w:rsidRPr="009D3ACA">
        <w:rPr>
          <w:lang w:val="en-GB"/>
        </w:rPr>
        <w:t>. Table 1 shows the range of data used in the DOE for the regression model development. The data are within the typical range of operating conditions of a fed-batch evaporative sugar crystallisation unit.</w:t>
      </w:r>
    </w:p>
    <w:p w:rsidR="00361137" w:rsidRPr="00B57B36" w:rsidRDefault="00361137" w:rsidP="00361137">
      <w:pPr>
        <w:pStyle w:val="CETTabletitle"/>
      </w:pPr>
      <w:r w:rsidRPr="00B57B36">
        <w:t xml:space="preserve">Table 1: </w:t>
      </w:r>
      <w:r w:rsidRPr="000A44A4">
        <w:t xml:space="preserve">Low and high values of the input parameters for linear growth rate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450"/>
        <w:gridCol w:w="720"/>
        <w:gridCol w:w="3060"/>
        <w:gridCol w:w="720"/>
        <w:gridCol w:w="1071"/>
      </w:tblGrid>
      <w:tr w:rsidR="00361137" w:rsidRPr="00B57B36" w:rsidTr="00361137">
        <w:tc>
          <w:tcPr>
            <w:tcW w:w="450" w:type="dxa"/>
            <w:tcBorders>
              <w:top w:val="single" w:sz="12" w:space="0" w:color="008000"/>
              <w:bottom w:val="single" w:sz="6" w:space="0" w:color="008000"/>
            </w:tcBorders>
            <w:shd w:val="clear" w:color="auto" w:fill="FFFFFF"/>
          </w:tcPr>
          <w:p w:rsidR="00361137" w:rsidRPr="0005129C" w:rsidRDefault="00361137" w:rsidP="00361137">
            <w:pPr>
              <w:pStyle w:val="CETBodytext"/>
            </w:pPr>
            <w:r w:rsidRPr="0005129C">
              <w:t>S/N</w:t>
            </w:r>
          </w:p>
        </w:tc>
        <w:tc>
          <w:tcPr>
            <w:tcW w:w="720" w:type="dxa"/>
            <w:tcBorders>
              <w:top w:val="single" w:sz="12" w:space="0" w:color="008000"/>
              <w:bottom w:val="single" w:sz="6" w:space="0" w:color="008000"/>
            </w:tcBorders>
            <w:shd w:val="clear" w:color="auto" w:fill="FFFFFF"/>
          </w:tcPr>
          <w:p w:rsidR="00361137" w:rsidRPr="0005129C" w:rsidRDefault="00361137" w:rsidP="00361137">
            <w:pPr>
              <w:pStyle w:val="CETBodytext"/>
            </w:pPr>
            <w:r w:rsidRPr="0005129C">
              <w:t>Symbol</w:t>
            </w:r>
          </w:p>
        </w:tc>
        <w:tc>
          <w:tcPr>
            <w:tcW w:w="3060" w:type="dxa"/>
            <w:tcBorders>
              <w:top w:val="single" w:sz="12" w:space="0" w:color="008000"/>
              <w:bottom w:val="single" w:sz="6" w:space="0" w:color="008000"/>
            </w:tcBorders>
            <w:shd w:val="clear" w:color="auto" w:fill="FFFFFF"/>
          </w:tcPr>
          <w:p w:rsidR="00361137" w:rsidRPr="0005129C" w:rsidRDefault="00361137" w:rsidP="00361137">
            <w:pPr>
              <w:pStyle w:val="CETBodytext"/>
            </w:pPr>
            <w:r w:rsidRPr="0005129C">
              <w:t>Parameter</w:t>
            </w:r>
          </w:p>
        </w:tc>
        <w:tc>
          <w:tcPr>
            <w:tcW w:w="720" w:type="dxa"/>
            <w:tcBorders>
              <w:top w:val="single" w:sz="12" w:space="0" w:color="008000"/>
              <w:bottom w:val="single" w:sz="6" w:space="0" w:color="008000"/>
            </w:tcBorders>
            <w:shd w:val="clear" w:color="auto" w:fill="FFFFFF"/>
          </w:tcPr>
          <w:p w:rsidR="00361137" w:rsidRPr="0005129C" w:rsidRDefault="00361137" w:rsidP="00361137">
            <w:pPr>
              <w:pStyle w:val="CETBodytext"/>
            </w:pPr>
            <w:r w:rsidRPr="0005129C">
              <w:t>Low</w:t>
            </w:r>
          </w:p>
        </w:tc>
        <w:tc>
          <w:tcPr>
            <w:tcW w:w="1071" w:type="dxa"/>
            <w:tcBorders>
              <w:top w:val="single" w:sz="12" w:space="0" w:color="008000"/>
              <w:bottom w:val="single" w:sz="6" w:space="0" w:color="008000"/>
            </w:tcBorders>
            <w:shd w:val="clear" w:color="auto" w:fill="FFFFFF"/>
          </w:tcPr>
          <w:p w:rsidR="00361137" w:rsidRPr="0005129C" w:rsidRDefault="00361137" w:rsidP="00361137">
            <w:pPr>
              <w:pStyle w:val="CETBodytext"/>
            </w:pPr>
            <w:r w:rsidRPr="0005129C">
              <w:t xml:space="preserve">High  </w:t>
            </w:r>
          </w:p>
        </w:tc>
      </w:tr>
      <w:tr w:rsidR="00361137" w:rsidRPr="00B57B36" w:rsidTr="00361137">
        <w:tc>
          <w:tcPr>
            <w:tcW w:w="450" w:type="dxa"/>
            <w:shd w:val="clear" w:color="auto" w:fill="FFFFFF"/>
          </w:tcPr>
          <w:p w:rsidR="00361137" w:rsidRPr="0005129C" w:rsidRDefault="00361137" w:rsidP="00361137">
            <w:pPr>
              <w:pStyle w:val="CETBodytext"/>
            </w:pPr>
            <w:r w:rsidRPr="0005129C">
              <w:t>1</w:t>
            </w:r>
          </w:p>
        </w:tc>
        <w:tc>
          <w:tcPr>
            <w:tcW w:w="720" w:type="dxa"/>
            <w:shd w:val="clear" w:color="auto" w:fill="FFFFFF"/>
          </w:tcPr>
          <w:p w:rsidR="00361137" w:rsidRPr="0005129C" w:rsidRDefault="00361137" w:rsidP="00361137">
            <w:pPr>
              <w:pStyle w:val="CETBodytext"/>
            </w:pPr>
            <w:r w:rsidRPr="0005129C">
              <w:t>T</w:t>
            </w:r>
          </w:p>
        </w:tc>
        <w:tc>
          <w:tcPr>
            <w:tcW w:w="3060" w:type="dxa"/>
            <w:shd w:val="clear" w:color="auto" w:fill="FFFFFF"/>
          </w:tcPr>
          <w:p w:rsidR="00361137" w:rsidRPr="0005129C" w:rsidRDefault="00361137" w:rsidP="00361137">
            <w:pPr>
              <w:pStyle w:val="CETBodytext"/>
            </w:pPr>
            <w:r w:rsidRPr="0005129C">
              <w:t>Temperature (</w:t>
            </w:r>
            <w:r w:rsidRPr="000A44A4">
              <w:rPr>
                <w:vertAlign w:val="superscript"/>
              </w:rPr>
              <w:t>o</w:t>
            </w:r>
            <w:r w:rsidRPr="0005129C">
              <w:t>C)</w:t>
            </w:r>
          </w:p>
        </w:tc>
        <w:tc>
          <w:tcPr>
            <w:tcW w:w="720" w:type="dxa"/>
            <w:shd w:val="clear" w:color="auto" w:fill="FFFFFF"/>
          </w:tcPr>
          <w:p w:rsidR="00361137" w:rsidRPr="0005129C" w:rsidRDefault="00361137" w:rsidP="00361137">
            <w:pPr>
              <w:pStyle w:val="CETBodytext"/>
            </w:pPr>
            <w:r w:rsidRPr="0005129C">
              <w:t>65</w:t>
            </w:r>
          </w:p>
        </w:tc>
        <w:tc>
          <w:tcPr>
            <w:tcW w:w="1071" w:type="dxa"/>
            <w:shd w:val="clear" w:color="auto" w:fill="FFFFFF"/>
          </w:tcPr>
          <w:p w:rsidR="00361137" w:rsidRPr="0005129C" w:rsidRDefault="00361137" w:rsidP="00361137">
            <w:pPr>
              <w:pStyle w:val="CETBodytext"/>
            </w:pPr>
            <w:r w:rsidRPr="0005129C">
              <w:t>75</w:t>
            </w:r>
          </w:p>
        </w:tc>
      </w:tr>
      <w:tr w:rsidR="00361137" w:rsidRPr="00B57B36" w:rsidTr="00361137">
        <w:tc>
          <w:tcPr>
            <w:tcW w:w="450" w:type="dxa"/>
            <w:shd w:val="clear" w:color="auto" w:fill="FFFFFF"/>
          </w:tcPr>
          <w:p w:rsidR="00361137" w:rsidRPr="0005129C" w:rsidRDefault="00361137" w:rsidP="00361137">
            <w:pPr>
              <w:pStyle w:val="CETBodytext"/>
            </w:pPr>
            <w:r w:rsidRPr="0005129C">
              <w:t>2</w:t>
            </w:r>
          </w:p>
        </w:tc>
        <w:tc>
          <w:tcPr>
            <w:tcW w:w="720" w:type="dxa"/>
            <w:shd w:val="clear" w:color="auto" w:fill="FFFFFF"/>
          </w:tcPr>
          <w:p w:rsidR="00361137" w:rsidRPr="0005129C" w:rsidRDefault="00361137" w:rsidP="00361137">
            <w:pPr>
              <w:pStyle w:val="CETBodytext"/>
            </w:pPr>
            <w:r w:rsidRPr="0005129C">
              <w:t>S</w:t>
            </w:r>
          </w:p>
        </w:tc>
        <w:tc>
          <w:tcPr>
            <w:tcW w:w="3060" w:type="dxa"/>
            <w:shd w:val="clear" w:color="auto" w:fill="FFFFFF"/>
          </w:tcPr>
          <w:p w:rsidR="00361137" w:rsidRPr="0005129C" w:rsidRDefault="00361137" w:rsidP="00361137">
            <w:pPr>
              <w:pStyle w:val="CETBodytext"/>
            </w:pPr>
            <w:r w:rsidRPr="0005129C">
              <w:t>Super-saturation ()</w:t>
            </w:r>
          </w:p>
        </w:tc>
        <w:tc>
          <w:tcPr>
            <w:tcW w:w="720" w:type="dxa"/>
            <w:shd w:val="clear" w:color="auto" w:fill="FFFFFF"/>
          </w:tcPr>
          <w:p w:rsidR="00361137" w:rsidRPr="0005129C" w:rsidRDefault="00361137" w:rsidP="00361137">
            <w:pPr>
              <w:pStyle w:val="CETBodytext"/>
            </w:pPr>
            <w:r w:rsidRPr="0005129C">
              <w:t>1.15</w:t>
            </w:r>
          </w:p>
        </w:tc>
        <w:tc>
          <w:tcPr>
            <w:tcW w:w="1071" w:type="dxa"/>
            <w:shd w:val="clear" w:color="auto" w:fill="FFFFFF"/>
          </w:tcPr>
          <w:p w:rsidR="00361137" w:rsidRPr="0005129C" w:rsidRDefault="00361137" w:rsidP="00361137">
            <w:pPr>
              <w:pStyle w:val="CETBodytext"/>
            </w:pPr>
            <w:r w:rsidRPr="0005129C">
              <w:t>1.25</w:t>
            </w:r>
          </w:p>
        </w:tc>
      </w:tr>
      <w:tr w:rsidR="00361137" w:rsidRPr="00B57B36" w:rsidTr="00361137">
        <w:tc>
          <w:tcPr>
            <w:tcW w:w="450" w:type="dxa"/>
            <w:shd w:val="clear" w:color="auto" w:fill="FFFFFF"/>
          </w:tcPr>
          <w:p w:rsidR="00361137" w:rsidRPr="0005129C" w:rsidRDefault="00361137" w:rsidP="00361137">
            <w:pPr>
              <w:pStyle w:val="CETBodytext"/>
            </w:pPr>
            <w:r w:rsidRPr="0005129C">
              <w:t>3</w:t>
            </w:r>
          </w:p>
        </w:tc>
        <w:tc>
          <w:tcPr>
            <w:tcW w:w="720" w:type="dxa"/>
            <w:shd w:val="clear" w:color="auto" w:fill="FFFFFF"/>
          </w:tcPr>
          <w:p w:rsidR="00361137" w:rsidRPr="0005129C" w:rsidRDefault="00361137" w:rsidP="00361137">
            <w:pPr>
              <w:pStyle w:val="CETBodytext"/>
            </w:pPr>
            <w:r w:rsidRPr="0005129C">
              <w:t>P</w:t>
            </w:r>
            <w:r w:rsidRPr="000A44A4">
              <w:rPr>
                <w:vertAlign w:val="subscript"/>
              </w:rPr>
              <w:t>sol</w:t>
            </w:r>
          </w:p>
        </w:tc>
        <w:tc>
          <w:tcPr>
            <w:tcW w:w="3060" w:type="dxa"/>
            <w:shd w:val="clear" w:color="auto" w:fill="FFFFFF"/>
          </w:tcPr>
          <w:p w:rsidR="00361137" w:rsidRPr="0005129C" w:rsidRDefault="00361137" w:rsidP="00361137">
            <w:pPr>
              <w:pStyle w:val="CETBodytext"/>
            </w:pPr>
            <w:r w:rsidRPr="0005129C">
              <w:t>Purity of solution (%)</w:t>
            </w:r>
          </w:p>
        </w:tc>
        <w:tc>
          <w:tcPr>
            <w:tcW w:w="720" w:type="dxa"/>
            <w:shd w:val="clear" w:color="auto" w:fill="FFFFFF"/>
          </w:tcPr>
          <w:p w:rsidR="00361137" w:rsidRPr="0005129C" w:rsidRDefault="00361137" w:rsidP="00361137">
            <w:pPr>
              <w:pStyle w:val="CETBodytext"/>
            </w:pPr>
            <w:r w:rsidRPr="0005129C">
              <w:t>88</w:t>
            </w:r>
          </w:p>
        </w:tc>
        <w:tc>
          <w:tcPr>
            <w:tcW w:w="1071" w:type="dxa"/>
            <w:shd w:val="clear" w:color="auto" w:fill="FFFFFF"/>
          </w:tcPr>
          <w:p w:rsidR="00361137" w:rsidRPr="0005129C" w:rsidRDefault="00361137" w:rsidP="00361137">
            <w:pPr>
              <w:pStyle w:val="CETBodytext"/>
            </w:pPr>
            <w:r w:rsidRPr="0005129C">
              <w:t>90</w:t>
            </w:r>
          </w:p>
        </w:tc>
      </w:tr>
      <w:tr w:rsidR="00361137" w:rsidRPr="00B57B36" w:rsidTr="00361137">
        <w:tc>
          <w:tcPr>
            <w:tcW w:w="450" w:type="dxa"/>
            <w:shd w:val="clear" w:color="auto" w:fill="FFFFFF"/>
          </w:tcPr>
          <w:p w:rsidR="00361137" w:rsidRPr="0005129C" w:rsidRDefault="00361137" w:rsidP="00361137">
            <w:pPr>
              <w:pStyle w:val="CETBodytext"/>
            </w:pPr>
            <w:r w:rsidRPr="0005129C">
              <w:t>4</w:t>
            </w:r>
          </w:p>
        </w:tc>
        <w:tc>
          <w:tcPr>
            <w:tcW w:w="720" w:type="dxa"/>
            <w:shd w:val="clear" w:color="auto" w:fill="FFFFFF"/>
          </w:tcPr>
          <w:p w:rsidR="00361137" w:rsidRPr="0005129C" w:rsidRDefault="00361137" w:rsidP="00361137">
            <w:pPr>
              <w:pStyle w:val="CETBodytext"/>
            </w:pPr>
            <w:r w:rsidRPr="0005129C">
              <w:t>V</w:t>
            </w:r>
            <w:r w:rsidRPr="000A44A4">
              <w:rPr>
                <w:vertAlign w:val="subscript"/>
              </w:rPr>
              <w:t>c</w:t>
            </w:r>
          </w:p>
        </w:tc>
        <w:tc>
          <w:tcPr>
            <w:tcW w:w="3060" w:type="dxa"/>
            <w:shd w:val="clear" w:color="auto" w:fill="FFFFFF"/>
          </w:tcPr>
          <w:p w:rsidR="00361137" w:rsidRPr="0005129C" w:rsidRDefault="00361137" w:rsidP="00361137">
            <w:pPr>
              <w:pStyle w:val="CETBodytext"/>
            </w:pPr>
            <w:r w:rsidRPr="0005129C">
              <w:t>Volume fraction of sugar crystals ()</w:t>
            </w:r>
          </w:p>
        </w:tc>
        <w:tc>
          <w:tcPr>
            <w:tcW w:w="720" w:type="dxa"/>
            <w:shd w:val="clear" w:color="auto" w:fill="FFFFFF"/>
          </w:tcPr>
          <w:p w:rsidR="00361137" w:rsidRPr="0005129C" w:rsidRDefault="00361137" w:rsidP="00361137">
            <w:pPr>
              <w:pStyle w:val="CETBodytext"/>
            </w:pPr>
            <w:r w:rsidRPr="0005129C">
              <w:t>0.4</w:t>
            </w:r>
          </w:p>
        </w:tc>
        <w:tc>
          <w:tcPr>
            <w:tcW w:w="1071" w:type="dxa"/>
            <w:shd w:val="clear" w:color="auto" w:fill="FFFFFF"/>
          </w:tcPr>
          <w:p w:rsidR="00361137" w:rsidRDefault="00361137" w:rsidP="00361137">
            <w:pPr>
              <w:pStyle w:val="CETBodytext"/>
            </w:pPr>
            <w:r w:rsidRPr="0005129C">
              <w:t>0.5</w:t>
            </w:r>
          </w:p>
        </w:tc>
      </w:tr>
    </w:tbl>
    <w:p w:rsidR="00361137" w:rsidRDefault="00361137" w:rsidP="00361137">
      <w:pPr>
        <w:pStyle w:val="CETBodytext"/>
      </w:pPr>
    </w:p>
    <w:p w:rsidR="00361137" w:rsidRPr="00952AEC" w:rsidRDefault="00361137" w:rsidP="00361137">
      <w:pPr>
        <w:pStyle w:val="CETBodytext"/>
      </w:pPr>
      <w:r w:rsidRPr="00952AEC">
        <w:t>The model described in Eq</w:t>
      </w:r>
      <w:r>
        <w:t>(</w:t>
      </w:r>
      <w:r w:rsidRPr="00952AEC">
        <w:t>4</w:t>
      </w:r>
      <w:r>
        <w:t>)</w:t>
      </w:r>
      <w:r w:rsidRPr="00952AEC">
        <w:t xml:space="preserve"> for online prediction of sugar crystal growth rate is a function of temperature and super-saturation. Although super-saturation is one of the difficult-to-measure pa</w:t>
      </w:r>
      <w:r w:rsidR="006C445E">
        <w:t>rameters during sugar crystallis</w:t>
      </w:r>
      <w:r w:rsidRPr="00952AEC">
        <w:t>ation process, the model developed by Umo and Alabi (2016) can be used for real time post-seeding super-saturation estimatio</w:t>
      </w:r>
      <w:r>
        <w:t>n. Their model is given in Eq(</w:t>
      </w:r>
      <w:r w:rsidRPr="00952AEC">
        <w:t>5</w:t>
      </w:r>
      <w:r>
        <w:t>)</w:t>
      </w:r>
      <w:r w:rsidR="00D225DB">
        <w:t>,</w:t>
      </w:r>
    </w:p>
    <w:tbl>
      <w:tblPr>
        <w:tblpPr w:leftFromText="180" w:rightFromText="180" w:vertAnchor="text" w:horzAnchor="margin" w:tblpY="109"/>
        <w:tblW w:w="5000" w:type="pct"/>
        <w:tblLook w:val="04A0"/>
      </w:tblPr>
      <w:tblGrid>
        <w:gridCol w:w="8178"/>
        <w:gridCol w:w="825"/>
      </w:tblGrid>
      <w:tr w:rsidR="00361137" w:rsidRPr="00B57B36" w:rsidTr="00361137">
        <w:tc>
          <w:tcPr>
            <w:tcW w:w="7982" w:type="dxa"/>
            <w:shd w:val="clear" w:color="auto" w:fill="auto"/>
            <w:vAlign w:val="center"/>
          </w:tcPr>
          <w:p w:rsidR="00361137" w:rsidRDefault="00361137" w:rsidP="00361137">
            <w:pPr>
              <w:pStyle w:val="CETEquation"/>
            </w:pPr>
            <m:oMathPara>
              <m:oMath>
                <m:r>
                  <w:rPr>
                    <w:rFonts w:ascii="Cambria Math" w:hAnsi="Cambria Math"/>
                    <w:lang w:val="ig-NG"/>
                  </w:rPr>
                  <m:t>S= 0.349080-2.12210</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r>
                  <w:rPr>
                    <w:rFonts w:ascii="Cambria Math" w:hAnsi="Cambria Math"/>
                    <w:lang w:val="ig-NG"/>
                  </w:rPr>
                  <m:t>-2.85042</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+0.166238</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+1.2360</m:t>
                </m:r>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-6.45838E-05t+33.2521</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  2.72190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-10.2033</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+0.00873790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t-0.0106366</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t</m:t>
                </m:r>
              </m:oMath>
            </m:oMathPara>
          </w:p>
          <w:p w:rsidR="00D225DB" w:rsidRPr="00D225DB" w:rsidRDefault="00D225DB" w:rsidP="006F682B">
            <w:pPr>
              <w:pStyle w:val="CETBodytext"/>
              <w:rPr>
                <w:lang w:val="en-GB"/>
              </w:rPr>
            </w:pPr>
            <w:r>
              <w:rPr>
                <w:lang w:val="en-GB"/>
              </w:rPr>
              <w:t>where:</w:t>
            </w:r>
            <w:r w:rsidR="006F682B">
              <w:rPr>
                <w:lang w:val="en-NZ"/>
              </w:rPr>
              <w:t xml:space="preserve"> </w:t>
            </w:r>
            <w:r w:rsidR="006F682B" w:rsidRPr="000C0240">
              <w:rPr>
                <w:lang w:val="en-NZ"/>
              </w:rPr>
              <w:t xml:space="preserve"> </w:t>
            </w:r>
            <w:r w:rsidR="006F682B" w:rsidRPr="006F682B">
              <w:rPr>
                <w:i/>
                <w:lang w:val="en-NZ"/>
              </w:rPr>
              <w:t>P</w:t>
            </w:r>
            <w:r w:rsidR="006F682B" w:rsidRPr="006F682B">
              <w:rPr>
                <w:i/>
                <w:vertAlign w:val="subscript"/>
                <w:lang w:val="en-NZ"/>
              </w:rPr>
              <w:t>vac</w:t>
            </w:r>
            <w:r w:rsidR="006F682B" w:rsidRPr="000C0240">
              <w:rPr>
                <w:lang w:val="en-NZ"/>
              </w:rPr>
              <w:t xml:space="preserve"> </w:t>
            </w:r>
            <w:r w:rsidR="006F682B">
              <w:rPr>
                <w:lang w:val="en-NZ"/>
              </w:rPr>
              <w:t>is the vacuum pressure</w:t>
            </w:r>
            <w:r w:rsidR="006F682B" w:rsidRPr="000C0240">
              <w:rPr>
                <w:lang w:val="en-NZ"/>
              </w:rPr>
              <w:t xml:space="preserve">, </w:t>
            </w:r>
            <w:r w:rsidR="006F682B" w:rsidRPr="006F682B">
              <w:rPr>
                <w:i/>
                <w:lang w:val="en-NZ"/>
              </w:rPr>
              <w:t>F</w:t>
            </w:r>
            <w:r w:rsidR="006F682B" w:rsidRPr="006F682B">
              <w:rPr>
                <w:i/>
                <w:vertAlign w:val="subscript"/>
                <w:lang w:val="en-NZ"/>
              </w:rPr>
              <w:t>f</w:t>
            </w:r>
            <w:r w:rsidR="006F682B">
              <w:rPr>
                <w:lang w:val="en-NZ"/>
              </w:rPr>
              <w:t xml:space="preserve"> is  the </w:t>
            </w:r>
            <w:r w:rsidR="006F682B" w:rsidRPr="000C0240">
              <w:rPr>
                <w:lang w:val="en-NZ"/>
              </w:rPr>
              <w:t xml:space="preserve">feed flowrate, </w:t>
            </w:r>
            <w:r w:rsidR="006F682B" w:rsidRPr="006F682B">
              <w:rPr>
                <w:i/>
                <w:lang w:val="en-NZ"/>
              </w:rPr>
              <w:t>Fs</w:t>
            </w:r>
            <w:r w:rsidR="006F682B">
              <w:rPr>
                <w:lang w:val="en-NZ"/>
              </w:rPr>
              <w:t xml:space="preserve"> is the </w:t>
            </w:r>
            <w:r w:rsidR="006F682B" w:rsidRPr="000C0240">
              <w:rPr>
                <w:lang w:val="en-NZ"/>
              </w:rPr>
              <w:t xml:space="preserve">steam flowrate, </w:t>
            </w:r>
            <w:r w:rsidR="006F682B">
              <w:rPr>
                <w:lang w:val="en-NZ"/>
              </w:rPr>
              <w:t xml:space="preserve">t is the </w:t>
            </w:r>
            <w:r w:rsidR="006F682B" w:rsidRPr="000C0240">
              <w:rPr>
                <w:lang w:val="en-NZ"/>
              </w:rPr>
              <w:t>crystallisation time, S</w:t>
            </w:r>
            <w:r w:rsidR="006F682B" w:rsidRPr="000C0240">
              <w:rPr>
                <w:vertAlign w:val="subscript"/>
                <w:lang w:val="en-NZ"/>
              </w:rPr>
              <w:t>0</w:t>
            </w:r>
            <w:r w:rsidR="006F682B">
              <w:rPr>
                <w:lang w:val="en-NZ"/>
              </w:rPr>
              <w:t xml:space="preserve"> is the </w:t>
            </w:r>
            <w:r w:rsidR="006F682B" w:rsidRPr="000C0240">
              <w:rPr>
                <w:lang w:val="en-NZ"/>
              </w:rPr>
              <w:t>initial super-saturation</w:t>
            </w:r>
            <w:r w:rsidR="006F682B">
              <w:rPr>
                <w:lang w:val="en-NZ"/>
              </w:rPr>
              <w:t>.</w:t>
            </w:r>
          </w:p>
        </w:tc>
        <w:tc>
          <w:tcPr>
            <w:tcW w:w="805" w:type="dxa"/>
            <w:shd w:val="clear" w:color="auto" w:fill="auto"/>
            <w:vAlign w:val="center"/>
          </w:tcPr>
          <w:p w:rsidR="00361137" w:rsidRPr="00B57B36" w:rsidRDefault="00361137" w:rsidP="00361137">
            <w:pPr>
              <w:pStyle w:val="CETEquation"/>
              <w:jc w:val="right"/>
            </w:pPr>
            <w:r>
              <w:t>(5</w:t>
            </w:r>
            <w:r w:rsidRPr="00B57B36">
              <w:t>)</w:t>
            </w:r>
          </w:p>
        </w:tc>
      </w:tr>
    </w:tbl>
    <w:p w:rsidR="00361137" w:rsidRDefault="00361137" w:rsidP="00361137">
      <w:pPr>
        <w:pStyle w:val="CETheadingx"/>
      </w:pPr>
      <w:r w:rsidRPr="00952AEC">
        <w:t>Regression model for sugar crystal size</w:t>
      </w:r>
    </w:p>
    <w:p w:rsidR="00361137" w:rsidRDefault="00361137" w:rsidP="00361137">
      <w:pPr>
        <w:pStyle w:val="CETBodytext"/>
      </w:pPr>
      <w:r w:rsidRPr="005D4A78">
        <w:rPr>
          <w:lang w:val="en-GB"/>
        </w:rPr>
        <w:t>To derive the sugar crystal size model, t</w:t>
      </w:r>
      <w:r>
        <w:rPr>
          <w:lang w:val="en-GB"/>
        </w:rPr>
        <w:t>he super-saturation model (Eq(</w:t>
      </w:r>
      <w:r w:rsidRPr="005D4A78">
        <w:rPr>
          <w:lang w:val="en-GB"/>
        </w:rPr>
        <w:t>5)</w:t>
      </w:r>
      <w:r>
        <w:rPr>
          <w:lang w:val="en-GB"/>
        </w:rPr>
        <w:t>)</w:t>
      </w:r>
      <w:r w:rsidRPr="005D4A78">
        <w:rPr>
          <w:lang w:val="en-GB"/>
        </w:rPr>
        <w:t xml:space="preserve"> was combined with the proposed linear growth rate model (Eq</w:t>
      </w:r>
      <w:r>
        <w:rPr>
          <w:lang w:val="en-GB"/>
        </w:rPr>
        <w:t>(</w:t>
      </w:r>
      <w:r w:rsidRPr="005D4A78">
        <w:rPr>
          <w:lang w:val="en-GB"/>
        </w:rPr>
        <w:t>4)</w:t>
      </w:r>
      <w:r>
        <w:rPr>
          <w:lang w:val="en-GB"/>
        </w:rPr>
        <w:t>)</w:t>
      </w:r>
      <w:r w:rsidRPr="005D4A78">
        <w:rPr>
          <w:lang w:val="en-GB"/>
        </w:rPr>
        <w:t xml:space="preserve"> and substituted into Eq</w:t>
      </w:r>
      <w:r>
        <w:rPr>
          <w:lang w:val="en-GB"/>
        </w:rPr>
        <w:t>(</w:t>
      </w:r>
      <w:r w:rsidRPr="005D4A78">
        <w:rPr>
          <w:lang w:val="en-GB"/>
        </w:rPr>
        <w:t>2</w:t>
      </w:r>
      <w:r>
        <w:rPr>
          <w:lang w:val="en-GB"/>
        </w:rPr>
        <w:t>)</w:t>
      </w:r>
      <w:r w:rsidRPr="005D4A78">
        <w:rPr>
          <w:lang w:val="en-GB"/>
        </w:rPr>
        <w:t>. The model obtained is given in Eq</w:t>
      </w:r>
      <w:r>
        <w:rPr>
          <w:lang w:val="en-GB"/>
        </w:rPr>
        <w:t>(</w:t>
      </w:r>
      <w:r w:rsidRPr="005D4A78">
        <w:rPr>
          <w:lang w:val="en-GB"/>
        </w:rPr>
        <w:t>6</w:t>
      </w:r>
      <w:r>
        <w:rPr>
          <w:lang w:val="en-GB"/>
        </w:rPr>
        <w:t>)</w:t>
      </w:r>
      <w:r w:rsidRPr="005D4A78">
        <w:rPr>
          <w:lang w:val="en-GB"/>
        </w:rPr>
        <w:t>.</w:t>
      </w:r>
    </w:p>
    <w:tbl>
      <w:tblPr>
        <w:tblpPr w:leftFromText="180" w:rightFromText="180" w:vertAnchor="text" w:horzAnchor="margin" w:tblpY="109"/>
        <w:tblW w:w="5000" w:type="pct"/>
        <w:tblLook w:val="04A0"/>
      </w:tblPr>
      <w:tblGrid>
        <w:gridCol w:w="8178"/>
        <w:gridCol w:w="825"/>
      </w:tblGrid>
      <w:tr w:rsidR="00361137" w:rsidRPr="00B57B36" w:rsidTr="00361137">
        <w:tc>
          <w:tcPr>
            <w:tcW w:w="7982" w:type="dxa"/>
            <w:shd w:val="clear" w:color="auto" w:fill="auto"/>
            <w:vAlign w:val="center"/>
          </w:tcPr>
          <w:p w:rsidR="00361137" w:rsidRPr="009D439F" w:rsidRDefault="00361137" w:rsidP="00361137">
            <w:pPr>
              <w:pStyle w:val="CETEquation"/>
              <w:rPr>
                <w:lang w:val="en-US"/>
              </w:rPr>
            </w:pPr>
            <m:oMathPara>
              <m:oMath>
                <m:r>
                  <w:rPr>
                    <w:rFonts w:ascii="Cambria Math" w:hAnsi="Cambria Math"/>
                    <w:lang w:val="ig-NG"/>
                  </w:rPr>
                  <m:t>L=</m:t>
                </m:r>
                <m:sSub>
                  <m:sSubPr>
                    <m:ctrlPr>
                      <w:rPr>
                        <w:rFonts w:ascii="Cambria Math" w:hAnsi="Cambria Math"/>
                        <w:i/>
                        <w:lang w:val="ig-NG"/>
                      </w:rPr>
                    </m:ctrlPr>
                  </m:sSubPr>
                  <m:e>
                    <m:r>
                      <w:rPr>
                        <w:rFonts w:ascii="Cambria Math" w:hAnsi="Cambria Math"/>
                        <w:lang w:val="ig-NG"/>
                      </w:rPr>
                      <m:t>L</m:t>
                    </m:r>
                  </m:e>
                  <m:sub>
                    <m:r>
                      <w:rPr>
                        <w:rFonts w:ascii="Cambria Math" w:hAnsi="Cambria Math"/>
                        <w:lang w:val="ig-NG"/>
                      </w:rPr>
                      <m:t>0</m:t>
                    </m:r>
                  </m:sub>
                </m:sSub>
                <m:r>
                  <w:rPr>
                    <w:rFonts w:ascii="Cambria Math" w:hAnsi="Cambria Math"/>
                    <w:lang w:val="ig-NG"/>
                  </w:rPr>
                  <m:t>+</m:t>
                </m:r>
                <m:d>
                  <m:dPr>
                    <m:begChr m:val="{"/>
                    <m:endChr m:val="}"/>
                    <m:ctrlPr>
                      <w:rPr>
                        <w:rFonts w:ascii="Cambria Math" w:hAnsi="Cambria Math"/>
                        <w:i/>
                        <w:lang w:val="ig-NG"/>
                      </w:rPr>
                    </m:ctrlPr>
                  </m:dPr>
                  <m:e>
                    <m:r>
                      <w:rPr>
                        <w:rFonts w:ascii="Cambria Math" w:hAnsi="Cambria Math"/>
                        <w:lang w:val="ig-NG"/>
                      </w:rPr>
                      <m:t>12.5321-4.38199</m:t>
                    </m:r>
                    <m:d>
                      <m:dPr>
                        <m:begChr m:val="["/>
                        <m:endChr m:val="]"/>
                        <m:ctrlPr>
                          <w:rPr>
                            <w:rFonts w:ascii="Cambria Math" w:hAnsi="Cambria Math"/>
                            <w:i/>
                            <w:lang w:val="ig-NG"/>
                          </w:rPr>
                        </m:ctrlPr>
                      </m:dPr>
                      <m:e>
                        <m:r>
                          <w:rPr>
                            <w:rFonts w:ascii="Cambria Math" w:hAnsi="Cambria Math"/>
                            <w:lang w:val="ig-NG"/>
                          </w:rPr>
                          <m:t>0.349080-2.12210</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r>
                          <w:rPr>
                            <w:rFonts w:ascii="Cambria Math" w:hAnsi="Cambria Math"/>
                            <w:lang w:val="ig-NG"/>
                          </w:rPr>
                          <m:t>-2.85042</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+0.166238</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+1.2360</m:t>
                        </m:r>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-6.45838×</m:t>
                        </m:r>
                        <m:sSup>
                          <m:sSupPr>
                            <m:ctrlPr>
                              <w:rPr>
                                <w:rFonts w:ascii="Cambria Math" w:hAnsi="Cambria Math"/>
                                <w:i/>
                                <w:lang w:val="ig-NG"/>
                              </w:rPr>
                            </m:ctrlPr>
                          </m:sSupPr>
                          <m:e>
                            <m:r>
                              <w:rPr>
                                <w:rFonts w:ascii="Cambria Math" w:hAnsi="Cambria Math"/>
                                <w:lang w:val="ig-NG"/>
                              </w:rPr>
                              <m:t>10</m:t>
                            </m:r>
                          </m:e>
                          <m:sup>
                            <m:r>
                              <w:rPr>
                                <w:rFonts w:ascii="Cambria Math" w:hAnsi="Cambria Math"/>
                                <w:lang w:val="ig-NG"/>
                              </w:rPr>
                              <m:t>-5</m:t>
                            </m:r>
                          </m:sup>
                        </m:sSup>
                        <m:r>
                          <w:rPr>
                            <w:rFonts w:ascii="Cambria Math" w:hAnsi="Cambria Math"/>
                            <w:lang w:val="ig-NG"/>
                          </w:rPr>
                          <m:t>t+33.2521</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-2.72190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-10.2033</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+0.00873790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t-0.0106366</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t</m:t>
                        </m:r>
                      </m:e>
                    </m:d>
                    <m:r>
                      <w:rPr>
                        <w:rFonts w:ascii="Cambria Math" w:hAnsi="Cambria Math"/>
                        <w:lang w:val="ig-NG"/>
                      </w:rPr>
                      <m:t>-0.0610348T-0.0172929</m:t>
                    </m:r>
                    <m:sSup>
                      <m:sSupPr>
                        <m:ctrlPr>
                          <w:rPr>
                            <w:rFonts w:ascii="Cambria Math" w:hAnsi="Cambria Math"/>
                            <w:i/>
                            <w:lang w:val="ig-NG"/>
                          </w:rPr>
                        </m:ctrlPr>
                      </m:sSupPr>
                      <m:e>
                        <m:d>
                          <m:dPr>
                            <m:begChr m:val="["/>
                            <m:endChr m:val="]"/>
                            <m:ctrlPr>
                              <w:rPr>
                                <w:rFonts w:ascii="Cambria Math" w:hAnsi="Cambria Math"/>
                                <w:i/>
                                <w:lang w:val="ig-NG"/>
                              </w:rPr>
                            </m:ctrlPr>
                          </m:dPr>
                          <m:e>
                            <m:r>
                              <w:rPr>
                                <w:rFonts w:ascii="Cambria Math" w:hAnsi="Cambria Math"/>
                                <w:lang w:val="ig-NG"/>
                              </w:rPr>
                              <m:t>0.349080-2.12210</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r>
                              <w:rPr>
                                <w:rFonts w:ascii="Cambria Math" w:hAnsi="Cambria Math"/>
                                <w:lang w:val="ig-NG"/>
                              </w:rPr>
                              <m:t>-2.85042</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+0.166238</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+1.2360</m:t>
                            </m:r>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-6.45838×</m:t>
                            </m:r>
                            <m:sSup>
                              <m:sSupPr>
                                <m:ctrlPr>
                                  <w:rPr>
                                    <w:rFonts w:ascii="Cambria Math" w:hAnsi="Cambria Math"/>
                                    <w:i/>
                                    <w:lang w:val="ig-NG"/>
                                  </w:rPr>
                                </m:ctrlPr>
                              </m:sSupPr>
                              <m:e>
                                <m:r>
                                  <w:rPr>
                                    <w:rFonts w:ascii="Cambria Math" w:hAnsi="Cambria Math"/>
                                    <w:lang w:val="ig-NG"/>
                                  </w:rPr>
                                  <m:t>10</m:t>
                                </m:r>
                              </m:e>
                              <m:sup>
                                <m:r>
                                  <w:rPr>
                                    <w:rFonts w:ascii="Cambria Math" w:hAnsi="Cambria Math"/>
                                    <w:lang w:val="ig-NG"/>
                                  </w:rPr>
                                  <m:t>-5</m:t>
                                </m:r>
                              </m:sup>
                            </m:sSup>
                            <m:r>
                              <w:rPr>
                                <w:rFonts w:ascii="Cambria Math" w:hAnsi="Cambria Math"/>
                                <w:lang w:val="ig-NG"/>
                              </w:rPr>
                              <m:t>t+33.2521</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-2.72190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-10.2033</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+0.00873790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t-0.0106366</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t</m:t>
                            </m:r>
                          </m:e>
                        </m:d>
                      </m:e>
                      <m:sup>
                        <m:r>
                          <w:rPr>
                            <w:rFonts w:ascii="Cambria Math" w:hAnsi="Cambria Math"/>
                            <w:lang w:val="ig-NG"/>
                          </w:rPr>
                          <m:t>2</m:t>
                        </m:r>
                      </m:sup>
                    </m:sSup>
                    <m:r>
                      <w:rPr>
                        <w:rFonts w:ascii="Cambria Math" w:hAnsi="Cambria Math"/>
                        <w:lang w:val="ig-NG"/>
                      </w:rPr>
                      <m:t>+6.91967×</m:t>
                    </m:r>
                    <m:sSup>
                      <m:sSupPr>
                        <m:ctrlPr>
                          <w:rPr>
                            <w:rFonts w:ascii="Cambria Math" w:hAnsi="Cambria Math"/>
                            <w:i/>
                            <w:lang w:val="ig-NG"/>
                          </w:rPr>
                        </m:ctrlPr>
                      </m:sSupPr>
                      <m:e>
                        <m:r>
                          <w:rPr>
                            <w:rFonts w:ascii="Cambria Math" w:hAnsi="Cambria Math"/>
                            <w:lang w:val="ig-NG"/>
                          </w:rPr>
                          <m:t>10</m:t>
                        </m:r>
                      </m:e>
                      <m:sup>
                        <m:r>
                          <w:rPr>
                            <w:rFonts w:ascii="Cambria Math" w:hAnsi="Cambria Math"/>
                            <w:lang w:val="ig-NG"/>
                          </w:rPr>
                          <m:t>-5</m:t>
                        </m:r>
                      </m:sup>
                    </m:sSup>
                    <m:sSup>
                      <m:sSupPr>
                        <m:ctrlPr>
                          <w:rPr>
                            <w:rFonts w:ascii="Cambria Math" w:hAnsi="Cambria Math"/>
                            <w:i/>
                            <w:lang w:val="ig-NG"/>
                          </w:rPr>
                        </m:ctrlPr>
                      </m:sSupPr>
                      <m:e>
                        <m:r>
                          <w:rPr>
                            <w:rFonts w:ascii="Cambria Math" w:hAnsi="Cambria Math"/>
                            <w:lang w:val="ig-NG"/>
                          </w:rPr>
                          <m:t>T</m:t>
                        </m:r>
                      </m:e>
                      <m:sup>
                        <m:r>
                          <w:rPr>
                            <w:rFonts w:ascii="Cambria Math" w:hAnsi="Cambria Math"/>
                            <w:lang w:val="ig-NG"/>
                          </w:rPr>
                          <m:t>2</m:t>
                        </m:r>
                      </m:sup>
                    </m:sSup>
                    <m:r>
                      <w:rPr>
                        <w:rFonts w:ascii="Cambria Math" w:hAnsi="Cambria Math"/>
                        <w:lang w:val="ig-NG"/>
                      </w:rPr>
                      <m:t>+0.0135844T</m:t>
                    </m:r>
                    <m:d>
                      <m:dPr>
                        <m:begChr m:val="["/>
                        <m:endChr m:val="]"/>
                        <m:ctrlPr>
                          <w:rPr>
                            <w:rFonts w:ascii="Cambria Math" w:hAnsi="Cambria Math"/>
                            <w:i/>
                            <w:lang w:val="ig-NG"/>
                          </w:rPr>
                        </m:ctrlPr>
                      </m:dPr>
                      <m:e>
                        <m:r>
                          <w:rPr>
                            <w:rFonts w:ascii="Cambria Math" w:hAnsi="Cambria Math"/>
                            <w:lang w:val="ig-NG"/>
                          </w:rPr>
                          <m:t>0.349080-2.12210</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r>
                          <w:rPr>
                            <w:rFonts w:ascii="Cambria Math" w:hAnsi="Cambria Math"/>
                            <w:lang w:val="ig-NG"/>
                          </w:rPr>
                          <m:t>-2.85042</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+0.166238</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+1.2360</m:t>
                        </m:r>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-6.45838×</m:t>
                        </m:r>
                        <m:sSup>
                          <m:sSupPr>
                            <m:ctrlPr>
                              <w:rPr>
                                <w:rFonts w:ascii="Cambria Math" w:hAnsi="Cambria Math"/>
                                <w:i/>
                                <w:lang w:val="ig-NG"/>
                              </w:rPr>
                            </m:ctrlPr>
                          </m:sSupPr>
                          <m:e>
                            <m:r>
                              <w:rPr>
                                <w:rFonts w:ascii="Cambria Math" w:hAnsi="Cambria Math"/>
                                <w:lang w:val="ig-NG"/>
                              </w:rPr>
                              <m:t>10</m:t>
                            </m:r>
                          </m:e>
                          <m:sup>
                            <m:r>
                              <w:rPr>
                                <w:rFonts w:ascii="Cambria Math" w:hAnsi="Cambria Math"/>
                                <w:lang w:val="ig-NG"/>
                              </w:rPr>
                              <m:t>-5</m:t>
                            </m:r>
                          </m:sup>
                        </m:sSup>
                        <m:r>
                          <w:rPr>
                            <w:rFonts w:ascii="Cambria Math" w:hAnsi="Cambria Math"/>
                            <w:lang w:val="ig-NG"/>
                          </w:rPr>
                          <m:t>t+33.2521</m:t>
                        </m:r>
                        <m:sSub>
                          <m:sSubPr>
                            <m:ctrlPr>
                              <w:rPr>
                                <w:rFonts w:ascii="Cambria Math" w:hAnsi="Cambria Math"/>
                                <w:i/>
                                <w:lang w:val="ig-NG"/>
                              </w:rPr>
                            </m:ctrlPr>
                          </m:sSubPr>
                          <m:e>
                            <m:r>
                              <w:rPr>
                                <w:rFonts w:ascii="Cambria Math" w:hAnsi="Cambria Math"/>
                                <w:lang w:val="ig-NG"/>
                              </w:rPr>
                              <m:t>P</m:t>
                            </m:r>
                          </m:e>
                          <m:sub>
                            <m:r>
                              <w:rPr>
                                <w:rFonts w:ascii="Cambria Math" w:hAnsi="Cambria Math"/>
                                <w:lang w:val="ig-NG"/>
                              </w:rPr>
                              <m:t>vac</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-2.72190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-10.2033</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+0.00873790</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t-0.0106366</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t</m:t>
                        </m:r>
                      </m:e>
                    </m:d>
                  </m:e>
                </m:d>
                <m:r>
                  <w:rPr>
                    <w:rFonts w:ascii="Cambria Math" w:hAnsi="Cambria Math"/>
                    <w:lang w:val="ig-NG"/>
                  </w:rPr>
                  <m:t>t</m:t>
                </m:r>
              </m:oMath>
            </m:oMathPara>
          </w:p>
        </w:tc>
        <w:tc>
          <w:tcPr>
            <w:tcW w:w="805" w:type="dxa"/>
            <w:shd w:val="clear" w:color="auto" w:fill="auto"/>
            <w:vAlign w:val="center"/>
          </w:tcPr>
          <w:p w:rsidR="00361137" w:rsidRPr="00B57B36" w:rsidRDefault="00361137" w:rsidP="00361137">
            <w:pPr>
              <w:pStyle w:val="CETEquation"/>
              <w:jc w:val="right"/>
            </w:pPr>
            <w:r>
              <w:t>(6</w:t>
            </w:r>
            <w:r w:rsidRPr="00B57B36">
              <w:t>)</w:t>
            </w:r>
          </w:p>
        </w:tc>
      </w:tr>
    </w:tbl>
    <w:p w:rsidR="00361137" w:rsidRPr="00863222" w:rsidRDefault="00361137" w:rsidP="00361137">
      <w:pPr>
        <w:pStyle w:val="CETBodytext"/>
      </w:pPr>
      <w:r w:rsidRPr="00863222">
        <w:lastRenderedPageBreak/>
        <w:t>The factors that affect sugar crystal size, that can be easily measured online are identified in Eq</w:t>
      </w:r>
      <w:r>
        <w:t>(</w:t>
      </w:r>
      <w:r w:rsidRPr="00863222">
        <w:t>6</w:t>
      </w:r>
      <w:r>
        <w:t>)</w:t>
      </w:r>
      <w:r w:rsidRPr="00863222">
        <w:t>. Using these factors, a two-level factorial experimental design was carried out based on the typical operating range of these factors in a fed-batch evaporative sugar crystallization unit (see Table 2). With the aid of a pareto chart analysis, factors and their interactions with low statistical significance on the response (crystal size) were eliminated to produce a simpler and fi</w:t>
      </w:r>
      <w:r w:rsidR="006C445E">
        <w:t>nal model presented in section 3</w:t>
      </w:r>
      <w:r w:rsidRPr="00863222">
        <w:t>.</w:t>
      </w:r>
    </w:p>
    <w:p w:rsidR="00361137" w:rsidRDefault="00361137" w:rsidP="00361137">
      <w:pPr>
        <w:pStyle w:val="CETTabletitle"/>
      </w:pPr>
      <w:r>
        <w:t>Table 2</w:t>
      </w:r>
      <w:r w:rsidRPr="00B57B36">
        <w:t xml:space="preserve">: </w:t>
      </w:r>
      <w:r w:rsidRPr="00863222">
        <w:t>Upper and lower values of input variables for sugar crystal size model</w:t>
      </w:r>
    </w:p>
    <w:tbl>
      <w:tblPr>
        <w:tblW w:w="6390" w:type="dxa"/>
        <w:tblBorders>
          <w:top w:val="single" w:sz="12" w:space="0" w:color="008000"/>
          <w:bottom w:val="single" w:sz="12" w:space="0" w:color="008000"/>
        </w:tblBorders>
        <w:shd w:val="clear" w:color="auto" w:fill="FFFFFF"/>
        <w:tblCellMar>
          <w:left w:w="0" w:type="dxa"/>
          <w:right w:w="0" w:type="dxa"/>
        </w:tblCellMar>
        <w:tblLook w:val="00A0"/>
      </w:tblPr>
      <w:tblGrid>
        <w:gridCol w:w="450"/>
        <w:gridCol w:w="810"/>
        <w:gridCol w:w="2610"/>
        <w:gridCol w:w="1249"/>
        <w:gridCol w:w="1271"/>
      </w:tblGrid>
      <w:tr w:rsidR="00361137" w:rsidRPr="00B57B36" w:rsidTr="00361137">
        <w:tc>
          <w:tcPr>
            <w:tcW w:w="450" w:type="dxa"/>
            <w:tcBorders>
              <w:top w:val="single" w:sz="12" w:space="0" w:color="008000"/>
              <w:bottom w:val="single" w:sz="6" w:space="0" w:color="008000"/>
            </w:tcBorders>
            <w:shd w:val="clear" w:color="auto" w:fill="FFFFFF"/>
          </w:tcPr>
          <w:p w:rsidR="00361137" w:rsidRDefault="00361137" w:rsidP="00361137">
            <w:pPr>
              <w:pStyle w:val="CETBodytext"/>
            </w:pPr>
            <w:r>
              <w:t>S/N</w:t>
            </w:r>
          </w:p>
        </w:tc>
        <w:tc>
          <w:tcPr>
            <w:tcW w:w="810" w:type="dxa"/>
            <w:tcBorders>
              <w:top w:val="single" w:sz="12" w:space="0" w:color="008000"/>
              <w:bottom w:val="single" w:sz="6" w:space="0" w:color="008000"/>
            </w:tcBorders>
            <w:shd w:val="clear" w:color="auto" w:fill="FFFFFF"/>
          </w:tcPr>
          <w:p w:rsidR="00361137" w:rsidRDefault="00361137" w:rsidP="00361137">
            <w:pPr>
              <w:pStyle w:val="CETBodytext"/>
            </w:pPr>
            <w:r>
              <w:t>Symbol</w:t>
            </w:r>
          </w:p>
        </w:tc>
        <w:tc>
          <w:tcPr>
            <w:tcW w:w="2610" w:type="dxa"/>
            <w:tcBorders>
              <w:top w:val="single" w:sz="12" w:space="0" w:color="008000"/>
              <w:bottom w:val="single" w:sz="6" w:space="0" w:color="008000"/>
            </w:tcBorders>
            <w:shd w:val="clear" w:color="auto" w:fill="FFFFFF"/>
          </w:tcPr>
          <w:p w:rsidR="00361137" w:rsidRDefault="00361137" w:rsidP="00361137">
            <w:pPr>
              <w:pStyle w:val="CETBodytext"/>
            </w:pPr>
            <w:r>
              <w:t>Variables</w:t>
            </w:r>
          </w:p>
        </w:tc>
        <w:tc>
          <w:tcPr>
            <w:tcW w:w="1249" w:type="dxa"/>
            <w:tcBorders>
              <w:top w:val="single" w:sz="12" w:space="0" w:color="008000"/>
              <w:bottom w:val="single" w:sz="6" w:space="0" w:color="008000"/>
            </w:tcBorders>
            <w:shd w:val="clear" w:color="auto" w:fill="FFFFFF"/>
          </w:tcPr>
          <w:p w:rsidR="00361137" w:rsidRDefault="00361137" w:rsidP="00361137">
            <w:pPr>
              <w:pStyle w:val="CETBodytext"/>
            </w:pPr>
            <w:r>
              <w:t>Lower limit</w:t>
            </w:r>
          </w:p>
        </w:tc>
        <w:tc>
          <w:tcPr>
            <w:tcW w:w="1271" w:type="dxa"/>
            <w:tcBorders>
              <w:top w:val="single" w:sz="12" w:space="0" w:color="008000"/>
              <w:bottom w:val="single" w:sz="6" w:space="0" w:color="008000"/>
            </w:tcBorders>
            <w:shd w:val="clear" w:color="auto" w:fill="FFFFFF"/>
          </w:tcPr>
          <w:p w:rsidR="00361137" w:rsidRDefault="00361137" w:rsidP="00361137">
            <w:pPr>
              <w:pStyle w:val="CETBodytext"/>
            </w:pPr>
            <w:r>
              <w:t>Upper limit</w:t>
            </w:r>
          </w:p>
        </w:tc>
      </w:tr>
      <w:tr w:rsidR="00361137" w:rsidRPr="00B57B36" w:rsidTr="00361137">
        <w:tc>
          <w:tcPr>
            <w:tcW w:w="450" w:type="dxa"/>
            <w:shd w:val="clear" w:color="auto" w:fill="FFFFFF"/>
          </w:tcPr>
          <w:p w:rsidR="00361137" w:rsidRDefault="00361137" w:rsidP="00361137">
            <w:pPr>
              <w:pStyle w:val="CETBodytext"/>
            </w:pPr>
            <w:r>
              <w:t>1</w:t>
            </w:r>
          </w:p>
        </w:tc>
        <w:tc>
          <w:tcPr>
            <w:tcW w:w="810" w:type="dxa"/>
            <w:shd w:val="clear" w:color="auto" w:fill="FFFFFF"/>
          </w:tcPr>
          <w:p w:rsidR="00361137" w:rsidRDefault="00361137" w:rsidP="00361137">
            <w:pPr>
              <w:pStyle w:val="CETBodytext"/>
            </w:pPr>
            <w:r>
              <w:t>T</w:t>
            </w:r>
          </w:p>
        </w:tc>
        <w:tc>
          <w:tcPr>
            <w:tcW w:w="2610" w:type="dxa"/>
            <w:shd w:val="clear" w:color="auto" w:fill="FFFFFF"/>
          </w:tcPr>
          <w:p w:rsidR="00361137" w:rsidRDefault="00361137" w:rsidP="00361137">
            <w:pPr>
              <w:pStyle w:val="CETBodytext"/>
            </w:pPr>
            <w:r>
              <w:rPr>
                <w:lang w:eastAsia="en-GB"/>
              </w:rPr>
              <w:t>Temperature (</w:t>
            </w:r>
            <w:r>
              <w:rPr>
                <w:vertAlign w:val="superscript"/>
                <w:lang w:eastAsia="en-GB"/>
              </w:rPr>
              <w:t>o</w:t>
            </w:r>
            <w:r>
              <w:rPr>
                <w:lang w:eastAsia="en-GB"/>
              </w:rPr>
              <w:t>C)</w:t>
            </w:r>
          </w:p>
        </w:tc>
        <w:tc>
          <w:tcPr>
            <w:tcW w:w="1249" w:type="dxa"/>
            <w:shd w:val="clear" w:color="auto" w:fill="FFFFFF"/>
          </w:tcPr>
          <w:p w:rsidR="00361137" w:rsidRDefault="00361137" w:rsidP="00361137">
            <w:pPr>
              <w:pStyle w:val="CETBodytext"/>
            </w:pPr>
            <w:r>
              <w:t>65</w:t>
            </w:r>
          </w:p>
        </w:tc>
        <w:tc>
          <w:tcPr>
            <w:tcW w:w="1271" w:type="dxa"/>
            <w:shd w:val="clear" w:color="auto" w:fill="FFFFFF"/>
          </w:tcPr>
          <w:p w:rsidR="00361137" w:rsidRDefault="00361137" w:rsidP="00361137">
            <w:pPr>
              <w:pStyle w:val="CETBodytext"/>
            </w:pPr>
            <w:r>
              <w:t>75</w:t>
            </w:r>
          </w:p>
        </w:tc>
      </w:tr>
      <w:tr w:rsidR="00361137" w:rsidRPr="00B57B36" w:rsidTr="00361137">
        <w:tc>
          <w:tcPr>
            <w:tcW w:w="450" w:type="dxa"/>
            <w:shd w:val="clear" w:color="auto" w:fill="FFFFFF"/>
          </w:tcPr>
          <w:p w:rsidR="00361137" w:rsidRDefault="00361137" w:rsidP="00361137">
            <w:pPr>
              <w:pStyle w:val="CETBodytext"/>
            </w:pPr>
            <w:r>
              <w:t>2</w:t>
            </w:r>
          </w:p>
        </w:tc>
        <w:tc>
          <w:tcPr>
            <w:tcW w:w="810" w:type="dxa"/>
            <w:shd w:val="clear" w:color="auto" w:fill="FFFFFF"/>
          </w:tcPr>
          <w:p w:rsidR="00361137" w:rsidRDefault="00361137" w:rsidP="00361137">
            <w:pPr>
              <w:pStyle w:val="CETBodytext"/>
            </w:pPr>
            <w:r>
              <w:t>P</w:t>
            </w:r>
            <w:r w:rsidR="002C6BC0" w:rsidRPr="002C6BC0">
              <w:rPr>
                <w:vertAlign w:val="subscript"/>
              </w:rPr>
              <w:t>vac</w:t>
            </w:r>
          </w:p>
        </w:tc>
        <w:tc>
          <w:tcPr>
            <w:tcW w:w="2610" w:type="dxa"/>
            <w:shd w:val="clear" w:color="auto" w:fill="FFFFFF"/>
          </w:tcPr>
          <w:p w:rsidR="00361137" w:rsidRDefault="00A53A3C" w:rsidP="00361137">
            <w:pPr>
              <w:pStyle w:val="CETBodytext"/>
            </w:pPr>
            <w:r>
              <w:rPr>
                <w:lang w:eastAsia="en-GB"/>
              </w:rPr>
              <w:t>Vacuum pressure (b</w:t>
            </w:r>
            <w:r w:rsidR="00361137">
              <w:rPr>
                <w:lang w:eastAsia="en-GB"/>
              </w:rPr>
              <w:t>ar)</w:t>
            </w:r>
          </w:p>
        </w:tc>
        <w:tc>
          <w:tcPr>
            <w:tcW w:w="1249" w:type="dxa"/>
            <w:shd w:val="clear" w:color="auto" w:fill="FFFFFF"/>
          </w:tcPr>
          <w:p w:rsidR="00361137" w:rsidRDefault="00361137" w:rsidP="00361137">
            <w:pPr>
              <w:pStyle w:val="CETBodytext"/>
            </w:pPr>
            <w:r>
              <w:t>0.2</w:t>
            </w:r>
          </w:p>
        </w:tc>
        <w:tc>
          <w:tcPr>
            <w:tcW w:w="1271" w:type="dxa"/>
            <w:shd w:val="clear" w:color="auto" w:fill="FFFFFF"/>
          </w:tcPr>
          <w:p w:rsidR="00361137" w:rsidRDefault="00361137" w:rsidP="00361137">
            <w:pPr>
              <w:pStyle w:val="CETBodytext"/>
            </w:pPr>
            <w:r>
              <w:t>0.3</w:t>
            </w:r>
          </w:p>
        </w:tc>
      </w:tr>
      <w:tr w:rsidR="00361137" w:rsidRPr="00B57B36" w:rsidTr="00361137">
        <w:tc>
          <w:tcPr>
            <w:tcW w:w="450" w:type="dxa"/>
            <w:shd w:val="clear" w:color="auto" w:fill="FFFFFF"/>
          </w:tcPr>
          <w:p w:rsidR="00361137" w:rsidRDefault="00361137" w:rsidP="00361137">
            <w:pPr>
              <w:pStyle w:val="CETBodytext"/>
            </w:pPr>
            <w:r>
              <w:t>3</w:t>
            </w:r>
          </w:p>
        </w:tc>
        <w:tc>
          <w:tcPr>
            <w:tcW w:w="810" w:type="dxa"/>
            <w:shd w:val="clear" w:color="auto" w:fill="FFFFFF"/>
          </w:tcPr>
          <w:p w:rsidR="00361137" w:rsidRDefault="00361137" w:rsidP="00361137">
            <w:pPr>
              <w:pStyle w:val="CETBodytext"/>
            </w:pPr>
            <w:r>
              <w:t>F</w:t>
            </w:r>
            <w:r w:rsidR="00C87172">
              <w:rPr>
                <w:vertAlign w:val="subscript"/>
              </w:rPr>
              <w:t>f</w:t>
            </w:r>
          </w:p>
        </w:tc>
        <w:tc>
          <w:tcPr>
            <w:tcW w:w="2610" w:type="dxa"/>
            <w:shd w:val="clear" w:color="auto" w:fill="FFFFFF"/>
          </w:tcPr>
          <w:p w:rsidR="00361137" w:rsidRDefault="00361137" w:rsidP="00361137">
            <w:pPr>
              <w:pStyle w:val="CETBodytext"/>
            </w:pPr>
            <w:r>
              <w:t>Feed flowrate (m</w:t>
            </w:r>
            <w:r>
              <w:rPr>
                <w:vertAlign w:val="superscript"/>
              </w:rPr>
              <w:t>3</w:t>
            </w:r>
            <w:r>
              <w:t>/s)</w:t>
            </w:r>
          </w:p>
        </w:tc>
        <w:tc>
          <w:tcPr>
            <w:tcW w:w="1249" w:type="dxa"/>
            <w:shd w:val="clear" w:color="auto" w:fill="FFFFFF"/>
          </w:tcPr>
          <w:p w:rsidR="00361137" w:rsidRDefault="00361137" w:rsidP="00361137">
            <w:pPr>
              <w:pStyle w:val="CETBodytext"/>
            </w:pPr>
            <w:r>
              <w:t>0</w:t>
            </w:r>
          </w:p>
        </w:tc>
        <w:tc>
          <w:tcPr>
            <w:tcW w:w="1271" w:type="dxa"/>
            <w:shd w:val="clear" w:color="auto" w:fill="FFFFFF"/>
          </w:tcPr>
          <w:p w:rsidR="00361137" w:rsidRDefault="00361137" w:rsidP="00361137">
            <w:pPr>
              <w:pStyle w:val="CETBodytext"/>
            </w:pPr>
            <w:r>
              <w:t>0.0275</w:t>
            </w:r>
          </w:p>
        </w:tc>
      </w:tr>
      <w:tr w:rsidR="00361137" w:rsidRPr="00B57B36" w:rsidTr="00361137">
        <w:tc>
          <w:tcPr>
            <w:tcW w:w="450" w:type="dxa"/>
            <w:shd w:val="clear" w:color="auto" w:fill="FFFFFF"/>
          </w:tcPr>
          <w:p w:rsidR="00361137" w:rsidRDefault="00361137" w:rsidP="00361137">
            <w:pPr>
              <w:pStyle w:val="CETBodytext"/>
            </w:pPr>
            <w:r>
              <w:t>4</w:t>
            </w:r>
          </w:p>
        </w:tc>
        <w:tc>
          <w:tcPr>
            <w:tcW w:w="810" w:type="dxa"/>
            <w:shd w:val="clear" w:color="auto" w:fill="FFFFFF"/>
          </w:tcPr>
          <w:p w:rsidR="00361137" w:rsidRDefault="00361137" w:rsidP="00361137">
            <w:pPr>
              <w:pStyle w:val="CETBodytext"/>
            </w:pPr>
            <w:r>
              <w:t>F</w:t>
            </w:r>
            <w:r>
              <w:rPr>
                <w:vertAlign w:val="subscript"/>
              </w:rPr>
              <w:t>s</w:t>
            </w:r>
          </w:p>
        </w:tc>
        <w:tc>
          <w:tcPr>
            <w:tcW w:w="2610" w:type="dxa"/>
            <w:shd w:val="clear" w:color="auto" w:fill="FFFFFF"/>
          </w:tcPr>
          <w:p w:rsidR="00361137" w:rsidRDefault="00A53A3C" w:rsidP="00361137">
            <w:pPr>
              <w:pStyle w:val="CETBodytext"/>
            </w:pPr>
            <w:r>
              <w:t>Steam flowrate (k</w:t>
            </w:r>
            <w:r w:rsidR="00361137">
              <w:t>g/s)</w:t>
            </w:r>
          </w:p>
        </w:tc>
        <w:tc>
          <w:tcPr>
            <w:tcW w:w="1249" w:type="dxa"/>
            <w:shd w:val="clear" w:color="auto" w:fill="FFFFFF"/>
          </w:tcPr>
          <w:p w:rsidR="00361137" w:rsidRDefault="00361137" w:rsidP="00361137">
            <w:pPr>
              <w:pStyle w:val="CETBodytext"/>
            </w:pPr>
            <w:r>
              <w:t>1.4</w:t>
            </w:r>
          </w:p>
        </w:tc>
        <w:tc>
          <w:tcPr>
            <w:tcW w:w="1271" w:type="dxa"/>
            <w:shd w:val="clear" w:color="auto" w:fill="FFFFFF"/>
          </w:tcPr>
          <w:p w:rsidR="00361137" w:rsidRDefault="00361137" w:rsidP="00361137">
            <w:pPr>
              <w:pStyle w:val="CETBodytext"/>
            </w:pPr>
            <w:r>
              <w:t>2.75</w:t>
            </w:r>
          </w:p>
        </w:tc>
      </w:tr>
      <w:tr w:rsidR="00361137" w:rsidRPr="00B57B36" w:rsidTr="00361137">
        <w:tc>
          <w:tcPr>
            <w:tcW w:w="450" w:type="dxa"/>
            <w:shd w:val="clear" w:color="auto" w:fill="FFFFFF"/>
          </w:tcPr>
          <w:p w:rsidR="00361137" w:rsidRDefault="00361137" w:rsidP="00361137">
            <w:pPr>
              <w:pStyle w:val="CETBodytext"/>
            </w:pPr>
            <w:r>
              <w:t>5</w:t>
            </w:r>
          </w:p>
        </w:tc>
        <w:tc>
          <w:tcPr>
            <w:tcW w:w="810" w:type="dxa"/>
            <w:shd w:val="clear" w:color="auto" w:fill="FFFFFF"/>
          </w:tcPr>
          <w:p w:rsidR="00361137" w:rsidRDefault="00361137" w:rsidP="00361137">
            <w:pPr>
              <w:pStyle w:val="CETBodytext"/>
            </w:pPr>
            <w:r>
              <w:t>S</w:t>
            </w:r>
            <w:r>
              <w:rPr>
                <w:vertAlign w:val="subscript"/>
              </w:rPr>
              <w:t>0</w:t>
            </w:r>
          </w:p>
        </w:tc>
        <w:tc>
          <w:tcPr>
            <w:tcW w:w="2610" w:type="dxa"/>
            <w:shd w:val="clear" w:color="auto" w:fill="FFFFFF"/>
          </w:tcPr>
          <w:p w:rsidR="00361137" w:rsidRDefault="00361137" w:rsidP="00361137">
            <w:pPr>
              <w:pStyle w:val="CETBodytext"/>
            </w:pPr>
            <w:r>
              <w:t>Initial super-saturation ()</w:t>
            </w:r>
          </w:p>
        </w:tc>
        <w:tc>
          <w:tcPr>
            <w:tcW w:w="1249" w:type="dxa"/>
            <w:shd w:val="clear" w:color="auto" w:fill="FFFFFF"/>
          </w:tcPr>
          <w:p w:rsidR="00361137" w:rsidRDefault="00361137" w:rsidP="00361137">
            <w:pPr>
              <w:pStyle w:val="CETBodytext"/>
            </w:pPr>
            <w:r>
              <w:t>1.15</w:t>
            </w:r>
          </w:p>
        </w:tc>
        <w:tc>
          <w:tcPr>
            <w:tcW w:w="1271" w:type="dxa"/>
            <w:shd w:val="clear" w:color="auto" w:fill="FFFFFF"/>
          </w:tcPr>
          <w:p w:rsidR="00361137" w:rsidRDefault="00361137" w:rsidP="00361137">
            <w:pPr>
              <w:pStyle w:val="CETBodytext"/>
            </w:pPr>
            <w:r>
              <w:t>1.25</w:t>
            </w:r>
          </w:p>
        </w:tc>
      </w:tr>
      <w:tr w:rsidR="00361137" w:rsidRPr="00B57B36" w:rsidTr="00361137">
        <w:tc>
          <w:tcPr>
            <w:tcW w:w="450" w:type="dxa"/>
            <w:shd w:val="clear" w:color="auto" w:fill="FFFFFF"/>
          </w:tcPr>
          <w:p w:rsidR="00361137" w:rsidRDefault="00361137" w:rsidP="00361137">
            <w:pPr>
              <w:pStyle w:val="CETBodytext"/>
            </w:pPr>
            <w:r>
              <w:t>6</w:t>
            </w:r>
          </w:p>
        </w:tc>
        <w:tc>
          <w:tcPr>
            <w:tcW w:w="810" w:type="dxa"/>
            <w:shd w:val="clear" w:color="auto" w:fill="FFFFFF"/>
          </w:tcPr>
          <w:p w:rsidR="00361137" w:rsidRDefault="00A53A3C" w:rsidP="00361137">
            <w:pPr>
              <w:pStyle w:val="CETBodytext"/>
            </w:pPr>
            <w:r>
              <w:t>t</w:t>
            </w:r>
          </w:p>
        </w:tc>
        <w:tc>
          <w:tcPr>
            <w:tcW w:w="2610" w:type="dxa"/>
            <w:shd w:val="clear" w:color="auto" w:fill="FFFFFF"/>
          </w:tcPr>
          <w:p w:rsidR="00361137" w:rsidRDefault="00A53A3C" w:rsidP="00361137">
            <w:pPr>
              <w:pStyle w:val="CETBodytext"/>
            </w:pPr>
            <w:r>
              <w:t>Crystallisation time (s</w:t>
            </w:r>
            <w:r w:rsidR="00361137">
              <w:t>)</w:t>
            </w:r>
          </w:p>
        </w:tc>
        <w:tc>
          <w:tcPr>
            <w:tcW w:w="1249" w:type="dxa"/>
            <w:shd w:val="clear" w:color="auto" w:fill="FFFFFF"/>
          </w:tcPr>
          <w:p w:rsidR="00361137" w:rsidRDefault="00361137" w:rsidP="00361137">
            <w:pPr>
              <w:pStyle w:val="CETBodytext"/>
            </w:pPr>
            <w:r>
              <w:t>1200</w:t>
            </w:r>
          </w:p>
        </w:tc>
        <w:tc>
          <w:tcPr>
            <w:tcW w:w="1271" w:type="dxa"/>
            <w:shd w:val="clear" w:color="auto" w:fill="FFFFFF"/>
          </w:tcPr>
          <w:p w:rsidR="00361137" w:rsidRDefault="00361137" w:rsidP="00361137">
            <w:pPr>
              <w:pStyle w:val="CETBodytext"/>
            </w:pPr>
            <w:r>
              <w:t>5400</w:t>
            </w:r>
          </w:p>
        </w:tc>
      </w:tr>
      <w:tr w:rsidR="00361137" w:rsidRPr="00B57B36" w:rsidTr="00361137">
        <w:tc>
          <w:tcPr>
            <w:tcW w:w="450" w:type="dxa"/>
            <w:shd w:val="clear" w:color="auto" w:fill="FFFFFF"/>
          </w:tcPr>
          <w:p w:rsidR="00361137" w:rsidRDefault="00361137" w:rsidP="00361137">
            <w:pPr>
              <w:pStyle w:val="CETBodytext"/>
            </w:pPr>
            <w:r>
              <w:t>7</w:t>
            </w:r>
          </w:p>
        </w:tc>
        <w:tc>
          <w:tcPr>
            <w:tcW w:w="810" w:type="dxa"/>
            <w:shd w:val="clear" w:color="auto" w:fill="FFFFFF"/>
          </w:tcPr>
          <w:p w:rsidR="00361137" w:rsidRDefault="00361137" w:rsidP="00361137">
            <w:pPr>
              <w:pStyle w:val="CETBodytext"/>
            </w:pPr>
            <w:r>
              <w:t>L</w:t>
            </w:r>
            <w:r>
              <w:rPr>
                <w:vertAlign w:val="subscript"/>
              </w:rPr>
              <w:t>0</w:t>
            </w:r>
          </w:p>
        </w:tc>
        <w:tc>
          <w:tcPr>
            <w:tcW w:w="2610" w:type="dxa"/>
            <w:shd w:val="clear" w:color="auto" w:fill="FFFFFF"/>
          </w:tcPr>
          <w:p w:rsidR="00361137" w:rsidRDefault="00361137" w:rsidP="00361137">
            <w:pPr>
              <w:pStyle w:val="CETBodytext"/>
            </w:pPr>
            <w:r>
              <w:t>Initial crystal size (microns)</w:t>
            </w:r>
          </w:p>
        </w:tc>
        <w:tc>
          <w:tcPr>
            <w:tcW w:w="1249" w:type="dxa"/>
            <w:shd w:val="clear" w:color="auto" w:fill="FFFFFF"/>
          </w:tcPr>
          <w:p w:rsidR="00361137" w:rsidRDefault="00361137" w:rsidP="00361137">
            <w:pPr>
              <w:pStyle w:val="CETBodytext"/>
            </w:pPr>
            <w:r>
              <w:t>10</w:t>
            </w:r>
          </w:p>
        </w:tc>
        <w:tc>
          <w:tcPr>
            <w:tcW w:w="1271" w:type="dxa"/>
            <w:shd w:val="clear" w:color="auto" w:fill="FFFFFF"/>
          </w:tcPr>
          <w:p w:rsidR="00361137" w:rsidRDefault="00361137" w:rsidP="00361137">
            <w:pPr>
              <w:pStyle w:val="CETBodytext"/>
            </w:pPr>
            <w:r>
              <w:t>12</w:t>
            </w:r>
          </w:p>
        </w:tc>
      </w:tr>
    </w:tbl>
    <w:p w:rsidR="00361137" w:rsidRDefault="00361137" w:rsidP="00361137">
      <w:pPr>
        <w:pStyle w:val="CETBodytext"/>
      </w:pPr>
    </w:p>
    <w:p w:rsidR="00361137" w:rsidRDefault="00361137" w:rsidP="00361137">
      <w:pPr>
        <w:pStyle w:val="CETHeading1"/>
      </w:pPr>
      <w:r w:rsidRPr="009322CC">
        <w:t>Results and discussion</w:t>
      </w:r>
    </w:p>
    <w:p w:rsidR="00361137" w:rsidRDefault="00361137" w:rsidP="00361137">
      <w:pPr>
        <w:pStyle w:val="CETheadingx"/>
      </w:pPr>
      <w:r w:rsidRPr="009322CC">
        <w:t>Regression model for sugar crystal growth rate</w:t>
      </w:r>
    </w:p>
    <w:p w:rsidR="00361137" w:rsidRPr="009322CC" w:rsidRDefault="00361137" w:rsidP="00361137">
      <w:pPr>
        <w:pStyle w:val="CETBodytext"/>
      </w:pPr>
      <w:r w:rsidRPr="009322CC">
        <w:t>Response surface central composite method on Minitab 14 statistical software was used to fit the DOE data reported in Table 1.  The resulting sugar crystal growth rate model is given in Eq</w:t>
      </w:r>
      <w:r>
        <w:t>(</w:t>
      </w:r>
      <w:r w:rsidRPr="009322CC">
        <w:t>7</w:t>
      </w:r>
      <w:r>
        <w:t>)</w:t>
      </w:r>
      <w:r w:rsidRPr="009322CC">
        <w:t>.</w:t>
      </w:r>
    </w:p>
    <w:p w:rsidR="00361137" w:rsidRDefault="00361137" w:rsidP="00361137">
      <w:pPr>
        <w:pStyle w:val="CETBodytext"/>
      </w:pPr>
    </w:p>
    <w:tbl>
      <w:tblPr>
        <w:tblW w:w="5000" w:type="pct"/>
        <w:tblLook w:val="04A0"/>
      </w:tblPr>
      <w:tblGrid>
        <w:gridCol w:w="8180"/>
        <w:gridCol w:w="823"/>
      </w:tblGrid>
      <w:tr w:rsidR="00361137" w:rsidRPr="00B57B36" w:rsidTr="00361137">
        <w:tc>
          <w:tcPr>
            <w:tcW w:w="7984" w:type="dxa"/>
            <w:shd w:val="clear" w:color="auto" w:fill="auto"/>
            <w:vAlign w:val="center"/>
          </w:tcPr>
          <w:p w:rsidR="00361137" w:rsidRPr="00B57B36" w:rsidRDefault="00361137" w:rsidP="00361137">
            <w:pPr>
              <w:pStyle w:val="CETEquation"/>
            </w:pPr>
            <m:oMathPara>
              <m:oMath>
                <m:r>
                  <w:rPr>
                    <w:rFonts w:ascii="Cambria Math" w:hAnsi="Cambria Math"/>
                    <w:lang w:val="ig-NG"/>
                  </w:rPr>
                  <m:t>G=12.5321-4.38199S-0.0610348T-0.0172929</m:t>
                </m:r>
                <m:sSup>
                  <m:sSupPr>
                    <m:ctrlPr>
                      <w:rPr>
                        <w:rFonts w:ascii="Cambria Math" w:hAnsi="Cambria Math"/>
                        <w:i/>
                        <w:lang w:val="ig-NG"/>
                      </w:rPr>
                    </m:ctrlPr>
                  </m:sSupPr>
                  <m:e>
                    <m:r>
                      <w:rPr>
                        <w:rFonts w:ascii="Cambria Math" w:hAnsi="Cambria Math"/>
                        <w:lang w:val="ig-NG"/>
                      </w:rPr>
                      <m:t>S</m:t>
                    </m:r>
                  </m:e>
                  <m:sup>
                    <m:r>
                      <w:rPr>
                        <w:rFonts w:ascii="Cambria Math" w:hAnsi="Cambria Math"/>
                        <w:lang w:val="ig-NG"/>
                      </w:rPr>
                      <m:t>2</m:t>
                    </m:r>
                  </m:sup>
                </m:sSup>
                <m:r>
                  <w:rPr>
                    <w:rFonts w:ascii="Cambria Math" w:hAnsi="Cambria Math"/>
                    <w:lang w:val="ig-NG"/>
                  </w:rPr>
                  <m:t>+6.91967×</m:t>
                </m:r>
                <m:sSup>
                  <m:sSupPr>
                    <m:ctrlPr>
                      <w:rPr>
                        <w:rFonts w:ascii="Cambria Math" w:hAnsi="Cambria Math"/>
                        <w:i/>
                        <w:lang w:val="ig-NG"/>
                      </w:rPr>
                    </m:ctrlPr>
                  </m:sSupPr>
                  <m:e>
                    <m:r>
                      <w:rPr>
                        <w:rFonts w:ascii="Cambria Math" w:hAnsi="Cambria Math"/>
                        <w:lang w:val="ig-NG"/>
                      </w:rPr>
                      <m:t>10</m:t>
                    </m:r>
                  </m:e>
                  <m:sup>
                    <m:r>
                      <w:rPr>
                        <w:rFonts w:ascii="Cambria Math" w:hAnsi="Cambria Math"/>
                        <w:lang w:val="ig-NG"/>
                      </w:rPr>
                      <m:t>-5</m:t>
                    </m:r>
                  </m:sup>
                </m:sSup>
                <m:sSup>
                  <m:sSupPr>
                    <m:ctrlPr>
                      <w:rPr>
                        <w:rFonts w:ascii="Cambria Math" w:hAnsi="Cambria Math"/>
                        <w:i/>
                        <w:lang w:val="ig-NG"/>
                      </w:rPr>
                    </m:ctrlPr>
                  </m:sSupPr>
                  <m:e>
                    <m:r>
                      <w:rPr>
                        <w:rFonts w:ascii="Cambria Math" w:hAnsi="Cambria Math"/>
                        <w:lang w:val="ig-NG"/>
                      </w:rPr>
                      <m:t>T</m:t>
                    </m:r>
                  </m:e>
                  <m:sup>
                    <m:r>
                      <w:rPr>
                        <w:rFonts w:ascii="Cambria Math" w:hAnsi="Cambria Math"/>
                        <w:lang w:val="ig-NG"/>
                      </w:rPr>
                      <m:t>2</m:t>
                    </m:r>
                  </m:sup>
                </m:sSup>
                <m:r>
                  <w:rPr>
                    <w:rFonts w:ascii="Cambria Math" w:hAnsi="Cambria Math"/>
                    <w:lang w:val="ig-NG"/>
                  </w:rPr>
                  <m:t>+0.0135844TS</m:t>
                </m:r>
              </m:oMath>
            </m:oMathPara>
          </w:p>
        </w:tc>
        <w:tc>
          <w:tcPr>
            <w:tcW w:w="803" w:type="dxa"/>
            <w:shd w:val="clear" w:color="auto" w:fill="auto"/>
            <w:vAlign w:val="center"/>
          </w:tcPr>
          <w:p w:rsidR="00361137" w:rsidRPr="00B57B36" w:rsidRDefault="00361137" w:rsidP="00361137">
            <w:pPr>
              <w:pStyle w:val="CETEquation"/>
              <w:jc w:val="right"/>
            </w:pPr>
            <w:r>
              <w:t>(7</w:t>
            </w:r>
            <w:r w:rsidRPr="00B57B36">
              <w:t>)</w:t>
            </w:r>
          </w:p>
        </w:tc>
      </w:tr>
    </w:tbl>
    <w:p w:rsidR="00361137" w:rsidRPr="00A47F30" w:rsidRDefault="00361137" w:rsidP="00361137">
      <w:pPr>
        <w:pStyle w:val="CETBodytext"/>
      </w:pPr>
      <w:r w:rsidRPr="00A47F30">
        <w:t>The performance of the developed regression model (Eq</w:t>
      </w:r>
      <w:r>
        <w:t>(</w:t>
      </w:r>
      <w:r w:rsidRPr="00A47F30">
        <w:t>7)</w:t>
      </w:r>
      <w:r>
        <w:t>)</w:t>
      </w:r>
      <w:r w:rsidRPr="00A47F30">
        <w:t xml:space="preserve"> was compared with the crystal growth ra</w:t>
      </w:r>
      <w:r w:rsidR="006C445E">
        <w:t>te data obtained from the</w:t>
      </w:r>
      <w:r w:rsidRPr="00A47F30">
        <w:t xml:space="preserve"> growth rate model developed by Georgieva et al (2003) (i.e. Eq</w:t>
      </w:r>
      <w:r>
        <w:t>(</w:t>
      </w:r>
      <w:r w:rsidRPr="00A47F30">
        <w:t>3)</w:t>
      </w:r>
      <w:r>
        <w:t>)</w:t>
      </w:r>
      <w:r w:rsidRPr="00A47F30">
        <w:t xml:space="preserve">  under the same input conditions. The result</w:t>
      </w:r>
      <w:r w:rsidR="006C445E">
        <w:t>s show that the model reasonably</w:t>
      </w:r>
      <w:r w:rsidRPr="00A47F30">
        <w:t xml:space="preserve"> fits the data with high R</w:t>
      </w:r>
      <w:r w:rsidRPr="00A47F30">
        <w:rPr>
          <w:vertAlign w:val="superscript"/>
        </w:rPr>
        <w:t xml:space="preserve">2 </w:t>
      </w:r>
      <w:r w:rsidRPr="00A47F30">
        <w:t>of 0.86. The experimental matrix for the prediction of sugar crystal growth rate consists of 31 runs in which the average and maximum relative errors in the predictions are 9.23% and 23.3%, respectively. The maximum relative error of 23.3% is as a result of non-inclusion of P</w:t>
      </w:r>
      <w:r w:rsidRPr="00AE4B51">
        <w:rPr>
          <w:vertAlign w:val="subscript"/>
        </w:rPr>
        <w:t>sol</w:t>
      </w:r>
      <w:r w:rsidRPr="00A47F30">
        <w:t xml:space="preserve"> and V</w:t>
      </w:r>
      <w:r w:rsidRPr="00AE4B51">
        <w:rPr>
          <w:vertAlign w:val="subscript"/>
        </w:rPr>
        <w:t>c</w:t>
      </w:r>
      <w:r w:rsidRPr="00A47F30">
        <w:t xml:space="preserve"> in Eq</w:t>
      </w:r>
      <w:r>
        <w:t>(</w:t>
      </w:r>
      <w:r w:rsidRPr="00A47F30">
        <w:t>7</w:t>
      </w:r>
      <w:r>
        <w:t>)</w:t>
      </w:r>
      <w:r w:rsidRPr="00A47F30">
        <w:t xml:space="preserve"> because they are not easily measured online. Hence, as crystallization proceeds, V</w:t>
      </w:r>
      <w:r w:rsidRPr="00AE4B51">
        <w:rPr>
          <w:vertAlign w:val="subscript"/>
        </w:rPr>
        <w:t>c</w:t>
      </w:r>
      <w:r w:rsidRPr="00A47F30">
        <w:t xml:space="preserve"> increases while P</w:t>
      </w:r>
      <w:r w:rsidRPr="00AE4B51">
        <w:rPr>
          <w:vertAlign w:val="subscript"/>
        </w:rPr>
        <w:t>sol</w:t>
      </w:r>
      <w:r w:rsidRPr="00A47F30">
        <w:t xml:space="preserve"> decreases. Thus, towards the end of the crystallization batch, the predictions from Eq</w:t>
      </w:r>
      <w:r>
        <w:t>(</w:t>
      </w:r>
      <w:r w:rsidRPr="00A47F30">
        <w:t>7</w:t>
      </w:r>
      <w:r>
        <w:t>)</w:t>
      </w:r>
      <w:r w:rsidRPr="00A47F30">
        <w:t xml:space="preserve"> will gradually deviate from the predictions from the model of Georgieva et al (2003) (Eq</w:t>
      </w:r>
      <w:r>
        <w:t>(</w:t>
      </w:r>
      <w:r w:rsidRPr="00A47F30">
        <w:t>3)</w:t>
      </w:r>
      <w:r>
        <w:t>)</w:t>
      </w:r>
      <w:r w:rsidRPr="00A47F30">
        <w:t>. However, the advantage of Eq</w:t>
      </w:r>
      <w:r>
        <w:t>(</w:t>
      </w:r>
      <w:r w:rsidRPr="00A47F30">
        <w:t>7</w:t>
      </w:r>
      <w:r>
        <w:t>)</w:t>
      </w:r>
      <w:r w:rsidRPr="00A47F30">
        <w:t xml:space="preserve"> is that it can be used for online prediction of sugar crystal growth rate as opposed to the existing models.</w:t>
      </w:r>
    </w:p>
    <w:p w:rsidR="00361137" w:rsidRDefault="00361137" w:rsidP="00361137">
      <w:pPr>
        <w:pStyle w:val="CETheadingx"/>
      </w:pPr>
      <w:r w:rsidRPr="00A47F30">
        <w:t>Regression model for sugar crystal size</w:t>
      </w:r>
    </w:p>
    <w:p w:rsidR="00361137" w:rsidRDefault="00361137" w:rsidP="00361137">
      <w:pPr>
        <w:pStyle w:val="CETBodytext"/>
      </w:pPr>
      <w:r w:rsidRPr="00A47F30">
        <w:rPr>
          <w:lang w:val="en-GB"/>
        </w:rPr>
        <w:t>The final reduced model developed in this paper for the prediction of sugar crystal size is given in Eq</w:t>
      </w:r>
      <w:r>
        <w:rPr>
          <w:lang w:val="en-GB"/>
        </w:rPr>
        <w:t>(</w:t>
      </w:r>
      <w:r w:rsidRPr="00A47F30">
        <w:rPr>
          <w:lang w:val="en-GB"/>
        </w:rPr>
        <w:t>8</w:t>
      </w:r>
      <w:r>
        <w:rPr>
          <w:lang w:val="en-GB"/>
        </w:rPr>
        <w:t>)</w:t>
      </w:r>
      <w:r w:rsidRPr="00A47F30">
        <w:rPr>
          <w:lang w:val="en-GB"/>
        </w:rPr>
        <w:t>. The Pareto chart (fig</w:t>
      </w:r>
      <w:r>
        <w:rPr>
          <w:lang w:val="en-GB"/>
        </w:rPr>
        <w:t>ure</w:t>
      </w:r>
      <w:r w:rsidRPr="00A47F30">
        <w:rPr>
          <w:lang w:val="en-GB"/>
        </w:rPr>
        <w:t xml:space="preserve"> 1) shows each of the estimated effects and the interaction of each effect. The interaction effects that had no statistical significance as shown in the Pareto chart (that is, those that are below the line running across the bars in the Pareto </w:t>
      </w:r>
      <w:r>
        <w:rPr>
          <w:lang w:val="en-GB"/>
        </w:rPr>
        <w:t>chart) are not included in Eq(</w:t>
      </w:r>
      <w:r w:rsidRPr="00A47F30">
        <w:rPr>
          <w:lang w:val="en-GB"/>
        </w:rPr>
        <w:t>8</w:t>
      </w:r>
      <w:r>
        <w:rPr>
          <w:lang w:val="en-GB"/>
        </w:rPr>
        <w:t>)</w:t>
      </w:r>
      <w:r w:rsidRPr="00A47F30">
        <w:rPr>
          <w:lang w:val="en-GB"/>
        </w:rPr>
        <w:t>.</w:t>
      </w:r>
    </w:p>
    <w:p w:rsidR="00361137" w:rsidRDefault="00361137" w:rsidP="00361137">
      <w:pPr>
        <w:pStyle w:val="CETBodytext"/>
      </w:pPr>
    </w:p>
    <w:tbl>
      <w:tblPr>
        <w:tblW w:w="5000" w:type="pct"/>
        <w:tblLook w:val="04A0"/>
      </w:tblPr>
      <w:tblGrid>
        <w:gridCol w:w="8188"/>
        <w:gridCol w:w="815"/>
      </w:tblGrid>
      <w:tr w:rsidR="00361137" w:rsidRPr="007A3402" w:rsidTr="00361137">
        <w:tc>
          <w:tcPr>
            <w:tcW w:w="8188" w:type="dxa"/>
            <w:shd w:val="clear" w:color="auto" w:fill="auto"/>
            <w:vAlign w:val="center"/>
          </w:tcPr>
          <w:p w:rsidR="00361137" w:rsidRPr="007C7B95" w:rsidRDefault="00361137" w:rsidP="00361137">
            <w:pPr>
              <w:pStyle w:val="CETBodytext"/>
            </w:pPr>
            <m:oMathPara>
              <m:oMath>
                <m:r>
                  <w:rPr>
                    <w:rFonts w:ascii="Cambria Math" w:hAnsi="Cambria Math"/>
                    <w:lang w:val="ig-NG"/>
                  </w:rPr>
                  <m:t>L=242.688+0.087247T+77.4442P-6791.58</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-6.93352</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-222.285</m:t>
                </m:r>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-0.109252t-6.20908×</m:t>
                </m:r>
                <m:sSup>
                  <m:sSupPr>
                    <m:ctrlPr>
                      <w:rPr>
                        <w:rFonts w:ascii="Cambria Math" w:hAnsi="Cambria Math"/>
                        <w:i/>
                        <w:lang w:val="ig-NG"/>
                      </w:rPr>
                    </m:ctrlPr>
                  </m:sSupPr>
                  <m:e>
                    <m:r>
                      <w:rPr>
                        <w:rFonts w:ascii="Cambria Math" w:hAnsi="Cambria Math"/>
                        <w:lang w:val="ig-NG"/>
                      </w:rPr>
                      <m:t>10</m:t>
                    </m:r>
                  </m:e>
                  <m:sup>
                    <m:r>
                      <w:rPr>
                        <w:rFonts w:ascii="Cambria Math" w:hAnsi="Cambria Math"/>
                        <w:lang w:val="ig-NG"/>
                      </w:rPr>
                      <m:t>-5</m:t>
                    </m:r>
                  </m:sup>
                </m:sSup>
                <m:r>
                  <w:rPr>
                    <w:rFonts w:ascii="Cambria Math" w:hAnsi="Cambria Math"/>
                    <w:lang w:val="ig-NG"/>
                  </w:rPr>
                  <m:t>Tt-4865.77P</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+0.0873013Pt+466.376</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+4653.64</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-0.732568</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r>
                  <w:rPr>
                    <w:rFonts w:ascii="Cambria Math" w:hAnsi="Cambria Math"/>
                    <w:lang w:val="ig-NG"/>
                  </w:rPr>
                  <m:t>t-0.00714577</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s</m:t>
                    </m:r>
                  </m:sub>
                </m:sSub>
                <m:r>
                  <w:rPr>
                    <w:rFonts w:ascii="Cambria Math" w:hAnsi="Cambria Math"/>
                    <w:lang w:val="ig-NG"/>
                  </w:rPr>
                  <m:t>t+2.45876</m:t>
                </m:r>
                <m:sSub>
                  <m:sSubPr>
                    <m:ctrlPr>
                      <w:rPr>
                        <w:rFonts w:ascii="Cambria Math" w:hAnsi="Cambria Math"/>
                        <w:i/>
                        <w:lang w:val="ig-NG"/>
                      </w:rPr>
                    </m:ctrlPr>
                  </m:sSubPr>
                  <m:e>
                    <m:r>
                      <w:rPr>
                        <w:rFonts w:ascii="Cambria Math" w:hAnsi="Cambria Math"/>
                        <w:lang w:val="ig-NG"/>
                      </w:rPr>
                      <m:t>F</m:t>
                    </m:r>
                  </m:e>
                  <m:sub>
                    <m:r>
                      <w:rPr>
                        <w:rFonts w:ascii="Cambria Math" w:hAnsi="Cambria Math"/>
                        <w:lang w:val="ig-NG"/>
                      </w:rPr>
                      <m:t>f</m:t>
                    </m:r>
                  </m:sub>
                </m:sSub>
                <m:sSub>
                  <m:sSubPr>
                    <m:ctrlPr>
                      <w:rPr>
                        <w:rFonts w:ascii="Cambria Math" w:hAnsi="Cambria Math"/>
                        <w:i/>
                        <w:lang w:val="ig-NG"/>
                      </w:rPr>
                    </m:ctrlPr>
                  </m:sSubPr>
                  <m:e>
                    <m:r>
                      <w:rPr>
                        <w:rFonts w:ascii="Cambria Math" w:hAnsi="Cambria Math"/>
                        <w:lang w:val="ig-NG"/>
                      </w:rPr>
                      <m:t>S</m:t>
                    </m:r>
                  </m:e>
                  <m:sub>
                    <m:r>
                      <w:rPr>
                        <w:rFonts w:ascii="Cambria Math" w:hAnsi="Cambria Math"/>
                        <w:lang w:val="ig-NG"/>
                      </w:rPr>
                      <m:t>0</m:t>
                    </m:r>
                  </m:sub>
                </m:sSub>
                <m:r>
                  <w:rPr>
                    <w:rFonts w:ascii="Cambria Math" w:hAnsi="Cambria Math"/>
                    <w:lang w:val="ig-NG"/>
                  </w:rPr>
                  <m:t>t</m:t>
                </m:r>
              </m:oMath>
            </m:oMathPara>
          </w:p>
        </w:tc>
        <w:tc>
          <w:tcPr>
            <w:tcW w:w="815" w:type="dxa"/>
            <w:shd w:val="clear" w:color="auto" w:fill="auto"/>
            <w:vAlign w:val="center"/>
          </w:tcPr>
          <w:p w:rsidR="00361137" w:rsidRPr="007A3402" w:rsidRDefault="00960729" w:rsidP="00361137">
            <w:pPr>
              <w:pStyle w:val="CETBodytext"/>
              <w:rPr>
                <w:lang w:val="en-GB"/>
              </w:rPr>
            </w:pPr>
            <w:r>
              <w:rPr>
                <w:lang w:val="en-GB"/>
              </w:rPr>
              <w:t xml:space="preserve">       </w:t>
            </w:r>
            <w:r w:rsidR="00361137">
              <w:rPr>
                <w:lang w:val="en-GB"/>
              </w:rPr>
              <w:t>(8</w:t>
            </w:r>
            <w:r w:rsidR="00361137" w:rsidRPr="007A3402">
              <w:rPr>
                <w:lang w:val="en-GB"/>
              </w:rPr>
              <w:t>)</w:t>
            </w:r>
          </w:p>
        </w:tc>
      </w:tr>
    </w:tbl>
    <w:p w:rsidR="00361137" w:rsidRDefault="00361137" w:rsidP="00361137">
      <w:pPr>
        <w:pStyle w:val="CETBodytext"/>
      </w:pPr>
    </w:p>
    <w:p w:rsidR="00361137" w:rsidRPr="004D2920" w:rsidRDefault="00361137" w:rsidP="00361137">
      <w:pPr>
        <w:pStyle w:val="CETBodytext"/>
        <w:rPr>
          <w:lang w:val="ig-NG"/>
        </w:rPr>
      </w:pPr>
      <w:r w:rsidRPr="004D2920">
        <w:t>On comparing the performan</w:t>
      </w:r>
      <w:r>
        <w:t>ce of the model derived in Eq(</w:t>
      </w:r>
      <w:r w:rsidRPr="004D2920">
        <w:t>6</w:t>
      </w:r>
      <w:r>
        <w:t>)</w:t>
      </w:r>
      <w:r w:rsidRPr="004D2920">
        <w:t xml:space="preserve"> with that of the final reduced model</w:t>
      </w:r>
      <w:r>
        <w:t xml:space="preserve"> (Eq(</w:t>
      </w:r>
      <w:r w:rsidRPr="004D2920">
        <w:t>8)</w:t>
      </w:r>
      <w:r>
        <w:t>)</w:t>
      </w:r>
      <w:r w:rsidRPr="004D2920">
        <w:t>,</w:t>
      </w:r>
      <w:r w:rsidRPr="004D2920">
        <w:rPr>
          <w:lang w:val="en-GB"/>
        </w:rPr>
        <w:t>t</w:t>
      </w:r>
      <w:r w:rsidRPr="004D2920">
        <w:rPr>
          <w:lang w:val="ig-NG"/>
        </w:rPr>
        <w:t>he  regression  analysis  gives  the  value  of  the determination  coefficient,  R</w:t>
      </w:r>
      <w:r w:rsidRPr="004D2920">
        <w:rPr>
          <w:vertAlign w:val="superscript"/>
          <w:lang w:val="ig-NG"/>
        </w:rPr>
        <w:t>2</w:t>
      </w:r>
      <w:r w:rsidRPr="004D2920">
        <w:rPr>
          <w:lang w:val="ig-NG"/>
        </w:rPr>
        <w:t xml:space="preserve"> as  99.39%  which  indicate</w:t>
      </w:r>
      <w:r w:rsidRPr="004D2920">
        <w:rPr>
          <w:lang w:val="en-GB"/>
        </w:rPr>
        <w:t>s</w:t>
      </w:r>
      <w:r w:rsidRPr="004D2920">
        <w:rPr>
          <w:lang w:val="ig-NG"/>
        </w:rPr>
        <w:t xml:space="preserve"> that only 0.61% of the total variations are not explained by  the  model.  Moreover,  the  model  predictions  have  a maximum  relative  error  of  4.6%  which  is  deemed accurate  enough  for  practical  applications.  In  addition, analysis  of  variance  (ANOVA)  of  the  </w:t>
      </w:r>
      <w:r>
        <w:t>Eq(</w:t>
      </w:r>
      <w:r w:rsidRPr="004D2920">
        <w:t>8</w:t>
      </w:r>
      <w:r>
        <w:t>)</w:t>
      </w:r>
      <w:r w:rsidR="00960729">
        <w:t xml:space="preserve"> </w:t>
      </w:r>
      <w:r w:rsidRPr="004D2920">
        <w:rPr>
          <w:lang w:val="ig-NG"/>
        </w:rPr>
        <w:t>shows that the model is significant as reflected in the very low p-value in the main effect</w:t>
      </w:r>
      <w:r w:rsidRPr="004D2920">
        <w:rPr>
          <w:lang w:val="en-GB"/>
        </w:rPr>
        <w:t>s</w:t>
      </w:r>
      <w:r w:rsidRPr="004D2920">
        <w:rPr>
          <w:lang w:val="ig-NG"/>
        </w:rPr>
        <w:t xml:space="preserve"> (see Table 3).</w:t>
      </w:r>
    </w:p>
    <w:p w:rsidR="00361137" w:rsidRDefault="00361137" w:rsidP="00361137">
      <w:pPr>
        <w:pStyle w:val="CETBodytext"/>
      </w:pPr>
    </w:p>
    <w:p w:rsidR="004425B4" w:rsidRDefault="00361137" w:rsidP="00361137">
      <w:pPr>
        <w:pStyle w:val="CETCaption"/>
      </w:pPr>
      <w:r>
        <w:rPr>
          <w:noProof/>
          <w:lang w:eastAsia="en-GB"/>
        </w:rPr>
        <w:lastRenderedPageBreak/>
        <w:drawing>
          <wp:inline distT="0" distB="0" distL="0" distR="0">
            <wp:extent cx="4255135" cy="2658110"/>
            <wp:effectExtent l="0" t="0" r="0" b="889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55135" cy="2658110"/>
                    </a:xfrm>
                    <a:prstGeom prst="rect">
                      <a:avLst/>
                    </a:prstGeom>
                    <a:noFill/>
                  </pic:spPr>
                </pic:pic>
              </a:graphicData>
            </a:graphic>
          </wp:inline>
        </w:drawing>
      </w:r>
    </w:p>
    <w:p w:rsidR="00361137" w:rsidRPr="00B57B36" w:rsidRDefault="00361137" w:rsidP="00361137">
      <w:pPr>
        <w:pStyle w:val="CETCaption"/>
      </w:pPr>
      <w:r w:rsidRPr="00B57B36">
        <w:t xml:space="preserve">Figure 1: </w:t>
      </w:r>
      <w:r w:rsidRPr="00D81B84">
        <w:rPr>
          <w:lang w:val="en-US"/>
        </w:rPr>
        <w:t>Pareto chart showing the effects of input factors on sugar crystal size</w:t>
      </w:r>
    </w:p>
    <w:p w:rsidR="00361137" w:rsidRDefault="00361137" w:rsidP="00361137">
      <w:pPr>
        <w:pStyle w:val="CETBodytext"/>
      </w:pPr>
    </w:p>
    <w:p w:rsidR="00361137" w:rsidRDefault="00361137" w:rsidP="00361137">
      <w:pPr>
        <w:pStyle w:val="CETTabletitle"/>
      </w:pPr>
      <w:r w:rsidRPr="003920B1">
        <w:t>Table 3:  Analysis of Variance for Sugar Crystal Size Regression Model</w:t>
      </w:r>
    </w:p>
    <w:tbl>
      <w:tblPr>
        <w:tblW w:w="7650" w:type="dxa"/>
        <w:tblBorders>
          <w:top w:val="single" w:sz="12" w:space="0" w:color="008000"/>
          <w:bottom w:val="single" w:sz="12" w:space="0" w:color="008000"/>
        </w:tblBorders>
        <w:shd w:val="clear" w:color="auto" w:fill="FFFFFF"/>
        <w:tblCellMar>
          <w:left w:w="0" w:type="dxa"/>
          <w:right w:w="0" w:type="dxa"/>
        </w:tblCellMar>
        <w:tblLook w:val="00A0"/>
      </w:tblPr>
      <w:tblGrid>
        <w:gridCol w:w="1710"/>
        <w:gridCol w:w="558"/>
        <w:gridCol w:w="1134"/>
        <w:gridCol w:w="1134"/>
        <w:gridCol w:w="1134"/>
        <w:gridCol w:w="1134"/>
        <w:gridCol w:w="846"/>
      </w:tblGrid>
      <w:tr w:rsidR="00361137" w:rsidRPr="00B57B36" w:rsidTr="00361137">
        <w:tc>
          <w:tcPr>
            <w:tcW w:w="1710" w:type="dxa"/>
            <w:tcBorders>
              <w:top w:val="single" w:sz="12" w:space="0" w:color="008000"/>
              <w:bottom w:val="single" w:sz="6" w:space="0" w:color="008000"/>
            </w:tcBorders>
            <w:shd w:val="clear" w:color="auto" w:fill="FFFFFF"/>
          </w:tcPr>
          <w:p w:rsidR="00361137" w:rsidRDefault="00361137" w:rsidP="00361137">
            <w:pPr>
              <w:pStyle w:val="CETBodytext"/>
            </w:pPr>
            <w:r>
              <w:t>SOURCE</w:t>
            </w:r>
          </w:p>
        </w:tc>
        <w:tc>
          <w:tcPr>
            <w:tcW w:w="558" w:type="dxa"/>
            <w:tcBorders>
              <w:top w:val="single" w:sz="12" w:space="0" w:color="008000"/>
              <w:bottom w:val="single" w:sz="6" w:space="0" w:color="008000"/>
            </w:tcBorders>
            <w:shd w:val="clear" w:color="auto" w:fill="FFFFFF"/>
          </w:tcPr>
          <w:p w:rsidR="00361137" w:rsidRDefault="00361137" w:rsidP="00361137">
            <w:pPr>
              <w:pStyle w:val="CETBodytext"/>
            </w:pPr>
            <w:r>
              <w:t>DF</w:t>
            </w:r>
          </w:p>
        </w:tc>
        <w:tc>
          <w:tcPr>
            <w:tcW w:w="1134" w:type="dxa"/>
            <w:tcBorders>
              <w:top w:val="single" w:sz="12" w:space="0" w:color="008000"/>
              <w:bottom w:val="single" w:sz="6" w:space="0" w:color="008000"/>
            </w:tcBorders>
            <w:shd w:val="clear" w:color="auto" w:fill="FFFFFF"/>
          </w:tcPr>
          <w:p w:rsidR="00361137" w:rsidRDefault="00361137" w:rsidP="00361137">
            <w:pPr>
              <w:pStyle w:val="CETBodytext"/>
            </w:pPr>
            <w:r>
              <w:t>Seq SS</w:t>
            </w:r>
          </w:p>
        </w:tc>
        <w:tc>
          <w:tcPr>
            <w:tcW w:w="1134" w:type="dxa"/>
            <w:tcBorders>
              <w:top w:val="single" w:sz="12" w:space="0" w:color="008000"/>
              <w:bottom w:val="single" w:sz="6" w:space="0" w:color="008000"/>
            </w:tcBorders>
            <w:shd w:val="clear" w:color="auto" w:fill="FFFFFF"/>
          </w:tcPr>
          <w:p w:rsidR="00361137" w:rsidRDefault="00361137" w:rsidP="00361137">
            <w:pPr>
              <w:pStyle w:val="CETBodytext"/>
            </w:pPr>
            <w:r>
              <w:t>Adj SS</w:t>
            </w:r>
          </w:p>
        </w:tc>
        <w:tc>
          <w:tcPr>
            <w:tcW w:w="1134" w:type="dxa"/>
            <w:tcBorders>
              <w:top w:val="single" w:sz="12" w:space="0" w:color="008000"/>
              <w:bottom w:val="single" w:sz="6" w:space="0" w:color="008000"/>
            </w:tcBorders>
            <w:shd w:val="clear" w:color="auto" w:fill="FFFFFF"/>
          </w:tcPr>
          <w:p w:rsidR="00361137" w:rsidRDefault="00361137" w:rsidP="00361137">
            <w:pPr>
              <w:pStyle w:val="CETBodytext"/>
            </w:pPr>
            <w:r>
              <w:t>Adj MS</w:t>
            </w:r>
          </w:p>
        </w:tc>
        <w:tc>
          <w:tcPr>
            <w:tcW w:w="1134" w:type="dxa"/>
            <w:tcBorders>
              <w:top w:val="single" w:sz="12" w:space="0" w:color="008000"/>
              <w:bottom w:val="single" w:sz="6" w:space="0" w:color="008000"/>
            </w:tcBorders>
            <w:shd w:val="clear" w:color="auto" w:fill="FFFFFF"/>
          </w:tcPr>
          <w:p w:rsidR="00361137" w:rsidRDefault="00361137" w:rsidP="00361137">
            <w:pPr>
              <w:pStyle w:val="CETBodytext"/>
            </w:pPr>
            <w:r>
              <w:t>F</w:t>
            </w:r>
          </w:p>
        </w:tc>
        <w:tc>
          <w:tcPr>
            <w:tcW w:w="846" w:type="dxa"/>
            <w:tcBorders>
              <w:top w:val="single" w:sz="12" w:space="0" w:color="008000"/>
              <w:bottom w:val="single" w:sz="6" w:space="0" w:color="008000"/>
            </w:tcBorders>
            <w:shd w:val="clear" w:color="auto" w:fill="FFFFFF"/>
          </w:tcPr>
          <w:p w:rsidR="00361137" w:rsidRDefault="00361137" w:rsidP="00361137">
            <w:pPr>
              <w:pStyle w:val="CETBodytext"/>
            </w:pPr>
            <w:r>
              <w:t>P</w:t>
            </w:r>
          </w:p>
        </w:tc>
      </w:tr>
      <w:tr w:rsidR="00361137" w:rsidRPr="00B57B36" w:rsidTr="00361137">
        <w:tc>
          <w:tcPr>
            <w:tcW w:w="1710" w:type="dxa"/>
            <w:shd w:val="clear" w:color="auto" w:fill="FFFFFF"/>
          </w:tcPr>
          <w:p w:rsidR="00361137" w:rsidRDefault="00361137" w:rsidP="00361137">
            <w:pPr>
              <w:pStyle w:val="CETBodytext"/>
            </w:pPr>
            <w:r>
              <w:t>Main Effects</w:t>
            </w:r>
          </w:p>
        </w:tc>
        <w:tc>
          <w:tcPr>
            <w:tcW w:w="558" w:type="dxa"/>
            <w:shd w:val="clear" w:color="auto" w:fill="FFFFFF"/>
          </w:tcPr>
          <w:p w:rsidR="00361137" w:rsidRDefault="00361137" w:rsidP="00361137">
            <w:pPr>
              <w:pStyle w:val="CETBodytext"/>
            </w:pPr>
            <w:r>
              <w:t>6</w:t>
            </w:r>
          </w:p>
        </w:tc>
        <w:tc>
          <w:tcPr>
            <w:tcW w:w="1134" w:type="dxa"/>
            <w:shd w:val="clear" w:color="auto" w:fill="FFFFFF"/>
          </w:tcPr>
          <w:p w:rsidR="00361137" w:rsidRDefault="00361137" w:rsidP="00361137">
            <w:pPr>
              <w:pStyle w:val="CETBodytext"/>
            </w:pPr>
            <w:r>
              <w:t>6903945</w:t>
            </w:r>
          </w:p>
        </w:tc>
        <w:tc>
          <w:tcPr>
            <w:tcW w:w="1134" w:type="dxa"/>
            <w:shd w:val="clear" w:color="auto" w:fill="FFFFFF"/>
          </w:tcPr>
          <w:p w:rsidR="00361137" w:rsidRDefault="00361137" w:rsidP="00361137">
            <w:pPr>
              <w:pStyle w:val="CETBodytext"/>
            </w:pPr>
            <w:r>
              <w:t>6903945</w:t>
            </w:r>
          </w:p>
        </w:tc>
        <w:tc>
          <w:tcPr>
            <w:tcW w:w="1134" w:type="dxa"/>
            <w:shd w:val="clear" w:color="auto" w:fill="FFFFFF"/>
          </w:tcPr>
          <w:p w:rsidR="00361137" w:rsidRDefault="00361137" w:rsidP="00361137">
            <w:pPr>
              <w:pStyle w:val="CETBodytext"/>
            </w:pPr>
            <w:r>
              <w:t>1150658</w:t>
            </w:r>
          </w:p>
        </w:tc>
        <w:tc>
          <w:tcPr>
            <w:tcW w:w="1134" w:type="dxa"/>
            <w:shd w:val="clear" w:color="auto" w:fill="FFFFFF"/>
          </w:tcPr>
          <w:p w:rsidR="00361137" w:rsidRDefault="00361137" w:rsidP="00361137">
            <w:pPr>
              <w:pStyle w:val="CETBodytext"/>
            </w:pPr>
            <w:r>
              <w:t>2812.68</w:t>
            </w:r>
          </w:p>
        </w:tc>
        <w:tc>
          <w:tcPr>
            <w:tcW w:w="846" w:type="dxa"/>
            <w:shd w:val="clear" w:color="auto" w:fill="FFFFFF"/>
          </w:tcPr>
          <w:p w:rsidR="00361137" w:rsidRDefault="00361137" w:rsidP="00361137">
            <w:pPr>
              <w:pStyle w:val="CETBodytext"/>
            </w:pPr>
            <w:r>
              <w:t>0.000</w:t>
            </w:r>
          </w:p>
        </w:tc>
      </w:tr>
      <w:tr w:rsidR="00361137" w:rsidRPr="00B57B36" w:rsidTr="00361137">
        <w:tc>
          <w:tcPr>
            <w:tcW w:w="1710" w:type="dxa"/>
            <w:shd w:val="clear" w:color="auto" w:fill="FFFFFF"/>
          </w:tcPr>
          <w:p w:rsidR="00361137" w:rsidRDefault="00361137" w:rsidP="00361137">
            <w:pPr>
              <w:pStyle w:val="CETBodytext"/>
            </w:pPr>
            <w:r>
              <w:t>2-Way interactions</w:t>
            </w:r>
          </w:p>
        </w:tc>
        <w:tc>
          <w:tcPr>
            <w:tcW w:w="558" w:type="dxa"/>
            <w:shd w:val="clear" w:color="auto" w:fill="FFFFFF"/>
          </w:tcPr>
          <w:p w:rsidR="00361137" w:rsidRDefault="00361137" w:rsidP="00361137">
            <w:pPr>
              <w:pStyle w:val="CETBodytext"/>
            </w:pPr>
            <w:r>
              <w:t>6</w:t>
            </w:r>
          </w:p>
        </w:tc>
        <w:tc>
          <w:tcPr>
            <w:tcW w:w="1134" w:type="dxa"/>
            <w:shd w:val="clear" w:color="auto" w:fill="FFFFFF"/>
          </w:tcPr>
          <w:p w:rsidR="00361137" w:rsidRDefault="00361137" w:rsidP="00361137">
            <w:pPr>
              <w:pStyle w:val="CETBodytext"/>
            </w:pPr>
            <w:r>
              <w:t>625024</w:t>
            </w:r>
          </w:p>
        </w:tc>
        <w:tc>
          <w:tcPr>
            <w:tcW w:w="1134" w:type="dxa"/>
            <w:shd w:val="clear" w:color="auto" w:fill="FFFFFF"/>
          </w:tcPr>
          <w:p w:rsidR="00361137" w:rsidRDefault="00361137" w:rsidP="00361137">
            <w:pPr>
              <w:pStyle w:val="CETBodytext"/>
            </w:pPr>
            <w:r>
              <w:t>625024</w:t>
            </w:r>
          </w:p>
        </w:tc>
        <w:tc>
          <w:tcPr>
            <w:tcW w:w="1134" w:type="dxa"/>
            <w:shd w:val="clear" w:color="auto" w:fill="FFFFFF"/>
          </w:tcPr>
          <w:p w:rsidR="00361137" w:rsidRDefault="00361137" w:rsidP="00361137">
            <w:pPr>
              <w:pStyle w:val="CETBodytext"/>
            </w:pPr>
            <w:r>
              <w:t>104171</w:t>
            </w:r>
          </w:p>
        </w:tc>
        <w:tc>
          <w:tcPr>
            <w:tcW w:w="1134" w:type="dxa"/>
            <w:shd w:val="clear" w:color="auto" w:fill="FFFFFF"/>
          </w:tcPr>
          <w:p w:rsidR="00361137" w:rsidRDefault="00361137" w:rsidP="00361137">
            <w:pPr>
              <w:pStyle w:val="CETBodytext"/>
            </w:pPr>
            <w:r>
              <w:t>254.64</w:t>
            </w:r>
          </w:p>
        </w:tc>
        <w:tc>
          <w:tcPr>
            <w:tcW w:w="846" w:type="dxa"/>
            <w:shd w:val="clear" w:color="auto" w:fill="FFFFFF"/>
          </w:tcPr>
          <w:p w:rsidR="00361137" w:rsidRDefault="00361137" w:rsidP="00361137">
            <w:pPr>
              <w:pStyle w:val="CETBodytext"/>
            </w:pPr>
            <w:r>
              <w:t>0.000</w:t>
            </w:r>
          </w:p>
        </w:tc>
      </w:tr>
      <w:tr w:rsidR="00361137" w:rsidRPr="00B57B36" w:rsidTr="00361137">
        <w:tc>
          <w:tcPr>
            <w:tcW w:w="1710" w:type="dxa"/>
            <w:shd w:val="clear" w:color="auto" w:fill="FFFFFF"/>
          </w:tcPr>
          <w:p w:rsidR="00361137" w:rsidRDefault="00361137" w:rsidP="00361137">
            <w:pPr>
              <w:pStyle w:val="CETBodytext"/>
            </w:pPr>
            <w:r>
              <w:t>3-Way interactions</w:t>
            </w:r>
          </w:p>
        </w:tc>
        <w:tc>
          <w:tcPr>
            <w:tcW w:w="558" w:type="dxa"/>
            <w:shd w:val="clear" w:color="auto" w:fill="FFFFFF"/>
          </w:tcPr>
          <w:p w:rsidR="00361137" w:rsidRDefault="00361137" w:rsidP="00361137">
            <w:pPr>
              <w:pStyle w:val="CETBodytext"/>
            </w:pPr>
            <w:r>
              <w:t>2</w:t>
            </w:r>
          </w:p>
        </w:tc>
        <w:tc>
          <w:tcPr>
            <w:tcW w:w="1134" w:type="dxa"/>
            <w:shd w:val="clear" w:color="auto" w:fill="FFFFFF"/>
          </w:tcPr>
          <w:p w:rsidR="00361137" w:rsidRDefault="00361137" w:rsidP="00361137">
            <w:pPr>
              <w:pStyle w:val="CETBodytext"/>
            </w:pPr>
            <w:r>
              <w:t>5799</w:t>
            </w:r>
          </w:p>
        </w:tc>
        <w:tc>
          <w:tcPr>
            <w:tcW w:w="1134" w:type="dxa"/>
            <w:shd w:val="clear" w:color="auto" w:fill="FFFFFF"/>
          </w:tcPr>
          <w:p w:rsidR="00361137" w:rsidRDefault="00361137" w:rsidP="00361137">
            <w:pPr>
              <w:pStyle w:val="CETBodytext"/>
            </w:pPr>
            <w:r>
              <w:t>5799</w:t>
            </w:r>
          </w:p>
        </w:tc>
        <w:tc>
          <w:tcPr>
            <w:tcW w:w="1134" w:type="dxa"/>
            <w:shd w:val="clear" w:color="auto" w:fill="FFFFFF"/>
          </w:tcPr>
          <w:p w:rsidR="00361137" w:rsidRDefault="00361137" w:rsidP="00361137">
            <w:pPr>
              <w:pStyle w:val="CETBodytext"/>
            </w:pPr>
            <w:r>
              <w:t>2899</w:t>
            </w:r>
          </w:p>
        </w:tc>
        <w:tc>
          <w:tcPr>
            <w:tcW w:w="1134" w:type="dxa"/>
            <w:shd w:val="clear" w:color="auto" w:fill="FFFFFF"/>
          </w:tcPr>
          <w:p w:rsidR="00361137" w:rsidRDefault="00361137" w:rsidP="00361137">
            <w:pPr>
              <w:pStyle w:val="CETBodytext"/>
            </w:pPr>
            <w:r>
              <w:t>7.09</w:t>
            </w:r>
          </w:p>
        </w:tc>
        <w:tc>
          <w:tcPr>
            <w:tcW w:w="846" w:type="dxa"/>
            <w:shd w:val="clear" w:color="auto" w:fill="FFFFFF"/>
          </w:tcPr>
          <w:p w:rsidR="00361137" w:rsidRDefault="00361137" w:rsidP="00361137">
            <w:pPr>
              <w:pStyle w:val="CETBodytext"/>
            </w:pPr>
            <w:r>
              <w:t>0.001</w:t>
            </w:r>
          </w:p>
        </w:tc>
      </w:tr>
    </w:tbl>
    <w:p w:rsidR="00361137" w:rsidRDefault="00361137" w:rsidP="00361137">
      <w:pPr>
        <w:pStyle w:val="CETBodytext"/>
      </w:pPr>
    </w:p>
    <w:p w:rsidR="00361137" w:rsidRPr="00DF5777" w:rsidRDefault="00361137" w:rsidP="00361137">
      <w:pPr>
        <w:pStyle w:val="CETHeading1"/>
        <w:rPr>
          <w:lang w:val="en-GB"/>
        </w:rPr>
      </w:pPr>
      <w:r w:rsidRPr="00DF5777">
        <w:t>Conclusions</w:t>
      </w:r>
    </w:p>
    <w:p w:rsidR="00361137" w:rsidRDefault="004606F6" w:rsidP="00361137">
      <w:pPr>
        <w:pStyle w:val="CETBodytext"/>
        <w:rPr>
          <w:lang w:val="en-GB"/>
        </w:rPr>
      </w:pPr>
      <w:r>
        <w:rPr>
          <w:lang w:val="en-GB"/>
        </w:rPr>
        <w:t xml:space="preserve">Hitherto, the existing </w:t>
      </w:r>
      <w:r w:rsidR="006C445E">
        <w:rPr>
          <w:lang w:val="en-GB"/>
        </w:rPr>
        <w:t xml:space="preserve">sugar </w:t>
      </w:r>
      <w:r>
        <w:rPr>
          <w:lang w:val="en-GB"/>
        </w:rPr>
        <w:t>crystallis</w:t>
      </w:r>
      <w:r w:rsidRPr="00F47F7F">
        <w:rPr>
          <w:lang w:val="en-GB"/>
        </w:rPr>
        <w:t>a</w:t>
      </w:r>
      <w:r>
        <w:rPr>
          <w:lang w:val="en-GB"/>
        </w:rPr>
        <w:t>tion process models</w:t>
      </w:r>
      <w:r w:rsidRPr="00F47F7F">
        <w:rPr>
          <w:lang w:val="en-GB"/>
        </w:rPr>
        <w:t xml:space="preserve"> contain variables that are difficult to measure online. Thus, these models are not in the form which can be directly utilised as soft sensor for real time estimation of CSD in</w:t>
      </w:r>
      <w:r w:rsidR="0010187B">
        <w:rPr>
          <w:lang w:val="en-GB"/>
        </w:rPr>
        <w:t xml:space="preserve"> the sugar crystallisation unit. </w:t>
      </w:r>
      <w:r w:rsidR="00361137" w:rsidRPr="00DF5777">
        <w:rPr>
          <w:lang w:val="en-GB"/>
        </w:rPr>
        <w:t>In this study, a regression model for online estimation of s</w:t>
      </w:r>
      <w:r w:rsidR="00DE3E47">
        <w:rPr>
          <w:lang w:val="en-GB"/>
        </w:rPr>
        <w:t xml:space="preserve">ugar crystal size was developed </w:t>
      </w:r>
      <w:r w:rsidR="004425B4">
        <w:rPr>
          <w:lang w:val="en-GB"/>
        </w:rPr>
        <w:t xml:space="preserve">as a function of </w:t>
      </w:r>
      <w:r w:rsidR="00172101">
        <w:rPr>
          <w:lang w:val="en-GB"/>
        </w:rPr>
        <w:t xml:space="preserve">easy-to-measure input variables. The </w:t>
      </w:r>
      <w:r w:rsidR="00DE3E47">
        <w:rPr>
          <w:lang w:val="en-GB"/>
        </w:rPr>
        <w:t xml:space="preserve">performance </w:t>
      </w:r>
      <w:r w:rsidR="00172101">
        <w:rPr>
          <w:lang w:val="en-GB"/>
        </w:rPr>
        <w:t>evaluation of the model show that t</w:t>
      </w:r>
      <w:r w:rsidR="00361137" w:rsidRPr="00DF5777">
        <w:rPr>
          <w:lang w:val="en-GB"/>
        </w:rPr>
        <w:t>he coefficient of determination, R</w:t>
      </w:r>
      <w:r w:rsidR="00361137" w:rsidRPr="00DF5777">
        <w:rPr>
          <w:vertAlign w:val="superscript"/>
          <w:lang w:val="en-GB"/>
        </w:rPr>
        <w:t>2</w:t>
      </w:r>
      <w:r w:rsidR="00172101">
        <w:rPr>
          <w:lang w:val="en-GB"/>
        </w:rPr>
        <w:t xml:space="preserve"> i</w:t>
      </w:r>
      <w:r w:rsidR="00361137" w:rsidRPr="00DF5777">
        <w:rPr>
          <w:lang w:val="en-GB"/>
        </w:rPr>
        <w:t>s 0.994 and the maximum a</w:t>
      </w:r>
      <w:r w:rsidR="00172101">
        <w:rPr>
          <w:lang w:val="en-GB"/>
        </w:rPr>
        <w:t>bsolute relative error (MARE) i</w:t>
      </w:r>
      <w:r w:rsidR="00361137" w:rsidRPr="00DF5777">
        <w:rPr>
          <w:lang w:val="en-GB"/>
        </w:rPr>
        <w:t xml:space="preserve">s 4.6%. </w:t>
      </w:r>
      <w:r w:rsidR="00DE3E47">
        <w:rPr>
          <w:lang w:val="en-GB"/>
        </w:rPr>
        <w:t>It is concluded that t</w:t>
      </w:r>
      <w:r w:rsidR="00361137" w:rsidRPr="00DF5777">
        <w:rPr>
          <w:lang w:val="en-GB"/>
        </w:rPr>
        <w:t>he high R</w:t>
      </w:r>
      <w:r w:rsidR="00361137" w:rsidRPr="00DF5777">
        <w:rPr>
          <w:vertAlign w:val="superscript"/>
          <w:lang w:val="en-GB"/>
        </w:rPr>
        <w:t>2</w:t>
      </w:r>
      <w:r w:rsidR="00361137" w:rsidRPr="00DF5777">
        <w:rPr>
          <w:lang w:val="en-GB"/>
        </w:rPr>
        <w:t xml:space="preserve"> (~1.0) and the reasonably low MARE values are an indication that the proposed model can be used online for accurate estimation of sugar crystal size in a fed-batch vacuum evaporative crystalliser.</w:t>
      </w:r>
    </w:p>
    <w:p w:rsidR="00361137" w:rsidRPr="00DF5777" w:rsidRDefault="00361137" w:rsidP="00361137">
      <w:pPr>
        <w:pStyle w:val="CETReference"/>
        <w:rPr>
          <w:rFonts w:eastAsia="Calibri"/>
          <w:lang w:val="en-US"/>
        </w:rPr>
      </w:pPr>
      <w:r w:rsidRPr="00DF5777">
        <w:rPr>
          <w:rFonts w:eastAsia="Calibri"/>
          <w:lang w:val="en-US"/>
        </w:rPr>
        <w:t>References</w:t>
      </w:r>
    </w:p>
    <w:p w:rsidR="00361137" w:rsidRPr="00DF5777" w:rsidRDefault="00A3686C" w:rsidP="00361137">
      <w:pPr>
        <w:pStyle w:val="CETReferencetext"/>
        <w:rPr>
          <w:rFonts w:eastAsia="Calibri"/>
          <w:lang w:val="en-US" w:eastAsia="en-GB"/>
        </w:rPr>
      </w:pPr>
      <w:r>
        <w:rPr>
          <w:rFonts w:eastAsia="Calibri"/>
          <w:lang w:val="ig-NG" w:eastAsia="en-GB"/>
        </w:rPr>
        <w:t>Adrian, P</w:t>
      </w:r>
      <w:r>
        <w:rPr>
          <w:rFonts w:eastAsia="Calibri"/>
          <w:lang w:eastAsia="en-GB"/>
        </w:rPr>
        <w:t>.,</w:t>
      </w:r>
      <w:r>
        <w:rPr>
          <w:rFonts w:eastAsia="Calibri"/>
          <w:lang w:val="ig-NG" w:eastAsia="en-GB"/>
        </w:rPr>
        <w:t>1983</w:t>
      </w:r>
      <w:r w:rsidR="00361137" w:rsidRPr="00DF5777">
        <w:rPr>
          <w:rFonts w:eastAsia="Calibri"/>
          <w:lang w:val="ig-NG" w:eastAsia="en-GB"/>
        </w:rPr>
        <w:t>.Industrial Sucrose Crystallisation. Bibliotheek TU, Delf, 13-78</w:t>
      </w:r>
    </w:p>
    <w:p w:rsidR="00361137" w:rsidRPr="00DF5777" w:rsidRDefault="00361137" w:rsidP="00361137">
      <w:pPr>
        <w:pStyle w:val="CETReferencetext"/>
        <w:rPr>
          <w:rFonts w:eastAsia="Calibri"/>
          <w:lang w:val="ig-NG" w:eastAsia="en-GB"/>
        </w:rPr>
      </w:pPr>
      <w:r>
        <w:rPr>
          <w:rFonts w:eastAsia="Calibri"/>
          <w:lang w:val="ig-NG" w:eastAsia="en-GB"/>
        </w:rPr>
        <w:t>Anabel</w:t>
      </w:r>
      <w:r w:rsidRPr="00DF5777">
        <w:rPr>
          <w:rFonts w:eastAsia="Calibri"/>
          <w:lang w:val="ig-NG" w:eastAsia="en-GB"/>
        </w:rPr>
        <w:t xml:space="preserve"> G.</w:t>
      </w:r>
      <w:r>
        <w:rPr>
          <w:rFonts w:eastAsia="Calibri"/>
          <w:lang w:val="en-US" w:eastAsia="en-GB"/>
        </w:rPr>
        <w:t>,</w:t>
      </w:r>
      <w:r>
        <w:rPr>
          <w:rFonts w:eastAsia="Calibri"/>
          <w:lang w:val="ig-NG" w:eastAsia="en-GB"/>
        </w:rPr>
        <w:t xml:space="preserve"> 2001, </w:t>
      </w:r>
      <w:r w:rsidRPr="00DF5777">
        <w:rPr>
          <w:rFonts w:eastAsia="Calibri"/>
          <w:lang w:val="ig-NG" w:eastAsia="en-GB"/>
        </w:rPr>
        <w:t>Modelling and Simulation of Batch Processes: Crystallisa</w:t>
      </w:r>
      <w:r>
        <w:rPr>
          <w:rFonts w:eastAsia="Calibri"/>
          <w:lang w:val="ig-NG" w:eastAsia="en-GB"/>
        </w:rPr>
        <w:t>tion Section of a Sugar Factory,</w:t>
      </w:r>
      <w:r w:rsidRPr="00DF5777">
        <w:rPr>
          <w:rFonts w:eastAsia="Calibri"/>
          <w:lang w:val="ig-NG" w:eastAsia="en-GB"/>
        </w:rPr>
        <w:t xml:space="preserve"> 1st Meeting of EcosimPro Users, UNED, Madrid, 3-4 May 2001.</w:t>
      </w:r>
    </w:p>
    <w:p w:rsidR="00361137" w:rsidRPr="00DF5777" w:rsidRDefault="00361137" w:rsidP="00361137">
      <w:pPr>
        <w:pStyle w:val="CETReferencetext"/>
        <w:rPr>
          <w:rFonts w:ascii="Calibri" w:eastAsia="Calibri" w:hAnsi="Calibri"/>
          <w:sz w:val="22"/>
          <w:szCs w:val="22"/>
          <w:lang w:val="ig-NG"/>
        </w:rPr>
      </w:pPr>
      <w:r>
        <w:rPr>
          <w:rFonts w:eastAsia="Calibri"/>
          <w:lang w:val="ig-NG" w:eastAsia="en-GB"/>
        </w:rPr>
        <w:t>Dražen Sliškovi´c R.</w:t>
      </w:r>
      <w:r w:rsidRPr="00DF5777">
        <w:rPr>
          <w:rFonts w:eastAsia="Calibri"/>
          <w:lang w:val="ig-NG" w:eastAsia="en-GB"/>
        </w:rPr>
        <w:t>G.</w:t>
      </w:r>
      <w:r>
        <w:rPr>
          <w:rFonts w:eastAsia="Calibri"/>
          <w:lang w:val="en-US" w:eastAsia="en-GB"/>
        </w:rPr>
        <w:t>,</w:t>
      </w:r>
      <w:r>
        <w:rPr>
          <w:rFonts w:eastAsia="Calibri"/>
          <w:lang w:val="ig-NG" w:eastAsia="en-GB"/>
        </w:rPr>
        <w:t xml:space="preserve"> 2011,</w:t>
      </w:r>
      <w:r w:rsidRPr="00DF5777">
        <w:rPr>
          <w:rFonts w:eastAsia="Calibri"/>
          <w:lang w:val="ig-NG" w:eastAsia="en-GB"/>
        </w:rPr>
        <w:t xml:space="preserve"> Methods for Plant Data-Based Process Modell</w:t>
      </w:r>
      <w:r>
        <w:rPr>
          <w:rFonts w:eastAsia="Calibri"/>
          <w:lang w:val="ig-NG" w:eastAsia="en-GB"/>
        </w:rPr>
        <w:t xml:space="preserve">ing in Soft-Sensor Development, </w:t>
      </w:r>
      <w:r w:rsidRPr="00DF5777">
        <w:rPr>
          <w:rFonts w:eastAsia="Calibri"/>
          <w:lang w:val="ig-NG" w:eastAsia="en-GB"/>
        </w:rPr>
        <w:t>Automatika – Journal for Control, Measurement, Electronics, Computing and Communications, 306–331.</w:t>
      </w:r>
    </w:p>
    <w:p w:rsidR="00361137" w:rsidRPr="00DF5777" w:rsidRDefault="00361137" w:rsidP="00361137">
      <w:pPr>
        <w:pStyle w:val="CETReferencetext"/>
        <w:rPr>
          <w:rFonts w:eastAsia="Calibri"/>
          <w:lang w:val="en-US" w:eastAsia="en-GB"/>
        </w:rPr>
      </w:pPr>
      <w:r>
        <w:rPr>
          <w:rFonts w:eastAsia="Calibri"/>
          <w:lang w:val="ig-NG" w:eastAsia="en-GB"/>
        </w:rPr>
        <w:t>García</w:t>
      </w:r>
      <w:r w:rsidRPr="00DF5777">
        <w:rPr>
          <w:rFonts w:eastAsia="Calibri"/>
          <w:lang w:val="ig-NG" w:eastAsia="en-GB"/>
        </w:rPr>
        <w:t xml:space="preserve"> G.</w:t>
      </w:r>
      <w:r>
        <w:rPr>
          <w:rFonts w:eastAsia="Calibri"/>
          <w:lang w:val="en-US" w:eastAsia="en-GB"/>
        </w:rPr>
        <w:t>,</w:t>
      </w:r>
      <w:r>
        <w:rPr>
          <w:rFonts w:eastAsia="Calibri"/>
          <w:lang w:val="ig-NG" w:eastAsia="en-GB"/>
        </w:rPr>
        <w:t xml:space="preserve"> 2001,</w:t>
      </w:r>
      <w:r w:rsidRPr="00DF5777">
        <w:rPr>
          <w:rFonts w:eastAsia="Calibri"/>
          <w:lang w:val="ig-NG" w:eastAsia="en-GB"/>
        </w:rPr>
        <w:t xml:space="preserve"> Modeling and Simulation of Batch Processes: crystallization section of a</w:t>
      </w:r>
      <w:r w:rsidRPr="00DF5777">
        <w:rPr>
          <w:rFonts w:eastAsia="Calibri"/>
          <w:lang w:val="ig-NG" w:eastAsia="en-GB"/>
        </w:rPr>
        <w:br/>
        <w:t>s</w:t>
      </w:r>
      <w:r>
        <w:rPr>
          <w:rFonts w:eastAsia="Calibri"/>
          <w:lang w:val="ig-NG" w:eastAsia="en-GB"/>
        </w:rPr>
        <w:t>ugar factory,</w:t>
      </w:r>
      <w:r w:rsidRPr="00DF5777">
        <w:rPr>
          <w:rFonts w:eastAsia="Calibri"/>
          <w:lang w:val="ig-NG" w:eastAsia="en-GB"/>
        </w:rPr>
        <w:t xml:space="preserve"> Paper presented at the first Meeting of EcosimPro Users, UNED, Madrid,</w:t>
      </w:r>
      <w:r w:rsidRPr="00DF5777">
        <w:rPr>
          <w:rFonts w:eastAsia="Calibri"/>
          <w:lang w:val="ig-NG" w:eastAsia="en-GB"/>
        </w:rPr>
        <w:br/>
        <w:t>3- 4 May</w:t>
      </w:r>
      <w:r w:rsidRPr="00DF5777">
        <w:rPr>
          <w:rFonts w:eastAsia="Calibri"/>
          <w:lang w:val="en-US" w:eastAsia="en-GB"/>
        </w:rPr>
        <w:t>.</w:t>
      </w:r>
    </w:p>
    <w:p w:rsidR="00361137" w:rsidRPr="00DF5777" w:rsidRDefault="00361137" w:rsidP="00361137">
      <w:pPr>
        <w:pStyle w:val="CETReferencetext"/>
        <w:rPr>
          <w:rFonts w:eastAsia="Calibri"/>
          <w:lang w:val="ig-NG" w:eastAsia="en-GB"/>
        </w:rPr>
      </w:pPr>
      <w:r>
        <w:rPr>
          <w:rFonts w:eastAsia="Calibri"/>
          <w:lang w:val="ig-NG" w:eastAsia="en-GB"/>
        </w:rPr>
        <w:t>Georgieva</w:t>
      </w:r>
      <w:r w:rsidRPr="00DF5777">
        <w:rPr>
          <w:rFonts w:eastAsia="Calibri"/>
          <w:lang w:val="ig-NG" w:eastAsia="en-GB"/>
        </w:rPr>
        <w:t xml:space="preserve"> P</w:t>
      </w:r>
      <w:r>
        <w:rPr>
          <w:rFonts w:eastAsia="Calibri"/>
          <w:lang w:val="en-US" w:eastAsia="en-GB"/>
        </w:rPr>
        <w:t>.</w:t>
      </w:r>
      <w:r>
        <w:rPr>
          <w:rFonts w:eastAsia="Calibri"/>
          <w:lang w:val="ig-NG" w:eastAsia="en-GB"/>
        </w:rPr>
        <w:t>, Gonclaves</w:t>
      </w:r>
      <w:r w:rsidRPr="00DF5777">
        <w:rPr>
          <w:rFonts w:eastAsia="Calibri"/>
          <w:lang w:val="ig-NG" w:eastAsia="en-GB"/>
        </w:rPr>
        <w:t xml:space="preserve"> M.J</w:t>
      </w:r>
      <w:r>
        <w:rPr>
          <w:rFonts w:eastAsia="Calibri"/>
          <w:lang w:val="en-US" w:eastAsia="en-GB"/>
        </w:rPr>
        <w:t>.</w:t>
      </w:r>
      <w:r>
        <w:rPr>
          <w:rFonts w:eastAsia="Calibri"/>
          <w:lang w:val="ig-NG" w:eastAsia="en-GB"/>
        </w:rPr>
        <w:t>,  Azevedo</w:t>
      </w:r>
      <w:r w:rsidRPr="00DF5777">
        <w:rPr>
          <w:rFonts w:eastAsia="Calibri"/>
          <w:lang w:val="ig-NG" w:eastAsia="en-GB"/>
        </w:rPr>
        <w:t xml:space="preserve"> S</w:t>
      </w:r>
      <w:r>
        <w:rPr>
          <w:rFonts w:eastAsia="Calibri"/>
          <w:lang w:val="en-US" w:eastAsia="en-GB"/>
        </w:rPr>
        <w:t>.,</w:t>
      </w:r>
      <w:r>
        <w:rPr>
          <w:rFonts w:eastAsia="Calibri"/>
          <w:lang w:val="ig-NG" w:eastAsia="en-GB"/>
        </w:rPr>
        <w:t xml:space="preserve"> Ho</w:t>
      </w:r>
      <w:r w:rsidRPr="00DF5777">
        <w:rPr>
          <w:rFonts w:eastAsia="Calibri"/>
          <w:lang w:val="ig-NG" w:eastAsia="en-GB"/>
        </w:rPr>
        <w:t xml:space="preserve"> P</w:t>
      </w:r>
      <w:r>
        <w:rPr>
          <w:rFonts w:eastAsia="Calibri"/>
          <w:lang w:val="en-US" w:eastAsia="en-GB"/>
        </w:rPr>
        <w:t>.,</w:t>
      </w:r>
      <w:r>
        <w:rPr>
          <w:rFonts w:eastAsia="Calibri"/>
          <w:lang w:val="ig-NG" w:eastAsia="en-GB"/>
        </w:rPr>
        <w:t xml:space="preserve"> 2003,</w:t>
      </w:r>
      <w:r w:rsidRPr="00DF5777">
        <w:rPr>
          <w:rFonts w:eastAsia="Calibri"/>
          <w:lang w:val="ig-NG" w:eastAsia="en-GB"/>
        </w:rPr>
        <w:t xml:space="preserve"> Modelling of Sugar Crystallization through Knowledge integration, Engineering Life Science, 3, 1 – 8.</w:t>
      </w:r>
    </w:p>
    <w:p w:rsidR="00361137" w:rsidRPr="00DF5777" w:rsidRDefault="00361137" w:rsidP="00361137">
      <w:pPr>
        <w:pStyle w:val="CETReferencetext"/>
        <w:rPr>
          <w:rFonts w:eastAsia="Calibri"/>
          <w:lang w:val="ig-NG" w:eastAsia="en-GB"/>
        </w:rPr>
      </w:pPr>
      <w:r>
        <w:rPr>
          <w:rFonts w:eastAsia="Calibri"/>
          <w:bCs/>
          <w:lang w:val="ig-NG" w:eastAsia="en-GB"/>
        </w:rPr>
        <w:t>Iswanto N., Hardin</w:t>
      </w:r>
      <w:r w:rsidRPr="00DF5777">
        <w:rPr>
          <w:rFonts w:eastAsia="Calibri"/>
          <w:bCs/>
          <w:lang w:val="ig-NG" w:eastAsia="en-GB"/>
        </w:rPr>
        <w:t xml:space="preserve"> M.</w:t>
      </w:r>
      <w:r>
        <w:rPr>
          <w:rFonts w:eastAsia="Calibri"/>
          <w:bCs/>
          <w:lang w:val="en-US" w:eastAsia="en-GB"/>
        </w:rPr>
        <w:t>,</w:t>
      </w:r>
      <w:r>
        <w:rPr>
          <w:rFonts w:eastAsia="Calibri"/>
          <w:bCs/>
          <w:lang w:val="ig-NG" w:eastAsia="en-GB"/>
        </w:rPr>
        <w:t xml:space="preserve"> White</w:t>
      </w:r>
      <w:r w:rsidRPr="00DF5777">
        <w:rPr>
          <w:rFonts w:eastAsia="Calibri"/>
          <w:bCs/>
          <w:lang w:val="ig-NG" w:eastAsia="en-GB"/>
        </w:rPr>
        <w:t xml:space="preserve"> E.T.</w:t>
      </w:r>
      <w:r>
        <w:rPr>
          <w:rFonts w:eastAsia="Calibri"/>
          <w:bCs/>
          <w:lang w:val="en-US" w:eastAsia="en-GB"/>
        </w:rPr>
        <w:t xml:space="preserve">, </w:t>
      </w:r>
      <w:r>
        <w:rPr>
          <w:rFonts w:eastAsia="Calibri"/>
          <w:lang w:val="ig-NG" w:eastAsia="en-GB"/>
        </w:rPr>
        <w:t>2006,</w:t>
      </w:r>
      <w:r w:rsidRPr="00DF5777">
        <w:rPr>
          <w:rFonts w:eastAsia="Calibri"/>
          <w:lang w:val="ig-NG" w:eastAsia="en-GB"/>
        </w:rPr>
        <w:t>The Growth Rate Spread of Sugar Seed Crystals. Proc. Aus</w:t>
      </w:r>
      <w:r>
        <w:rPr>
          <w:rFonts w:eastAsia="Calibri"/>
          <w:lang w:val="ig-NG" w:eastAsia="en-GB"/>
        </w:rPr>
        <w:t>t. Soc. Sugar Cane Technol., 28,</w:t>
      </w:r>
      <w:r w:rsidRPr="00DF5777">
        <w:rPr>
          <w:rFonts w:eastAsia="Calibri"/>
          <w:lang w:val="ig-NG" w:eastAsia="en-GB"/>
        </w:rPr>
        <w:t xml:space="preserve"> 474- 482.</w:t>
      </w:r>
    </w:p>
    <w:p w:rsidR="00361137" w:rsidRPr="00DF5777" w:rsidRDefault="00361137" w:rsidP="00361137">
      <w:pPr>
        <w:pStyle w:val="CETReferencetext"/>
        <w:rPr>
          <w:rFonts w:eastAsia="Calibri"/>
          <w:lang w:val="ig-NG" w:eastAsia="en-GB"/>
        </w:rPr>
      </w:pPr>
      <w:r>
        <w:rPr>
          <w:rFonts w:eastAsia="Calibri"/>
          <w:bCs/>
          <w:lang w:val="ig-NG" w:eastAsia="en-GB"/>
        </w:rPr>
        <w:t>Iswanto N., Hardin M., White</w:t>
      </w:r>
      <w:r w:rsidRPr="00DF5777">
        <w:rPr>
          <w:rFonts w:eastAsia="Calibri"/>
          <w:bCs/>
          <w:lang w:val="ig-NG" w:eastAsia="en-GB"/>
        </w:rPr>
        <w:t xml:space="preserve"> E.T.</w:t>
      </w:r>
      <w:r>
        <w:rPr>
          <w:rFonts w:eastAsia="Calibri"/>
          <w:bCs/>
          <w:lang w:val="en-US" w:eastAsia="en-GB"/>
        </w:rPr>
        <w:t>,</w:t>
      </w:r>
      <w:r>
        <w:rPr>
          <w:rFonts w:eastAsia="Calibri"/>
          <w:bCs/>
          <w:lang w:val="ig-NG" w:eastAsia="en-GB"/>
        </w:rPr>
        <w:t xml:space="preserve"> Broadfoot</w:t>
      </w:r>
      <w:r w:rsidRPr="00DF5777">
        <w:rPr>
          <w:rFonts w:eastAsia="Calibri"/>
          <w:bCs/>
          <w:lang w:val="ig-NG" w:eastAsia="en-GB"/>
        </w:rPr>
        <w:t xml:space="preserve"> R.</w:t>
      </w:r>
      <w:r>
        <w:rPr>
          <w:rFonts w:eastAsia="Calibri"/>
          <w:bCs/>
          <w:lang w:val="en-US" w:eastAsia="en-GB"/>
        </w:rPr>
        <w:t>,</w:t>
      </w:r>
      <w:r>
        <w:rPr>
          <w:rFonts w:eastAsia="Calibri"/>
          <w:lang w:val="ig-NG" w:eastAsia="en-GB"/>
        </w:rPr>
        <w:t xml:space="preserve">2007, </w:t>
      </w:r>
      <w:r w:rsidRPr="00DF5777">
        <w:rPr>
          <w:rFonts w:eastAsia="Calibri"/>
          <w:lang w:val="ig-NG" w:eastAsia="en-GB"/>
        </w:rPr>
        <w:t>Measurement of crystal Size spread through the high grade pan stage for an Indon</w:t>
      </w:r>
      <w:r>
        <w:rPr>
          <w:rFonts w:eastAsia="Calibri"/>
          <w:lang w:val="ig-NG" w:eastAsia="en-GB"/>
        </w:rPr>
        <w:t>esian and an Australian factory,</w:t>
      </w:r>
      <w:r w:rsidRPr="00DF5777">
        <w:rPr>
          <w:rFonts w:eastAsia="Calibri"/>
          <w:lang w:val="ig-NG" w:eastAsia="en-GB"/>
        </w:rPr>
        <w:t xml:space="preserve"> Proc. Aust</w:t>
      </w:r>
      <w:r>
        <w:rPr>
          <w:rFonts w:eastAsia="Calibri"/>
          <w:lang w:val="ig-NG" w:eastAsia="en-GB"/>
        </w:rPr>
        <w:t xml:space="preserve">. Soc. Sugar Cane Technol., 29, </w:t>
      </w:r>
      <w:r w:rsidRPr="00DF5777">
        <w:rPr>
          <w:rFonts w:eastAsia="Calibri"/>
          <w:lang w:val="ig-NG" w:eastAsia="en-GB"/>
        </w:rPr>
        <w:t>374 - 382.</w:t>
      </w:r>
    </w:p>
    <w:p w:rsidR="00361137" w:rsidRPr="00DF5777" w:rsidRDefault="00361137" w:rsidP="00361137">
      <w:pPr>
        <w:pStyle w:val="CETReferencetext"/>
        <w:rPr>
          <w:rFonts w:ascii="Calibri" w:eastAsia="Calibri" w:hAnsi="Calibri"/>
          <w:sz w:val="22"/>
          <w:szCs w:val="22"/>
          <w:lang w:val="ig-NG"/>
        </w:rPr>
      </w:pPr>
      <w:r>
        <w:rPr>
          <w:rFonts w:eastAsia="Calibri"/>
          <w:lang w:val="ig-NG" w:eastAsia="en-GB"/>
        </w:rPr>
        <w:lastRenderedPageBreak/>
        <w:t>Lauret</w:t>
      </w:r>
      <w:r w:rsidRPr="00DF5777">
        <w:rPr>
          <w:rFonts w:eastAsia="Calibri"/>
          <w:lang w:val="ig-NG" w:eastAsia="en-GB"/>
        </w:rPr>
        <w:t xml:space="preserve"> P.</w:t>
      </w:r>
      <w:r>
        <w:rPr>
          <w:rFonts w:eastAsia="Calibri"/>
          <w:lang w:val="en-US" w:eastAsia="en-GB"/>
        </w:rPr>
        <w:t>,</w:t>
      </w:r>
      <w:r>
        <w:rPr>
          <w:rFonts w:eastAsia="Calibri"/>
          <w:lang w:val="ig-NG" w:eastAsia="en-GB"/>
        </w:rPr>
        <w:t xml:space="preserve"> 2000,</w:t>
      </w:r>
      <w:r w:rsidRPr="00DF5777">
        <w:rPr>
          <w:rFonts w:eastAsia="Calibri"/>
          <w:lang w:val="ig-NG" w:eastAsia="en-GB"/>
        </w:rPr>
        <w:t xml:space="preserve"> Hybrid model</w:t>
      </w:r>
      <w:r>
        <w:rPr>
          <w:rFonts w:eastAsia="Calibri"/>
          <w:lang w:val="ig-NG" w:eastAsia="en-GB"/>
        </w:rPr>
        <w:t>ling of a sugar boiling process,</w:t>
      </w:r>
      <w:r w:rsidRPr="00DF5777">
        <w:rPr>
          <w:rFonts w:eastAsia="Calibri"/>
          <w:lang w:val="ig-NG" w:eastAsia="en-GB"/>
        </w:rPr>
        <w:t xml:space="preserve"> Control Engineering Practice, 299-310.</w:t>
      </w:r>
    </w:p>
    <w:p w:rsidR="00361137" w:rsidRPr="00DF5777" w:rsidRDefault="00361137" w:rsidP="00361137">
      <w:pPr>
        <w:pStyle w:val="CETReferencetext"/>
        <w:rPr>
          <w:rFonts w:ascii="Calibri" w:eastAsia="Calibri" w:hAnsi="Calibri"/>
          <w:sz w:val="22"/>
          <w:szCs w:val="22"/>
          <w:lang w:val="ig-NG"/>
        </w:rPr>
      </w:pPr>
      <w:r>
        <w:rPr>
          <w:rFonts w:eastAsia="Calibri"/>
          <w:lang w:val="ig-NG" w:eastAsia="en-GB"/>
        </w:rPr>
        <w:t>Luis A., Petia</w:t>
      </w:r>
      <w:r w:rsidRPr="00DF5777">
        <w:rPr>
          <w:rFonts w:eastAsia="Calibri"/>
          <w:lang w:val="ig-NG" w:eastAsia="en-GB"/>
        </w:rPr>
        <w:t xml:space="preserve"> G.</w:t>
      </w:r>
      <w:r>
        <w:rPr>
          <w:rFonts w:eastAsia="Calibri"/>
          <w:lang w:val="en-US" w:eastAsia="en-GB"/>
        </w:rPr>
        <w:t>,</w:t>
      </w:r>
      <w:r>
        <w:rPr>
          <w:rFonts w:eastAsia="Calibri"/>
          <w:lang w:val="ig-NG" w:eastAsia="en-GB"/>
        </w:rPr>
        <w:t xml:space="preserve"> Sebastiao</w:t>
      </w:r>
      <w:r w:rsidRPr="00DF5777">
        <w:rPr>
          <w:rFonts w:eastAsia="Calibri"/>
          <w:lang w:val="ig-NG" w:eastAsia="en-GB"/>
        </w:rPr>
        <w:t xml:space="preserve"> F.</w:t>
      </w:r>
      <w:r>
        <w:rPr>
          <w:rFonts w:eastAsia="Calibri"/>
          <w:lang w:val="en-US" w:eastAsia="en-GB"/>
        </w:rPr>
        <w:t>,</w:t>
      </w:r>
      <w:r>
        <w:rPr>
          <w:rFonts w:eastAsia="Calibri"/>
          <w:lang w:val="ig-NG" w:eastAsia="en-GB"/>
        </w:rPr>
        <w:t xml:space="preserve"> 2011,</w:t>
      </w:r>
      <w:r w:rsidRPr="00DF5777">
        <w:rPr>
          <w:rFonts w:eastAsia="Calibri"/>
          <w:lang w:val="ig-NG" w:eastAsia="en-GB"/>
        </w:rPr>
        <w:t xml:space="preserve"> Model Predictive Control Strategies for Batc</w:t>
      </w:r>
      <w:r>
        <w:rPr>
          <w:rFonts w:eastAsia="Calibri"/>
          <w:lang w:val="ig-NG" w:eastAsia="en-GB"/>
        </w:rPr>
        <w:t>h Sugar</w:t>
      </w:r>
      <w:r>
        <w:rPr>
          <w:rFonts w:eastAsia="Calibri"/>
          <w:lang w:val="ig-NG" w:eastAsia="en-GB"/>
        </w:rPr>
        <w:br/>
        <w:t>Crystallization Process,</w:t>
      </w:r>
      <w:r w:rsidRPr="00DF5777">
        <w:rPr>
          <w:rFonts w:eastAsia="Calibri"/>
          <w:lang w:val="ig-NG" w:eastAsia="en-GB"/>
        </w:rPr>
        <w:t xml:space="preserve"> In: Tao, Z. (Ed.), Advanced Model Predictive Control, Croatia:</w:t>
      </w:r>
      <w:r w:rsidRPr="00DF5777">
        <w:rPr>
          <w:rFonts w:eastAsia="Calibri"/>
          <w:lang w:val="ig-NG" w:eastAsia="en-GB"/>
        </w:rPr>
        <w:br/>
        <w:t>InTech Slavka Krautzeka 83/A51000 Rijeka, Croatia, pp. 225-244.</w:t>
      </w:r>
    </w:p>
    <w:p w:rsidR="00361137" w:rsidRPr="00DF5777" w:rsidRDefault="00361137" w:rsidP="00361137">
      <w:pPr>
        <w:pStyle w:val="CETReferencetext"/>
        <w:rPr>
          <w:rFonts w:ascii="Calibri" w:eastAsia="Calibri" w:hAnsi="Calibri"/>
          <w:sz w:val="22"/>
          <w:szCs w:val="22"/>
          <w:lang w:val="ig-NG"/>
        </w:rPr>
      </w:pPr>
      <w:r>
        <w:rPr>
          <w:rFonts w:eastAsia="Calibri"/>
          <w:lang w:val="ig-NG" w:eastAsia="en-GB"/>
        </w:rPr>
        <w:t>Meenesh</w:t>
      </w:r>
      <w:r w:rsidRPr="00DF5777">
        <w:rPr>
          <w:rFonts w:eastAsia="Calibri"/>
          <w:lang w:val="ig-NG" w:eastAsia="en-GB"/>
        </w:rPr>
        <w:t xml:space="preserve"> S., Jayanta C., Nandkishor N., H</w:t>
      </w:r>
      <w:r>
        <w:rPr>
          <w:rFonts w:eastAsia="Calibri"/>
          <w:lang w:val="ig-NG" w:eastAsia="en-GB"/>
        </w:rPr>
        <w:t xml:space="preserve">sien-Hsin T., Shailendra B., </w:t>
      </w:r>
      <w:r w:rsidRPr="00DF5777">
        <w:rPr>
          <w:rFonts w:eastAsia="Calibri"/>
          <w:lang w:val="ig-NG" w:eastAsia="en-GB"/>
        </w:rPr>
        <w:t xml:space="preserve"> Doraiswami R.</w:t>
      </w:r>
      <w:r>
        <w:rPr>
          <w:rFonts w:eastAsia="Calibri"/>
          <w:lang w:val="en-US" w:eastAsia="en-GB"/>
        </w:rPr>
        <w:t>,</w:t>
      </w:r>
      <w:r>
        <w:rPr>
          <w:rFonts w:eastAsia="Calibri"/>
          <w:lang w:val="ig-NG" w:eastAsia="en-GB"/>
        </w:rPr>
        <w:t xml:space="preserve"> 2012,</w:t>
      </w:r>
      <w:r w:rsidRPr="00DF5777">
        <w:rPr>
          <w:rFonts w:eastAsia="Calibri"/>
          <w:lang w:val="ig-NG" w:eastAsia="en-GB"/>
        </w:rPr>
        <w:t xml:space="preserve">  Image-Analysis-Based Method for 3D Crystal Morphology Measurement and Polymorph Identific</w:t>
      </w:r>
      <w:r>
        <w:rPr>
          <w:rFonts w:eastAsia="Calibri"/>
          <w:lang w:val="ig-NG" w:eastAsia="en-GB"/>
        </w:rPr>
        <w:t>ation Using Confocal Microscopy, American Chemical Society, 12,</w:t>
      </w:r>
      <w:r w:rsidRPr="00DF5777">
        <w:rPr>
          <w:rFonts w:eastAsia="Calibri"/>
          <w:lang w:val="ig-NG" w:eastAsia="en-GB"/>
        </w:rPr>
        <w:t xml:space="preserve"> 3735-3748.</w:t>
      </w:r>
    </w:p>
    <w:p w:rsidR="00361137" w:rsidRPr="00DF5777" w:rsidRDefault="00361137" w:rsidP="00361137">
      <w:pPr>
        <w:pStyle w:val="CETReferencetext"/>
        <w:rPr>
          <w:rFonts w:ascii="Calibri" w:eastAsia="Calibri" w:hAnsi="Calibri"/>
          <w:sz w:val="22"/>
          <w:szCs w:val="22"/>
          <w:lang w:val="ig-NG"/>
        </w:rPr>
      </w:pPr>
      <w:r>
        <w:rPr>
          <w:rFonts w:eastAsia="Calibri"/>
          <w:lang w:val="ig-NG" w:eastAsia="en-GB"/>
        </w:rPr>
        <w:t>Presles B., Johan D., Alain</w:t>
      </w:r>
      <w:r w:rsidRPr="00DF5777">
        <w:rPr>
          <w:rFonts w:eastAsia="Calibri"/>
          <w:lang w:val="ig-NG" w:eastAsia="en-GB"/>
        </w:rPr>
        <w:t xml:space="preserve"> R., Je</w:t>
      </w:r>
      <w:r>
        <w:rPr>
          <w:rFonts w:eastAsia="Calibri"/>
          <w:lang w:val="ig-NG" w:eastAsia="en-GB"/>
        </w:rPr>
        <w:t xml:space="preserve">an-Charles P., </w:t>
      </w:r>
      <w:r w:rsidRPr="00DF5777">
        <w:rPr>
          <w:rFonts w:eastAsia="Calibri"/>
          <w:lang w:val="ig-NG" w:eastAsia="en-GB"/>
        </w:rPr>
        <w:t>Gilles F.</w:t>
      </w:r>
      <w:r>
        <w:rPr>
          <w:rFonts w:eastAsia="Calibri"/>
          <w:lang w:val="en-US" w:eastAsia="en-GB"/>
        </w:rPr>
        <w:t>,</w:t>
      </w:r>
      <w:r>
        <w:rPr>
          <w:rFonts w:eastAsia="Calibri"/>
          <w:lang w:val="ig-NG" w:eastAsia="en-GB"/>
        </w:rPr>
        <w:t xml:space="preserve"> 2009,</w:t>
      </w:r>
      <w:r w:rsidRPr="00DF5777">
        <w:rPr>
          <w:rFonts w:eastAsia="Calibri"/>
          <w:lang w:val="ig-NG" w:eastAsia="en-GB"/>
        </w:rPr>
        <w:t xml:space="preserve"> In situ particle size measurements during crystallization</w:t>
      </w:r>
      <w:r>
        <w:rPr>
          <w:rFonts w:eastAsia="Calibri"/>
          <w:lang w:val="ig-NG" w:eastAsia="en-GB"/>
        </w:rPr>
        <w:t xml:space="preserve"> processes using image analysis,</w:t>
      </w:r>
      <w:r w:rsidRPr="00DF5777">
        <w:rPr>
          <w:rFonts w:eastAsia="Calibri"/>
          <w:lang w:val="ig-NG" w:eastAsia="en-GB"/>
        </w:rPr>
        <w:t xml:space="preserve"> Nicolas Roche. XII ° Congrès de la Société Française de Génie des Procédés Pour relever les défs industriels du XXI° siècle A la croisée des Sciences et des Cultures,</w:t>
      </w:r>
    </w:p>
    <w:p w:rsidR="00361137" w:rsidRPr="00DF5777" w:rsidRDefault="00361137" w:rsidP="00361137">
      <w:pPr>
        <w:pStyle w:val="CETReferencetext"/>
        <w:rPr>
          <w:rFonts w:eastAsia="Calibri"/>
          <w:lang w:val="ig-NG" w:eastAsia="en-GB"/>
        </w:rPr>
      </w:pPr>
      <w:r>
        <w:rPr>
          <w:rFonts w:eastAsia="Calibri"/>
          <w:lang w:val="ig-NG" w:eastAsia="en-GB"/>
        </w:rPr>
        <w:t>Shooness-Muir B.</w:t>
      </w:r>
      <w:r w:rsidRPr="00DF5777">
        <w:rPr>
          <w:rFonts w:eastAsia="Calibri"/>
          <w:lang w:val="ig-NG" w:eastAsia="en-GB"/>
        </w:rPr>
        <w:t>M.</w:t>
      </w:r>
      <w:r>
        <w:rPr>
          <w:rFonts w:eastAsia="Calibri"/>
          <w:lang w:val="en-US" w:eastAsia="en-GB"/>
        </w:rPr>
        <w:t>,</w:t>
      </w:r>
      <w:r>
        <w:rPr>
          <w:rFonts w:eastAsia="Calibri"/>
          <w:lang w:val="ig-NG" w:eastAsia="en-GB"/>
        </w:rPr>
        <w:t xml:space="preserve"> Gooch M.</w:t>
      </w:r>
      <w:r w:rsidRPr="00DF5777">
        <w:rPr>
          <w:rFonts w:eastAsia="Calibri"/>
          <w:lang w:val="ig-NG" w:eastAsia="en-GB"/>
        </w:rPr>
        <w:t>A.</w:t>
      </w:r>
      <w:r>
        <w:rPr>
          <w:rFonts w:eastAsia="Calibri"/>
          <w:lang w:val="en-US" w:eastAsia="en-GB"/>
        </w:rPr>
        <w:t>,</w:t>
      </w:r>
      <w:r>
        <w:rPr>
          <w:rFonts w:eastAsia="Calibri"/>
          <w:lang w:val="ig-NG" w:eastAsia="en-GB"/>
        </w:rPr>
        <w:t xml:space="preserve"> 2008,</w:t>
      </w:r>
      <w:r w:rsidRPr="00DF5777">
        <w:rPr>
          <w:rFonts w:eastAsia="Calibri"/>
          <w:lang w:val="ig-NG" w:eastAsia="en-GB"/>
        </w:rPr>
        <w:t xml:space="preserve"> The use of Ultrasound for On-line Crystal S</w:t>
      </w:r>
      <w:r>
        <w:rPr>
          <w:rFonts w:eastAsia="Calibri"/>
          <w:lang w:val="ig-NG" w:eastAsia="en-GB"/>
        </w:rPr>
        <w:t>ize Distribution (CSD) Analyses, Proc S Afr Sug Technol Ass 81,</w:t>
      </w:r>
      <w:r w:rsidRPr="00DF5777">
        <w:rPr>
          <w:rFonts w:eastAsia="Calibri"/>
          <w:lang w:val="ig-NG" w:eastAsia="en-GB"/>
        </w:rPr>
        <w:t xml:space="preserve"> 204 – 208.</w:t>
      </w:r>
    </w:p>
    <w:p w:rsidR="00361137" w:rsidRPr="00BB6C6E" w:rsidRDefault="00361137" w:rsidP="00361137">
      <w:pPr>
        <w:pStyle w:val="CETReferencetext"/>
        <w:rPr>
          <w:rFonts w:eastAsia="Calibri"/>
          <w:lang w:val="en-US" w:eastAsia="en-GB"/>
        </w:rPr>
      </w:pPr>
      <w:r>
        <w:rPr>
          <w:rFonts w:eastAsia="Calibri"/>
          <w:lang w:val="ig-NG" w:eastAsia="en-GB"/>
        </w:rPr>
        <w:t>Umo A.</w:t>
      </w:r>
      <w:r w:rsidRPr="00DF5777">
        <w:rPr>
          <w:rFonts w:eastAsia="Calibri"/>
          <w:lang w:val="ig-NG" w:eastAsia="en-GB"/>
        </w:rPr>
        <w:t>M.</w:t>
      </w:r>
      <w:r>
        <w:rPr>
          <w:rFonts w:eastAsia="Calibri"/>
          <w:lang w:val="en-US" w:eastAsia="en-GB"/>
        </w:rPr>
        <w:t>,</w:t>
      </w:r>
      <w:r>
        <w:rPr>
          <w:rFonts w:eastAsia="Calibri"/>
          <w:lang w:val="ig-NG" w:eastAsia="en-GB"/>
        </w:rPr>
        <w:t xml:space="preserve"> Alabi S.</w:t>
      </w:r>
      <w:r w:rsidRPr="00DF5777">
        <w:rPr>
          <w:rFonts w:eastAsia="Calibri"/>
          <w:lang w:val="ig-NG" w:eastAsia="en-GB"/>
        </w:rPr>
        <w:t>B.</w:t>
      </w:r>
      <w:r>
        <w:rPr>
          <w:rFonts w:eastAsia="Calibri"/>
          <w:lang w:val="en-US" w:eastAsia="en-GB"/>
        </w:rPr>
        <w:t>,</w:t>
      </w:r>
      <w:r w:rsidRPr="00DF5777">
        <w:rPr>
          <w:rFonts w:eastAsia="Calibri"/>
          <w:lang w:val="ig-NG" w:eastAsia="en-GB"/>
        </w:rPr>
        <w:t>201</w:t>
      </w:r>
      <w:r w:rsidRPr="00DF5777">
        <w:rPr>
          <w:rFonts w:eastAsia="Calibri"/>
          <w:lang w:val="en-US" w:eastAsia="en-GB"/>
        </w:rPr>
        <w:t>6</w:t>
      </w:r>
      <w:r>
        <w:rPr>
          <w:rFonts w:eastAsia="Calibri"/>
          <w:lang w:val="ig-NG" w:eastAsia="en-GB"/>
        </w:rPr>
        <w:t xml:space="preserve">, </w:t>
      </w:r>
      <w:r w:rsidRPr="00DF5777">
        <w:rPr>
          <w:rFonts w:eastAsia="Calibri"/>
          <w:lang w:val="ig-NG" w:eastAsia="en-GB"/>
        </w:rPr>
        <w:t>Predictive Model for Post-Seeding Super-Saturation of Sugar Massecuite in a Fed</w:t>
      </w:r>
      <w:r>
        <w:rPr>
          <w:rFonts w:eastAsia="Calibri"/>
          <w:lang w:val="ig-NG" w:eastAsia="en-GB"/>
        </w:rPr>
        <w:t>-Batch Evaporative Crystalliser,</w:t>
      </w:r>
      <w:r w:rsidRPr="00DF5777">
        <w:rPr>
          <w:rFonts w:eastAsia="Calibri"/>
          <w:lang w:val="ig-NG" w:eastAsia="en-GB"/>
        </w:rPr>
        <w:t xml:space="preserve"> International Jo</w:t>
      </w:r>
      <w:r>
        <w:rPr>
          <w:rFonts w:eastAsia="Calibri"/>
          <w:lang w:val="ig-NG" w:eastAsia="en-GB"/>
        </w:rPr>
        <w:t>urnal of Food Engineering, 2(2),</w:t>
      </w:r>
      <w:r w:rsidRPr="00DF5777">
        <w:rPr>
          <w:rFonts w:eastAsia="Calibri"/>
          <w:lang w:val="ig-NG" w:eastAsia="en-GB"/>
        </w:rPr>
        <w:t xml:space="preserve"> 119-123</w:t>
      </w:r>
      <w:r>
        <w:rPr>
          <w:rFonts w:eastAsia="Calibri"/>
          <w:lang w:val="en-US" w:eastAsia="en-GB"/>
        </w:rPr>
        <w:t>.</w:t>
      </w:r>
    </w:p>
    <w:p w:rsidR="00361137" w:rsidRPr="00DF5777" w:rsidRDefault="00361137" w:rsidP="00361137">
      <w:pPr>
        <w:pStyle w:val="CETReferencetext"/>
        <w:rPr>
          <w:rFonts w:eastAsia="Calibri"/>
          <w:lang w:val="ig-NG" w:eastAsia="en-GB"/>
        </w:rPr>
      </w:pPr>
      <w:r>
        <w:rPr>
          <w:rFonts w:eastAsia="Calibri"/>
          <w:bCs/>
          <w:lang w:val="ig-NG" w:eastAsia="en-GB"/>
        </w:rPr>
        <w:t>White E.T., Mackintosh D.L., Butler B.K., Zhang</w:t>
      </w:r>
      <w:r w:rsidRPr="00DF5777">
        <w:rPr>
          <w:rFonts w:eastAsia="Calibri"/>
          <w:bCs/>
          <w:lang w:val="ig-NG" w:eastAsia="en-GB"/>
        </w:rPr>
        <w:t xml:space="preserve"> H.</w:t>
      </w:r>
      <w:r>
        <w:rPr>
          <w:rFonts w:eastAsia="Calibri"/>
          <w:bCs/>
          <w:lang w:val="en-US" w:eastAsia="en-GB"/>
        </w:rPr>
        <w:t>,</w:t>
      </w:r>
      <w:r>
        <w:rPr>
          <w:rFonts w:eastAsia="Calibri"/>
          <w:bCs/>
          <w:lang w:val="ig-NG" w:eastAsia="en-GB"/>
        </w:rPr>
        <w:t xml:space="preserve"> Johns</w:t>
      </w:r>
      <w:r w:rsidRPr="00DF5777">
        <w:rPr>
          <w:rFonts w:eastAsia="Calibri"/>
          <w:bCs/>
          <w:lang w:val="ig-NG" w:eastAsia="en-GB"/>
        </w:rPr>
        <w:t xml:space="preserve"> M.R.</w:t>
      </w:r>
      <w:r>
        <w:rPr>
          <w:rFonts w:eastAsia="Calibri"/>
          <w:bCs/>
          <w:lang w:val="en-US" w:eastAsia="en-GB"/>
        </w:rPr>
        <w:t>,</w:t>
      </w:r>
      <w:r>
        <w:rPr>
          <w:rFonts w:eastAsia="Calibri"/>
          <w:lang w:val="ig-NG" w:eastAsia="en-GB"/>
        </w:rPr>
        <w:t xml:space="preserve"> 1998,</w:t>
      </w:r>
      <w:r w:rsidRPr="00DF5777">
        <w:rPr>
          <w:rFonts w:eastAsia="Calibri"/>
          <w:lang w:val="ig-NG" w:eastAsia="en-GB"/>
        </w:rPr>
        <w:t xml:space="preserve"> Modelling growth rate dispersion in sugar crystallisation, Proc. Aust</w:t>
      </w:r>
      <w:r>
        <w:rPr>
          <w:rFonts w:eastAsia="Calibri"/>
          <w:lang w:val="ig-NG" w:eastAsia="en-GB"/>
        </w:rPr>
        <w:t>. Soc. Sugar Cane Technol., 20, 524-</w:t>
      </w:r>
      <w:r w:rsidRPr="00DF5777">
        <w:rPr>
          <w:rFonts w:eastAsia="Calibri"/>
          <w:lang w:val="ig-NG" w:eastAsia="en-GB"/>
        </w:rPr>
        <w:t>531.</w:t>
      </w:r>
    </w:p>
    <w:p w:rsidR="00361137" w:rsidRPr="00DF5777" w:rsidRDefault="00361137" w:rsidP="00361137">
      <w:pPr>
        <w:pStyle w:val="CETReferencetext"/>
        <w:rPr>
          <w:rFonts w:ascii="Calibri" w:eastAsia="Calibri" w:hAnsi="Calibri"/>
          <w:sz w:val="22"/>
          <w:szCs w:val="22"/>
          <w:lang w:val="ig-NG"/>
        </w:rPr>
      </w:pPr>
      <w:r>
        <w:rPr>
          <w:rFonts w:eastAsia="Calibri"/>
          <w:lang w:val="ig-NG" w:eastAsia="en-GB"/>
        </w:rPr>
        <w:t xml:space="preserve">Wright </w:t>
      </w:r>
      <w:r w:rsidRPr="00DF5777">
        <w:rPr>
          <w:rFonts w:eastAsia="Calibri"/>
          <w:lang w:val="ig-NG" w:eastAsia="en-GB"/>
        </w:rPr>
        <w:t>P.G.</w:t>
      </w:r>
      <w:r>
        <w:rPr>
          <w:rFonts w:eastAsia="Calibri"/>
          <w:lang w:val="en-US" w:eastAsia="en-GB"/>
        </w:rPr>
        <w:t>,</w:t>
      </w:r>
      <w:r>
        <w:rPr>
          <w:rFonts w:eastAsia="Calibri"/>
          <w:lang w:val="ig-NG" w:eastAsia="en-GB"/>
        </w:rPr>
        <w:t xml:space="preserve"> White E.T., 1969,</w:t>
      </w:r>
      <w:r w:rsidRPr="00DF5777">
        <w:rPr>
          <w:rFonts w:eastAsia="Calibri"/>
          <w:lang w:val="ig-NG" w:eastAsia="en-GB"/>
        </w:rPr>
        <w:t xml:space="preserve"> Size Distribution S</w:t>
      </w:r>
      <w:r>
        <w:rPr>
          <w:rFonts w:eastAsia="Calibri"/>
          <w:lang w:val="ig-NG" w:eastAsia="en-GB"/>
        </w:rPr>
        <w:t>tudies in Sugar Crystallization,</w:t>
      </w:r>
      <w:r w:rsidRPr="00DF5777">
        <w:rPr>
          <w:rFonts w:eastAsia="Calibri"/>
          <w:lang w:val="ig-NG" w:eastAsia="en-GB"/>
        </w:rPr>
        <w:t xml:space="preserve"> Proc. Q</w:t>
      </w:r>
      <w:r>
        <w:rPr>
          <w:rFonts w:eastAsia="Calibri"/>
          <w:lang w:val="ig-NG" w:eastAsia="en-GB"/>
        </w:rPr>
        <w:t xml:space="preserve">d Soc. Sugar Cane Technol., 36, </w:t>
      </w:r>
      <w:r w:rsidRPr="00DF5777">
        <w:rPr>
          <w:rFonts w:eastAsia="Calibri"/>
          <w:lang w:val="ig-NG" w:eastAsia="en-GB"/>
        </w:rPr>
        <w:t>299-309</w:t>
      </w:r>
      <w:r w:rsidRPr="00DF5777">
        <w:rPr>
          <w:rFonts w:eastAsia="Calibri"/>
          <w:lang w:val="en-US" w:eastAsia="en-GB"/>
        </w:rPr>
        <w:t>.</w:t>
      </w:r>
    </w:p>
    <w:p w:rsidR="00361137" w:rsidRPr="00DF5777" w:rsidRDefault="00361137" w:rsidP="00361137">
      <w:pPr>
        <w:pStyle w:val="CETReferencetext"/>
        <w:rPr>
          <w:rFonts w:ascii="Calibri" w:eastAsia="Calibri" w:hAnsi="Calibri"/>
          <w:sz w:val="22"/>
          <w:szCs w:val="22"/>
          <w:lang w:val="ig-NG"/>
        </w:rPr>
      </w:pPr>
      <w:r>
        <w:rPr>
          <w:rFonts w:eastAsia="Calibri"/>
          <w:lang w:val="en-US" w:eastAsia="en-GB"/>
        </w:rPr>
        <w:t>Zhang</w:t>
      </w:r>
      <w:r w:rsidRPr="00DF5777">
        <w:rPr>
          <w:rFonts w:eastAsia="Calibri"/>
          <w:lang w:val="en-US" w:eastAsia="en-GB"/>
        </w:rPr>
        <w:t xml:space="preserve"> R</w:t>
      </w:r>
      <w:r>
        <w:rPr>
          <w:rFonts w:eastAsia="Calibri"/>
          <w:lang w:val="en-US" w:eastAsia="en-GB"/>
        </w:rPr>
        <w:t>., Ma</w:t>
      </w:r>
      <w:r w:rsidRPr="00DF5777">
        <w:rPr>
          <w:rFonts w:eastAsia="Calibri"/>
          <w:lang w:val="en-US" w:eastAsia="en-GB"/>
        </w:rPr>
        <w:t xml:space="preserve"> C</w:t>
      </w:r>
      <w:r>
        <w:rPr>
          <w:rFonts w:eastAsia="Calibri"/>
          <w:lang w:val="en-US" w:eastAsia="en-GB"/>
        </w:rPr>
        <w:t>., Liu</w:t>
      </w:r>
      <w:r w:rsidRPr="00DF5777">
        <w:rPr>
          <w:rFonts w:eastAsia="Calibri"/>
          <w:lang w:val="en-US" w:eastAsia="en-GB"/>
        </w:rPr>
        <w:t xml:space="preserve"> J</w:t>
      </w:r>
      <w:r>
        <w:rPr>
          <w:rFonts w:eastAsia="Calibri"/>
          <w:lang w:val="en-US" w:eastAsia="en-GB"/>
        </w:rPr>
        <w:t>.,</w:t>
      </w:r>
      <w:r w:rsidRPr="00DF5777">
        <w:rPr>
          <w:rFonts w:eastAsia="Calibri"/>
          <w:lang w:val="en-US" w:eastAsia="en-GB"/>
        </w:rPr>
        <w:t xml:space="preserve"> Xue Z.</w:t>
      </w:r>
      <w:r>
        <w:rPr>
          <w:rFonts w:eastAsia="Calibri"/>
          <w:lang w:val="en-US" w:eastAsia="en-GB"/>
        </w:rPr>
        <w:t>, 2015,</w:t>
      </w:r>
      <w:r w:rsidRPr="00DF5777">
        <w:rPr>
          <w:rFonts w:eastAsia="Calibri"/>
          <w:lang w:val="en-US" w:eastAsia="en-GB"/>
        </w:rPr>
        <w:t xml:space="preserve"> On-line measurement of the real size and shape of crystals in stirred tank crystalliser using no</w:t>
      </w:r>
      <w:r w:rsidR="00960729">
        <w:rPr>
          <w:rFonts w:eastAsia="Calibri"/>
          <w:lang w:val="en-US" w:eastAsia="en-GB"/>
        </w:rPr>
        <w:t>n-invasive stereo</w:t>
      </w:r>
      <w:r>
        <w:rPr>
          <w:rFonts w:eastAsia="Calibri"/>
          <w:lang w:val="en-US" w:eastAsia="en-GB"/>
        </w:rPr>
        <w:t>vision</w:t>
      </w:r>
      <w:r w:rsidR="00960729">
        <w:rPr>
          <w:rFonts w:eastAsia="Calibri"/>
          <w:lang w:val="en-US" w:eastAsia="en-GB"/>
        </w:rPr>
        <w:t xml:space="preserve"> </w:t>
      </w:r>
      <w:r>
        <w:rPr>
          <w:rFonts w:eastAsia="Calibri"/>
          <w:lang w:val="en-US" w:eastAsia="en-GB"/>
        </w:rPr>
        <w:t>imaging,</w:t>
      </w:r>
      <w:r w:rsidRPr="00DF5777">
        <w:rPr>
          <w:rFonts w:eastAsia="Calibri"/>
          <w:lang w:val="en-US" w:eastAsia="en-GB"/>
        </w:rPr>
        <w:t xml:space="preserve"> Ch</w:t>
      </w:r>
      <w:r>
        <w:rPr>
          <w:rFonts w:eastAsia="Calibri"/>
          <w:lang w:val="en-US" w:eastAsia="en-GB"/>
        </w:rPr>
        <w:t xml:space="preserve">emical Engineering Science, 137, </w:t>
      </w:r>
      <w:r w:rsidRPr="00DF5777">
        <w:rPr>
          <w:rFonts w:eastAsia="Calibri"/>
          <w:lang w:val="en-US" w:eastAsia="en-GB"/>
        </w:rPr>
        <w:t>9 - 21.</w:t>
      </w:r>
    </w:p>
    <w:p w:rsidR="00361137" w:rsidRDefault="00361137" w:rsidP="00361137">
      <w:pPr>
        <w:pStyle w:val="CETBodytext"/>
        <w:rPr>
          <w:lang w:val="en-GB"/>
        </w:rPr>
      </w:pPr>
    </w:p>
    <w:p w:rsidR="006B4888" w:rsidRPr="000D56D6" w:rsidRDefault="006B4888" w:rsidP="006B4888">
      <w:pPr>
        <w:pStyle w:val="CETReferencetext"/>
      </w:pPr>
    </w:p>
    <w:p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3D4" w:rsidRDefault="004863D4" w:rsidP="004F5E36">
      <w:r>
        <w:separator/>
      </w:r>
    </w:p>
  </w:endnote>
  <w:endnote w:type="continuationSeparator" w:id="1">
    <w:p w:rsidR="004863D4" w:rsidRDefault="004863D4"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3D4" w:rsidRDefault="004863D4" w:rsidP="004F5E36">
      <w:r>
        <w:separator/>
      </w:r>
    </w:p>
  </w:footnote>
  <w:footnote w:type="continuationSeparator" w:id="1">
    <w:p w:rsidR="004863D4" w:rsidRDefault="004863D4"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1001"/>
  <w:styleLockTheme/>
  <w:styleLockQFSet/>
  <w:defaultTabStop w:val="708"/>
  <w:hyphenationZone w:val="283"/>
  <w:clickAndTypeStyle w:val="CETBodytext"/>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0010"/>
    <w:rsid w:val="0003148D"/>
    <w:rsid w:val="000357E7"/>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0187B"/>
    <w:rsid w:val="0012091F"/>
    <w:rsid w:val="00126BC2"/>
    <w:rsid w:val="001308B6"/>
    <w:rsid w:val="0013121F"/>
    <w:rsid w:val="00131FAB"/>
    <w:rsid w:val="00131FE6"/>
    <w:rsid w:val="0013263F"/>
    <w:rsid w:val="00134DE4"/>
    <w:rsid w:val="0014034D"/>
    <w:rsid w:val="00146E47"/>
    <w:rsid w:val="00150E59"/>
    <w:rsid w:val="00152DE3"/>
    <w:rsid w:val="00164CF9"/>
    <w:rsid w:val="00172101"/>
    <w:rsid w:val="00173F71"/>
    <w:rsid w:val="00175F28"/>
    <w:rsid w:val="00183C5F"/>
    <w:rsid w:val="00184AD6"/>
    <w:rsid w:val="001A09EC"/>
    <w:rsid w:val="001B0349"/>
    <w:rsid w:val="001B65C1"/>
    <w:rsid w:val="001C684B"/>
    <w:rsid w:val="001D53FC"/>
    <w:rsid w:val="001F42A5"/>
    <w:rsid w:val="001F7B9D"/>
    <w:rsid w:val="002115DD"/>
    <w:rsid w:val="002224B4"/>
    <w:rsid w:val="002429BF"/>
    <w:rsid w:val="002447EF"/>
    <w:rsid w:val="00251118"/>
    <w:rsid w:val="00251550"/>
    <w:rsid w:val="00252C1A"/>
    <w:rsid w:val="00257A03"/>
    <w:rsid w:val="00263B05"/>
    <w:rsid w:val="0027221A"/>
    <w:rsid w:val="00275B61"/>
    <w:rsid w:val="00282656"/>
    <w:rsid w:val="00284017"/>
    <w:rsid w:val="00293852"/>
    <w:rsid w:val="00296B83"/>
    <w:rsid w:val="002B78CE"/>
    <w:rsid w:val="002C2FB6"/>
    <w:rsid w:val="002C5B59"/>
    <w:rsid w:val="002C6BC0"/>
    <w:rsid w:val="002D5BCD"/>
    <w:rsid w:val="003009B7"/>
    <w:rsid w:val="00300E56"/>
    <w:rsid w:val="0030469C"/>
    <w:rsid w:val="00321CA6"/>
    <w:rsid w:val="00322D28"/>
    <w:rsid w:val="00324F62"/>
    <w:rsid w:val="00334C09"/>
    <w:rsid w:val="003365E3"/>
    <w:rsid w:val="003542D0"/>
    <w:rsid w:val="00361137"/>
    <w:rsid w:val="003723D4"/>
    <w:rsid w:val="00384CC8"/>
    <w:rsid w:val="00386D25"/>
    <w:rsid w:val="003871FD"/>
    <w:rsid w:val="003878A8"/>
    <w:rsid w:val="003959A7"/>
    <w:rsid w:val="003A1E30"/>
    <w:rsid w:val="003A7D1C"/>
    <w:rsid w:val="003B304B"/>
    <w:rsid w:val="003B3146"/>
    <w:rsid w:val="003B60F3"/>
    <w:rsid w:val="003D54B5"/>
    <w:rsid w:val="003F015E"/>
    <w:rsid w:val="00400414"/>
    <w:rsid w:val="0041446B"/>
    <w:rsid w:val="004425B4"/>
    <w:rsid w:val="0044329C"/>
    <w:rsid w:val="004577FE"/>
    <w:rsid w:val="00457B9C"/>
    <w:rsid w:val="004606F6"/>
    <w:rsid w:val="0046164A"/>
    <w:rsid w:val="004628D2"/>
    <w:rsid w:val="00462DCD"/>
    <w:rsid w:val="004648AD"/>
    <w:rsid w:val="004703A9"/>
    <w:rsid w:val="004760DE"/>
    <w:rsid w:val="00480CE7"/>
    <w:rsid w:val="004825F4"/>
    <w:rsid w:val="004863D4"/>
    <w:rsid w:val="00491B2D"/>
    <w:rsid w:val="004A004E"/>
    <w:rsid w:val="004A24CF"/>
    <w:rsid w:val="004B60BC"/>
    <w:rsid w:val="004B6721"/>
    <w:rsid w:val="004C3D1D"/>
    <w:rsid w:val="004C7913"/>
    <w:rsid w:val="004E4DD6"/>
    <w:rsid w:val="004F35E9"/>
    <w:rsid w:val="004F5E36"/>
    <w:rsid w:val="00507B47"/>
    <w:rsid w:val="00507CC9"/>
    <w:rsid w:val="005119A5"/>
    <w:rsid w:val="0051685E"/>
    <w:rsid w:val="005278B7"/>
    <w:rsid w:val="00532016"/>
    <w:rsid w:val="005346C8"/>
    <w:rsid w:val="00543E7D"/>
    <w:rsid w:val="00546B05"/>
    <w:rsid w:val="00547A68"/>
    <w:rsid w:val="005531C9"/>
    <w:rsid w:val="005B2110"/>
    <w:rsid w:val="005B61E6"/>
    <w:rsid w:val="005C77E1"/>
    <w:rsid w:val="005D6A2F"/>
    <w:rsid w:val="005E0BF3"/>
    <w:rsid w:val="005E1A82"/>
    <w:rsid w:val="005E794C"/>
    <w:rsid w:val="005F0A28"/>
    <w:rsid w:val="005F0E5E"/>
    <w:rsid w:val="00600535"/>
    <w:rsid w:val="00610CD6"/>
    <w:rsid w:val="00620DEE"/>
    <w:rsid w:val="00621F92"/>
    <w:rsid w:val="00625639"/>
    <w:rsid w:val="00631B33"/>
    <w:rsid w:val="0064184D"/>
    <w:rsid w:val="006422CC"/>
    <w:rsid w:val="00652712"/>
    <w:rsid w:val="00660E3E"/>
    <w:rsid w:val="00662E74"/>
    <w:rsid w:val="00677049"/>
    <w:rsid w:val="00680C23"/>
    <w:rsid w:val="00693766"/>
    <w:rsid w:val="006A3281"/>
    <w:rsid w:val="006B4888"/>
    <w:rsid w:val="006C2E45"/>
    <w:rsid w:val="006C359C"/>
    <w:rsid w:val="006C445E"/>
    <w:rsid w:val="006C5579"/>
    <w:rsid w:val="006E53CB"/>
    <w:rsid w:val="006E737D"/>
    <w:rsid w:val="006F682B"/>
    <w:rsid w:val="0070195D"/>
    <w:rsid w:val="007160C3"/>
    <w:rsid w:val="00720A24"/>
    <w:rsid w:val="00732386"/>
    <w:rsid w:val="007447F3"/>
    <w:rsid w:val="0075499F"/>
    <w:rsid w:val="007661C8"/>
    <w:rsid w:val="0077098D"/>
    <w:rsid w:val="007931FA"/>
    <w:rsid w:val="007A7BBA"/>
    <w:rsid w:val="007B0C50"/>
    <w:rsid w:val="007C1A43"/>
    <w:rsid w:val="007E1DC6"/>
    <w:rsid w:val="00813288"/>
    <w:rsid w:val="008168FC"/>
    <w:rsid w:val="00830996"/>
    <w:rsid w:val="008345F1"/>
    <w:rsid w:val="00865B07"/>
    <w:rsid w:val="008667EA"/>
    <w:rsid w:val="008753AE"/>
    <w:rsid w:val="0087637F"/>
    <w:rsid w:val="008904B9"/>
    <w:rsid w:val="00892AD5"/>
    <w:rsid w:val="008A1512"/>
    <w:rsid w:val="008B275E"/>
    <w:rsid w:val="008B7745"/>
    <w:rsid w:val="008C78C1"/>
    <w:rsid w:val="008D32B9"/>
    <w:rsid w:val="008D433B"/>
    <w:rsid w:val="008E566E"/>
    <w:rsid w:val="0090161A"/>
    <w:rsid w:val="00901EB6"/>
    <w:rsid w:val="00904C62"/>
    <w:rsid w:val="00924DAC"/>
    <w:rsid w:val="00927058"/>
    <w:rsid w:val="009450CE"/>
    <w:rsid w:val="00947179"/>
    <w:rsid w:val="0095164B"/>
    <w:rsid w:val="00952F00"/>
    <w:rsid w:val="00954090"/>
    <w:rsid w:val="009573E7"/>
    <w:rsid w:val="00960729"/>
    <w:rsid w:val="009635B9"/>
    <w:rsid w:val="00963E05"/>
    <w:rsid w:val="00967D54"/>
    <w:rsid w:val="00985D3D"/>
    <w:rsid w:val="00996483"/>
    <w:rsid w:val="00996F5A"/>
    <w:rsid w:val="009A0A3E"/>
    <w:rsid w:val="009A2DA0"/>
    <w:rsid w:val="009B041A"/>
    <w:rsid w:val="009C7C86"/>
    <w:rsid w:val="009D2FF7"/>
    <w:rsid w:val="009E7884"/>
    <w:rsid w:val="009E788A"/>
    <w:rsid w:val="009F0E08"/>
    <w:rsid w:val="00A1763D"/>
    <w:rsid w:val="00A17CEC"/>
    <w:rsid w:val="00A27EF0"/>
    <w:rsid w:val="00A33B61"/>
    <w:rsid w:val="00A3686C"/>
    <w:rsid w:val="00A50B20"/>
    <w:rsid w:val="00A51390"/>
    <w:rsid w:val="00A53A3C"/>
    <w:rsid w:val="00A60D13"/>
    <w:rsid w:val="00A72745"/>
    <w:rsid w:val="00A76EFC"/>
    <w:rsid w:val="00A8628C"/>
    <w:rsid w:val="00A91010"/>
    <w:rsid w:val="00A97F29"/>
    <w:rsid w:val="00AA537D"/>
    <w:rsid w:val="00AA702E"/>
    <w:rsid w:val="00AB0964"/>
    <w:rsid w:val="00AB5011"/>
    <w:rsid w:val="00AC7368"/>
    <w:rsid w:val="00AD16B9"/>
    <w:rsid w:val="00AE377D"/>
    <w:rsid w:val="00B17FBD"/>
    <w:rsid w:val="00B315A6"/>
    <w:rsid w:val="00B31813"/>
    <w:rsid w:val="00B33365"/>
    <w:rsid w:val="00B57B36"/>
    <w:rsid w:val="00B84D3D"/>
    <w:rsid w:val="00B8686D"/>
    <w:rsid w:val="00B86D99"/>
    <w:rsid w:val="00B91E30"/>
    <w:rsid w:val="00BC30C9"/>
    <w:rsid w:val="00BE3E58"/>
    <w:rsid w:val="00C01616"/>
    <w:rsid w:val="00C0162B"/>
    <w:rsid w:val="00C25D00"/>
    <w:rsid w:val="00C3188F"/>
    <w:rsid w:val="00C345B1"/>
    <w:rsid w:val="00C40142"/>
    <w:rsid w:val="00C57182"/>
    <w:rsid w:val="00C57863"/>
    <w:rsid w:val="00C655FD"/>
    <w:rsid w:val="00C870A8"/>
    <w:rsid w:val="00C87172"/>
    <w:rsid w:val="00C94434"/>
    <w:rsid w:val="00CA0D75"/>
    <w:rsid w:val="00CA1C95"/>
    <w:rsid w:val="00CA1D29"/>
    <w:rsid w:val="00CA5A9C"/>
    <w:rsid w:val="00CD3517"/>
    <w:rsid w:val="00CD5A00"/>
    <w:rsid w:val="00CD5FE2"/>
    <w:rsid w:val="00CE7C68"/>
    <w:rsid w:val="00D02B4C"/>
    <w:rsid w:val="00D040C4"/>
    <w:rsid w:val="00D0707A"/>
    <w:rsid w:val="00D225DB"/>
    <w:rsid w:val="00D37E94"/>
    <w:rsid w:val="00D410FC"/>
    <w:rsid w:val="00D57C84"/>
    <w:rsid w:val="00D6057D"/>
    <w:rsid w:val="00D76DA6"/>
    <w:rsid w:val="00D82461"/>
    <w:rsid w:val="00D84576"/>
    <w:rsid w:val="00DA1399"/>
    <w:rsid w:val="00DA24C6"/>
    <w:rsid w:val="00DA4D7B"/>
    <w:rsid w:val="00DE264A"/>
    <w:rsid w:val="00DE3E47"/>
    <w:rsid w:val="00DE70A7"/>
    <w:rsid w:val="00E02907"/>
    <w:rsid w:val="00E02D18"/>
    <w:rsid w:val="00E041E7"/>
    <w:rsid w:val="00E06B3E"/>
    <w:rsid w:val="00E23CA1"/>
    <w:rsid w:val="00E409A8"/>
    <w:rsid w:val="00E50C12"/>
    <w:rsid w:val="00E551CE"/>
    <w:rsid w:val="00E65B91"/>
    <w:rsid w:val="00E7209D"/>
    <w:rsid w:val="00E75713"/>
    <w:rsid w:val="00E77223"/>
    <w:rsid w:val="00E8528B"/>
    <w:rsid w:val="00E85B94"/>
    <w:rsid w:val="00E978D0"/>
    <w:rsid w:val="00EA27D7"/>
    <w:rsid w:val="00EA4613"/>
    <w:rsid w:val="00EA4D30"/>
    <w:rsid w:val="00EA7F91"/>
    <w:rsid w:val="00EB1523"/>
    <w:rsid w:val="00EC0E49"/>
    <w:rsid w:val="00EE0131"/>
    <w:rsid w:val="00F155B2"/>
    <w:rsid w:val="00F30C64"/>
    <w:rsid w:val="00F32CDB"/>
    <w:rsid w:val="00F52793"/>
    <w:rsid w:val="00F63A70"/>
    <w:rsid w:val="00FA21D0"/>
    <w:rsid w:val="00FA5F5F"/>
    <w:rsid w:val="00FB730C"/>
    <w:rsid w:val="00FC2695"/>
    <w:rsid w:val="00FC3E03"/>
    <w:rsid w:val="00FC3FC1"/>
    <w:rsid w:val="00FE3C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90BC-AD05-4333-ABCC-9F6509D5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3046</Words>
  <Characters>17366</Characters>
  <Application>Microsoft Office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Dr. S.B. Alabi</cp:lastModifiedBy>
  <cp:revision>2</cp:revision>
  <cp:lastPrinted>2015-05-12T18:31:00Z</cp:lastPrinted>
  <dcterms:created xsi:type="dcterms:W3CDTF">2019-04-14T23:33:00Z</dcterms:created>
  <dcterms:modified xsi:type="dcterms:W3CDTF">2019-04-14T23:33:00Z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