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4C05268C" w14:textId="77777777" w:rsidR="00611F40" w:rsidRDefault="00611F40" w:rsidP="00611F40">
      <w:pPr>
        <w:pStyle w:val="HTMLconformatoprevio"/>
        <w:shd w:val="clear" w:color="auto" w:fill="FFFFFF"/>
        <w:jc w:val="center"/>
        <w:rPr>
          <w:rFonts w:ascii="Arial" w:hAnsi="Arial" w:cs="Arial"/>
          <w:color w:val="000000" w:themeColor="text1"/>
          <w:sz w:val="32"/>
          <w:szCs w:val="24"/>
          <w:lang w:val="en-US"/>
        </w:rPr>
      </w:pPr>
      <w:r w:rsidRPr="000E7D48">
        <w:rPr>
          <w:rFonts w:ascii="Arial" w:hAnsi="Arial" w:cs="Arial"/>
          <w:color w:val="000000" w:themeColor="text1"/>
          <w:sz w:val="32"/>
          <w:szCs w:val="24"/>
          <w:lang w:val="en-US"/>
        </w:rPr>
        <w:lastRenderedPageBreak/>
        <w:t>Control of bacterial proliferation and formation of biofilm in membranes for food packaging manufactured by electrospinning</w:t>
      </w:r>
    </w:p>
    <w:p w14:paraId="21C80F54" w14:textId="77777777" w:rsidR="003108BE" w:rsidRPr="000E7D48" w:rsidRDefault="003108BE" w:rsidP="00611F40">
      <w:pPr>
        <w:pStyle w:val="HTMLconformatoprevio"/>
        <w:shd w:val="clear" w:color="auto" w:fill="FFFFFF"/>
        <w:jc w:val="center"/>
        <w:rPr>
          <w:rFonts w:ascii="Arial" w:hAnsi="Arial" w:cs="Arial"/>
          <w:color w:val="000000" w:themeColor="text1"/>
          <w:sz w:val="32"/>
          <w:szCs w:val="24"/>
          <w:lang w:val="en-US"/>
        </w:rPr>
      </w:pPr>
    </w:p>
    <w:p w14:paraId="256ABFFA" w14:textId="0218573C" w:rsidR="003108BE" w:rsidRPr="00F40EC4" w:rsidRDefault="003108BE" w:rsidP="003108BE">
      <w:pPr>
        <w:pStyle w:val="CETAuthors"/>
        <w:rPr>
          <w:vertAlign w:val="superscript"/>
          <w:lang w:val="es-CO"/>
        </w:rPr>
      </w:pPr>
      <w:r w:rsidRPr="00F40EC4">
        <w:rPr>
          <w:lang w:val="es-CO"/>
        </w:rPr>
        <w:t>Dianney Clavijo-Grimaldo</w:t>
      </w:r>
      <w:r w:rsidRPr="00F40EC4">
        <w:rPr>
          <w:vertAlign w:val="superscript"/>
          <w:lang w:val="es-CO"/>
        </w:rPr>
        <w:t>a,b</w:t>
      </w:r>
      <w:r w:rsidRPr="00F40EC4">
        <w:rPr>
          <w:lang w:val="es-CO"/>
        </w:rPr>
        <w:t xml:space="preserve">*, </w:t>
      </w:r>
      <w:r w:rsidR="00972AF4">
        <w:rPr>
          <w:lang w:val="es-CO"/>
        </w:rPr>
        <w:t>Nubia Ponce-Zapata</w:t>
      </w:r>
      <w:r w:rsidR="00972AF4">
        <w:rPr>
          <w:vertAlign w:val="superscript"/>
          <w:lang w:val="es-CO"/>
        </w:rPr>
        <w:t>a</w:t>
      </w:r>
      <w:r w:rsidR="00972AF4">
        <w:rPr>
          <w:lang w:val="es-CO"/>
        </w:rPr>
        <w:t xml:space="preserve"> </w:t>
      </w:r>
      <w:r w:rsidRPr="00F40EC4">
        <w:rPr>
          <w:lang w:val="es-CO"/>
        </w:rPr>
        <w:t>,Ciro A. Casadiego-Torrado</w:t>
      </w:r>
      <w:r w:rsidR="00972AF4">
        <w:rPr>
          <w:vertAlign w:val="superscript"/>
          <w:lang w:val="es-CO"/>
        </w:rPr>
        <w:t>a</w:t>
      </w:r>
    </w:p>
    <w:p w14:paraId="0B539CE2" w14:textId="137E593A" w:rsidR="003108BE" w:rsidRPr="00F40EC4" w:rsidRDefault="003108BE" w:rsidP="003108BE">
      <w:pPr>
        <w:pStyle w:val="CETAddress"/>
        <w:rPr>
          <w:lang w:val="es-CO"/>
        </w:rPr>
      </w:pPr>
      <w:r w:rsidRPr="00F40EC4">
        <w:rPr>
          <w:vertAlign w:val="superscript"/>
          <w:lang w:val="es-CO"/>
        </w:rPr>
        <w:t>a</w:t>
      </w:r>
      <w:r w:rsidRPr="00F40EC4">
        <w:rPr>
          <w:lang w:val="es-CO"/>
        </w:rPr>
        <w:t xml:space="preserve"> </w:t>
      </w:r>
      <w:r w:rsidR="00972AF4" w:rsidRPr="00F40EC4">
        <w:rPr>
          <w:lang w:val="es-CO"/>
        </w:rPr>
        <w:t xml:space="preserve">Fundación Universitaria </w:t>
      </w:r>
      <w:r w:rsidR="00972AF4" w:rsidRPr="00F40EC4">
        <w:rPr>
          <w:rFonts w:cs="Arial"/>
          <w:szCs w:val="16"/>
          <w:lang w:val="es-CO"/>
        </w:rPr>
        <w:t xml:space="preserve">Sanitas, </w:t>
      </w:r>
      <w:r w:rsidR="00972AF4">
        <w:rPr>
          <w:rFonts w:cs="Arial"/>
          <w:szCs w:val="16"/>
          <w:lang w:val="es-CO"/>
        </w:rPr>
        <w:t xml:space="preserve">Calle 22B # 66-46 </w:t>
      </w:r>
      <w:r w:rsidR="00972AF4" w:rsidRPr="00F40EC4">
        <w:rPr>
          <w:lang w:val="es-CO"/>
        </w:rPr>
        <w:t xml:space="preserve">Bogotá Colombia </w:t>
      </w:r>
    </w:p>
    <w:p w14:paraId="7131BF2A" w14:textId="77777777" w:rsidR="00972AF4" w:rsidRPr="00F40EC4" w:rsidRDefault="003108BE" w:rsidP="00972AF4">
      <w:pPr>
        <w:pStyle w:val="CETAddress"/>
        <w:rPr>
          <w:lang w:val="es-CO"/>
        </w:rPr>
      </w:pPr>
      <w:r w:rsidRPr="00F40EC4">
        <w:rPr>
          <w:vertAlign w:val="superscript"/>
          <w:lang w:val="es-CO"/>
        </w:rPr>
        <w:t xml:space="preserve">b </w:t>
      </w:r>
      <w:r w:rsidR="00972AF4" w:rsidRPr="00F40EC4">
        <w:rPr>
          <w:lang w:val="es-CO"/>
        </w:rPr>
        <w:t xml:space="preserve">Univerisidad Nacional de Colombia, </w:t>
      </w:r>
      <w:r w:rsidR="00972AF4" w:rsidRPr="00F40EC4">
        <w:rPr>
          <w:rFonts w:eastAsiaTheme="minorHAnsi" w:cs="Arial"/>
          <w:szCs w:val="16"/>
          <w:lang w:val="es-CO"/>
        </w:rPr>
        <w:t>Carrera 45 # 26 – 85</w:t>
      </w:r>
      <w:r w:rsidR="00972AF4" w:rsidRPr="00F40EC4">
        <w:rPr>
          <w:lang w:val="es-CO"/>
        </w:rPr>
        <w:t xml:space="preserve"> Bogotá Colombia</w:t>
      </w:r>
    </w:p>
    <w:p w14:paraId="6AA9A2CD" w14:textId="77777777" w:rsidR="003108BE" w:rsidRPr="00F40EC4" w:rsidRDefault="003108BE" w:rsidP="003108BE">
      <w:pPr>
        <w:pStyle w:val="CETemail"/>
      </w:pPr>
      <w:r w:rsidRPr="00F40EC4">
        <w:rPr>
          <w:lang w:val="es-CO"/>
        </w:rPr>
        <w:t xml:space="preserve"> </w:t>
      </w:r>
      <w:r w:rsidRPr="00F40EC4">
        <w:t xml:space="preserve">dclavijog@gmail.com </w:t>
      </w:r>
    </w:p>
    <w:p w14:paraId="21E3F161" w14:textId="71E35143" w:rsidR="00972AF4" w:rsidRDefault="00972AF4" w:rsidP="00C27A9E">
      <w:pPr>
        <w:rPr>
          <w:rFonts w:cs="Arial"/>
          <w:color w:val="212121"/>
          <w:shd w:val="clear" w:color="auto" w:fill="FFFFFF"/>
          <w:lang w:val="en-US"/>
        </w:rPr>
      </w:pPr>
      <w:r w:rsidRPr="006D39D4">
        <w:rPr>
          <w:rFonts w:cs="Arial"/>
          <w:color w:val="212121"/>
          <w:shd w:val="clear" w:color="auto" w:fill="FFFFFF"/>
          <w:lang w:val="en-US"/>
        </w:rPr>
        <w:t xml:space="preserve">The application of micro/nanotechnologies in the development of </w:t>
      </w:r>
      <w:r>
        <w:rPr>
          <w:rFonts w:cs="Arial"/>
          <w:color w:val="212121"/>
          <w:shd w:val="clear" w:color="auto" w:fill="FFFFFF"/>
          <w:lang w:val="en-US"/>
        </w:rPr>
        <w:t>food contact materials</w:t>
      </w:r>
      <w:r w:rsidRPr="006D39D4">
        <w:rPr>
          <w:rFonts w:cs="Arial"/>
          <w:color w:val="212121"/>
          <w:shd w:val="clear" w:color="auto" w:fill="FFFFFF"/>
          <w:lang w:val="en-US"/>
        </w:rPr>
        <w:t xml:space="preserve"> is currently of great interest for the food t</w:t>
      </w:r>
      <w:r w:rsidR="007574F9">
        <w:rPr>
          <w:rFonts w:cs="Arial"/>
          <w:color w:val="212121"/>
          <w:shd w:val="clear" w:color="auto" w:fill="FFFFFF"/>
          <w:lang w:val="en-US"/>
        </w:rPr>
        <w:t xml:space="preserve">echnology sector. The </w:t>
      </w:r>
      <w:r w:rsidRPr="006D39D4">
        <w:rPr>
          <w:rFonts w:cs="Arial"/>
          <w:color w:val="212121"/>
          <w:shd w:val="clear" w:color="auto" w:fill="FFFFFF"/>
          <w:lang w:val="en-US"/>
        </w:rPr>
        <w:t>materials for this purpose include</w:t>
      </w:r>
      <w:r w:rsidR="007574F9">
        <w:rPr>
          <w:rFonts w:cs="Arial"/>
          <w:color w:val="212121"/>
          <w:shd w:val="clear" w:color="auto" w:fill="FFFFFF"/>
          <w:lang w:val="en-US"/>
        </w:rPr>
        <w:t xml:space="preserve"> various types of polymers, among which are</w:t>
      </w:r>
      <w:r w:rsidRPr="006D39D4">
        <w:rPr>
          <w:rFonts w:cs="Arial"/>
          <w:color w:val="212121"/>
          <w:shd w:val="clear" w:color="auto" w:fill="FFFFFF"/>
          <w:lang w:val="en-US"/>
        </w:rPr>
        <w:t xml:space="preserve"> PLGA (</w:t>
      </w:r>
      <w:proofErr w:type="spellStart"/>
      <w:r w:rsidRPr="006D39D4">
        <w:rPr>
          <w:rFonts w:cs="Arial"/>
          <w:color w:val="212121"/>
          <w:shd w:val="clear" w:color="auto" w:fill="FFFFFF"/>
          <w:lang w:val="en-US"/>
        </w:rPr>
        <w:t>polylactic</w:t>
      </w:r>
      <w:proofErr w:type="spellEnd"/>
      <w:r w:rsidRPr="006D39D4">
        <w:rPr>
          <w:rFonts w:cs="Arial"/>
          <w:color w:val="212121"/>
          <w:shd w:val="clear" w:color="auto" w:fill="FFFFFF"/>
          <w:lang w:val="en-US"/>
        </w:rPr>
        <w:t>-co-glycolic acid)</w:t>
      </w:r>
      <w:r>
        <w:rPr>
          <w:rFonts w:cs="Arial"/>
          <w:color w:val="212121"/>
          <w:shd w:val="clear" w:color="auto" w:fill="FFFFFF"/>
          <w:lang w:val="en-US"/>
        </w:rPr>
        <w:t xml:space="preserve"> and PCL (</w:t>
      </w:r>
      <w:proofErr w:type="spellStart"/>
      <w:r>
        <w:rPr>
          <w:rFonts w:cs="Arial"/>
          <w:color w:val="212121"/>
          <w:shd w:val="clear" w:color="auto" w:fill="FFFFFF"/>
          <w:lang w:val="en-US"/>
        </w:rPr>
        <w:t>polycaprolactone</w:t>
      </w:r>
      <w:proofErr w:type="spellEnd"/>
      <w:r>
        <w:rPr>
          <w:rFonts w:cs="Arial"/>
          <w:color w:val="212121"/>
          <w:shd w:val="clear" w:color="auto" w:fill="FFFFFF"/>
          <w:lang w:val="en-US"/>
        </w:rPr>
        <w:t>),</w:t>
      </w:r>
      <w:r w:rsidR="007574F9">
        <w:rPr>
          <w:rFonts w:cs="Arial"/>
          <w:color w:val="212121"/>
          <w:shd w:val="clear" w:color="auto" w:fill="FFFFFF"/>
          <w:lang w:val="en-US"/>
        </w:rPr>
        <w:t xml:space="preserve"> </w:t>
      </w:r>
      <w:r w:rsidR="007574F9" w:rsidRPr="006D39D4">
        <w:rPr>
          <w:rFonts w:cs="Arial"/>
          <w:color w:val="212121"/>
          <w:shd w:val="clear" w:color="auto" w:fill="FFFFFF"/>
          <w:lang w:val="en-US"/>
        </w:rPr>
        <w:t>biodegradable synthetic polymers</w:t>
      </w:r>
      <w:r w:rsidR="00EF7C5F">
        <w:rPr>
          <w:rFonts w:cs="Arial"/>
          <w:color w:val="212121"/>
          <w:shd w:val="clear" w:color="auto" w:fill="FFFFFF"/>
          <w:lang w:val="en-US"/>
        </w:rPr>
        <w:t>.</w:t>
      </w:r>
      <w:r>
        <w:rPr>
          <w:rFonts w:cs="Arial"/>
          <w:color w:val="212121"/>
          <w:shd w:val="clear" w:color="auto" w:fill="FFFFFF"/>
          <w:lang w:val="en-US"/>
        </w:rPr>
        <w:t xml:space="preserve"> Electrospinning is a low-cost and easily reproducible technique for the production of polymeric micro/nanofiber membranes that can be used in the packaging of food. This work establishes the parameters for the manufacturing, by means of electrospinning, of micro/nanofiber membranes made of PLGA, PCL and a combination of both of these polymers. The resulting fibers were characterized via scanning electron microscopy. Given the importance, within the food industry, of knowing the effect that the package components may have on bacterial proliferation, the resulting fibers were incubated with three of the most frequent microorg</w:t>
      </w:r>
      <w:r w:rsidRPr="0009769C">
        <w:rPr>
          <w:rFonts w:cs="Arial"/>
          <w:color w:val="212121"/>
          <w:shd w:val="clear" w:color="auto" w:fill="FFFFFF"/>
          <w:lang w:val="en-US"/>
        </w:rPr>
        <w:t xml:space="preserve">anisms that contaminate food: </w:t>
      </w:r>
      <w:r w:rsidRPr="0009769C">
        <w:rPr>
          <w:rFonts w:cs="Arial"/>
          <w:i/>
          <w:color w:val="212121"/>
          <w:shd w:val="clear" w:color="auto" w:fill="FFFFFF"/>
          <w:lang w:val="en-US"/>
        </w:rPr>
        <w:t>Staphylococcus aureus</w:t>
      </w:r>
      <w:r w:rsidRPr="0009769C">
        <w:rPr>
          <w:rFonts w:cs="Arial"/>
          <w:color w:val="212121"/>
          <w:shd w:val="clear" w:color="auto" w:fill="FFFFFF"/>
          <w:lang w:val="en-US"/>
        </w:rPr>
        <w:t xml:space="preserve">, </w:t>
      </w:r>
      <w:r w:rsidRPr="0009769C">
        <w:rPr>
          <w:rFonts w:cs="Arial"/>
          <w:i/>
          <w:color w:val="212121"/>
          <w:shd w:val="clear" w:color="auto" w:fill="FFFFFF"/>
          <w:lang w:val="en-US"/>
        </w:rPr>
        <w:t xml:space="preserve">Enterococcus </w:t>
      </w:r>
      <w:proofErr w:type="spellStart"/>
      <w:r w:rsidRPr="0009769C">
        <w:rPr>
          <w:rFonts w:cs="Arial"/>
          <w:i/>
          <w:color w:val="212121"/>
          <w:shd w:val="clear" w:color="auto" w:fill="FFFFFF"/>
          <w:lang w:val="en-US"/>
        </w:rPr>
        <w:t>faecalis</w:t>
      </w:r>
      <w:proofErr w:type="spellEnd"/>
      <w:r w:rsidRPr="0009769C">
        <w:rPr>
          <w:rFonts w:cs="Arial"/>
          <w:color w:val="212121"/>
          <w:shd w:val="clear" w:color="auto" w:fill="FFFFFF"/>
          <w:lang w:val="en-US"/>
        </w:rPr>
        <w:t xml:space="preserve"> and </w:t>
      </w:r>
      <w:r w:rsidRPr="0009769C">
        <w:rPr>
          <w:rFonts w:cs="Arial"/>
          <w:i/>
          <w:color w:val="212121"/>
          <w:shd w:val="clear" w:color="auto" w:fill="FFFFFF"/>
          <w:lang w:val="en-US"/>
        </w:rPr>
        <w:t>Escherichia coli</w:t>
      </w:r>
      <w:r w:rsidRPr="0009769C">
        <w:rPr>
          <w:rFonts w:cs="Arial"/>
          <w:color w:val="212121"/>
          <w:shd w:val="clear" w:color="auto" w:fill="FFFFFF"/>
          <w:lang w:val="en-US"/>
        </w:rPr>
        <w:t>. Both the viability and the bacterial adhesion were quantit</w:t>
      </w:r>
      <w:r>
        <w:rPr>
          <w:rFonts w:cs="Arial"/>
          <w:color w:val="212121"/>
          <w:shd w:val="clear" w:color="auto" w:fill="FFFFFF"/>
          <w:lang w:val="en-US"/>
        </w:rPr>
        <w:t>at</w:t>
      </w:r>
      <w:r w:rsidRPr="0009769C">
        <w:rPr>
          <w:rFonts w:cs="Arial"/>
          <w:color w:val="212121"/>
          <w:shd w:val="clear" w:color="auto" w:fill="FFFFFF"/>
          <w:lang w:val="en-US"/>
        </w:rPr>
        <w:t>ively determined in terms of the biofilm formation capacity.</w:t>
      </w:r>
      <w:r>
        <w:rPr>
          <w:rFonts w:cs="Arial"/>
          <w:color w:val="212121"/>
          <w:shd w:val="clear" w:color="auto" w:fill="FFFFFF"/>
          <w:lang w:val="en-US"/>
        </w:rPr>
        <w:t xml:space="preserve"> The formation of biofilms was greater in the PLGA membranes. When any of the microorganisms </w:t>
      </w:r>
      <w:r w:rsidR="005B35A2">
        <w:rPr>
          <w:rFonts w:cs="Arial"/>
          <w:color w:val="212121"/>
          <w:shd w:val="clear" w:color="auto" w:fill="FFFFFF"/>
          <w:lang w:val="en-US"/>
        </w:rPr>
        <w:t>were exposed to</w:t>
      </w:r>
      <w:r>
        <w:rPr>
          <w:rFonts w:cs="Arial"/>
          <w:color w:val="212121"/>
          <w:shd w:val="clear" w:color="auto" w:fill="FFFFFF"/>
          <w:lang w:val="en-US"/>
        </w:rPr>
        <w:t xml:space="preserve"> the membranes made of the mixture of the two polymers, or with only PCL, a marked reduction in the formation of biofilm was observed. These results show that it is possible, by means of a proper selection of the materials, to reduce the possibility of contamination in both the packaging and the food, without the need to add prod</w:t>
      </w:r>
      <w:r w:rsidR="007574F9">
        <w:rPr>
          <w:rFonts w:cs="Arial"/>
          <w:color w:val="212121"/>
          <w:shd w:val="clear" w:color="auto" w:fill="FFFFFF"/>
          <w:lang w:val="en-US"/>
        </w:rPr>
        <w:t>ucts that might be inconvenient due to their possible side effects</w:t>
      </w:r>
      <w:r w:rsidR="00EF7C5F">
        <w:rPr>
          <w:rFonts w:cs="Arial"/>
          <w:color w:val="212121"/>
          <w:shd w:val="clear" w:color="auto" w:fill="FFFFFF"/>
          <w:lang w:val="en-US"/>
        </w:rPr>
        <w:t>.</w:t>
      </w:r>
    </w:p>
    <w:p w14:paraId="476B2F2E" w14:textId="77777777" w:rsidR="00600535" w:rsidRPr="00B57B36" w:rsidRDefault="00600535" w:rsidP="00600535">
      <w:pPr>
        <w:pStyle w:val="CETHeading1"/>
        <w:rPr>
          <w:lang w:val="en-GB"/>
        </w:rPr>
      </w:pPr>
      <w:r w:rsidRPr="00B57B36">
        <w:rPr>
          <w:lang w:val="en-GB"/>
        </w:rPr>
        <w:t>Introduction</w:t>
      </w:r>
    </w:p>
    <w:p w14:paraId="41FE687F" w14:textId="39F2A4E4" w:rsidR="007F685D" w:rsidRPr="00C27A9E" w:rsidRDefault="00972AF4" w:rsidP="007B4B27">
      <w:pPr>
        <w:rPr>
          <w:rFonts w:cs="Arial"/>
          <w:szCs w:val="18"/>
          <w:shd w:val="clear" w:color="auto" w:fill="FFFFFF"/>
          <w:lang w:val="en-US"/>
        </w:rPr>
      </w:pPr>
      <w:r w:rsidRPr="003B0735">
        <w:rPr>
          <w:rFonts w:cs="Arial"/>
          <w:color w:val="212121"/>
          <w:szCs w:val="18"/>
          <w:shd w:val="clear" w:color="auto" w:fill="FFFFFF"/>
          <w:lang w:val="en-US"/>
        </w:rPr>
        <w:t>The basic function of packaging is to protect its content, but in the case of food, the most important aspect is safety, which is why agencies such as the European Food Safety Authority (EFSA) and the Food and Drug Administration (FDA) have strict regulatory standards related to the materials that m</w:t>
      </w:r>
      <w:r w:rsidR="001D2A14" w:rsidRPr="003B0735">
        <w:rPr>
          <w:rFonts w:cs="Arial"/>
          <w:color w:val="212121"/>
          <w:szCs w:val="18"/>
          <w:shd w:val="clear" w:color="auto" w:fill="FFFFFF"/>
          <w:lang w:val="en-US"/>
        </w:rPr>
        <w:t xml:space="preserve">ay come into contact with food </w:t>
      </w:r>
      <w:r w:rsidR="003B0735" w:rsidRPr="003B0735">
        <w:rPr>
          <w:rStyle w:val="selectable"/>
          <w:rFonts w:cs="Arial"/>
          <w:color w:val="000000"/>
          <w:szCs w:val="18"/>
          <w:shd w:val="clear" w:color="auto" w:fill="FFFFFF"/>
        </w:rPr>
        <w:t>(</w:t>
      </w:r>
      <w:proofErr w:type="spellStart"/>
      <w:r w:rsidR="003B0735" w:rsidRPr="003B0735">
        <w:rPr>
          <w:rFonts w:cs="Arial"/>
          <w:color w:val="000000"/>
          <w:szCs w:val="18"/>
          <w:shd w:val="clear" w:color="auto" w:fill="FFFFFF"/>
        </w:rPr>
        <w:t>Karmaus</w:t>
      </w:r>
      <w:proofErr w:type="spellEnd"/>
      <w:r w:rsidR="003B0735" w:rsidRPr="003B0735">
        <w:rPr>
          <w:rFonts w:cs="Arial"/>
          <w:color w:val="000000"/>
          <w:szCs w:val="18"/>
          <w:shd w:val="clear" w:color="auto" w:fill="FFFFFF"/>
        </w:rPr>
        <w:t>, Osborn and Krishan, 2018)</w:t>
      </w:r>
      <w:r w:rsidRPr="003B0735">
        <w:rPr>
          <w:rFonts w:cs="Arial"/>
          <w:color w:val="212121"/>
          <w:szCs w:val="18"/>
          <w:shd w:val="clear" w:color="auto" w:fill="FFFFFF"/>
          <w:lang w:val="en-US"/>
        </w:rPr>
        <w:t>.</w:t>
      </w:r>
      <w:r w:rsidRPr="00C27A9E">
        <w:rPr>
          <w:rFonts w:cs="Arial"/>
          <w:color w:val="212121"/>
          <w:szCs w:val="18"/>
          <w:shd w:val="clear" w:color="auto" w:fill="FFFFFF"/>
          <w:lang w:val="en-US"/>
        </w:rPr>
        <w:t xml:space="preserve"> In the traditional concept, the packaging material is limited to c</w:t>
      </w:r>
      <w:r w:rsidRPr="00C27A9E">
        <w:rPr>
          <w:rFonts w:cs="Arial"/>
          <w:szCs w:val="18"/>
          <w:shd w:val="clear" w:color="auto" w:fill="FFFFFF"/>
          <w:lang w:val="en-US"/>
        </w:rPr>
        <w:t>ontaining</w:t>
      </w:r>
      <w:r w:rsidRPr="00C27A9E">
        <w:rPr>
          <w:rFonts w:cs="Arial"/>
          <w:color w:val="548DD4" w:themeColor="text2" w:themeTint="99"/>
          <w:szCs w:val="18"/>
          <w:shd w:val="clear" w:color="auto" w:fill="FFFFFF"/>
          <w:lang w:val="en-US"/>
        </w:rPr>
        <w:t xml:space="preserve"> </w:t>
      </w:r>
      <w:r w:rsidRPr="00C27A9E">
        <w:rPr>
          <w:rFonts w:cs="Arial"/>
          <w:szCs w:val="18"/>
          <w:shd w:val="clear" w:color="auto" w:fill="FFFFFF"/>
          <w:lang w:val="en-US"/>
        </w:rPr>
        <w:t>and separating food from the environment, thus working as a passive and inert barrier that protects the content from the passage of light, heat, humidity, undesired chemical substances, inadequate handling and biological contamination. The concept of active packaging involves the idea that the packaging must generate a favorable response, such as extending the shelf life of the food product and its nutritional qualities</w:t>
      </w:r>
      <w:proofErr w:type="gramStart"/>
      <w:r w:rsidRPr="00C27A9E">
        <w:rPr>
          <w:rFonts w:cs="Arial"/>
          <w:szCs w:val="18"/>
          <w:shd w:val="clear" w:color="auto" w:fill="FFFFFF"/>
          <w:lang w:val="en-US"/>
        </w:rPr>
        <w:t xml:space="preserve">, </w:t>
      </w:r>
      <w:r w:rsidR="005B35A2" w:rsidRPr="00C27A9E">
        <w:rPr>
          <w:rFonts w:cs="Arial"/>
          <w:szCs w:val="18"/>
          <w:shd w:val="clear" w:color="auto" w:fill="FFFFFF"/>
          <w:lang w:val="en-US"/>
        </w:rPr>
        <w:t xml:space="preserve"> </w:t>
      </w:r>
      <w:r w:rsidRPr="00C27A9E">
        <w:rPr>
          <w:rFonts w:cs="Arial"/>
          <w:szCs w:val="18"/>
          <w:shd w:val="clear" w:color="auto" w:fill="FFFFFF"/>
          <w:lang w:val="en-US"/>
        </w:rPr>
        <w:t>as</w:t>
      </w:r>
      <w:proofErr w:type="gramEnd"/>
      <w:r w:rsidRPr="00C27A9E">
        <w:rPr>
          <w:rFonts w:cs="Arial"/>
          <w:szCs w:val="18"/>
          <w:shd w:val="clear" w:color="auto" w:fill="FFFFFF"/>
          <w:lang w:val="en-US"/>
        </w:rPr>
        <w:t xml:space="preserve"> well as prevent the growth of microorganisms, the latter being a growing area of research in the recent years that includes the addition of natural or synthetic antimicrobials, </w:t>
      </w:r>
      <w:r w:rsidR="005B35A2" w:rsidRPr="00C27A9E">
        <w:rPr>
          <w:rFonts w:cs="Arial"/>
          <w:szCs w:val="18"/>
          <w:shd w:val="clear" w:color="auto" w:fill="FFFFFF"/>
          <w:lang w:val="en-US"/>
        </w:rPr>
        <w:t xml:space="preserve"> </w:t>
      </w:r>
      <w:r w:rsidR="00733E36" w:rsidRPr="00C27A9E">
        <w:rPr>
          <w:rFonts w:cs="Arial"/>
          <w:szCs w:val="18"/>
          <w:shd w:val="clear" w:color="auto" w:fill="FFFFFF"/>
          <w:lang w:val="en-US"/>
        </w:rPr>
        <w:t>and metallic elements.</w:t>
      </w:r>
      <w:r w:rsidR="00EF7C5F">
        <w:rPr>
          <w:rFonts w:cs="Arial"/>
          <w:szCs w:val="18"/>
          <w:shd w:val="clear" w:color="auto" w:fill="FFFFFF"/>
          <w:lang w:val="en-US"/>
        </w:rPr>
        <w:t xml:space="preserve"> </w:t>
      </w:r>
      <w:r w:rsidRPr="00C27A9E">
        <w:rPr>
          <w:rFonts w:cs="Arial"/>
          <w:szCs w:val="18"/>
          <w:shd w:val="clear" w:color="auto" w:fill="FFFFFF"/>
          <w:lang w:val="en-US"/>
        </w:rPr>
        <w:t xml:space="preserve">Both micro and nanotechnology have produced a great impact at the level of development of active packaging. Nanomaterials can be incorporated into the packaging material, stay still on its surface, or be used as coating. Due to their capacity to inhibit different types of microorganisms, Ag, Au, Cu, </w:t>
      </w:r>
      <w:proofErr w:type="spellStart"/>
      <w:r w:rsidRPr="00C27A9E">
        <w:rPr>
          <w:rFonts w:cs="Arial"/>
          <w:szCs w:val="18"/>
          <w:shd w:val="clear" w:color="auto" w:fill="FFFFFF"/>
          <w:lang w:val="en-US"/>
        </w:rPr>
        <w:t>ZnO</w:t>
      </w:r>
      <w:proofErr w:type="spellEnd"/>
      <w:r w:rsidRPr="00C27A9E">
        <w:rPr>
          <w:rFonts w:cs="Arial"/>
          <w:szCs w:val="18"/>
          <w:shd w:val="clear" w:color="auto" w:fill="FFFFFF"/>
          <w:lang w:val="en-US"/>
        </w:rPr>
        <w:t xml:space="preserve"> and TiO</w:t>
      </w:r>
      <w:r w:rsidRPr="00C27A9E">
        <w:rPr>
          <w:rFonts w:cs="Arial"/>
          <w:szCs w:val="18"/>
          <w:shd w:val="clear" w:color="auto" w:fill="FFFFFF"/>
          <w:vertAlign w:val="subscript"/>
          <w:lang w:val="en-US"/>
        </w:rPr>
        <w:t>2</w:t>
      </w:r>
      <w:r w:rsidRPr="00C27A9E">
        <w:rPr>
          <w:rFonts w:cs="Arial"/>
          <w:szCs w:val="18"/>
          <w:shd w:val="clear" w:color="auto" w:fill="FFFFFF"/>
          <w:lang w:val="en-US"/>
        </w:rPr>
        <w:t xml:space="preserve"> nanoparticles have been used, as well as carbon nanotubes, which are not biodegr</w:t>
      </w:r>
      <w:r w:rsidR="007B4B27">
        <w:rPr>
          <w:rFonts w:cs="Arial"/>
          <w:szCs w:val="18"/>
          <w:shd w:val="clear" w:color="auto" w:fill="FFFFFF"/>
          <w:lang w:val="en-US"/>
        </w:rPr>
        <w:t xml:space="preserve">adable and have recently been attributed toxic effects </w:t>
      </w:r>
      <w:r w:rsidR="007B4B27" w:rsidRPr="007B4B27">
        <w:rPr>
          <w:rFonts w:cs="Arial"/>
          <w:color w:val="000000"/>
          <w:szCs w:val="18"/>
          <w:shd w:val="clear" w:color="auto" w:fill="FFFFFF"/>
        </w:rPr>
        <w:t>(</w:t>
      </w:r>
      <w:proofErr w:type="spellStart"/>
      <w:r w:rsidR="007B4B27" w:rsidRPr="007B4B27">
        <w:rPr>
          <w:rFonts w:cs="Arial"/>
          <w:color w:val="000000"/>
          <w:szCs w:val="18"/>
          <w:shd w:val="clear" w:color="auto" w:fill="FFFFFF"/>
        </w:rPr>
        <w:t>Hadrup</w:t>
      </w:r>
      <w:proofErr w:type="spellEnd"/>
      <w:r w:rsidR="007B4B27" w:rsidRPr="007B4B27">
        <w:rPr>
          <w:rFonts w:cs="Arial"/>
          <w:color w:val="000000"/>
          <w:szCs w:val="18"/>
          <w:shd w:val="clear" w:color="auto" w:fill="FFFFFF"/>
        </w:rPr>
        <w:t xml:space="preserve"> and Lam, 2014</w:t>
      </w:r>
      <w:r w:rsidR="007B4B27">
        <w:rPr>
          <w:rFonts w:cs="Arial"/>
          <w:color w:val="000000"/>
          <w:szCs w:val="18"/>
          <w:shd w:val="clear" w:color="auto" w:fill="FFFFFF"/>
        </w:rPr>
        <w:t>)</w:t>
      </w:r>
      <w:r w:rsidR="007B4B27">
        <w:rPr>
          <w:rFonts w:cs="Arial"/>
          <w:szCs w:val="18"/>
          <w:shd w:val="clear" w:color="auto" w:fill="FFFFFF"/>
          <w:lang w:val="en-US"/>
        </w:rPr>
        <w:t xml:space="preserve">. </w:t>
      </w:r>
      <w:r w:rsidRPr="00C27A9E">
        <w:rPr>
          <w:rFonts w:cs="Arial"/>
          <w:szCs w:val="18"/>
          <w:shd w:val="clear" w:color="auto" w:fill="FFFFFF"/>
          <w:lang w:val="en-US"/>
        </w:rPr>
        <w:t xml:space="preserve"> Given the risk of metallic nanoparticles transfer from the packaging to the food product, and thus to the consumer, the EFSA does not a</w:t>
      </w:r>
      <w:r w:rsidR="00EF7C5F">
        <w:rPr>
          <w:rFonts w:cs="Arial"/>
          <w:szCs w:val="18"/>
          <w:shd w:val="clear" w:color="auto" w:fill="FFFFFF"/>
          <w:lang w:val="en-US"/>
        </w:rPr>
        <w:t>uthorize their use in packaging</w:t>
      </w:r>
      <w:r w:rsidR="007B4B27">
        <w:rPr>
          <w:rFonts w:cs="Arial"/>
          <w:szCs w:val="18"/>
          <w:shd w:val="clear" w:color="auto" w:fill="FFFFFF"/>
          <w:lang w:val="en-US"/>
        </w:rPr>
        <w:t>.</w:t>
      </w:r>
      <w:r w:rsidR="00EF7C5F">
        <w:rPr>
          <w:rFonts w:cs="Arial"/>
          <w:szCs w:val="18"/>
          <w:shd w:val="clear" w:color="auto" w:fill="FFFFFF"/>
          <w:lang w:val="en-US"/>
        </w:rPr>
        <w:t xml:space="preserve"> </w:t>
      </w:r>
      <w:r w:rsidR="00C46DAB">
        <w:rPr>
          <w:rFonts w:cs="Arial"/>
          <w:szCs w:val="18"/>
          <w:shd w:val="clear" w:color="auto" w:fill="FFFFFF"/>
          <w:lang w:val="en-US"/>
        </w:rPr>
        <w:t>Based on the</w:t>
      </w:r>
      <w:r w:rsidRPr="00C27A9E">
        <w:rPr>
          <w:rFonts w:cs="Arial"/>
          <w:szCs w:val="18"/>
          <w:shd w:val="clear" w:color="auto" w:fill="FFFFFF"/>
          <w:lang w:val="en-US"/>
        </w:rPr>
        <w:t xml:space="preserve"> </w:t>
      </w:r>
      <w:r w:rsidR="00C46DAB">
        <w:rPr>
          <w:rFonts w:cs="Arial"/>
          <w:szCs w:val="18"/>
          <w:shd w:val="clear" w:color="auto" w:fill="FFFFFF"/>
          <w:lang w:val="en-US"/>
        </w:rPr>
        <w:t xml:space="preserve">above, the use of </w:t>
      </w:r>
      <w:r w:rsidRPr="00C27A9E">
        <w:rPr>
          <w:rFonts w:cs="Arial"/>
          <w:szCs w:val="18"/>
          <w:shd w:val="clear" w:color="auto" w:fill="FFFFFF"/>
          <w:lang w:val="en-US"/>
        </w:rPr>
        <w:t>biodegradable synthetic polymers, whose final products are ultimately excreted, such as PLGA and PCL (approved by the FDA), has generated substantial interest in</w:t>
      </w:r>
      <w:r w:rsidR="00733E36" w:rsidRPr="00C27A9E">
        <w:rPr>
          <w:rFonts w:cs="Arial"/>
          <w:szCs w:val="18"/>
          <w:shd w:val="clear" w:color="auto" w:fill="FFFFFF"/>
          <w:lang w:val="en-US"/>
        </w:rPr>
        <w:t xml:space="preserve"> the food packaging sector </w:t>
      </w:r>
      <w:r w:rsidR="00733E36" w:rsidRPr="00C27A9E">
        <w:rPr>
          <w:rFonts w:cs="Arial"/>
          <w:color w:val="000000"/>
          <w:szCs w:val="18"/>
          <w:shd w:val="clear" w:color="auto" w:fill="FFFFFF"/>
        </w:rPr>
        <w:t>(</w:t>
      </w:r>
      <w:proofErr w:type="spellStart"/>
      <w:r w:rsidR="00733E36" w:rsidRPr="00C27A9E">
        <w:rPr>
          <w:rFonts w:cs="Arial"/>
          <w:color w:val="000000"/>
          <w:szCs w:val="18"/>
          <w:shd w:val="clear" w:color="auto" w:fill="FFFFFF"/>
        </w:rPr>
        <w:t>Grumezescu</w:t>
      </w:r>
      <w:proofErr w:type="spellEnd"/>
      <w:r w:rsidR="00733E36" w:rsidRPr="00C27A9E">
        <w:rPr>
          <w:rFonts w:cs="Arial"/>
          <w:color w:val="000000"/>
          <w:szCs w:val="18"/>
          <w:shd w:val="clear" w:color="auto" w:fill="FFFFFF"/>
        </w:rPr>
        <w:t>, 2017)</w:t>
      </w:r>
      <w:r w:rsidR="00733E36" w:rsidRPr="00C27A9E">
        <w:rPr>
          <w:rFonts w:cs="Arial"/>
          <w:szCs w:val="18"/>
          <w:shd w:val="clear" w:color="auto" w:fill="FFFFFF"/>
          <w:lang w:val="en-US"/>
        </w:rPr>
        <w:t>.</w:t>
      </w:r>
      <w:r w:rsidR="007F685D">
        <w:rPr>
          <w:rFonts w:cs="Arial"/>
          <w:szCs w:val="18"/>
          <w:shd w:val="clear" w:color="auto" w:fill="FFFFFF"/>
          <w:lang w:val="en-US"/>
        </w:rPr>
        <w:t xml:space="preserve"> </w:t>
      </w:r>
    </w:p>
    <w:p w14:paraId="16098493" w14:textId="4A56897A" w:rsidR="00972AF4" w:rsidRPr="00C27A9E" w:rsidRDefault="00972AF4" w:rsidP="007F685D">
      <w:pPr>
        <w:rPr>
          <w:rFonts w:cs="Arial"/>
          <w:szCs w:val="18"/>
          <w:shd w:val="clear" w:color="auto" w:fill="FFFFFF"/>
          <w:lang w:val="en-US"/>
        </w:rPr>
      </w:pPr>
      <w:proofErr w:type="spellStart"/>
      <w:r w:rsidRPr="00C27A9E">
        <w:rPr>
          <w:rFonts w:cs="Arial"/>
          <w:szCs w:val="18"/>
          <w:shd w:val="clear" w:color="auto" w:fill="FFFFFF"/>
          <w:lang w:val="en-US"/>
        </w:rPr>
        <w:lastRenderedPageBreak/>
        <w:t>Electrohydrodynamic</w:t>
      </w:r>
      <w:proofErr w:type="spellEnd"/>
      <w:r w:rsidRPr="00C27A9E">
        <w:rPr>
          <w:rFonts w:cs="Arial"/>
          <w:szCs w:val="18"/>
          <w:shd w:val="clear" w:color="auto" w:fill="FFFFFF"/>
          <w:lang w:val="en-US"/>
        </w:rPr>
        <w:t xml:space="preserve"> techniques enable the manufacturing of different structures on a </w:t>
      </w:r>
      <w:proofErr w:type="spellStart"/>
      <w:r w:rsidRPr="00C27A9E">
        <w:rPr>
          <w:rFonts w:cs="Arial"/>
          <w:szCs w:val="18"/>
          <w:shd w:val="clear" w:color="auto" w:fill="FFFFFF"/>
          <w:lang w:val="en-US"/>
        </w:rPr>
        <w:t>nanoscopic</w:t>
      </w:r>
      <w:proofErr w:type="spellEnd"/>
      <w:r w:rsidRPr="00C27A9E">
        <w:rPr>
          <w:rFonts w:cs="Arial"/>
          <w:szCs w:val="18"/>
          <w:shd w:val="clear" w:color="auto" w:fill="FFFFFF"/>
          <w:lang w:val="en-US"/>
        </w:rPr>
        <w:t xml:space="preserve"> scale (films, particles, fibers, etc.), and they are based on the application of an electric field in the vicinity of a liquid conductor that flows through a needle, which originates an electric current in the liquid itself and the</w:t>
      </w:r>
      <w:r w:rsidR="004263B6" w:rsidRPr="00C27A9E">
        <w:rPr>
          <w:rFonts w:cs="Arial"/>
          <w:szCs w:val="18"/>
          <w:shd w:val="clear" w:color="auto" w:fill="FFFFFF"/>
          <w:lang w:val="en-US"/>
        </w:rPr>
        <w:t xml:space="preserve"> accumulation of surface charge (</w:t>
      </w:r>
      <w:proofErr w:type="spellStart"/>
      <w:r w:rsidR="004263B6" w:rsidRPr="00C27A9E">
        <w:rPr>
          <w:rFonts w:cs="Arial"/>
          <w:szCs w:val="18"/>
          <w:shd w:val="clear" w:color="auto" w:fill="FFFFFF"/>
          <w:lang w:val="en-US"/>
        </w:rPr>
        <w:t>Malagon</w:t>
      </w:r>
      <w:proofErr w:type="spellEnd"/>
      <w:r w:rsidR="004263B6" w:rsidRPr="00C27A9E">
        <w:rPr>
          <w:rFonts w:cs="Arial"/>
          <w:szCs w:val="18"/>
          <w:shd w:val="clear" w:color="auto" w:fill="FFFFFF"/>
          <w:lang w:val="en-US"/>
        </w:rPr>
        <w:t xml:space="preserve">-Romero, </w:t>
      </w:r>
      <w:proofErr w:type="spellStart"/>
      <w:r w:rsidR="004263B6" w:rsidRPr="00C27A9E">
        <w:rPr>
          <w:rFonts w:cs="Arial"/>
          <w:szCs w:val="18"/>
          <w:shd w:val="clear" w:color="auto" w:fill="FFFFFF"/>
          <w:lang w:val="en-US"/>
        </w:rPr>
        <w:t>Clavijo</w:t>
      </w:r>
      <w:proofErr w:type="spellEnd"/>
      <w:r w:rsidR="004263B6" w:rsidRPr="00C27A9E">
        <w:rPr>
          <w:rFonts w:cs="Arial"/>
          <w:szCs w:val="18"/>
          <w:shd w:val="clear" w:color="auto" w:fill="FFFFFF"/>
          <w:lang w:val="en-US"/>
        </w:rPr>
        <w:t xml:space="preserve"> and Lopez, 2018)</w:t>
      </w:r>
      <w:r w:rsidR="00E53E7D">
        <w:rPr>
          <w:rFonts w:cs="Arial"/>
          <w:szCs w:val="18"/>
          <w:shd w:val="clear" w:color="auto" w:fill="FFFFFF"/>
          <w:lang w:val="en-US"/>
        </w:rPr>
        <w:t>.</w:t>
      </w:r>
      <w:r w:rsidRPr="00C27A9E">
        <w:rPr>
          <w:rFonts w:cs="Arial"/>
          <w:szCs w:val="18"/>
          <w:shd w:val="clear" w:color="auto" w:fill="FFFFFF"/>
          <w:lang w:val="en-US"/>
        </w:rPr>
        <w:t xml:space="preserve"> The electric field, together with the surface charge, generates an electrical effort. When said effort is increased enough to overcome the surface tension, the interface of the liquid is deformed with its external means in the direction of the applied field, adopting different geometries with a conical tendency</w:t>
      </w:r>
      <w:r w:rsidR="004263B6" w:rsidRPr="00C27A9E">
        <w:rPr>
          <w:rFonts w:cs="Arial"/>
          <w:szCs w:val="18"/>
          <w:shd w:val="clear" w:color="auto" w:fill="FFFFFF"/>
          <w:lang w:val="en-US"/>
        </w:rPr>
        <w:t xml:space="preserve"> (</w:t>
      </w:r>
      <w:proofErr w:type="spellStart"/>
      <w:r w:rsidR="004263B6" w:rsidRPr="00C27A9E">
        <w:rPr>
          <w:rFonts w:cs="Arial"/>
          <w:szCs w:val="18"/>
          <w:shd w:val="clear" w:color="auto" w:fill="FFFFFF"/>
          <w:lang w:val="en-US"/>
        </w:rPr>
        <w:t>Clavijo-Grimaldo</w:t>
      </w:r>
      <w:proofErr w:type="spellEnd"/>
      <w:r w:rsidR="004263B6" w:rsidRPr="00C27A9E">
        <w:rPr>
          <w:rFonts w:cs="Arial"/>
          <w:szCs w:val="18"/>
          <w:shd w:val="clear" w:color="auto" w:fill="FFFFFF"/>
          <w:lang w:val="en-US"/>
        </w:rPr>
        <w:t xml:space="preserve"> et al, 2018)</w:t>
      </w:r>
      <w:r w:rsidRPr="00C27A9E">
        <w:rPr>
          <w:rFonts w:cs="Arial"/>
          <w:szCs w:val="18"/>
          <w:shd w:val="clear" w:color="auto" w:fill="FFFFFF"/>
          <w:lang w:val="en-US"/>
        </w:rPr>
        <w:t xml:space="preserve">. Next to the vortex of the cone, the electric field is so intense that mass and charge emission is produce in the form of a stable stream, small in diameter, which is </w:t>
      </w:r>
      <w:r w:rsidR="00D72B21" w:rsidRPr="00C27A9E">
        <w:rPr>
          <w:rFonts w:cs="Arial"/>
          <w:szCs w:val="18"/>
          <w:shd w:val="clear" w:color="auto" w:fill="FFFFFF"/>
          <w:lang w:val="en-US"/>
        </w:rPr>
        <w:t>fragmented</w:t>
      </w:r>
      <w:r w:rsidRPr="00C27A9E">
        <w:rPr>
          <w:rFonts w:cs="Arial"/>
          <w:szCs w:val="18"/>
          <w:shd w:val="clear" w:color="auto" w:fill="FFFFFF"/>
          <w:lang w:val="en-US"/>
        </w:rPr>
        <w:t xml:space="preserve"> in a spray of charged drops (electrospray) or fibers (electrospinning). During the process, the solve</w:t>
      </w:r>
      <w:r w:rsidR="004263B6" w:rsidRPr="00C27A9E">
        <w:rPr>
          <w:rFonts w:cs="Arial"/>
          <w:szCs w:val="18"/>
          <w:shd w:val="clear" w:color="auto" w:fill="FFFFFF"/>
          <w:lang w:val="en-US"/>
        </w:rPr>
        <w:t>nt is completely evaporated (</w:t>
      </w:r>
      <w:proofErr w:type="spellStart"/>
      <w:r w:rsidR="004263B6" w:rsidRPr="00C27A9E">
        <w:rPr>
          <w:rFonts w:cs="Arial"/>
          <w:szCs w:val="18"/>
          <w:shd w:val="clear" w:color="auto" w:fill="FFFFFF"/>
          <w:lang w:val="en-US"/>
        </w:rPr>
        <w:t>Clavijo-Grimaldo</w:t>
      </w:r>
      <w:proofErr w:type="spellEnd"/>
      <w:r w:rsidR="004263B6" w:rsidRPr="00C27A9E">
        <w:rPr>
          <w:rFonts w:cs="Arial"/>
          <w:szCs w:val="18"/>
          <w:shd w:val="clear" w:color="auto" w:fill="FFFFFF"/>
          <w:lang w:val="en-US"/>
        </w:rPr>
        <w:t>,</w:t>
      </w:r>
      <w:r w:rsidR="00FD5BDF">
        <w:rPr>
          <w:rFonts w:cs="Arial"/>
          <w:szCs w:val="18"/>
          <w:shd w:val="clear" w:color="auto" w:fill="FFFFFF"/>
          <w:lang w:val="en-US"/>
        </w:rPr>
        <w:t xml:space="preserve"> </w:t>
      </w:r>
      <w:r w:rsidR="004263B6" w:rsidRPr="00C27A9E">
        <w:rPr>
          <w:rFonts w:cs="Arial"/>
          <w:szCs w:val="18"/>
          <w:shd w:val="clear" w:color="auto" w:fill="FFFFFF"/>
          <w:lang w:val="en-US"/>
        </w:rPr>
        <w:t>2015</w:t>
      </w:r>
      <w:r w:rsidRPr="00C27A9E">
        <w:rPr>
          <w:rFonts w:cs="Arial"/>
          <w:szCs w:val="18"/>
          <w:shd w:val="clear" w:color="auto" w:fill="FFFFFF"/>
          <w:lang w:val="en-US"/>
        </w:rPr>
        <w:t>).</w:t>
      </w:r>
    </w:p>
    <w:p w14:paraId="062FA717" w14:textId="159793C0" w:rsidR="00972AF4" w:rsidRPr="00C27A9E" w:rsidRDefault="00972AF4" w:rsidP="00C27A9E">
      <w:pPr>
        <w:rPr>
          <w:rFonts w:cs="Arial"/>
          <w:szCs w:val="18"/>
          <w:shd w:val="clear" w:color="auto" w:fill="FFFFFF"/>
          <w:lang w:val="en-US"/>
        </w:rPr>
      </w:pPr>
      <w:r w:rsidRPr="00C27A9E">
        <w:rPr>
          <w:rFonts w:cs="Arial"/>
          <w:szCs w:val="18"/>
          <w:shd w:val="clear" w:color="auto" w:fill="FFFFFF"/>
          <w:lang w:val="en-US"/>
        </w:rPr>
        <w:t>By means of electrospinning, membranes have been manufactured for the packaging of food products; said membranes are made of micro/nanofibers</w:t>
      </w:r>
      <w:r w:rsidR="004263B6" w:rsidRPr="00C27A9E">
        <w:rPr>
          <w:rFonts w:cs="Arial"/>
          <w:szCs w:val="18"/>
          <w:shd w:val="clear" w:color="auto" w:fill="FFFFFF"/>
          <w:lang w:val="en-US"/>
        </w:rPr>
        <w:t xml:space="preserve"> </w:t>
      </w:r>
      <w:r w:rsidR="004263B6" w:rsidRPr="00C27A9E">
        <w:rPr>
          <w:rFonts w:cs="Arial"/>
          <w:color w:val="000000"/>
          <w:szCs w:val="18"/>
          <w:shd w:val="clear" w:color="auto" w:fill="FFFFFF"/>
        </w:rPr>
        <w:t>(</w:t>
      </w:r>
      <w:proofErr w:type="spellStart"/>
      <w:r w:rsidR="004263B6" w:rsidRPr="00C27A9E">
        <w:rPr>
          <w:rFonts w:cs="Arial"/>
          <w:color w:val="000000"/>
          <w:szCs w:val="18"/>
          <w:shd w:val="clear" w:color="auto" w:fill="FFFFFF"/>
        </w:rPr>
        <w:t>Quirós</w:t>
      </w:r>
      <w:proofErr w:type="spellEnd"/>
      <w:r w:rsidR="004263B6" w:rsidRPr="00C27A9E">
        <w:rPr>
          <w:rFonts w:cs="Arial"/>
          <w:color w:val="000000"/>
          <w:szCs w:val="18"/>
          <w:shd w:val="clear" w:color="auto" w:fill="FFFFFF"/>
        </w:rPr>
        <w:t xml:space="preserve">, </w:t>
      </w:r>
      <w:proofErr w:type="spellStart"/>
      <w:r w:rsidR="004263B6" w:rsidRPr="00C27A9E">
        <w:rPr>
          <w:rFonts w:cs="Arial"/>
          <w:color w:val="000000"/>
          <w:szCs w:val="18"/>
          <w:shd w:val="clear" w:color="auto" w:fill="FFFFFF"/>
        </w:rPr>
        <w:t>Boltes</w:t>
      </w:r>
      <w:proofErr w:type="spellEnd"/>
      <w:r w:rsidR="004263B6" w:rsidRPr="00C27A9E">
        <w:rPr>
          <w:rFonts w:cs="Arial"/>
          <w:color w:val="000000"/>
          <w:szCs w:val="18"/>
          <w:shd w:val="clear" w:color="auto" w:fill="FFFFFF"/>
        </w:rPr>
        <w:t xml:space="preserve"> and </w:t>
      </w:r>
      <w:proofErr w:type="spellStart"/>
      <w:r w:rsidR="004263B6" w:rsidRPr="00C27A9E">
        <w:rPr>
          <w:rFonts w:cs="Arial"/>
          <w:color w:val="000000"/>
          <w:szCs w:val="18"/>
          <w:shd w:val="clear" w:color="auto" w:fill="FFFFFF"/>
        </w:rPr>
        <w:t>Rosal</w:t>
      </w:r>
      <w:proofErr w:type="spellEnd"/>
      <w:r w:rsidR="004263B6" w:rsidRPr="00C27A9E">
        <w:rPr>
          <w:rFonts w:cs="Arial"/>
          <w:color w:val="000000"/>
          <w:szCs w:val="18"/>
          <w:shd w:val="clear" w:color="auto" w:fill="FFFFFF"/>
        </w:rPr>
        <w:t>, 2016</w:t>
      </w:r>
      <w:r w:rsidRPr="00C27A9E">
        <w:rPr>
          <w:rFonts w:cs="Arial"/>
          <w:szCs w:val="18"/>
          <w:shd w:val="clear" w:color="auto" w:fill="FFFFFF"/>
          <w:lang w:val="en-US"/>
        </w:rPr>
        <w:t xml:space="preserve">). </w:t>
      </w:r>
      <w:r w:rsidR="00D72B21" w:rsidRPr="00C27A9E">
        <w:rPr>
          <w:rFonts w:cs="Arial"/>
          <w:szCs w:val="18"/>
          <w:shd w:val="clear" w:color="auto" w:fill="FFFFFF"/>
          <w:lang w:val="en-US"/>
        </w:rPr>
        <w:t xml:space="preserve"> With t</w:t>
      </w:r>
      <w:r w:rsidRPr="00C27A9E">
        <w:rPr>
          <w:rFonts w:cs="Arial"/>
          <w:szCs w:val="18"/>
          <w:shd w:val="clear" w:color="auto" w:fill="FFFFFF"/>
          <w:lang w:val="en-US"/>
        </w:rPr>
        <w:t>his versatile, efficient and controllable technique</w:t>
      </w:r>
      <w:r w:rsidR="00D72B21" w:rsidRPr="00C27A9E">
        <w:rPr>
          <w:rFonts w:cs="Arial"/>
          <w:szCs w:val="18"/>
          <w:shd w:val="clear" w:color="auto" w:fill="FFFFFF"/>
          <w:lang w:val="en-US"/>
        </w:rPr>
        <w:t xml:space="preserve"> it is possible </w:t>
      </w:r>
      <w:r w:rsidRPr="00C27A9E">
        <w:rPr>
          <w:rFonts w:cs="Arial"/>
          <w:szCs w:val="18"/>
          <w:shd w:val="clear" w:color="auto" w:fill="FFFFFF"/>
          <w:lang w:val="en-US"/>
        </w:rPr>
        <w:t xml:space="preserve"> the manufacturing of fibers with different diameters and porosity, controlling three groups of variables: variables dependent on the polymer and its solvent </w:t>
      </w:r>
      <w:r w:rsidR="00D72B21" w:rsidRPr="00C27A9E">
        <w:rPr>
          <w:rFonts w:cs="Arial"/>
          <w:szCs w:val="18"/>
          <w:shd w:val="clear" w:color="auto" w:fill="FFFFFF"/>
          <w:lang w:val="en-US"/>
        </w:rPr>
        <w:t xml:space="preserve"> </w:t>
      </w:r>
      <w:r w:rsidRPr="00C27A9E">
        <w:rPr>
          <w:rFonts w:cs="Arial"/>
          <w:szCs w:val="18"/>
          <w:shd w:val="clear" w:color="auto" w:fill="FFFFFF"/>
          <w:lang w:val="en-US"/>
        </w:rPr>
        <w:t xml:space="preserve">(molecular weight of the polymer, concentration, viscosity, electric conductivity, temperature and surface tension of the solution), </w:t>
      </w:r>
      <w:r w:rsidR="00D72B21" w:rsidRPr="00C27A9E">
        <w:rPr>
          <w:rFonts w:cs="Arial"/>
          <w:szCs w:val="18"/>
          <w:shd w:val="clear" w:color="auto" w:fill="FFFFFF"/>
          <w:lang w:val="en-US"/>
        </w:rPr>
        <w:t xml:space="preserve"> </w:t>
      </w:r>
      <w:r w:rsidRPr="00C27A9E">
        <w:rPr>
          <w:rFonts w:cs="Arial"/>
          <w:szCs w:val="18"/>
          <w:shd w:val="clear" w:color="auto" w:fill="FFFFFF"/>
          <w:lang w:val="en-US"/>
        </w:rPr>
        <w:t>variables dependent on the process (voltage, flow of the polymer, distance between the needle through which the polymer comes out and the collector where the fibers are collected, the diameter of the needle, type of collector and velocity of the movement of the collector)</w:t>
      </w:r>
      <w:r w:rsidR="00D72B21" w:rsidRPr="00C27A9E">
        <w:rPr>
          <w:rFonts w:cs="Arial"/>
          <w:szCs w:val="18"/>
          <w:shd w:val="clear" w:color="auto" w:fill="FFFFFF"/>
          <w:lang w:val="en-US"/>
        </w:rPr>
        <w:t xml:space="preserve"> </w:t>
      </w:r>
      <w:r w:rsidRPr="00C27A9E">
        <w:rPr>
          <w:rFonts w:cs="Arial"/>
          <w:szCs w:val="18"/>
          <w:shd w:val="clear" w:color="auto" w:fill="FFFFFF"/>
          <w:lang w:val="en-US"/>
        </w:rPr>
        <w:t xml:space="preserve"> and variables dependent on the environmental conditions (temperature and humidity, for example).</w:t>
      </w:r>
      <w:r w:rsidR="005B35A2" w:rsidRPr="00C27A9E">
        <w:rPr>
          <w:rFonts w:cs="Arial"/>
          <w:szCs w:val="18"/>
          <w:shd w:val="clear" w:color="auto" w:fill="FFFFFF"/>
          <w:lang w:val="en-US"/>
        </w:rPr>
        <w:t xml:space="preserve"> </w:t>
      </w:r>
    </w:p>
    <w:p w14:paraId="1AED3853" w14:textId="50F5B0AB" w:rsidR="00600535" w:rsidRPr="009E29A8" w:rsidRDefault="00972AF4" w:rsidP="001E1AD9">
      <w:pPr>
        <w:pStyle w:val="HTMLconformatoprevio"/>
        <w:shd w:val="clear" w:color="auto" w:fill="FFFFFF"/>
        <w:spacing w:line="264" w:lineRule="auto"/>
        <w:rPr>
          <w:rFonts w:ascii="Arial" w:hAnsi="Arial" w:cs="Arial"/>
          <w:szCs w:val="18"/>
        </w:rPr>
      </w:pPr>
      <w:r w:rsidRPr="009E29A8">
        <w:rPr>
          <w:rFonts w:ascii="Arial" w:hAnsi="Arial" w:cs="Arial"/>
          <w:szCs w:val="18"/>
          <w:shd w:val="clear" w:color="auto" w:fill="FFFFFF"/>
          <w:lang w:val="en-US"/>
        </w:rPr>
        <w:t>Although both the PLGA and the PCL have been approved to be used,</w:t>
      </w:r>
      <w:r w:rsidR="005B35A2" w:rsidRPr="009E29A8">
        <w:rPr>
          <w:rFonts w:ascii="Arial" w:hAnsi="Arial" w:cs="Arial"/>
          <w:szCs w:val="18"/>
          <w:shd w:val="clear" w:color="auto" w:fill="FFFFFF"/>
          <w:lang w:val="en-US"/>
        </w:rPr>
        <w:t xml:space="preserve"> </w:t>
      </w:r>
      <w:r w:rsidR="009E29A8" w:rsidRPr="009E29A8">
        <w:rPr>
          <w:rFonts w:ascii="Arial" w:hAnsi="Arial" w:cs="Arial"/>
          <w:color w:val="212121"/>
          <w:lang w:val="en"/>
        </w:rPr>
        <w:t xml:space="preserve">some research </w:t>
      </w:r>
      <w:r w:rsidRPr="009E29A8">
        <w:rPr>
          <w:rFonts w:ascii="Arial" w:hAnsi="Arial" w:cs="Arial"/>
          <w:szCs w:val="18"/>
          <w:shd w:val="clear" w:color="auto" w:fill="FFFFFF"/>
          <w:lang w:val="en-US"/>
        </w:rPr>
        <w:t xml:space="preserve">shows that the PGLA degradation products (glycolic and </w:t>
      </w:r>
      <w:proofErr w:type="spellStart"/>
      <w:r w:rsidRPr="009E29A8">
        <w:rPr>
          <w:rFonts w:ascii="Arial" w:hAnsi="Arial" w:cs="Arial"/>
          <w:szCs w:val="18"/>
          <w:shd w:val="clear" w:color="auto" w:fill="FFFFFF"/>
          <w:lang w:val="en-US"/>
        </w:rPr>
        <w:t>polylactic</w:t>
      </w:r>
      <w:proofErr w:type="spellEnd"/>
      <w:r w:rsidRPr="009E29A8">
        <w:rPr>
          <w:rFonts w:ascii="Arial" w:hAnsi="Arial" w:cs="Arial"/>
          <w:szCs w:val="18"/>
          <w:shd w:val="clear" w:color="auto" w:fill="FFFFFF"/>
          <w:lang w:val="en-US"/>
        </w:rPr>
        <w:t xml:space="preserve"> acids) can be metabolic substrates and increase bacterial adhesion and favor</w:t>
      </w:r>
      <w:r w:rsidR="001E1AD9">
        <w:rPr>
          <w:rFonts w:ascii="Arial" w:hAnsi="Arial" w:cs="Arial"/>
          <w:szCs w:val="18"/>
          <w:shd w:val="clear" w:color="auto" w:fill="FFFFFF"/>
          <w:lang w:val="en-US"/>
        </w:rPr>
        <w:t xml:space="preserve"> infection </w:t>
      </w:r>
      <w:r w:rsidR="001E1AD9" w:rsidRPr="001E1AD9">
        <w:rPr>
          <w:rFonts w:ascii="Arial" w:hAnsi="Arial" w:cs="Arial"/>
          <w:szCs w:val="18"/>
          <w:shd w:val="clear" w:color="auto" w:fill="FFFFFF"/>
        </w:rPr>
        <w:t>(Al-Ahmad et al., 2008)</w:t>
      </w:r>
      <w:r w:rsidR="009E29A8" w:rsidRPr="001E1AD9">
        <w:rPr>
          <w:rFonts w:ascii="Arial" w:hAnsi="Arial" w:cs="Arial"/>
          <w:szCs w:val="18"/>
          <w:shd w:val="clear" w:color="auto" w:fill="FFFFFF"/>
          <w:lang w:val="en-US"/>
        </w:rPr>
        <w:t>.</w:t>
      </w:r>
      <w:r w:rsidR="009E29A8" w:rsidRPr="009E29A8">
        <w:rPr>
          <w:rFonts w:ascii="Arial" w:hAnsi="Arial" w:cs="Arial"/>
          <w:szCs w:val="18"/>
          <w:shd w:val="clear" w:color="auto" w:fill="FFFFFF"/>
          <w:lang w:val="en-US"/>
        </w:rPr>
        <w:t xml:space="preserve"> This</w:t>
      </w:r>
      <w:r w:rsidRPr="009E29A8">
        <w:rPr>
          <w:rFonts w:ascii="Arial" w:hAnsi="Arial" w:cs="Arial"/>
          <w:szCs w:val="18"/>
          <w:shd w:val="clear" w:color="auto" w:fill="FFFFFF"/>
          <w:lang w:val="en-US"/>
        </w:rPr>
        <w:t xml:space="preserve"> effect not observed in the PCL, which is why the objective of this work is to qualitatively assess the proliferation, adhesion and biofilm formation capacity of three of the most frequent microorganisms that contaminate packaging and food products</w:t>
      </w:r>
      <w:r w:rsidR="009E29A8" w:rsidRPr="009E29A8">
        <w:rPr>
          <w:rFonts w:ascii="Arial" w:hAnsi="Arial" w:cs="Arial"/>
          <w:szCs w:val="18"/>
          <w:shd w:val="clear" w:color="auto" w:fill="FFFFFF"/>
          <w:lang w:val="en-US"/>
        </w:rPr>
        <w:t xml:space="preserve"> </w:t>
      </w:r>
      <w:r w:rsidRPr="009E29A8">
        <w:rPr>
          <w:rFonts w:ascii="Arial" w:hAnsi="Arial" w:cs="Arial"/>
          <w:color w:val="212121"/>
          <w:szCs w:val="18"/>
          <w:shd w:val="clear" w:color="auto" w:fill="FFFFFF"/>
          <w:lang w:val="en-US"/>
        </w:rPr>
        <w:t>in micro/nanofiber membranes made of PLGA, PCL and a combination of both polymers.</w:t>
      </w:r>
    </w:p>
    <w:p w14:paraId="677EBFF0" w14:textId="3855B2F0" w:rsidR="00600535" w:rsidRPr="00B57B36" w:rsidRDefault="00D72B21" w:rsidP="00600535">
      <w:pPr>
        <w:pStyle w:val="CETHeading1"/>
        <w:tabs>
          <w:tab w:val="clear" w:pos="360"/>
          <w:tab w:val="right" w:pos="7100"/>
        </w:tabs>
        <w:jc w:val="both"/>
        <w:rPr>
          <w:lang w:val="en-GB"/>
        </w:rPr>
      </w:pPr>
      <w:r>
        <w:rPr>
          <w:lang w:val="en-GB"/>
        </w:rPr>
        <w:t xml:space="preserve">Materials and methods </w:t>
      </w:r>
    </w:p>
    <w:p w14:paraId="17D9AA09" w14:textId="3243F0FA" w:rsidR="00D72B21" w:rsidRDefault="00D72B21" w:rsidP="00B47D4F">
      <w:pPr>
        <w:pStyle w:val="CETHeading1"/>
        <w:numPr>
          <w:ilvl w:val="0"/>
          <w:numId w:val="0"/>
        </w:numPr>
        <w:spacing w:before="0" w:after="0"/>
        <w:rPr>
          <w:sz w:val="18"/>
          <w:shd w:val="clear" w:color="auto" w:fill="FFFFFF"/>
        </w:rPr>
      </w:pPr>
      <w:r w:rsidRPr="00D72B21">
        <w:rPr>
          <w:sz w:val="18"/>
          <w:shd w:val="clear" w:color="auto" w:fill="FFFFFF"/>
        </w:rPr>
        <w:t>2.1 Manufacturing and characterization of membranes</w:t>
      </w:r>
    </w:p>
    <w:p w14:paraId="31E42A4E" w14:textId="77777777" w:rsidR="00B47D4F" w:rsidRPr="00B47D4F" w:rsidRDefault="00B47D4F" w:rsidP="00B47D4F">
      <w:pPr>
        <w:pStyle w:val="CETBodytext"/>
        <w:spacing w:line="240" w:lineRule="auto"/>
      </w:pPr>
    </w:p>
    <w:p w14:paraId="3885A851" w14:textId="77777777" w:rsidR="002D2DFA" w:rsidRPr="00C27A9E" w:rsidRDefault="002D2DFA" w:rsidP="00C27A9E">
      <w:pPr>
        <w:rPr>
          <w:rFonts w:cs="Arial"/>
          <w:szCs w:val="18"/>
          <w:shd w:val="clear" w:color="auto" w:fill="FFFFFF"/>
          <w:lang w:val="en-US"/>
        </w:rPr>
      </w:pPr>
      <w:r w:rsidRPr="00C27A9E">
        <w:rPr>
          <w:rFonts w:cs="Arial"/>
          <w:szCs w:val="18"/>
          <w:shd w:val="clear" w:color="auto" w:fill="FFFFFF"/>
          <w:lang w:val="en-US"/>
        </w:rPr>
        <w:t>For the manufacturing of the membranes by means of the electrospinning technique, 3 solutions were prepared:</w:t>
      </w:r>
    </w:p>
    <w:p w14:paraId="7A970E1A" w14:textId="77777777" w:rsidR="002D2DFA" w:rsidRPr="00C27A9E" w:rsidRDefault="002D2DFA" w:rsidP="00C27A9E">
      <w:pPr>
        <w:pStyle w:val="Prrafodelista"/>
        <w:numPr>
          <w:ilvl w:val="0"/>
          <w:numId w:val="23"/>
        </w:numPr>
        <w:spacing w:line="264" w:lineRule="auto"/>
        <w:ind w:left="714" w:hanging="357"/>
        <w:jc w:val="both"/>
        <w:rPr>
          <w:rFonts w:ascii="Arial" w:hAnsi="Arial" w:cs="Arial"/>
          <w:sz w:val="18"/>
          <w:szCs w:val="18"/>
          <w:shd w:val="clear" w:color="auto" w:fill="FFFFFF"/>
          <w:lang w:val="en-US"/>
        </w:rPr>
      </w:pPr>
      <w:r w:rsidRPr="00C27A9E">
        <w:rPr>
          <w:rFonts w:ascii="Arial" w:hAnsi="Arial" w:cs="Arial"/>
          <w:sz w:val="18"/>
          <w:szCs w:val="18"/>
          <w:shd w:val="clear" w:color="auto" w:fill="FFFFFF"/>
          <w:lang w:val="en-US"/>
        </w:rPr>
        <w:t>PLGA solution: Poly (D, L-</w:t>
      </w:r>
      <w:proofErr w:type="spellStart"/>
      <w:r w:rsidRPr="00C27A9E">
        <w:rPr>
          <w:rFonts w:ascii="Arial" w:hAnsi="Arial" w:cs="Arial"/>
          <w:sz w:val="18"/>
          <w:szCs w:val="18"/>
          <w:shd w:val="clear" w:color="auto" w:fill="FFFFFF"/>
          <w:lang w:val="en-US"/>
        </w:rPr>
        <w:t>lactide</w:t>
      </w:r>
      <w:proofErr w:type="spellEnd"/>
      <w:r w:rsidRPr="00C27A9E">
        <w:rPr>
          <w:rFonts w:ascii="Arial" w:hAnsi="Arial" w:cs="Arial"/>
          <w:sz w:val="18"/>
          <w:szCs w:val="18"/>
          <w:shd w:val="clear" w:color="auto" w:fill="FFFFFF"/>
          <w:lang w:val="en-US"/>
        </w:rPr>
        <w:t>-co-</w:t>
      </w:r>
      <w:proofErr w:type="spellStart"/>
      <w:r w:rsidRPr="00C27A9E">
        <w:rPr>
          <w:rFonts w:ascii="Arial" w:hAnsi="Arial" w:cs="Arial"/>
          <w:sz w:val="18"/>
          <w:szCs w:val="18"/>
          <w:shd w:val="clear" w:color="auto" w:fill="FFFFFF"/>
          <w:lang w:val="en-US"/>
        </w:rPr>
        <w:t>glycolide</w:t>
      </w:r>
      <w:proofErr w:type="spellEnd"/>
      <w:r w:rsidRPr="00C27A9E">
        <w:rPr>
          <w:rFonts w:ascii="Arial" w:hAnsi="Arial" w:cs="Arial"/>
          <w:sz w:val="18"/>
          <w:szCs w:val="18"/>
          <w:shd w:val="clear" w:color="auto" w:fill="FFFFFF"/>
          <w:lang w:val="en-US"/>
        </w:rPr>
        <w:t xml:space="preserve">) </w:t>
      </w:r>
      <w:r w:rsidRPr="00C27A9E">
        <w:rPr>
          <w:rFonts w:ascii="Arial" w:hAnsi="Arial" w:cs="Arial"/>
          <w:sz w:val="18"/>
          <w:szCs w:val="18"/>
          <w:lang w:val="en-US"/>
        </w:rPr>
        <w:t>(50:50, CAS# 26780-50-7  and molecular weight  30,000 - 60,000 g/</w:t>
      </w:r>
      <w:proofErr w:type="spellStart"/>
      <w:r w:rsidRPr="00C27A9E">
        <w:rPr>
          <w:rFonts w:ascii="Arial" w:hAnsi="Arial" w:cs="Arial"/>
          <w:sz w:val="18"/>
          <w:szCs w:val="18"/>
          <w:lang w:val="en-US"/>
        </w:rPr>
        <w:t>mol</w:t>
      </w:r>
      <w:proofErr w:type="spellEnd"/>
      <w:r w:rsidRPr="00C27A9E">
        <w:rPr>
          <w:rFonts w:ascii="Arial" w:hAnsi="Arial" w:cs="Arial"/>
          <w:sz w:val="18"/>
          <w:szCs w:val="18"/>
          <w:lang w:val="en-US"/>
        </w:rPr>
        <w:t>) was used in a solution with 20% W/V in Chloroform (99,5 %, CAS # 67-66-3)</w:t>
      </w:r>
    </w:p>
    <w:p w14:paraId="1005041E" w14:textId="77777777" w:rsidR="002D2DFA" w:rsidRPr="00C27A9E" w:rsidRDefault="002D2DFA" w:rsidP="00C27A9E">
      <w:pPr>
        <w:pStyle w:val="NormalWeb"/>
        <w:numPr>
          <w:ilvl w:val="0"/>
          <w:numId w:val="23"/>
        </w:numPr>
        <w:shd w:val="clear" w:color="auto" w:fill="FFFFFF"/>
        <w:tabs>
          <w:tab w:val="clear" w:pos="7100"/>
        </w:tabs>
        <w:ind w:left="714" w:right="75" w:hanging="357"/>
        <w:rPr>
          <w:rFonts w:cs="Arial"/>
          <w:sz w:val="18"/>
          <w:szCs w:val="18"/>
          <w:shd w:val="clear" w:color="auto" w:fill="FFFFFF"/>
          <w:lang w:val="en-US"/>
        </w:rPr>
      </w:pPr>
      <w:r w:rsidRPr="00C27A9E">
        <w:rPr>
          <w:rFonts w:cs="Arial"/>
          <w:color w:val="212121"/>
          <w:sz w:val="18"/>
          <w:szCs w:val="18"/>
          <w:shd w:val="clear" w:color="auto" w:fill="FFFFFF"/>
          <w:lang w:val="en-US"/>
        </w:rPr>
        <w:t xml:space="preserve">PLGA+PCL Solution: </w:t>
      </w:r>
      <w:r w:rsidRPr="00C27A9E">
        <w:rPr>
          <w:rFonts w:cs="Arial"/>
          <w:sz w:val="18"/>
          <w:szCs w:val="18"/>
          <w:lang w:val="en-US"/>
        </w:rPr>
        <w:t>Poly(L-</w:t>
      </w:r>
      <w:proofErr w:type="spellStart"/>
      <w:r w:rsidRPr="00C27A9E">
        <w:rPr>
          <w:rFonts w:cs="Arial"/>
          <w:sz w:val="18"/>
          <w:szCs w:val="18"/>
          <w:lang w:val="en-US"/>
        </w:rPr>
        <w:t>lactide</w:t>
      </w:r>
      <w:proofErr w:type="spellEnd"/>
      <w:r w:rsidRPr="00C27A9E">
        <w:rPr>
          <w:rFonts w:cs="Arial"/>
          <w:sz w:val="18"/>
          <w:szCs w:val="18"/>
          <w:lang w:val="en-US"/>
        </w:rPr>
        <w:t>-co-</w:t>
      </w:r>
      <w:proofErr w:type="spellStart"/>
      <w:r w:rsidRPr="00C27A9E">
        <w:rPr>
          <w:rFonts w:cs="Arial"/>
          <w:sz w:val="18"/>
          <w:szCs w:val="18"/>
          <w:lang w:val="en-US"/>
        </w:rPr>
        <w:t>caprolactone</w:t>
      </w:r>
      <w:proofErr w:type="spellEnd"/>
      <w:r w:rsidRPr="00C27A9E">
        <w:rPr>
          <w:rFonts w:cs="Arial"/>
          <w:sz w:val="18"/>
          <w:szCs w:val="18"/>
          <w:lang w:val="en-US"/>
        </w:rPr>
        <w:t>-co-</w:t>
      </w:r>
      <w:proofErr w:type="spellStart"/>
      <w:r w:rsidRPr="00C27A9E">
        <w:rPr>
          <w:rFonts w:cs="Arial"/>
          <w:sz w:val="18"/>
          <w:szCs w:val="18"/>
          <w:lang w:val="en-US"/>
        </w:rPr>
        <w:t>glycolide</w:t>
      </w:r>
      <w:proofErr w:type="spellEnd"/>
      <w:r w:rsidRPr="00C27A9E">
        <w:rPr>
          <w:rFonts w:cs="Arial"/>
          <w:sz w:val="18"/>
          <w:szCs w:val="18"/>
          <w:lang w:val="en-US"/>
        </w:rPr>
        <w:t>) (L-</w:t>
      </w:r>
      <w:proofErr w:type="spellStart"/>
      <w:r w:rsidRPr="00C27A9E">
        <w:rPr>
          <w:rFonts w:cs="Arial"/>
          <w:sz w:val="18"/>
          <w:szCs w:val="18"/>
          <w:lang w:val="en-US"/>
        </w:rPr>
        <w:t>Lactide</w:t>
      </w:r>
      <w:proofErr w:type="spellEnd"/>
      <w:r w:rsidRPr="00C27A9E">
        <w:rPr>
          <w:rFonts w:cs="Arial"/>
          <w:sz w:val="18"/>
          <w:szCs w:val="18"/>
          <w:lang w:val="en-US"/>
        </w:rPr>
        <w:t xml:space="preserve"> 70%,  CAS # 134490-19-0 and molecular weight 100 kg/</w:t>
      </w:r>
      <w:proofErr w:type="spellStart"/>
      <w:r w:rsidRPr="00C27A9E">
        <w:rPr>
          <w:rFonts w:cs="Arial"/>
          <w:sz w:val="18"/>
          <w:szCs w:val="18"/>
          <w:lang w:val="en-US"/>
        </w:rPr>
        <w:t>mol</w:t>
      </w:r>
      <w:proofErr w:type="spellEnd"/>
      <w:r w:rsidRPr="00C27A9E">
        <w:rPr>
          <w:rFonts w:cs="Arial"/>
          <w:sz w:val="18"/>
          <w:szCs w:val="18"/>
          <w:lang w:val="en-US"/>
        </w:rPr>
        <w:t>) was used in a solution with 10% W/V in  Dichloromethane (99,8% CAS Number: </w:t>
      </w:r>
      <w:hyperlink r:id="rId11" w:history="1">
        <w:r w:rsidRPr="00C27A9E">
          <w:rPr>
            <w:rStyle w:val="Hipervnculo"/>
            <w:rFonts w:cs="Arial"/>
            <w:bCs/>
            <w:color w:val="auto"/>
            <w:sz w:val="18"/>
            <w:szCs w:val="18"/>
            <w:u w:val="none"/>
            <w:lang w:val="en-US"/>
          </w:rPr>
          <w:t>75-09-2</w:t>
        </w:r>
      </w:hyperlink>
      <w:r w:rsidRPr="00C27A9E">
        <w:rPr>
          <w:rStyle w:val="info"/>
          <w:rFonts w:cs="Arial"/>
          <w:bCs/>
          <w:sz w:val="18"/>
          <w:szCs w:val="18"/>
          <w:lang w:val="en-US"/>
        </w:rPr>
        <w:t>)</w:t>
      </w:r>
    </w:p>
    <w:p w14:paraId="2B7BB25D" w14:textId="77777777" w:rsidR="002D2DFA" w:rsidRPr="00C27A9E" w:rsidRDefault="002D2DFA" w:rsidP="00C27A9E">
      <w:pPr>
        <w:pStyle w:val="Prrafodelista"/>
        <w:numPr>
          <w:ilvl w:val="0"/>
          <w:numId w:val="23"/>
        </w:numPr>
        <w:spacing w:line="264" w:lineRule="auto"/>
        <w:ind w:left="714" w:hanging="357"/>
        <w:jc w:val="both"/>
        <w:rPr>
          <w:rFonts w:ascii="Arial" w:hAnsi="Arial" w:cs="Arial"/>
          <w:sz w:val="18"/>
          <w:szCs w:val="18"/>
          <w:shd w:val="clear" w:color="auto" w:fill="FFFFFF"/>
          <w:lang w:val="en-US"/>
        </w:rPr>
      </w:pPr>
      <w:r w:rsidRPr="00C27A9E">
        <w:rPr>
          <w:rFonts w:ascii="Arial" w:hAnsi="Arial" w:cs="Arial"/>
          <w:color w:val="212121"/>
          <w:sz w:val="18"/>
          <w:szCs w:val="18"/>
          <w:shd w:val="clear" w:color="auto" w:fill="FFFFFF"/>
          <w:lang w:val="en-US"/>
        </w:rPr>
        <w:t xml:space="preserve">PCL Solution: </w:t>
      </w:r>
      <w:proofErr w:type="spellStart"/>
      <w:r w:rsidRPr="00C27A9E">
        <w:rPr>
          <w:rFonts w:ascii="Arial" w:hAnsi="Arial" w:cs="Arial"/>
          <w:sz w:val="18"/>
          <w:szCs w:val="18"/>
          <w:lang w:val="en-US"/>
        </w:rPr>
        <w:t>Polycaprolactone</w:t>
      </w:r>
      <w:proofErr w:type="spellEnd"/>
      <w:r w:rsidRPr="00C27A9E">
        <w:rPr>
          <w:rFonts w:ascii="Arial" w:hAnsi="Arial" w:cs="Arial"/>
          <w:sz w:val="18"/>
          <w:szCs w:val="18"/>
          <w:lang w:val="en-US"/>
        </w:rPr>
        <w:t xml:space="preserve"> (CAS # 134490-19-0 and molecular weight </w:t>
      </w:r>
      <w:proofErr w:type="spellStart"/>
      <w:r w:rsidRPr="00C27A9E">
        <w:rPr>
          <w:rFonts w:ascii="Arial" w:hAnsi="Arial" w:cs="Arial"/>
          <w:sz w:val="18"/>
          <w:szCs w:val="18"/>
          <w:lang w:val="en-US"/>
        </w:rPr>
        <w:t>Mn</w:t>
      </w:r>
      <w:proofErr w:type="spellEnd"/>
      <w:r w:rsidRPr="00C27A9E">
        <w:rPr>
          <w:rFonts w:ascii="Arial" w:hAnsi="Arial" w:cs="Arial"/>
          <w:sz w:val="18"/>
          <w:szCs w:val="18"/>
          <w:lang w:val="en-US"/>
        </w:rPr>
        <w:t>=80.000) was used in a solution with 9% W/V in a 50:50 V/V mixture of chloroform and Isopropyl alcohol (99,7 %</w:t>
      </w:r>
      <w:r w:rsidRPr="00C27A9E">
        <w:rPr>
          <w:rFonts w:ascii="Arial" w:hAnsi="Arial" w:cs="Arial"/>
          <w:sz w:val="18"/>
          <w:szCs w:val="18"/>
          <w:shd w:val="clear" w:color="auto" w:fill="FFFFFF"/>
          <w:lang w:val="en-US"/>
        </w:rPr>
        <w:t xml:space="preserve"> CAS # 67-66-3)</w:t>
      </w:r>
    </w:p>
    <w:p w14:paraId="325E28A6" w14:textId="0E6FE627" w:rsidR="002D2DFA" w:rsidRPr="00C27A9E" w:rsidRDefault="002D2DFA" w:rsidP="00C27A9E">
      <w:pPr>
        <w:rPr>
          <w:rFonts w:cs="Arial"/>
          <w:szCs w:val="18"/>
          <w:shd w:val="clear" w:color="auto" w:fill="FFFFFF"/>
          <w:lang w:val="en-US"/>
        </w:rPr>
      </w:pPr>
      <w:r w:rsidRPr="00C27A9E">
        <w:rPr>
          <w:rFonts w:cs="Arial"/>
          <w:szCs w:val="18"/>
          <w:shd w:val="clear" w:color="auto" w:fill="FFFFFF"/>
          <w:lang w:val="en-US"/>
        </w:rPr>
        <w:t xml:space="preserve">All the chemical agents used were supplied by Sigma-Aldrich. The resulting solutions were subjected to an ultrasound with a frequency of 50Hz per 60 minutes at 17°C. </w:t>
      </w:r>
      <w:r w:rsidR="00B604EF" w:rsidRPr="00C27A9E">
        <w:rPr>
          <w:rFonts w:cs="Arial"/>
          <w:szCs w:val="18"/>
          <w:shd w:val="clear" w:color="auto" w:fill="FFFFFF"/>
          <w:lang w:val="en-US"/>
        </w:rPr>
        <w:t xml:space="preserve">The collection of fibers was done on </w:t>
      </w:r>
      <w:r w:rsidRPr="00C27A9E">
        <w:rPr>
          <w:rFonts w:cs="Arial"/>
          <w:szCs w:val="18"/>
          <w:shd w:val="clear" w:color="auto" w:fill="FFFFFF"/>
          <w:lang w:val="en-US"/>
        </w:rPr>
        <w:t>microscope slides (22mmx22mm) placed on the collector. The process variables were adjusted (solution flow, needle-collector distance, and voltage) until uniform, flawless fibers were obtained. The resulting membranes were characterized by means of Scanning Electron Microscopy (SEM).</w:t>
      </w:r>
    </w:p>
    <w:p w14:paraId="75866ECE" w14:textId="77777777" w:rsidR="00B47D4F" w:rsidRPr="00C27A9E" w:rsidRDefault="00B47D4F" w:rsidP="00C27A9E">
      <w:pPr>
        <w:rPr>
          <w:rFonts w:cs="Arial"/>
          <w:szCs w:val="18"/>
          <w:shd w:val="clear" w:color="auto" w:fill="FFFFFF"/>
          <w:lang w:val="en-US"/>
        </w:rPr>
      </w:pPr>
    </w:p>
    <w:p w14:paraId="1F96CA21" w14:textId="1450B897" w:rsidR="00600535" w:rsidRDefault="00B47D4F" w:rsidP="00B47D4F">
      <w:pPr>
        <w:pStyle w:val="CETheadingx"/>
        <w:numPr>
          <w:ilvl w:val="0"/>
          <w:numId w:val="0"/>
        </w:numPr>
        <w:spacing w:before="0" w:after="0" w:line="264" w:lineRule="auto"/>
      </w:pPr>
      <w:r>
        <w:t xml:space="preserve">2.2 </w:t>
      </w:r>
      <w:r w:rsidR="002D2DFA">
        <w:t>Microbiological assays</w:t>
      </w:r>
    </w:p>
    <w:p w14:paraId="4155D171" w14:textId="77777777" w:rsidR="00B47D4F" w:rsidRPr="00B47D4F" w:rsidRDefault="00B47D4F" w:rsidP="00B47D4F">
      <w:pPr>
        <w:pStyle w:val="CETBodytext"/>
      </w:pPr>
    </w:p>
    <w:p w14:paraId="397C8886" w14:textId="77777777" w:rsidR="00B47D4F" w:rsidRPr="00307DA9" w:rsidRDefault="00B47D4F" w:rsidP="00307DA9">
      <w:pPr>
        <w:pStyle w:val="Prrafodelista"/>
        <w:spacing w:line="264" w:lineRule="auto"/>
        <w:ind w:left="0"/>
        <w:jc w:val="both"/>
        <w:rPr>
          <w:rFonts w:ascii="Arial" w:hAnsi="Arial" w:cs="Arial"/>
          <w:sz w:val="18"/>
          <w:szCs w:val="18"/>
          <w:lang w:val="en-US"/>
        </w:rPr>
      </w:pPr>
      <w:r w:rsidRPr="00307DA9">
        <w:rPr>
          <w:rFonts w:ascii="Arial" w:hAnsi="Arial" w:cs="Arial"/>
          <w:i/>
          <w:sz w:val="18"/>
          <w:szCs w:val="18"/>
          <w:lang w:val="en-US"/>
        </w:rPr>
        <w:t>Staphylococcus aureus</w:t>
      </w:r>
      <w:r w:rsidRPr="00307DA9">
        <w:rPr>
          <w:rFonts w:ascii="Arial" w:hAnsi="Arial" w:cs="Arial"/>
          <w:sz w:val="18"/>
          <w:szCs w:val="18"/>
          <w:lang w:val="en-US"/>
        </w:rPr>
        <w:t xml:space="preserve"> ATCC 29213, </w:t>
      </w:r>
      <w:r w:rsidRPr="00307DA9">
        <w:rPr>
          <w:rFonts w:ascii="Arial" w:hAnsi="Arial" w:cs="Arial"/>
          <w:i/>
          <w:sz w:val="18"/>
          <w:szCs w:val="18"/>
          <w:lang w:val="en-US"/>
        </w:rPr>
        <w:t xml:space="preserve">Enterococcus </w:t>
      </w:r>
      <w:proofErr w:type="spellStart"/>
      <w:r w:rsidRPr="00307DA9">
        <w:rPr>
          <w:rFonts w:ascii="Arial" w:hAnsi="Arial" w:cs="Arial"/>
          <w:i/>
          <w:sz w:val="18"/>
          <w:szCs w:val="18"/>
          <w:lang w:val="en-US"/>
        </w:rPr>
        <w:t>faecalis</w:t>
      </w:r>
      <w:proofErr w:type="spellEnd"/>
      <w:r w:rsidRPr="00307DA9">
        <w:rPr>
          <w:rFonts w:ascii="Arial" w:hAnsi="Arial" w:cs="Arial"/>
          <w:sz w:val="18"/>
          <w:szCs w:val="18"/>
          <w:lang w:val="en-US"/>
        </w:rPr>
        <w:t xml:space="preserve"> ATCC 29212 and</w:t>
      </w:r>
      <w:r w:rsidRPr="00307DA9">
        <w:rPr>
          <w:rFonts w:ascii="Arial" w:hAnsi="Arial" w:cs="Arial"/>
          <w:i/>
          <w:sz w:val="18"/>
          <w:szCs w:val="18"/>
          <w:lang w:val="en-US"/>
        </w:rPr>
        <w:t xml:space="preserve"> Escherichia coli</w:t>
      </w:r>
      <w:r w:rsidRPr="00307DA9">
        <w:rPr>
          <w:rFonts w:ascii="Arial" w:hAnsi="Arial" w:cs="Arial"/>
          <w:sz w:val="18"/>
          <w:szCs w:val="18"/>
          <w:lang w:val="en-US"/>
        </w:rPr>
        <w:t xml:space="preserve"> ATCC 25922 reference strains were used, which were supplied by the Microbiology laboratory of </w:t>
      </w:r>
      <w:proofErr w:type="spellStart"/>
      <w:r w:rsidRPr="00307DA9">
        <w:rPr>
          <w:rFonts w:ascii="Arial" w:hAnsi="Arial" w:cs="Arial"/>
          <w:sz w:val="18"/>
          <w:szCs w:val="18"/>
          <w:lang w:val="en-US"/>
        </w:rPr>
        <w:t>Keralty</w:t>
      </w:r>
      <w:proofErr w:type="spellEnd"/>
      <w:r w:rsidRPr="00307DA9">
        <w:rPr>
          <w:rFonts w:ascii="Arial" w:hAnsi="Arial" w:cs="Arial"/>
          <w:sz w:val="18"/>
          <w:szCs w:val="18"/>
          <w:lang w:val="en-US"/>
        </w:rPr>
        <w:t>. The manufactured membranes were sterilized by means of ultraviolet radiation in order to reduce the risk of contamination.</w:t>
      </w:r>
    </w:p>
    <w:p w14:paraId="3D17A7B3" w14:textId="1BB0C3E5" w:rsidR="00B47D4F" w:rsidRPr="00307DA9" w:rsidRDefault="00B47D4F" w:rsidP="00307DA9">
      <w:pPr>
        <w:pStyle w:val="CETBodytext"/>
        <w:rPr>
          <w:szCs w:val="18"/>
          <w:lang w:val="en-GB"/>
        </w:rPr>
      </w:pPr>
      <w:r w:rsidRPr="00307DA9">
        <w:rPr>
          <w:rFonts w:cs="Arial"/>
          <w:szCs w:val="18"/>
        </w:rPr>
        <w:t>The bacterial strains were incubated for 24h in a concentration of 10</w:t>
      </w:r>
      <w:r w:rsidRPr="00307DA9">
        <w:rPr>
          <w:rFonts w:cs="Arial"/>
          <w:szCs w:val="18"/>
          <w:vertAlign w:val="superscript"/>
        </w:rPr>
        <w:t>8</w:t>
      </w:r>
      <w:r w:rsidRPr="00307DA9">
        <w:rPr>
          <w:rFonts w:cs="Arial"/>
          <w:szCs w:val="18"/>
        </w:rPr>
        <w:t xml:space="preserve"> UFC/ml at 37°C so as to assess their viability as well as their biofilm formation capacity. Subsequently, they were washed 3 times with a saline solution, and the coloration was carried out with LIVE/DEAD™ </w:t>
      </w:r>
      <w:proofErr w:type="spellStart"/>
      <w:r w:rsidRPr="00307DA9">
        <w:rPr>
          <w:rFonts w:cs="Arial"/>
          <w:szCs w:val="18"/>
        </w:rPr>
        <w:t>BacLight</w:t>
      </w:r>
      <w:proofErr w:type="spellEnd"/>
      <w:r w:rsidRPr="00307DA9">
        <w:rPr>
          <w:rFonts w:cs="Arial"/>
          <w:szCs w:val="18"/>
        </w:rPr>
        <w:t xml:space="preserve">™ Bacterial Viability Kit for Microscopy (Molecular Probes™), based on the use of a two-colorant mixture, the SYTO9, which turns the nucleic acids of the live bacteria fluorescent green, and the </w:t>
      </w:r>
      <w:proofErr w:type="spellStart"/>
      <w:r w:rsidRPr="00307DA9">
        <w:rPr>
          <w:rFonts w:cs="Arial"/>
          <w:szCs w:val="18"/>
        </w:rPr>
        <w:t>propidium</w:t>
      </w:r>
      <w:proofErr w:type="spellEnd"/>
      <w:r w:rsidRPr="00307DA9">
        <w:rPr>
          <w:rFonts w:cs="Arial"/>
          <w:szCs w:val="18"/>
        </w:rPr>
        <w:t xml:space="preserve"> iodide, which turns the bacteria with damaged membranes fluorescent red. To identify the presence of exopolysaccharides present in the biofilm, 0.02% of </w:t>
      </w:r>
      <w:proofErr w:type="spellStart"/>
      <w:r w:rsidRPr="00307DA9">
        <w:rPr>
          <w:rFonts w:cs="Arial"/>
          <w:szCs w:val="18"/>
        </w:rPr>
        <w:t>calcofluor</w:t>
      </w:r>
      <w:proofErr w:type="spellEnd"/>
      <w:r w:rsidRPr="00307DA9">
        <w:rPr>
          <w:rFonts w:cs="Arial"/>
          <w:szCs w:val="18"/>
        </w:rPr>
        <w:t xml:space="preserve"> stain </w:t>
      </w:r>
      <w:r w:rsidR="00B604EF" w:rsidRPr="00307DA9">
        <w:rPr>
          <w:rFonts w:cs="Arial"/>
          <w:szCs w:val="18"/>
        </w:rPr>
        <w:t>(S</w:t>
      </w:r>
      <w:r w:rsidRPr="00307DA9">
        <w:rPr>
          <w:rFonts w:cs="Arial"/>
          <w:szCs w:val="18"/>
        </w:rPr>
        <w:t xml:space="preserve">igma-Aldrich) was added for 20 minutes in darkness, and the observation was </w:t>
      </w:r>
      <w:r w:rsidRPr="00307DA9">
        <w:rPr>
          <w:rFonts w:cs="Arial"/>
          <w:szCs w:val="18"/>
        </w:rPr>
        <w:lastRenderedPageBreak/>
        <w:t>done throu</w:t>
      </w:r>
      <w:r w:rsidR="00307DA9" w:rsidRPr="00307DA9">
        <w:rPr>
          <w:rFonts w:cs="Arial"/>
          <w:szCs w:val="18"/>
        </w:rPr>
        <w:t>gh a fluorescence microscope (</w:t>
      </w:r>
      <w:proofErr w:type="spellStart"/>
      <w:r w:rsidR="00307DA9" w:rsidRPr="00307DA9">
        <w:rPr>
          <w:rFonts w:cs="Arial"/>
          <w:color w:val="000000"/>
          <w:szCs w:val="18"/>
          <w:shd w:val="clear" w:color="auto" w:fill="FFFFFF"/>
        </w:rPr>
        <w:t>Izquierdo</w:t>
      </w:r>
      <w:proofErr w:type="spellEnd"/>
      <w:r w:rsidR="00307DA9" w:rsidRPr="00307DA9">
        <w:rPr>
          <w:rFonts w:cs="Arial"/>
          <w:color w:val="000000"/>
          <w:szCs w:val="18"/>
          <w:shd w:val="clear" w:color="auto" w:fill="FFFFFF"/>
        </w:rPr>
        <w:t>-Barba et al., 2015</w:t>
      </w:r>
      <w:r w:rsidRPr="00307DA9">
        <w:rPr>
          <w:rFonts w:cs="Arial"/>
          <w:szCs w:val="18"/>
        </w:rPr>
        <w:t>). All the assays were carried out in triplicate.</w:t>
      </w:r>
    </w:p>
    <w:p w14:paraId="62E89239" w14:textId="77777777" w:rsidR="00B47D4F" w:rsidRDefault="00B47D4F" w:rsidP="00B47D4F">
      <w:pPr>
        <w:pStyle w:val="CETBodytext"/>
        <w:rPr>
          <w:rFonts w:cs="Arial"/>
          <w:szCs w:val="18"/>
        </w:rPr>
      </w:pPr>
    </w:p>
    <w:p w14:paraId="5ABB4EC0" w14:textId="10825717" w:rsidR="0057315E" w:rsidRDefault="00B47D4F" w:rsidP="00B47D4F">
      <w:pPr>
        <w:pStyle w:val="CETBodytext"/>
        <w:rPr>
          <w:b/>
          <w:sz w:val="20"/>
          <w:lang w:val="en-GB"/>
        </w:rPr>
      </w:pPr>
      <w:r w:rsidRPr="004B31F4">
        <w:rPr>
          <w:b/>
          <w:sz w:val="20"/>
          <w:lang w:val="en-GB"/>
        </w:rPr>
        <w:t>3. Results</w:t>
      </w:r>
    </w:p>
    <w:p w14:paraId="0187303D" w14:textId="4EA21344" w:rsidR="004B31F4" w:rsidRPr="004B31F4" w:rsidRDefault="004B31F4" w:rsidP="004B31F4">
      <w:pPr>
        <w:pStyle w:val="CETBodytext"/>
        <w:rPr>
          <w:rFonts w:cs="Arial"/>
          <w:b/>
          <w:color w:val="212121"/>
          <w:szCs w:val="18"/>
          <w:shd w:val="clear" w:color="auto" w:fill="FFFFFF"/>
        </w:rPr>
      </w:pPr>
      <w:r w:rsidRPr="004B31F4">
        <w:rPr>
          <w:b/>
          <w:szCs w:val="18"/>
          <w:lang w:val="en-GB"/>
        </w:rPr>
        <w:t xml:space="preserve">3.1 </w:t>
      </w:r>
      <w:r w:rsidRPr="004B31F4">
        <w:rPr>
          <w:rFonts w:cs="Arial"/>
          <w:b/>
          <w:color w:val="212121"/>
          <w:szCs w:val="18"/>
          <w:shd w:val="clear" w:color="auto" w:fill="FFFFFF"/>
        </w:rPr>
        <w:t>Parameters to obtain membranes and characterization</w:t>
      </w:r>
    </w:p>
    <w:p w14:paraId="3A5233A1" w14:textId="77777777" w:rsidR="004B31F4" w:rsidRDefault="004B31F4" w:rsidP="004B31F4">
      <w:pPr>
        <w:rPr>
          <w:rFonts w:cs="Arial"/>
          <w:color w:val="212121"/>
          <w:shd w:val="clear" w:color="auto" w:fill="FFFFFF"/>
          <w:lang w:val="en-US"/>
        </w:rPr>
      </w:pPr>
    </w:p>
    <w:p w14:paraId="7D4A1E78" w14:textId="77777777" w:rsidR="0016498E" w:rsidRDefault="00715F10" w:rsidP="0016498E">
      <w:pPr>
        <w:rPr>
          <w:rFonts w:cs="Arial"/>
          <w:color w:val="212121"/>
          <w:shd w:val="clear" w:color="auto" w:fill="FFFFFF"/>
          <w:lang w:val="en-US"/>
        </w:rPr>
      </w:pPr>
      <w:r>
        <w:rPr>
          <w:rFonts w:cs="Arial"/>
          <w:szCs w:val="18"/>
          <w:shd w:val="clear" w:color="auto" w:fill="FFFFFF"/>
          <w:lang w:val="en-US"/>
        </w:rPr>
        <w:t>T</w:t>
      </w:r>
      <w:r w:rsidR="008C1C0E">
        <w:rPr>
          <w:rFonts w:cs="Arial"/>
          <w:szCs w:val="18"/>
          <w:shd w:val="clear" w:color="auto" w:fill="FFFFFF"/>
          <w:lang w:val="en-US"/>
        </w:rPr>
        <w:t xml:space="preserve">he </w:t>
      </w:r>
      <w:r w:rsidR="008C1C0E">
        <w:rPr>
          <w:rFonts w:cs="Arial"/>
          <w:color w:val="212121"/>
          <w:shd w:val="clear" w:color="auto" w:fill="FFFFFF"/>
          <w:lang w:val="en-US"/>
        </w:rPr>
        <w:t>Table 1 shows the definitive parameters used to manufacture membranes with each one of the polymer solutions.</w:t>
      </w:r>
    </w:p>
    <w:p w14:paraId="082E5F0D" w14:textId="77777777" w:rsidR="0016498E" w:rsidRDefault="0016498E" w:rsidP="0016498E">
      <w:pPr>
        <w:rPr>
          <w:rFonts w:cs="Arial"/>
          <w:color w:val="212121"/>
          <w:shd w:val="clear" w:color="auto" w:fill="FFFFFF"/>
          <w:lang w:val="en-US"/>
        </w:rPr>
      </w:pPr>
    </w:p>
    <w:p w14:paraId="4AF8352E" w14:textId="1F7FE2D9" w:rsidR="004B31F4" w:rsidRPr="00F045AD" w:rsidRDefault="004B31F4" w:rsidP="0016498E">
      <w:pPr>
        <w:rPr>
          <w:rFonts w:cs="Arial"/>
          <w:i/>
          <w:szCs w:val="18"/>
        </w:rPr>
      </w:pPr>
      <w:r w:rsidRPr="00F045AD">
        <w:rPr>
          <w:i/>
        </w:rPr>
        <w:t>Table 1:</w:t>
      </w:r>
      <w:r w:rsidRPr="00F045AD">
        <w:rPr>
          <w:rFonts w:cs="Arial"/>
          <w:i/>
          <w:color w:val="212121"/>
          <w:szCs w:val="18"/>
          <w:shd w:val="clear" w:color="auto" w:fill="FFFFFF"/>
        </w:rPr>
        <w:t xml:space="preserve"> Parameters</w:t>
      </w:r>
      <w:r w:rsidR="00715F10" w:rsidRPr="00F045AD">
        <w:rPr>
          <w:rFonts w:cs="Arial"/>
          <w:i/>
          <w:color w:val="212121"/>
          <w:szCs w:val="18"/>
          <w:shd w:val="clear" w:color="auto" w:fill="FFFFFF"/>
        </w:rPr>
        <w:t xml:space="preserve"> </w:t>
      </w:r>
      <w:r w:rsidRPr="00F045AD">
        <w:rPr>
          <w:rFonts w:cs="Arial"/>
          <w:i/>
          <w:color w:val="212121"/>
          <w:szCs w:val="18"/>
          <w:shd w:val="clear" w:color="auto" w:fill="FFFFFF"/>
        </w:rPr>
        <w:t>of the electrospinning process for manufacturing the membranes</w:t>
      </w:r>
      <w:r w:rsidRPr="00F045AD">
        <w:rPr>
          <w:rFonts w:cs="Arial"/>
          <w:i/>
          <w:szCs w:val="18"/>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7"/>
        <w:gridCol w:w="1034"/>
        <w:gridCol w:w="1034"/>
        <w:gridCol w:w="2769"/>
      </w:tblGrid>
      <w:tr w:rsidR="004B31F4" w:rsidRPr="002B0A6F" w14:paraId="730CA850" w14:textId="77777777" w:rsidTr="00106617">
        <w:trPr>
          <w:trHeight w:val="302"/>
        </w:trPr>
        <w:tc>
          <w:tcPr>
            <w:tcW w:w="1117" w:type="dxa"/>
            <w:tcBorders>
              <w:top w:val="single" w:sz="12" w:space="0" w:color="008000"/>
              <w:bottom w:val="single" w:sz="6" w:space="0" w:color="008000"/>
            </w:tcBorders>
            <w:shd w:val="clear" w:color="auto" w:fill="FFFFFF"/>
          </w:tcPr>
          <w:p w14:paraId="2F1D0A6A" w14:textId="77777777" w:rsidR="004B31F4" w:rsidRPr="00966DFB" w:rsidRDefault="004B31F4" w:rsidP="00106617">
            <w:pPr>
              <w:pStyle w:val="CETBodytext"/>
              <w:spacing w:line="240" w:lineRule="auto"/>
              <w:rPr>
                <w:rFonts w:cs="Arial"/>
                <w:szCs w:val="18"/>
                <w:lang w:val="en-GB"/>
              </w:rPr>
            </w:pPr>
            <w:proofErr w:type="spellStart"/>
            <w:r w:rsidRPr="00966DFB">
              <w:rPr>
                <w:rFonts w:cs="Arial"/>
                <w:szCs w:val="18"/>
                <w:lang w:val="en-GB"/>
              </w:rPr>
              <w:t>Polímero</w:t>
            </w:r>
            <w:proofErr w:type="spellEnd"/>
            <w:r w:rsidRPr="00966DFB">
              <w:rPr>
                <w:rFonts w:cs="Arial"/>
                <w:szCs w:val="18"/>
                <w:lang w:val="en-GB"/>
              </w:rPr>
              <w:t xml:space="preserve"> </w:t>
            </w:r>
          </w:p>
        </w:tc>
        <w:tc>
          <w:tcPr>
            <w:tcW w:w="1034" w:type="dxa"/>
            <w:tcBorders>
              <w:top w:val="single" w:sz="12" w:space="0" w:color="008000"/>
              <w:bottom w:val="single" w:sz="6" w:space="0" w:color="008000"/>
            </w:tcBorders>
            <w:shd w:val="clear" w:color="auto" w:fill="FFFFFF"/>
          </w:tcPr>
          <w:p w14:paraId="08256325" w14:textId="77777777" w:rsidR="004B31F4" w:rsidRPr="00966DFB" w:rsidRDefault="004B31F4" w:rsidP="00106617">
            <w:pPr>
              <w:pStyle w:val="CETBodytext"/>
              <w:spacing w:line="240" w:lineRule="auto"/>
              <w:rPr>
                <w:rFonts w:cs="Arial"/>
                <w:szCs w:val="18"/>
                <w:lang w:val="en-GB"/>
              </w:rPr>
            </w:pPr>
            <w:proofErr w:type="spellStart"/>
            <w:r w:rsidRPr="00966DFB">
              <w:rPr>
                <w:rFonts w:cs="Arial"/>
                <w:szCs w:val="18"/>
                <w:lang w:val="en-GB"/>
              </w:rPr>
              <w:t>Flujo</w:t>
            </w:r>
            <w:proofErr w:type="spellEnd"/>
            <w:r w:rsidRPr="00966DFB">
              <w:rPr>
                <w:rFonts w:cs="Arial"/>
                <w:szCs w:val="18"/>
                <w:lang w:val="en-GB"/>
              </w:rPr>
              <w:t xml:space="preserve"> (ml/h)</w:t>
            </w:r>
          </w:p>
        </w:tc>
        <w:tc>
          <w:tcPr>
            <w:tcW w:w="1034" w:type="dxa"/>
            <w:tcBorders>
              <w:top w:val="single" w:sz="12" w:space="0" w:color="008000"/>
              <w:bottom w:val="single" w:sz="6" w:space="0" w:color="008000"/>
            </w:tcBorders>
            <w:shd w:val="clear" w:color="auto" w:fill="FFFFFF"/>
          </w:tcPr>
          <w:p w14:paraId="1D5945BB" w14:textId="77777777" w:rsidR="004B31F4" w:rsidRPr="00966DFB" w:rsidRDefault="004B31F4" w:rsidP="00106617">
            <w:pPr>
              <w:pStyle w:val="CETBodytext"/>
              <w:spacing w:line="240" w:lineRule="auto"/>
              <w:rPr>
                <w:rFonts w:cs="Arial"/>
                <w:szCs w:val="18"/>
                <w:lang w:val="en-GB"/>
              </w:rPr>
            </w:pPr>
            <w:proofErr w:type="spellStart"/>
            <w:r w:rsidRPr="00966DFB">
              <w:rPr>
                <w:rFonts w:cs="Arial"/>
                <w:szCs w:val="18"/>
                <w:lang w:val="en-GB"/>
              </w:rPr>
              <w:t>Voltaje</w:t>
            </w:r>
            <w:proofErr w:type="spellEnd"/>
            <w:r w:rsidRPr="00966DFB">
              <w:rPr>
                <w:rFonts w:cs="Arial"/>
                <w:szCs w:val="18"/>
                <w:lang w:val="en-GB"/>
              </w:rPr>
              <w:t>(kV)</w:t>
            </w:r>
          </w:p>
        </w:tc>
        <w:tc>
          <w:tcPr>
            <w:tcW w:w="2769" w:type="dxa"/>
            <w:tcBorders>
              <w:top w:val="single" w:sz="12" w:space="0" w:color="008000"/>
              <w:bottom w:val="single" w:sz="6" w:space="0" w:color="008000"/>
            </w:tcBorders>
            <w:shd w:val="clear" w:color="auto" w:fill="FFFFFF"/>
          </w:tcPr>
          <w:p w14:paraId="04D4CEC2" w14:textId="77777777" w:rsidR="004B31F4" w:rsidRPr="00966DFB" w:rsidRDefault="004B31F4" w:rsidP="00106617">
            <w:pPr>
              <w:pStyle w:val="CETBodytext"/>
              <w:spacing w:line="240" w:lineRule="auto"/>
              <w:ind w:right="-1"/>
              <w:rPr>
                <w:rFonts w:cs="Arial"/>
                <w:szCs w:val="18"/>
                <w:lang w:val="en-GB"/>
              </w:rPr>
            </w:pPr>
            <w:proofErr w:type="spellStart"/>
            <w:r w:rsidRPr="00966DFB">
              <w:rPr>
                <w:rFonts w:cs="Arial"/>
                <w:szCs w:val="18"/>
                <w:lang w:val="en-GB"/>
              </w:rPr>
              <w:t>Distancia</w:t>
            </w:r>
            <w:proofErr w:type="spellEnd"/>
            <w:r w:rsidRPr="00966DFB">
              <w:rPr>
                <w:rFonts w:cs="Arial"/>
                <w:szCs w:val="18"/>
                <w:lang w:val="en-GB"/>
              </w:rPr>
              <w:t xml:space="preserve"> </w:t>
            </w:r>
            <w:proofErr w:type="spellStart"/>
            <w:r w:rsidRPr="00966DFB">
              <w:rPr>
                <w:rFonts w:cs="Arial"/>
                <w:szCs w:val="18"/>
                <w:lang w:val="en-GB"/>
              </w:rPr>
              <w:t>aguja-colector</w:t>
            </w:r>
            <w:proofErr w:type="spellEnd"/>
            <w:r w:rsidRPr="00966DFB">
              <w:rPr>
                <w:rFonts w:cs="Arial"/>
                <w:szCs w:val="18"/>
                <w:lang w:val="en-GB"/>
              </w:rPr>
              <w:t xml:space="preserve"> (cm)</w:t>
            </w:r>
          </w:p>
        </w:tc>
      </w:tr>
      <w:tr w:rsidR="004B31F4" w:rsidRPr="002B0A6F" w14:paraId="439CF5A9" w14:textId="77777777" w:rsidTr="00106617">
        <w:trPr>
          <w:trHeight w:val="297"/>
        </w:trPr>
        <w:tc>
          <w:tcPr>
            <w:tcW w:w="1117" w:type="dxa"/>
            <w:shd w:val="clear" w:color="auto" w:fill="FFFFFF"/>
          </w:tcPr>
          <w:p w14:paraId="47A1FBF9" w14:textId="77777777" w:rsidR="004B31F4" w:rsidRPr="00966DFB" w:rsidRDefault="004B31F4" w:rsidP="00106617">
            <w:pPr>
              <w:pStyle w:val="CETBodytext"/>
              <w:spacing w:line="240" w:lineRule="auto"/>
              <w:rPr>
                <w:rFonts w:cs="Arial"/>
                <w:szCs w:val="18"/>
                <w:lang w:val="en-GB"/>
              </w:rPr>
            </w:pPr>
            <w:r w:rsidRPr="00966DFB">
              <w:rPr>
                <w:rFonts w:cs="Arial"/>
                <w:szCs w:val="18"/>
                <w:lang w:val="en-GB"/>
              </w:rPr>
              <w:t>PLGA</w:t>
            </w:r>
          </w:p>
        </w:tc>
        <w:tc>
          <w:tcPr>
            <w:tcW w:w="1034" w:type="dxa"/>
            <w:shd w:val="clear" w:color="auto" w:fill="FFFFFF"/>
            <w:vAlign w:val="bottom"/>
          </w:tcPr>
          <w:p w14:paraId="2C4C637D" w14:textId="77777777" w:rsidR="004B31F4" w:rsidRPr="00966DFB" w:rsidRDefault="004B31F4" w:rsidP="00106617">
            <w:pPr>
              <w:spacing w:line="240" w:lineRule="auto"/>
              <w:rPr>
                <w:rFonts w:cs="Arial"/>
                <w:color w:val="000000"/>
                <w:szCs w:val="18"/>
              </w:rPr>
            </w:pPr>
            <w:r w:rsidRPr="00966DFB">
              <w:rPr>
                <w:rFonts w:cs="Arial"/>
                <w:color w:val="000000"/>
                <w:szCs w:val="18"/>
              </w:rPr>
              <w:t>0.8</w:t>
            </w:r>
          </w:p>
        </w:tc>
        <w:tc>
          <w:tcPr>
            <w:tcW w:w="1034" w:type="dxa"/>
            <w:shd w:val="clear" w:color="auto" w:fill="FFFFFF"/>
            <w:vAlign w:val="bottom"/>
          </w:tcPr>
          <w:p w14:paraId="099178B2" w14:textId="77777777" w:rsidR="004B31F4" w:rsidRPr="00966DFB" w:rsidRDefault="004B31F4" w:rsidP="00106617">
            <w:pPr>
              <w:spacing w:line="240" w:lineRule="auto"/>
              <w:rPr>
                <w:rFonts w:cs="Arial"/>
                <w:color w:val="000000"/>
                <w:szCs w:val="18"/>
              </w:rPr>
            </w:pPr>
            <w:r w:rsidRPr="00966DFB">
              <w:rPr>
                <w:rFonts w:cs="Arial"/>
                <w:color w:val="000000"/>
                <w:szCs w:val="18"/>
              </w:rPr>
              <w:t>22.5</w:t>
            </w:r>
          </w:p>
        </w:tc>
        <w:tc>
          <w:tcPr>
            <w:tcW w:w="2769" w:type="dxa"/>
            <w:shd w:val="clear" w:color="auto" w:fill="FFFFFF"/>
            <w:vAlign w:val="bottom"/>
          </w:tcPr>
          <w:p w14:paraId="2CD006AD" w14:textId="77777777" w:rsidR="004B31F4" w:rsidRPr="00966DFB" w:rsidRDefault="004B31F4" w:rsidP="00106617">
            <w:pPr>
              <w:spacing w:line="240" w:lineRule="auto"/>
              <w:rPr>
                <w:rFonts w:cs="Arial"/>
                <w:color w:val="000000"/>
                <w:szCs w:val="18"/>
              </w:rPr>
            </w:pPr>
            <w:r w:rsidRPr="00966DFB">
              <w:rPr>
                <w:rFonts w:cs="Arial"/>
                <w:color w:val="000000"/>
                <w:szCs w:val="18"/>
              </w:rPr>
              <w:t>15</w:t>
            </w:r>
          </w:p>
        </w:tc>
      </w:tr>
      <w:tr w:rsidR="004B31F4" w:rsidRPr="002B0A6F" w14:paraId="42B9F582" w14:textId="77777777" w:rsidTr="00106617">
        <w:trPr>
          <w:trHeight w:val="97"/>
        </w:trPr>
        <w:tc>
          <w:tcPr>
            <w:tcW w:w="1117" w:type="dxa"/>
            <w:shd w:val="clear" w:color="auto" w:fill="FFFFFF"/>
          </w:tcPr>
          <w:p w14:paraId="778933ED" w14:textId="77777777" w:rsidR="004B31F4" w:rsidRPr="00966DFB" w:rsidRDefault="004B31F4" w:rsidP="00106617">
            <w:pPr>
              <w:pStyle w:val="CETBodytext"/>
              <w:spacing w:line="240" w:lineRule="auto"/>
              <w:rPr>
                <w:rFonts w:cs="Arial"/>
                <w:szCs w:val="18"/>
                <w:lang w:val="en-GB"/>
              </w:rPr>
            </w:pPr>
            <w:r w:rsidRPr="00966DFB">
              <w:rPr>
                <w:rFonts w:cs="Arial"/>
                <w:szCs w:val="18"/>
                <w:lang w:val="en-GB"/>
              </w:rPr>
              <w:t>PLGA+PCL</w:t>
            </w:r>
          </w:p>
        </w:tc>
        <w:tc>
          <w:tcPr>
            <w:tcW w:w="1034" w:type="dxa"/>
            <w:shd w:val="clear" w:color="auto" w:fill="FFFFFF"/>
            <w:vAlign w:val="bottom"/>
          </w:tcPr>
          <w:p w14:paraId="6599FBA3" w14:textId="77777777" w:rsidR="004B31F4" w:rsidRPr="00966DFB" w:rsidRDefault="004B31F4" w:rsidP="00106617">
            <w:pPr>
              <w:spacing w:line="240" w:lineRule="auto"/>
              <w:rPr>
                <w:rFonts w:cs="Arial"/>
                <w:color w:val="000000"/>
                <w:szCs w:val="18"/>
              </w:rPr>
            </w:pPr>
            <w:r w:rsidRPr="00966DFB">
              <w:rPr>
                <w:rFonts w:cs="Arial"/>
                <w:color w:val="000000"/>
                <w:szCs w:val="18"/>
              </w:rPr>
              <w:t>0.8</w:t>
            </w:r>
          </w:p>
        </w:tc>
        <w:tc>
          <w:tcPr>
            <w:tcW w:w="1034" w:type="dxa"/>
            <w:shd w:val="clear" w:color="auto" w:fill="FFFFFF"/>
            <w:vAlign w:val="bottom"/>
          </w:tcPr>
          <w:p w14:paraId="5F5795D2" w14:textId="77777777" w:rsidR="004B31F4" w:rsidRPr="00966DFB" w:rsidRDefault="004B31F4" w:rsidP="00106617">
            <w:pPr>
              <w:spacing w:line="240" w:lineRule="auto"/>
              <w:rPr>
                <w:rFonts w:cs="Arial"/>
                <w:color w:val="000000"/>
                <w:szCs w:val="18"/>
              </w:rPr>
            </w:pPr>
            <w:r w:rsidRPr="00966DFB">
              <w:rPr>
                <w:rFonts w:cs="Arial"/>
                <w:color w:val="000000"/>
                <w:szCs w:val="18"/>
              </w:rPr>
              <w:t>21</w:t>
            </w:r>
          </w:p>
        </w:tc>
        <w:tc>
          <w:tcPr>
            <w:tcW w:w="2769" w:type="dxa"/>
            <w:shd w:val="clear" w:color="auto" w:fill="FFFFFF"/>
            <w:vAlign w:val="bottom"/>
          </w:tcPr>
          <w:p w14:paraId="3E1B91ED" w14:textId="77777777" w:rsidR="004B31F4" w:rsidRPr="00966DFB" w:rsidRDefault="004B31F4" w:rsidP="00106617">
            <w:pPr>
              <w:spacing w:line="240" w:lineRule="auto"/>
              <w:rPr>
                <w:rFonts w:cs="Arial"/>
                <w:color w:val="000000"/>
                <w:szCs w:val="18"/>
              </w:rPr>
            </w:pPr>
            <w:r w:rsidRPr="00966DFB">
              <w:rPr>
                <w:rFonts w:cs="Arial"/>
                <w:color w:val="000000"/>
                <w:szCs w:val="18"/>
              </w:rPr>
              <w:t>20</w:t>
            </w:r>
          </w:p>
        </w:tc>
      </w:tr>
      <w:tr w:rsidR="004B31F4" w:rsidRPr="002B0A6F" w14:paraId="2EC7FFD8" w14:textId="77777777" w:rsidTr="00106617">
        <w:trPr>
          <w:trHeight w:val="270"/>
        </w:trPr>
        <w:tc>
          <w:tcPr>
            <w:tcW w:w="1117" w:type="dxa"/>
            <w:shd w:val="clear" w:color="auto" w:fill="FFFFFF"/>
          </w:tcPr>
          <w:p w14:paraId="730C4FD8" w14:textId="77777777" w:rsidR="004B31F4" w:rsidRPr="00966DFB" w:rsidRDefault="004B31F4" w:rsidP="00106617">
            <w:pPr>
              <w:pStyle w:val="CETBodytext"/>
              <w:spacing w:line="240" w:lineRule="auto"/>
              <w:ind w:right="-1"/>
              <w:rPr>
                <w:rFonts w:cs="Arial"/>
                <w:szCs w:val="18"/>
                <w:lang w:val="en-GB"/>
              </w:rPr>
            </w:pPr>
            <w:r w:rsidRPr="00966DFB">
              <w:rPr>
                <w:rFonts w:cs="Arial"/>
                <w:szCs w:val="18"/>
                <w:lang w:val="en-GB"/>
              </w:rPr>
              <w:t>PCL</w:t>
            </w:r>
          </w:p>
        </w:tc>
        <w:tc>
          <w:tcPr>
            <w:tcW w:w="1034" w:type="dxa"/>
            <w:shd w:val="clear" w:color="auto" w:fill="FFFFFF"/>
            <w:vAlign w:val="bottom"/>
          </w:tcPr>
          <w:p w14:paraId="3A600695" w14:textId="77777777" w:rsidR="004B31F4" w:rsidRPr="00966DFB" w:rsidRDefault="004B31F4" w:rsidP="00106617">
            <w:pPr>
              <w:spacing w:line="240" w:lineRule="auto"/>
              <w:rPr>
                <w:rFonts w:cs="Arial"/>
                <w:color w:val="000000"/>
                <w:szCs w:val="18"/>
              </w:rPr>
            </w:pPr>
            <w:r w:rsidRPr="00966DFB">
              <w:rPr>
                <w:rFonts w:cs="Arial"/>
                <w:color w:val="000000"/>
                <w:szCs w:val="18"/>
              </w:rPr>
              <w:t>0.8</w:t>
            </w:r>
          </w:p>
        </w:tc>
        <w:tc>
          <w:tcPr>
            <w:tcW w:w="1034" w:type="dxa"/>
            <w:shd w:val="clear" w:color="auto" w:fill="FFFFFF"/>
            <w:vAlign w:val="bottom"/>
          </w:tcPr>
          <w:p w14:paraId="10E95860" w14:textId="77777777" w:rsidR="004B31F4" w:rsidRPr="00966DFB" w:rsidRDefault="004B31F4" w:rsidP="00106617">
            <w:pPr>
              <w:spacing w:line="240" w:lineRule="auto"/>
              <w:rPr>
                <w:rFonts w:cs="Arial"/>
                <w:color w:val="000000"/>
                <w:szCs w:val="18"/>
              </w:rPr>
            </w:pPr>
            <w:r w:rsidRPr="00966DFB">
              <w:rPr>
                <w:rFonts w:cs="Arial"/>
                <w:color w:val="000000"/>
                <w:szCs w:val="18"/>
              </w:rPr>
              <w:t>20</w:t>
            </w:r>
          </w:p>
        </w:tc>
        <w:tc>
          <w:tcPr>
            <w:tcW w:w="2769" w:type="dxa"/>
            <w:shd w:val="clear" w:color="auto" w:fill="FFFFFF"/>
            <w:vAlign w:val="bottom"/>
          </w:tcPr>
          <w:p w14:paraId="62F010F9" w14:textId="77777777" w:rsidR="004B31F4" w:rsidRPr="00966DFB" w:rsidRDefault="004B31F4" w:rsidP="00106617">
            <w:pPr>
              <w:spacing w:line="240" w:lineRule="auto"/>
              <w:rPr>
                <w:rFonts w:cs="Arial"/>
                <w:color w:val="000000"/>
                <w:szCs w:val="18"/>
              </w:rPr>
            </w:pPr>
            <w:r w:rsidRPr="00966DFB">
              <w:rPr>
                <w:rFonts w:cs="Arial"/>
                <w:color w:val="000000"/>
                <w:szCs w:val="18"/>
              </w:rPr>
              <w:t>15</w:t>
            </w:r>
          </w:p>
        </w:tc>
      </w:tr>
    </w:tbl>
    <w:p w14:paraId="6A2C925F" w14:textId="77777777" w:rsidR="004B31F4" w:rsidRDefault="004B31F4" w:rsidP="004B31F4">
      <w:pPr>
        <w:rPr>
          <w:rFonts w:cs="Arial"/>
          <w:color w:val="212121"/>
          <w:shd w:val="clear" w:color="auto" w:fill="FFFFFF"/>
          <w:lang w:val="en-US"/>
        </w:rPr>
      </w:pPr>
    </w:p>
    <w:p w14:paraId="7CF0F75C" w14:textId="5E1CD302" w:rsidR="00A512D5" w:rsidRDefault="00715F10" w:rsidP="00C27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12121"/>
          <w:szCs w:val="18"/>
          <w:lang w:val="en" w:eastAsia="es-CO"/>
        </w:rPr>
      </w:pPr>
      <w:r>
        <w:rPr>
          <w:rFonts w:cs="Arial"/>
          <w:color w:val="212121"/>
          <w:shd w:val="clear" w:color="auto" w:fill="FFFFFF"/>
          <w:lang w:val="en-US"/>
        </w:rPr>
        <w:t>Figure 1</w:t>
      </w:r>
      <w:r w:rsidR="004B31F4">
        <w:rPr>
          <w:rFonts w:cs="Arial"/>
          <w:color w:val="212121"/>
          <w:shd w:val="clear" w:color="auto" w:fill="FFFFFF"/>
          <w:lang w:val="en-US"/>
        </w:rPr>
        <w:t xml:space="preserve"> show the macroscopic aspect of </w:t>
      </w:r>
      <w:r>
        <w:rPr>
          <w:rFonts w:cs="Arial"/>
          <w:color w:val="212121"/>
          <w:shd w:val="clear" w:color="auto" w:fill="FFFFFF"/>
          <w:lang w:val="en-US"/>
        </w:rPr>
        <w:t>the PCL membranes obtained at 5,</w:t>
      </w:r>
      <w:r w:rsidR="00223675">
        <w:rPr>
          <w:rFonts w:cs="Arial"/>
          <w:color w:val="212121"/>
          <w:shd w:val="clear" w:color="auto" w:fill="FFFFFF"/>
          <w:lang w:val="en-US"/>
        </w:rPr>
        <w:t xml:space="preserve"> 10</w:t>
      </w:r>
      <w:r>
        <w:rPr>
          <w:rFonts w:cs="Arial"/>
          <w:color w:val="212121"/>
          <w:shd w:val="clear" w:color="auto" w:fill="FFFFFF"/>
          <w:lang w:val="en-US"/>
        </w:rPr>
        <w:t xml:space="preserve"> and 20</w:t>
      </w:r>
      <w:r w:rsidR="00223675">
        <w:rPr>
          <w:rFonts w:cs="Arial"/>
          <w:color w:val="212121"/>
          <w:shd w:val="clear" w:color="auto" w:fill="FFFFFF"/>
          <w:lang w:val="en-US"/>
        </w:rPr>
        <w:t xml:space="preserve"> minutes of electrodeposition</w:t>
      </w:r>
      <w:r w:rsidR="004B31F4">
        <w:rPr>
          <w:rFonts w:cs="Arial"/>
          <w:color w:val="212121"/>
          <w:shd w:val="clear" w:color="auto" w:fill="FFFFFF"/>
          <w:lang w:val="en-US"/>
        </w:rPr>
        <w:t>. The aspect of the PLGA and PLGA+PCL membranes is similar.</w:t>
      </w:r>
      <w:r w:rsidR="007F5802">
        <w:rPr>
          <w:rFonts w:cs="Arial"/>
          <w:color w:val="212121"/>
          <w:shd w:val="clear" w:color="auto" w:fill="FFFFFF"/>
          <w:lang w:val="en-US"/>
        </w:rPr>
        <w:t xml:space="preserve"> </w:t>
      </w:r>
      <w:r w:rsidR="007F5802" w:rsidRPr="00EB46A0">
        <w:rPr>
          <w:rFonts w:cs="Arial"/>
          <w:color w:val="212121"/>
          <w:szCs w:val="18"/>
          <w:lang w:val="en" w:eastAsia="es-CO"/>
        </w:rPr>
        <w:t xml:space="preserve">The thickness of the membranes increases as the process time is prolonged. For the characterization to the SEM </w:t>
      </w:r>
      <w:r w:rsidR="004E499C">
        <w:rPr>
          <w:rFonts w:cs="Arial"/>
          <w:color w:val="212121"/>
          <w:szCs w:val="18"/>
          <w:lang w:val="en" w:eastAsia="es-CO"/>
        </w:rPr>
        <w:t>a deposition time of 5</w:t>
      </w:r>
      <w:r w:rsidR="007F5802" w:rsidRPr="00EB46A0">
        <w:rPr>
          <w:rFonts w:cs="Arial"/>
          <w:color w:val="212121"/>
          <w:szCs w:val="18"/>
          <w:lang w:val="en" w:eastAsia="es-CO"/>
        </w:rPr>
        <w:t xml:space="preserve"> minutes was standardized.</w:t>
      </w:r>
    </w:p>
    <w:p w14:paraId="36BEAA93" w14:textId="77777777" w:rsidR="004E5014" w:rsidRDefault="004E5014" w:rsidP="00B604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12121"/>
          <w:szCs w:val="18"/>
          <w:lang w:val="en" w:eastAsia="es-CO"/>
        </w:rPr>
      </w:pPr>
    </w:p>
    <w:p w14:paraId="1132D539" w14:textId="0D76B5FE" w:rsidR="00C27A9E" w:rsidRDefault="00715F10" w:rsidP="00C27A9E">
      <w:pPr>
        <w:spacing w:line="240" w:lineRule="auto"/>
        <w:rPr>
          <w:rFonts w:cs="Arial"/>
          <w:i/>
          <w:color w:val="212121"/>
          <w:shd w:val="clear" w:color="auto" w:fill="FFFFFF"/>
        </w:rPr>
      </w:pPr>
      <w:r w:rsidRPr="00EE41F5">
        <w:drawing>
          <wp:inline distT="0" distB="0" distL="0" distR="0" wp14:anchorId="1E30934A" wp14:editId="0FC74869">
            <wp:extent cx="3656293" cy="1174750"/>
            <wp:effectExtent l="19050" t="19050" r="20955"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0214"/>
                    <a:stretch/>
                  </pic:blipFill>
                  <pic:spPr bwMode="auto">
                    <a:xfrm>
                      <a:off x="0" y="0"/>
                      <a:ext cx="3657600" cy="117517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D365924" w14:textId="29DA9508" w:rsidR="0057315E" w:rsidRDefault="0057315E" w:rsidP="00F045AD">
      <w:pPr>
        <w:spacing w:before="240" w:after="240"/>
        <w:rPr>
          <w:rFonts w:cs="Arial"/>
          <w:i/>
          <w:color w:val="212121"/>
          <w:szCs w:val="18"/>
          <w:shd w:val="clear" w:color="auto" w:fill="FFFFFF"/>
        </w:rPr>
      </w:pPr>
      <w:r>
        <w:rPr>
          <w:rFonts w:cs="Arial"/>
          <w:i/>
          <w:color w:val="212121"/>
          <w:shd w:val="clear" w:color="auto" w:fill="FFFFFF"/>
        </w:rPr>
        <w:t>Figure</w:t>
      </w:r>
      <w:r w:rsidR="00715F10">
        <w:rPr>
          <w:rFonts w:cs="Arial"/>
          <w:i/>
          <w:color w:val="212121"/>
          <w:shd w:val="clear" w:color="auto" w:fill="FFFFFF"/>
        </w:rPr>
        <w:t xml:space="preserve"> 1</w:t>
      </w:r>
      <w:r w:rsidR="00A512D5" w:rsidRPr="00A512D5">
        <w:rPr>
          <w:rFonts w:cs="Arial"/>
          <w:i/>
          <w:color w:val="212121"/>
          <w:shd w:val="clear" w:color="auto" w:fill="FFFFFF"/>
        </w:rPr>
        <w:t xml:space="preserve">: </w:t>
      </w:r>
      <w:r w:rsidRPr="00D31F75">
        <w:rPr>
          <w:rFonts w:cs="Arial"/>
          <w:i/>
          <w:color w:val="212121"/>
          <w:szCs w:val="18"/>
          <w:shd w:val="clear" w:color="auto" w:fill="FFFFFF"/>
        </w:rPr>
        <w:t>Macroscopic appearance of the PCL membranes at 5 (A)</w:t>
      </w:r>
      <w:r w:rsidR="00715F10">
        <w:rPr>
          <w:rFonts w:cs="Arial"/>
          <w:i/>
          <w:color w:val="212121"/>
          <w:szCs w:val="18"/>
          <w:shd w:val="clear" w:color="auto" w:fill="FFFFFF"/>
        </w:rPr>
        <w:t>, 10 (B) and 20 (C</w:t>
      </w:r>
      <w:r w:rsidRPr="00D31F75">
        <w:rPr>
          <w:rFonts w:cs="Arial"/>
          <w:i/>
          <w:color w:val="212121"/>
          <w:szCs w:val="18"/>
          <w:shd w:val="clear" w:color="auto" w:fill="FFFFFF"/>
        </w:rPr>
        <w:t>) minutes of electrodeposition</w:t>
      </w:r>
    </w:p>
    <w:p w14:paraId="0D7C26D4" w14:textId="4EA78084" w:rsidR="0057315E" w:rsidRDefault="00FA3DA8" w:rsidP="00C27A9E">
      <w:pPr>
        <w:rPr>
          <w:rFonts w:cs="Arial"/>
          <w:color w:val="212121"/>
          <w:shd w:val="clear" w:color="auto" w:fill="FFFFFF"/>
          <w:lang w:val="en-US"/>
        </w:rPr>
      </w:pPr>
      <w:r>
        <w:rPr>
          <w:rFonts w:cs="Arial"/>
          <w:color w:val="212121"/>
          <w:shd w:val="clear" w:color="auto" w:fill="FFFFFF"/>
          <w:lang w:val="en-US"/>
        </w:rPr>
        <w:t>Figure 2</w:t>
      </w:r>
      <w:r w:rsidR="004B31F4">
        <w:rPr>
          <w:rFonts w:cs="Arial"/>
          <w:color w:val="212121"/>
          <w:shd w:val="clear" w:color="auto" w:fill="FFFFFF"/>
          <w:lang w:val="en-US"/>
        </w:rPr>
        <w:t xml:space="preserve"> shows the morphology seen through SEM (3000x) of the fibers forming the manufactured membranes. The fibers are stable, flawless. The diameter of the PLGA fibers (A) is greater than that of the PCL fibers (B), which is evident in the membrane containing both polymers (C). When observed at 5000x, it is evident that, besides the differences in the diameter, the PLGA fibers have a porous surface not seen in the PCL fibers.</w:t>
      </w:r>
    </w:p>
    <w:p w14:paraId="02C20F96" w14:textId="30461D06" w:rsidR="00F045AD" w:rsidRDefault="00F045AD" w:rsidP="00F045AD">
      <w:pPr>
        <w:rPr>
          <w:rFonts w:cs="Arial"/>
          <w:i/>
          <w:color w:val="212121"/>
          <w:szCs w:val="18"/>
          <w:shd w:val="clear" w:color="auto" w:fill="FFFFFF"/>
        </w:rPr>
      </w:pPr>
    </w:p>
    <w:p w14:paraId="522BE3D8" w14:textId="0CD4377D" w:rsidR="00F045AD" w:rsidRDefault="0016498E" w:rsidP="00F045AD">
      <w:pPr>
        <w:rPr>
          <w:rFonts w:cs="Arial"/>
          <w:i/>
          <w:color w:val="212121"/>
          <w:szCs w:val="18"/>
          <w:shd w:val="clear" w:color="auto" w:fill="FFFFFF"/>
        </w:rPr>
      </w:pPr>
      <w:bookmarkStart w:id="0" w:name="_GoBack"/>
      <w:r w:rsidRPr="00407DDE">
        <w:rPr>
          <w:rFonts w:cs="Arial"/>
          <w:noProof/>
          <w:color w:val="212121"/>
          <w:shd w:val="clear" w:color="auto" w:fill="FFFFFF"/>
          <w:lang w:val="es-CO" w:eastAsia="es-CO"/>
        </w:rPr>
        <w:drawing>
          <wp:inline distT="0" distB="0" distL="0" distR="0" wp14:anchorId="446174C0" wp14:editId="55FBDBE0">
            <wp:extent cx="3865419" cy="2424546"/>
            <wp:effectExtent l="19050" t="19050" r="20955" b="139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11600" cy="2453513"/>
                    </a:xfrm>
                    <a:prstGeom prst="rect">
                      <a:avLst/>
                    </a:prstGeom>
                    <a:ln>
                      <a:solidFill>
                        <a:schemeClr val="tx1"/>
                      </a:solidFill>
                    </a:ln>
                  </pic:spPr>
                </pic:pic>
              </a:graphicData>
            </a:graphic>
          </wp:inline>
        </w:drawing>
      </w:r>
      <w:bookmarkEnd w:id="0"/>
    </w:p>
    <w:p w14:paraId="38060748" w14:textId="69DCAED4" w:rsidR="00FA3DA8" w:rsidRPr="00FA3DA8" w:rsidRDefault="00FA3DA8" w:rsidP="00F045AD">
      <w:pPr>
        <w:rPr>
          <w:rFonts w:cs="Arial"/>
          <w:i/>
          <w:color w:val="212121"/>
          <w:szCs w:val="18"/>
          <w:lang w:val="en-US" w:eastAsia="es-CO"/>
        </w:rPr>
      </w:pPr>
      <w:r w:rsidRPr="00FA3DA8">
        <w:rPr>
          <w:rFonts w:cs="Arial"/>
          <w:i/>
          <w:color w:val="212121"/>
          <w:szCs w:val="18"/>
          <w:shd w:val="clear" w:color="auto" w:fill="FFFFFF"/>
        </w:rPr>
        <w:t>Figure 2</w:t>
      </w:r>
      <w:r w:rsidR="0057315E" w:rsidRPr="00FA3DA8">
        <w:rPr>
          <w:rFonts w:cs="Arial"/>
          <w:i/>
          <w:color w:val="212121"/>
          <w:szCs w:val="18"/>
          <w:shd w:val="clear" w:color="auto" w:fill="FFFFFF"/>
        </w:rPr>
        <w:t xml:space="preserve">: </w:t>
      </w:r>
      <w:r w:rsidRPr="00FA3DA8">
        <w:rPr>
          <w:rFonts w:cs="Arial"/>
          <w:i/>
          <w:color w:val="212121"/>
          <w:szCs w:val="18"/>
          <w:lang w:val="en" w:eastAsia="es-CO"/>
        </w:rPr>
        <w:t>Microphotographs of the membranes of PLGA (A), PCL (B) at 3000</w:t>
      </w:r>
      <w:proofErr w:type="gramStart"/>
      <w:r w:rsidRPr="00FA3DA8">
        <w:rPr>
          <w:rFonts w:cs="Arial"/>
          <w:i/>
          <w:color w:val="212121"/>
          <w:szCs w:val="18"/>
          <w:lang w:val="en" w:eastAsia="es-CO"/>
        </w:rPr>
        <w:t>x</w:t>
      </w:r>
      <w:proofErr w:type="gramEnd"/>
      <w:r w:rsidRPr="00FA3DA8">
        <w:rPr>
          <w:rFonts w:cs="Arial"/>
          <w:i/>
          <w:color w:val="212121"/>
          <w:szCs w:val="18"/>
          <w:lang w:val="en" w:eastAsia="es-CO"/>
        </w:rPr>
        <w:t xml:space="preserve"> and PLGA + PCL at 3000x (C) and 5000X (D)</w:t>
      </w:r>
    </w:p>
    <w:p w14:paraId="18207A6A" w14:textId="77777777" w:rsidR="004A5C62" w:rsidRPr="004A5C62" w:rsidRDefault="004A5C62" w:rsidP="004A5C62">
      <w:pPr>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12121"/>
          <w:szCs w:val="18"/>
          <w:lang w:val="en-US" w:eastAsia="es-CO"/>
        </w:rPr>
      </w:pPr>
      <w:r w:rsidRPr="004A5C62">
        <w:rPr>
          <w:rFonts w:cs="Arial"/>
          <w:color w:val="212121"/>
          <w:szCs w:val="18"/>
          <w:lang w:val="en" w:eastAsia="es-CO"/>
        </w:rPr>
        <w:lastRenderedPageBreak/>
        <w:t>These photographs confirm that although PLGA and PCL are combined in a solution, the electrospinning process does not form fibers that combine the two polymers; on the contrary, fibers are formed that preserve the individual characteristics (</w:t>
      </w:r>
      <w:proofErr w:type="spellStart"/>
      <w:r w:rsidRPr="004A5C62">
        <w:rPr>
          <w:rFonts w:cs="Arial"/>
          <w:color w:val="212121"/>
          <w:szCs w:val="18"/>
          <w:lang w:val="en" w:eastAsia="es-CO"/>
        </w:rPr>
        <w:t>Quirós</w:t>
      </w:r>
      <w:proofErr w:type="spellEnd"/>
      <w:r w:rsidRPr="004A5C62">
        <w:rPr>
          <w:rFonts w:cs="Arial"/>
          <w:color w:val="212121"/>
          <w:szCs w:val="18"/>
          <w:lang w:val="en" w:eastAsia="es-CO"/>
        </w:rPr>
        <w:t xml:space="preserve">, </w:t>
      </w:r>
      <w:proofErr w:type="spellStart"/>
      <w:r w:rsidRPr="004A5C62">
        <w:rPr>
          <w:rFonts w:cs="Arial"/>
          <w:color w:val="212121"/>
          <w:szCs w:val="18"/>
          <w:lang w:val="en" w:eastAsia="es-CO"/>
        </w:rPr>
        <w:t>Boltes</w:t>
      </w:r>
      <w:proofErr w:type="spellEnd"/>
      <w:r w:rsidRPr="004A5C62">
        <w:rPr>
          <w:rFonts w:cs="Arial"/>
          <w:color w:val="212121"/>
          <w:szCs w:val="18"/>
          <w:lang w:val="en" w:eastAsia="es-CO"/>
        </w:rPr>
        <w:t xml:space="preserve"> and </w:t>
      </w:r>
      <w:proofErr w:type="spellStart"/>
      <w:proofErr w:type="gramStart"/>
      <w:r w:rsidRPr="004A5C62">
        <w:rPr>
          <w:rFonts w:cs="Arial"/>
          <w:color w:val="212121"/>
          <w:szCs w:val="18"/>
          <w:lang w:val="en" w:eastAsia="es-CO"/>
        </w:rPr>
        <w:t>Rosal</w:t>
      </w:r>
      <w:proofErr w:type="spellEnd"/>
      <w:r w:rsidRPr="004A5C62">
        <w:rPr>
          <w:rFonts w:cs="Arial"/>
          <w:color w:val="212121"/>
          <w:szCs w:val="18"/>
          <w:lang w:val="en" w:eastAsia="es-CO"/>
        </w:rPr>
        <w:t xml:space="preserve"> ,</w:t>
      </w:r>
      <w:proofErr w:type="gramEnd"/>
      <w:r w:rsidRPr="004A5C62">
        <w:rPr>
          <w:rFonts w:cs="Arial"/>
          <w:color w:val="212121"/>
          <w:szCs w:val="18"/>
          <w:lang w:val="en" w:eastAsia="es-CO"/>
        </w:rPr>
        <w:t xml:space="preserve"> 2016)</w:t>
      </w:r>
    </w:p>
    <w:p w14:paraId="1096FC39" w14:textId="77777777" w:rsidR="004E5014" w:rsidRDefault="004E5014" w:rsidP="004A5C62">
      <w:pPr>
        <w:rPr>
          <w:rFonts w:cs="Arial"/>
          <w:color w:val="212121"/>
          <w:shd w:val="clear" w:color="auto" w:fill="FFFFFF"/>
          <w:lang w:val="en-US"/>
        </w:rPr>
      </w:pPr>
    </w:p>
    <w:p w14:paraId="7C6F9CDC" w14:textId="77777777" w:rsidR="004B31F4" w:rsidRPr="007F5802" w:rsidRDefault="004B31F4" w:rsidP="004B31F4">
      <w:pPr>
        <w:rPr>
          <w:rFonts w:cs="Arial"/>
          <w:b/>
          <w:color w:val="212121"/>
          <w:shd w:val="clear" w:color="auto" w:fill="FFFFFF"/>
          <w:lang w:val="en-US"/>
        </w:rPr>
      </w:pPr>
      <w:r w:rsidRPr="007F5802">
        <w:rPr>
          <w:rFonts w:cs="Arial"/>
          <w:b/>
          <w:color w:val="212121"/>
          <w:shd w:val="clear" w:color="auto" w:fill="FFFFFF"/>
          <w:lang w:val="en-US"/>
        </w:rPr>
        <w:t>3.2 Viability, adhesion and formation of bacterial biofilms</w:t>
      </w:r>
    </w:p>
    <w:p w14:paraId="60E19C41" w14:textId="77777777" w:rsidR="004B31F4" w:rsidRDefault="004B31F4" w:rsidP="004B31F4">
      <w:pPr>
        <w:rPr>
          <w:rFonts w:cs="Arial"/>
          <w:color w:val="212121"/>
          <w:shd w:val="clear" w:color="auto" w:fill="FFFFFF"/>
          <w:lang w:val="en-US"/>
        </w:rPr>
      </w:pPr>
    </w:p>
    <w:p w14:paraId="4A345F07" w14:textId="6EDF0827" w:rsidR="004B31F4" w:rsidRDefault="004A5C62" w:rsidP="00C27A9E">
      <w:pPr>
        <w:contextualSpacing/>
        <w:rPr>
          <w:rFonts w:cs="Arial"/>
          <w:color w:val="212121"/>
          <w:shd w:val="clear" w:color="auto" w:fill="FFFFFF"/>
          <w:lang w:val="en-US"/>
        </w:rPr>
      </w:pPr>
      <w:r>
        <w:rPr>
          <w:rFonts w:cs="Arial"/>
          <w:color w:val="212121"/>
          <w:shd w:val="clear" w:color="auto" w:fill="FFFFFF"/>
          <w:lang w:val="en-US"/>
        </w:rPr>
        <w:t>Figure 3</w:t>
      </w:r>
      <w:r w:rsidR="004B31F4">
        <w:rPr>
          <w:rFonts w:cs="Arial"/>
          <w:color w:val="212121"/>
          <w:shd w:val="clear" w:color="auto" w:fill="FFFFFF"/>
          <w:lang w:val="en-US"/>
        </w:rPr>
        <w:t xml:space="preserve"> shows the merged optical fluorescence microscopy images obtained after the incubation of different types of membranes (</w:t>
      </w:r>
      <w:r w:rsidR="004B31F4" w:rsidRPr="00C649B7">
        <w:rPr>
          <w:rFonts w:cs="Arial"/>
          <w:color w:val="212121"/>
          <w:shd w:val="clear" w:color="auto" w:fill="FFFFFF"/>
          <w:lang w:val="en-US"/>
        </w:rPr>
        <w:t xml:space="preserve">PLGA, PLGA+PCL and PCL) with the </w:t>
      </w:r>
      <w:r w:rsidR="004B31F4">
        <w:rPr>
          <w:rFonts w:cs="Arial"/>
          <w:i/>
          <w:color w:val="212121"/>
          <w:shd w:val="clear" w:color="auto" w:fill="FFFFFF"/>
          <w:lang w:val="en-US"/>
        </w:rPr>
        <w:t>Staphylococcus aureus</w:t>
      </w:r>
      <w:r w:rsidR="004B31F4" w:rsidRPr="00C649B7">
        <w:rPr>
          <w:rFonts w:cs="Arial"/>
          <w:color w:val="212121"/>
          <w:shd w:val="clear" w:color="auto" w:fill="FFFFFF"/>
          <w:lang w:val="en-US"/>
        </w:rPr>
        <w:t xml:space="preserve">, </w:t>
      </w:r>
      <w:r w:rsidR="004B31F4" w:rsidRPr="00C649B7">
        <w:rPr>
          <w:rFonts w:cs="Arial"/>
          <w:i/>
          <w:color w:val="212121"/>
          <w:shd w:val="clear" w:color="auto" w:fill="FFFFFF"/>
          <w:lang w:val="en-US"/>
        </w:rPr>
        <w:t xml:space="preserve">Enterococcus </w:t>
      </w:r>
      <w:proofErr w:type="spellStart"/>
      <w:r w:rsidR="004B31F4" w:rsidRPr="00C649B7">
        <w:rPr>
          <w:rFonts w:cs="Arial"/>
          <w:i/>
          <w:color w:val="212121"/>
          <w:shd w:val="clear" w:color="auto" w:fill="FFFFFF"/>
          <w:lang w:val="en-US"/>
        </w:rPr>
        <w:t>faecalis</w:t>
      </w:r>
      <w:proofErr w:type="spellEnd"/>
      <w:r w:rsidR="004B31F4">
        <w:rPr>
          <w:rFonts w:cs="Arial"/>
          <w:color w:val="212121"/>
          <w:shd w:val="clear" w:color="auto" w:fill="FFFFFF"/>
          <w:lang w:val="en-US"/>
        </w:rPr>
        <w:t xml:space="preserve"> and</w:t>
      </w:r>
      <w:r w:rsidR="004B31F4" w:rsidRPr="00C649B7">
        <w:rPr>
          <w:rFonts w:cs="Arial"/>
          <w:i/>
          <w:color w:val="212121"/>
          <w:shd w:val="clear" w:color="auto" w:fill="FFFFFF"/>
          <w:lang w:val="en-US"/>
        </w:rPr>
        <w:t xml:space="preserve"> Escherichia coli</w:t>
      </w:r>
      <w:r w:rsidR="004B31F4" w:rsidRPr="00C649B7">
        <w:rPr>
          <w:rFonts w:cs="Arial"/>
          <w:color w:val="212121"/>
          <w:shd w:val="clear" w:color="auto" w:fill="FFFFFF"/>
          <w:lang w:val="en-US"/>
        </w:rPr>
        <w:t xml:space="preserve"> strains</w:t>
      </w:r>
      <w:r w:rsidR="004B31F4">
        <w:rPr>
          <w:rFonts w:cs="Arial"/>
          <w:color w:val="212121"/>
          <w:shd w:val="clear" w:color="auto" w:fill="FFFFFF"/>
          <w:lang w:val="en-US"/>
        </w:rPr>
        <w:t>.</w:t>
      </w:r>
    </w:p>
    <w:p w14:paraId="34272BA6" w14:textId="77777777" w:rsidR="00886688" w:rsidRDefault="00886688" w:rsidP="00C27A9E">
      <w:pPr>
        <w:contextualSpacing/>
        <w:rPr>
          <w:rFonts w:cs="Arial"/>
          <w:color w:val="212121"/>
          <w:shd w:val="clear" w:color="auto" w:fill="FFFFFF"/>
          <w:lang w:val="en-US"/>
        </w:rPr>
      </w:pPr>
    </w:p>
    <w:p w14:paraId="723FC871" w14:textId="77777777" w:rsidR="007F5802" w:rsidRDefault="007F5802" w:rsidP="007F5802">
      <w:pPr>
        <w:contextualSpacing/>
        <w:rPr>
          <w:rFonts w:cs="Arial"/>
          <w:color w:val="212121"/>
          <w:shd w:val="clear" w:color="auto" w:fill="FFFFFF"/>
          <w:lang w:val="en-US"/>
        </w:rPr>
      </w:pPr>
    </w:p>
    <w:p w14:paraId="13F97982" w14:textId="62191D6F" w:rsidR="007F5802" w:rsidRDefault="00886688" w:rsidP="007F5802">
      <w:pPr>
        <w:contextualSpacing/>
        <w:rPr>
          <w:rFonts w:cs="Arial"/>
          <w:color w:val="212121"/>
          <w:shd w:val="clear" w:color="auto" w:fill="FFFFFF"/>
          <w:lang w:val="en-US"/>
        </w:rPr>
      </w:pPr>
      <w:r w:rsidRPr="00B30A06">
        <w:rPr>
          <w:rFonts w:cs="Arial"/>
          <w:noProof/>
          <w:color w:val="212121"/>
          <w:szCs w:val="18"/>
          <w:shd w:val="clear" w:color="auto" w:fill="FFFFFF"/>
          <w:lang w:val="es-CO" w:eastAsia="es-CO"/>
        </w:rPr>
        <w:drawing>
          <wp:inline distT="0" distB="0" distL="0" distR="0" wp14:anchorId="788B2202" wp14:editId="0951BAF2">
            <wp:extent cx="5312478" cy="503555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Lst>
                    </a:blip>
                    <a:stretch>
                      <a:fillRect/>
                    </a:stretch>
                  </pic:blipFill>
                  <pic:spPr>
                    <a:xfrm>
                      <a:off x="0" y="0"/>
                      <a:ext cx="5322708" cy="5045246"/>
                    </a:xfrm>
                    <a:prstGeom prst="rect">
                      <a:avLst/>
                    </a:prstGeom>
                  </pic:spPr>
                </pic:pic>
              </a:graphicData>
            </a:graphic>
          </wp:inline>
        </w:drawing>
      </w:r>
    </w:p>
    <w:p w14:paraId="3BA8D936" w14:textId="617EA963" w:rsidR="00DB68B9" w:rsidRPr="004E5014" w:rsidRDefault="007F5802" w:rsidP="00F045AD">
      <w:pPr>
        <w:pStyle w:val="HTMLconformatoprevio"/>
        <w:shd w:val="clear" w:color="auto" w:fill="FFFFFF"/>
        <w:spacing w:before="240" w:after="240" w:line="264" w:lineRule="auto"/>
        <w:rPr>
          <w:rFonts w:ascii="Arial" w:hAnsi="Arial" w:cs="Arial"/>
          <w:i/>
          <w:color w:val="212121"/>
          <w:szCs w:val="18"/>
          <w:lang w:val="en-US" w:eastAsia="es-CO"/>
        </w:rPr>
      </w:pPr>
      <w:r w:rsidRPr="00DB68B9">
        <w:rPr>
          <w:rFonts w:ascii="Arial" w:hAnsi="Arial" w:cs="Arial"/>
          <w:i/>
          <w:color w:val="212121"/>
          <w:szCs w:val="18"/>
          <w:shd w:val="clear" w:color="auto" w:fill="FFFFFF"/>
        </w:rPr>
        <w:t xml:space="preserve">Figure </w:t>
      </w:r>
      <w:r w:rsidR="004A5C62">
        <w:rPr>
          <w:rFonts w:ascii="Arial" w:hAnsi="Arial" w:cs="Arial"/>
          <w:i/>
          <w:color w:val="212121"/>
          <w:szCs w:val="18"/>
          <w:shd w:val="clear" w:color="auto" w:fill="FFFFFF"/>
        </w:rPr>
        <w:t>3</w:t>
      </w:r>
      <w:r w:rsidRPr="00DB68B9">
        <w:rPr>
          <w:rFonts w:ascii="Arial" w:hAnsi="Arial" w:cs="Arial"/>
          <w:i/>
          <w:color w:val="212121"/>
          <w:szCs w:val="18"/>
          <w:shd w:val="clear" w:color="auto" w:fill="FFFFFF"/>
        </w:rPr>
        <w:t xml:space="preserve">: </w:t>
      </w:r>
      <w:r w:rsidRPr="00DB68B9">
        <w:rPr>
          <w:rFonts w:ascii="Arial" w:hAnsi="Arial" w:cs="Arial"/>
          <w:i/>
          <w:color w:val="212121"/>
          <w:szCs w:val="18"/>
          <w:shd w:val="clear" w:color="auto" w:fill="FFFFFF"/>
          <w:lang w:val="en-US"/>
        </w:rPr>
        <w:t xml:space="preserve">Merged optical fluorescence microscopy images (40X)  </w:t>
      </w:r>
      <w:r w:rsidRPr="00DB68B9">
        <w:rPr>
          <w:rFonts w:ascii="Arial" w:hAnsi="Arial" w:cs="Arial"/>
          <w:i/>
          <w:color w:val="212121"/>
          <w:szCs w:val="18"/>
          <w:lang w:val="en" w:eastAsia="es-CO"/>
        </w:rPr>
        <w:t xml:space="preserve"> after the incubation of the microorganisms with the different types of membranes</w:t>
      </w:r>
      <w:r w:rsidRPr="00DB68B9">
        <w:rPr>
          <w:rFonts w:ascii="Arial" w:hAnsi="Arial" w:cs="Arial"/>
          <w:i/>
          <w:color w:val="212121"/>
          <w:szCs w:val="18"/>
          <w:shd w:val="clear" w:color="auto" w:fill="FFFFFF"/>
          <w:lang w:val="en-US"/>
        </w:rPr>
        <w:t xml:space="preserve"> (Green fluorescence:</w:t>
      </w:r>
      <w:r w:rsidR="00DB68B9" w:rsidRPr="00DB68B9">
        <w:rPr>
          <w:rFonts w:ascii="Arial" w:hAnsi="Arial" w:cs="Arial"/>
          <w:i/>
          <w:color w:val="212121"/>
          <w:szCs w:val="18"/>
          <w:shd w:val="clear" w:color="auto" w:fill="FFFFFF"/>
          <w:lang w:val="en-US"/>
        </w:rPr>
        <w:t xml:space="preserve"> </w:t>
      </w:r>
      <w:r w:rsidR="00DB68B9">
        <w:rPr>
          <w:rFonts w:ascii="Arial" w:hAnsi="Arial" w:cs="Arial"/>
          <w:i/>
          <w:color w:val="212121"/>
          <w:szCs w:val="18"/>
          <w:shd w:val="clear" w:color="auto" w:fill="FFFFFF"/>
          <w:lang w:val="en-US"/>
        </w:rPr>
        <w:t xml:space="preserve">live bacteria and </w:t>
      </w:r>
      <w:r w:rsidRPr="00DB68B9">
        <w:rPr>
          <w:rFonts w:ascii="Arial" w:hAnsi="Arial" w:cs="Arial"/>
          <w:i/>
          <w:color w:val="212121"/>
          <w:szCs w:val="18"/>
          <w:shd w:val="clear" w:color="auto" w:fill="FFFFFF"/>
          <w:lang w:val="en-US"/>
        </w:rPr>
        <w:t>red fluorescence: dead bacteria</w:t>
      </w:r>
      <w:r w:rsidR="00DB68B9">
        <w:rPr>
          <w:rFonts w:ascii="Arial" w:hAnsi="Arial" w:cs="Arial"/>
          <w:i/>
          <w:color w:val="212121"/>
          <w:szCs w:val="18"/>
          <w:shd w:val="clear" w:color="auto" w:fill="FFFFFF"/>
          <w:lang w:val="en-US"/>
        </w:rPr>
        <w:t xml:space="preserve">. </w:t>
      </w:r>
      <w:r w:rsidR="00DB68B9" w:rsidRPr="00DB68B9">
        <w:rPr>
          <w:rFonts w:ascii="Arial" w:hAnsi="Arial" w:cs="Arial"/>
          <w:i/>
          <w:color w:val="212121"/>
          <w:szCs w:val="18"/>
          <w:shd w:val="clear" w:color="auto" w:fill="FFFFFF"/>
          <w:lang w:val="en-US"/>
        </w:rPr>
        <w:t xml:space="preserve"> </w:t>
      </w:r>
      <w:r w:rsidR="00DB68B9" w:rsidRPr="00DB68B9">
        <w:rPr>
          <w:rFonts w:ascii="Arial" w:hAnsi="Arial" w:cs="Arial"/>
          <w:i/>
          <w:color w:val="212121"/>
          <w:szCs w:val="18"/>
          <w:lang w:val="en" w:eastAsia="es-CO"/>
        </w:rPr>
        <w:t>Arrows: exopolysaccharide</w:t>
      </w:r>
      <w:r w:rsidR="00DB68B9">
        <w:rPr>
          <w:rFonts w:ascii="Arial" w:hAnsi="Arial" w:cs="Arial"/>
          <w:i/>
          <w:color w:val="212121"/>
          <w:szCs w:val="18"/>
          <w:lang w:val="en" w:eastAsia="es-CO"/>
        </w:rPr>
        <w:t>)</w:t>
      </w:r>
    </w:p>
    <w:p w14:paraId="6434777B" w14:textId="0FC8BE6B" w:rsidR="004B31F4" w:rsidRPr="00B604EF" w:rsidRDefault="004B31F4" w:rsidP="00C27A9E">
      <w:pPr>
        <w:pStyle w:val="HTMLconformatoprevio"/>
        <w:shd w:val="clear" w:color="auto" w:fill="FFFFFF"/>
        <w:spacing w:line="264" w:lineRule="auto"/>
        <w:rPr>
          <w:rFonts w:ascii="Arial" w:hAnsi="Arial" w:cs="Arial"/>
          <w:color w:val="212121"/>
          <w:shd w:val="clear" w:color="auto" w:fill="FFFFFF"/>
          <w:lang w:val="en-US"/>
        </w:rPr>
      </w:pPr>
      <w:r w:rsidRPr="00B604EF">
        <w:rPr>
          <w:rFonts w:ascii="Arial" w:hAnsi="Arial" w:cs="Arial"/>
          <w:color w:val="212121"/>
          <w:shd w:val="clear" w:color="auto" w:fill="FFFFFF"/>
          <w:lang w:val="en-US"/>
        </w:rPr>
        <w:t xml:space="preserve">Green fluorescence indicates the integrity of the nucleic acids of the live bacteria, while the red fluorescence indicates damage in the cellular wall typical of dead bacteria. When bacteria are bonded to one another, they form a biofilm characterized by a </w:t>
      </w:r>
      <w:r w:rsidRPr="00B604EF">
        <w:rPr>
          <w:rFonts w:ascii="Arial" w:hAnsi="Arial" w:cs="Arial"/>
          <w:szCs w:val="18"/>
          <w:lang w:val="en-US"/>
        </w:rPr>
        <w:t xml:space="preserve">matrix of exopolysaccharides that are secreted so as to guarantee the survival and resistance of antimicrobial agents. When the three genera of bacteria were exposed to the PLGA, PLGA+PCL and PCL matrix, a greater proliferation and biofilm formation was observed, which can be recognized thanks to the fluorescence of the exopolysaccharide, in the PLGA membrane. The PLGA+PCL membranes did not display any biofilm formation, and a larger quantity of non-viable bacteria can be observed </w:t>
      </w:r>
      <w:r w:rsidRPr="00B604EF">
        <w:rPr>
          <w:rFonts w:ascii="Arial" w:hAnsi="Arial" w:cs="Arial"/>
          <w:szCs w:val="18"/>
          <w:lang w:val="en-US"/>
        </w:rPr>
        <w:lastRenderedPageBreak/>
        <w:t xml:space="preserve">in the PCL membranes. Scarce exopolysaccharide fluorescence with the PCL membrane was only observed for </w:t>
      </w:r>
      <w:r w:rsidRPr="00B604EF">
        <w:rPr>
          <w:rFonts w:ascii="Arial" w:hAnsi="Arial" w:cs="Arial"/>
          <w:i/>
          <w:color w:val="212121"/>
          <w:shd w:val="clear" w:color="auto" w:fill="FFFFFF"/>
          <w:lang w:val="en-US"/>
        </w:rPr>
        <w:t xml:space="preserve">Enterococcus </w:t>
      </w:r>
      <w:proofErr w:type="spellStart"/>
      <w:r w:rsidRPr="00B604EF">
        <w:rPr>
          <w:rFonts w:ascii="Arial" w:hAnsi="Arial" w:cs="Arial"/>
          <w:i/>
          <w:color w:val="212121"/>
          <w:shd w:val="clear" w:color="auto" w:fill="FFFFFF"/>
          <w:lang w:val="en-US"/>
        </w:rPr>
        <w:t>faecalis</w:t>
      </w:r>
      <w:proofErr w:type="spellEnd"/>
      <w:r w:rsidRPr="00B604EF">
        <w:rPr>
          <w:rFonts w:ascii="Arial" w:hAnsi="Arial" w:cs="Arial"/>
          <w:color w:val="212121"/>
          <w:shd w:val="clear" w:color="auto" w:fill="FFFFFF"/>
          <w:lang w:val="en-US"/>
        </w:rPr>
        <w:t>, but the predominance of non-viable bacteria is evident.</w:t>
      </w:r>
    </w:p>
    <w:p w14:paraId="31CC5761" w14:textId="105E2FEC" w:rsidR="00EA1B57" w:rsidRDefault="00EA1B57" w:rsidP="00EA1B57">
      <w:pPr>
        <w:contextualSpacing/>
        <w:rPr>
          <w:rFonts w:cs="Arial"/>
          <w:color w:val="212121"/>
          <w:shd w:val="clear" w:color="auto" w:fill="FFFFFF"/>
          <w:lang w:val="en-US"/>
        </w:rPr>
      </w:pPr>
      <w:r>
        <w:rPr>
          <w:rFonts w:cs="Arial"/>
          <w:color w:val="212121"/>
          <w:shd w:val="clear" w:color="auto" w:fill="FFFFFF"/>
          <w:lang w:val="en-US"/>
        </w:rPr>
        <w:t>Figure 4</w:t>
      </w:r>
      <w:r>
        <w:rPr>
          <w:rFonts w:cs="Arial"/>
          <w:color w:val="212121"/>
          <w:shd w:val="clear" w:color="auto" w:fill="FFFFFF"/>
          <w:lang w:val="en-US"/>
        </w:rPr>
        <w:t xml:space="preserve"> shows other fields in which the formation of biofilm in the PLGA membranes incubated with the three genera of bacteria is evidenced. </w:t>
      </w:r>
    </w:p>
    <w:p w14:paraId="6443618A" w14:textId="77777777" w:rsidR="00EA1B57" w:rsidRDefault="00EA1B57" w:rsidP="00EA1B57">
      <w:pPr>
        <w:contextualSpacing/>
        <w:rPr>
          <w:rFonts w:cs="Arial"/>
          <w:szCs w:val="18"/>
          <w:lang w:val="en-US"/>
        </w:rPr>
      </w:pPr>
    </w:p>
    <w:p w14:paraId="1F7356B0" w14:textId="004E17C7" w:rsidR="00EA1B57" w:rsidRDefault="00886688" w:rsidP="00EA1B57">
      <w:pPr>
        <w:contextualSpacing/>
        <w:rPr>
          <w:rFonts w:cs="Arial"/>
          <w:i/>
          <w:color w:val="212121"/>
          <w:szCs w:val="18"/>
          <w:shd w:val="clear" w:color="auto" w:fill="FFFFFF"/>
        </w:rPr>
      </w:pPr>
      <w:r w:rsidRPr="0002585E">
        <w:rPr>
          <w:rFonts w:cs="Arial"/>
          <w:noProof/>
          <w:color w:val="C0504D" w:themeColor="accent2"/>
          <w:szCs w:val="18"/>
          <w:lang w:val="es-CO" w:eastAsia="es-CO"/>
        </w:rPr>
        <w:drawing>
          <wp:inline distT="0" distB="0" distL="0" distR="0" wp14:anchorId="4EF2EB42" wp14:editId="58382522">
            <wp:extent cx="4813300" cy="173355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b="50253"/>
                    <a:stretch/>
                  </pic:blipFill>
                  <pic:spPr bwMode="auto">
                    <a:xfrm>
                      <a:off x="0" y="0"/>
                      <a:ext cx="4816944" cy="1734862"/>
                    </a:xfrm>
                    <a:prstGeom prst="rect">
                      <a:avLst/>
                    </a:prstGeom>
                    <a:ln>
                      <a:noFill/>
                    </a:ln>
                    <a:extLst>
                      <a:ext uri="{53640926-AAD7-44D8-BBD7-CCE9431645EC}">
                        <a14:shadowObscured xmlns:a14="http://schemas.microsoft.com/office/drawing/2010/main"/>
                      </a:ext>
                    </a:extLst>
                  </pic:spPr>
                </pic:pic>
              </a:graphicData>
            </a:graphic>
          </wp:inline>
        </w:drawing>
      </w:r>
    </w:p>
    <w:p w14:paraId="0C2F4C0C" w14:textId="77777777" w:rsidR="00886688" w:rsidRDefault="00886688" w:rsidP="00EA1B57">
      <w:pPr>
        <w:contextualSpacing/>
        <w:rPr>
          <w:rFonts w:cs="Arial"/>
          <w:i/>
          <w:color w:val="212121"/>
          <w:szCs w:val="18"/>
          <w:shd w:val="clear" w:color="auto" w:fill="FFFFFF"/>
        </w:rPr>
      </w:pPr>
    </w:p>
    <w:p w14:paraId="4869C50F" w14:textId="7FDD8249" w:rsidR="00EA1B57" w:rsidRDefault="00EA1B57" w:rsidP="00F045AD">
      <w:pPr>
        <w:spacing w:before="240" w:after="240"/>
        <w:contextualSpacing/>
        <w:rPr>
          <w:rFonts w:cs="Arial"/>
          <w:i/>
          <w:color w:val="212121"/>
          <w:szCs w:val="18"/>
          <w:shd w:val="clear" w:color="auto" w:fill="FFFFFF"/>
        </w:rPr>
      </w:pPr>
      <w:r>
        <w:rPr>
          <w:rFonts w:cs="Arial"/>
          <w:i/>
          <w:color w:val="212121"/>
          <w:szCs w:val="18"/>
          <w:shd w:val="clear" w:color="auto" w:fill="FFFFFF"/>
        </w:rPr>
        <w:t>Figure 4:</w:t>
      </w:r>
      <w:r w:rsidRPr="00401455">
        <w:rPr>
          <w:rFonts w:cs="Arial"/>
          <w:i/>
          <w:color w:val="212121"/>
          <w:szCs w:val="18"/>
          <w:shd w:val="clear" w:color="auto" w:fill="FFFFFF"/>
        </w:rPr>
        <w:t xml:space="preserve"> Fluorescence optical micrograph (40x) showing the results of the incubation of the PLGA membranes with Escherichia coli (A), Staphylococcus aureus (B) and Enterococcus </w:t>
      </w:r>
      <w:proofErr w:type="spellStart"/>
      <w:r w:rsidRPr="00401455">
        <w:rPr>
          <w:rFonts w:cs="Arial"/>
          <w:i/>
          <w:color w:val="212121"/>
          <w:szCs w:val="18"/>
          <w:shd w:val="clear" w:color="auto" w:fill="FFFFFF"/>
        </w:rPr>
        <w:t>faecalis</w:t>
      </w:r>
      <w:proofErr w:type="spellEnd"/>
      <w:r w:rsidRPr="00401455">
        <w:rPr>
          <w:rFonts w:cs="Arial"/>
          <w:i/>
          <w:color w:val="212121"/>
          <w:szCs w:val="18"/>
          <w:shd w:val="clear" w:color="auto" w:fill="FFFFFF"/>
        </w:rPr>
        <w:t xml:space="preserve"> (C). (Arrows: exopolysaccharide</w:t>
      </w:r>
    </w:p>
    <w:p w14:paraId="0D851C5D" w14:textId="77777777" w:rsidR="00886688" w:rsidRPr="00401455" w:rsidRDefault="00886688" w:rsidP="00F045AD">
      <w:pPr>
        <w:spacing w:before="240" w:after="240"/>
        <w:contextualSpacing/>
        <w:rPr>
          <w:rFonts w:cs="Arial"/>
          <w:i/>
          <w:szCs w:val="18"/>
        </w:rPr>
      </w:pPr>
    </w:p>
    <w:p w14:paraId="511FC4F7" w14:textId="5EA2623C" w:rsidR="004B31F4" w:rsidRDefault="00EA1B57" w:rsidP="00C27A9E">
      <w:pPr>
        <w:contextualSpacing/>
        <w:rPr>
          <w:rFonts w:cs="Arial"/>
          <w:szCs w:val="18"/>
          <w:lang w:val="en-US"/>
        </w:rPr>
      </w:pPr>
      <w:r>
        <w:rPr>
          <w:rFonts w:cs="Arial"/>
          <w:color w:val="212121"/>
          <w:shd w:val="clear" w:color="auto" w:fill="FFFFFF"/>
          <w:lang w:val="en-US"/>
        </w:rPr>
        <w:t>T</w:t>
      </w:r>
      <w:r>
        <w:rPr>
          <w:rFonts w:cs="Arial"/>
          <w:color w:val="212121"/>
          <w:shd w:val="clear" w:color="auto" w:fill="FFFFFF"/>
          <w:lang w:val="en-US"/>
        </w:rPr>
        <w:t xml:space="preserve">he greatest concentration of </w:t>
      </w:r>
      <w:r>
        <w:rPr>
          <w:rFonts w:cs="Arial"/>
          <w:szCs w:val="18"/>
          <w:lang w:val="en-US"/>
        </w:rPr>
        <w:t xml:space="preserve">exopolysaccharide of the biofilm matrix can be seen in the membrane incubated with </w:t>
      </w:r>
      <w:r>
        <w:rPr>
          <w:rFonts w:cs="Arial"/>
          <w:i/>
          <w:color w:val="212121"/>
          <w:shd w:val="clear" w:color="auto" w:fill="FFFFFF"/>
          <w:lang w:val="en-US"/>
        </w:rPr>
        <w:t xml:space="preserve">Staphylococcus aureus. </w:t>
      </w:r>
      <w:r>
        <w:rPr>
          <w:rFonts w:cs="Arial"/>
          <w:color w:val="212121"/>
          <w:shd w:val="clear" w:color="auto" w:fill="FFFFFF"/>
          <w:lang w:val="en-US"/>
        </w:rPr>
        <w:t xml:space="preserve">The metabolites released from the PLGA are likely to generate a microenvironment that allows the proliferation and adaptation of the microorganism enabling the segregation of </w:t>
      </w:r>
      <w:r>
        <w:rPr>
          <w:rFonts w:cs="Arial"/>
          <w:szCs w:val="18"/>
          <w:lang w:val="en-US"/>
        </w:rPr>
        <w:t>exopolysaccharide to live in community, forming the biofilms. The topography observed in the surface of the PLGA fibers may also promote the formation of biofilms, given that it is known that the porosity and roughness of a material are factors that facilitate migration and adhesion in various cell types, among them bacteria. Unfortunately, the capacity to produce biofilm also generates greater resistance to eradication.</w:t>
      </w:r>
    </w:p>
    <w:p w14:paraId="2D4D5AF5" w14:textId="77777777" w:rsidR="00EA1B57" w:rsidRPr="009A4490" w:rsidRDefault="00EA1B57" w:rsidP="00EA1B57">
      <w:pPr>
        <w:contextualSpacing/>
        <w:rPr>
          <w:rFonts w:cs="Arial"/>
          <w:color w:val="212121"/>
          <w:shd w:val="clear" w:color="auto" w:fill="FFFFFF"/>
          <w:lang w:val="en-US"/>
        </w:rPr>
      </w:pPr>
      <w:r>
        <w:rPr>
          <w:rFonts w:cs="Arial"/>
          <w:szCs w:val="18"/>
          <w:lang w:val="en-US"/>
        </w:rPr>
        <w:t xml:space="preserve">Studies conducted on devices for biomedical use and on matrixes manufactured by means of 3D-prototyping </w:t>
      </w:r>
      <w:r w:rsidRPr="009A4490">
        <w:rPr>
          <w:rFonts w:cs="Arial"/>
          <w:szCs w:val="18"/>
          <w:lang w:val="en-US"/>
        </w:rPr>
        <w:t>showed similar results. When the adhesion of various microorganisms to PLGA matrixes</w:t>
      </w:r>
      <w:r>
        <w:rPr>
          <w:rFonts w:cs="Arial"/>
          <w:szCs w:val="18"/>
          <w:lang w:val="en-US"/>
        </w:rPr>
        <w:t xml:space="preserve">, </w:t>
      </w:r>
      <w:proofErr w:type="spellStart"/>
      <w:r>
        <w:rPr>
          <w:rFonts w:cs="Arial"/>
          <w:szCs w:val="18"/>
          <w:lang w:val="en-US"/>
        </w:rPr>
        <w:t>t</w:t>
      </w:r>
      <w:r w:rsidRPr="009A4490">
        <w:rPr>
          <w:rFonts w:cs="Arial"/>
          <w:szCs w:val="18"/>
          <w:lang w:val="en-US"/>
        </w:rPr>
        <w:t>ricalcium</w:t>
      </w:r>
      <w:proofErr w:type="spellEnd"/>
      <w:r w:rsidRPr="009A4490">
        <w:rPr>
          <w:rFonts w:cs="Arial"/>
          <w:szCs w:val="18"/>
          <w:lang w:val="en-US"/>
        </w:rPr>
        <w:t xml:space="preserve"> phosphate</w:t>
      </w:r>
      <w:r>
        <w:rPr>
          <w:rFonts w:cs="Arial"/>
          <w:szCs w:val="18"/>
          <w:lang w:val="en-US"/>
        </w:rPr>
        <w:t xml:space="preserve"> (TCP), and alginate (Na/Ca) was assessed, it was observed that the </w:t>
      </w:r>
      <w:r w:rsidRPr="009A4490">
        <w:rPr>
          <w:rFonts w:cs="Arial"/>
          <w:i/>
          <w:iCs/>
          <w:color w:val="1C1D1E"/>
          <w:szCs w:val="18"/>
          <w:shd w:val="clear" w:color="auto" w:fill="FFFFFF"/>
          <w:lang w:val="en-US"/>
        </w:rPr>
        <w:t>Streptococcus</w:t>
      </w:r>
      <w:r w:rsidRPr="009A4490">
        <w:rPr>
          <w:rFonts w:cs="Arial"/>
          <w:color w:val="1C1D1E"/>
          <w:szCs w:val="18"/>
          <w:shd w:val="clear" w:color="auto" w:fill="FFFFFF"/>
          <w:lang w:val="en-US"/>
        </w:rPr>
        <w:t> </w:t>
      </w:r>
      <w:proofErr w:type="spellStart"/>
      <w:r w:rsidRPr="009A4490">
        <w:rPr>
          <w:rFonts w:cs="Arial"/>
          <w:i/>
          <w:iCs/>
          <w:color w:val="1C1D1E"/>
          <w:szCs w:val="18"/>
          <w:shd w:val="clear" w:color="auto" w:fill="FFFFFF"/>
          <w:lang w:val="en-US"/>
        </w:rPr>
        <w:t>mutans</w:t>
      </w:r>
      <w:proofErr w:type="spellEnd"/>
      <w:r w:rsidRPr="009A4490">
        <w:rPr>
          <w:rFonts w:cs="Arial"/>
          <w:color w:val="1C1D1E"/>
          <w:szCs w:val="18"/>
          <w:shd w:val="clear" w:color="auto" w:fill="FFFFFF"/>
          <w:lang w:val="en-US"/>
        </w:rPr>
        <w:t xml:space="preserve">, </w:t>
      </w:r>
      <w:r w:rsidRPr="009A4490">
        <w:rPr>
          <w:rFonts w:cs="Arial"/>
          <w:i/>
          <w:iCs/>
          <w:color w:val="1C1D1E"/>
          <w:szCs w:val="18"/>
          <w:shd w:val="clear" w:color="auto" w:fill="FFFFFF"/>
          <w:lang w:val="en-US"/>
        </w:rPr>
        <w:t xml:space="preserve">Enterococcus </w:t>
      </w:r>
      <w:proofErr w:type="spellStart"/>
      <w:r w:rsidRPr="009A4490">
        <w:rPr>
          <w:rFonts w:cs="Arial"/>
          <w:i/>
          <w:iCs/>
          <w:color w:val="1C1D1E"/>
          <w:szCs w:val="18"/>
          <w:shd w:val="clear" w:color="auto" w:fill="FFFFFF"/>
          <w:lang w:val="en-US"/>
        </w:rPr>
        <w:t>faecalis</w:t>
      </w:r>
      <w:proofErr w:type="spellEnd"/>
      <w:r w:rsidRPr="009A4490">
        <w:rPr>
          <w:rFonts w:cs="Arial"/>
          <w:color w:val="1C1D1E"/>
          <w:szCs w:val="18"/>
          <w:shd w:val="clear" w:color="auto" w:fill="FFFFFF"/>
          <w:lang w:val="en-US"/>
        </w:rPr>
        <w:t xml:space="preserve">, </w:t>
      </w:r>
      <w:proofErr w:type="spellStart"/>
      <w:r w:rsidRPr="009A4490">
        <w:rPr>
          <w:rFonts w:cs="Arial"/>
          <w:i/>
          <w:iCs/>
          <w:color w:val="1C1D1E"/>
          <w:szCs w:val="18"/>
          <w:shd w:val="clear" w:color="auto" w:fill="FFFFFF"/>
          <w:lang w:val="en-US"/>
        </w:rPr>
        <w:t>Prevotella</w:t>
      </w:r>
      <w:proofErr w:type="spellEnd"/>
      <w:r>
        <w:rPr>
          <w:rFonts w:cs="Arial"/>
          <w:i/>
          <w:iCs/>
          <w:color w:val="1C1D1E"/>
          <w:szCs w:val="18"/>
          <w:shd w:val="clear" w:color="auto" w:fill="FFFFFF"/>
          <w:lang w:val="en-US"/>
        </w:rPr>
        <w:t xml:space="preserve"> </w:t>
      </w:r>
      <w:proofErr w:type="spellStart"/>
      <w:r w:rsidRPr="009A4490">
        <w:rPr>
          <w:rFonts w:cs="Arial"/>
          <w:i/>
          <w:iCs/>
          <w:color w:val="1C1D1E"/>
          <w:szCs w:val="18"/>
          <w:shd w:val="clear" w:color="auto" w:fill="FFFFFF"/>
          <w:lang w:val="en-US"/>
        </w:rPr>
        <w:t>nigrescens</w:t>
      </w:r>
      <w:proofErr w:type="spellEnd"/>
      <w:r w:rsidRPr="009A4490">
        <w:rPr>
          <w:rFonts w:cs="Arial"/>
          <w:color w:val="1C1D1E"/>
          <w:szCs w:val="18"/>
          <w:shd w:val="clear" w:color="auto" w:fill="FFFFFF"/>
          <w:lang w:val="en-US"/>
        </w:rPr>
        <w:t>, </w:t>
      </w:r>
      <w:proofErr w:type="spellStart"/>
      <w:r w:rsidRPr="009A4490">
        <w:rPr>
          <w:rFonts w:cs="Arial"/>
          <w:i/>
          <w:iCs/>
          <w:color w:val="1C1D1E"/>
          <w:szCs w:val="18"/>
          <w:shd w:val="clear" w:color="auto" w:fill="FFFFFF"/>
          <w:lang w:val="en-US"/>
        </w:rPr>
        <w:t>Porphyromonas</w:t>
      </w:r>
      <w:proofErr w:type="spellEnd"/>
      <w:r w:rsidRPr="009A4490">
        <w:rPr>
          <w:rFonts w:cs="Arial"/>
          <w:color w:val="1C1D1E"/>
          <w:szCs w:val="18"/>
          <w:shd w:val="clear" w:color="auto" w:fill="FFFFFF"/>
          <w:lang w:val="en-US"/>
        </w:rPr>
        <w:t> </w:t>
      </w:r>
      <w:proofErr w:type="spellStart"/>
      <w:r w:rsidRPr="009A4490">
        <w:rPr>
          <w:rFonts w:cs="Arial"/>
          <w:i/>
          <w:iCs/>
          <w:color w:val="1C1D1E"/>
          <w:szCs w:val="18"/>
          <w:shd w:val="clear" w:color="auto" w:fill="FFFFFF"/>
          <w:lang w:val="en-US"/>
        </w:rPr>
        <w:t>gingivalis</w:t>
      </w:r>
      <w:proofErr w:type="spellEnd"/>
      <w:r w:rsidRPr="009A4490">
        <w:rPr>
          <w:rFonts w:cs="Arial"/>
          <w:color w:val="1C1D1E"/>
          <w:szCs w:val="18"/>
          <w:shd w:val="clear" w:color="auto" w:fill="FFFFFF"/>
          <w:lang w:val="en-US"/>
        </w:rPr>
        <w:t>, </w:t>
      </w:r>
      <w:proofErr w:type="spellStart"/>
      <w:r w:rsidRPr="009A4490">
        <w:rPr>
          <w:rFonts w:cs="Arial"/>
          <w:i/>
          <w:iCs/>
          <w:color w:val="1C1D1E"/>
          <w:szCs w:val="18"/>
          <w:shd w:val="clear" w:color="auto" w:fill="FFFFFF"/>
          <w:lang w:val="en-US"/>
        </w:rPr>
        <w:t>Streptococcuss</w:t>
      </w:r>
      <w:proofErr w:type="spellEnd"/>
      <w:r w:rsidRPr="009A4490">
        <w:rPr>
          <w:rFonts w:cs="Arial"/>
          <w:i/>
          <w:iCs/>
          <w:color w:val="1C1D1E"/>
          <w:szCs w:val="18"/>
          <w:shd w:val="clear" w:color="auto" w:fill="FFFFFF"/>
          <w:lang w:val="en-US"/>
        </w:rPr>
        <w:t xml:space="preserve"> </w:t>
      </w:r>
      <w:proofErr w:type="spellStart"/>
      <w:r w:rsidRPr="009A4490">
        <w:rPr>
          <w:rFonts w:cs="Arial"/>
          <w:i/>
          <w:iCs/>
          <w:color w:val="1C1D1E"/>
          <w:szCs w:val="18"/>
          <w:shd w:val="clear" w:color="auto" w:fill="FFFFFF"/>
          <w:lang w:val="en-US"/>
        </w:rPr>
        <w:t>anguis</w:t>
      </w:r>
      <w:proofErr w:type="spellEnd"/>
      <w:r w:rsidRPr="009A4490">
        <w:rPr>
          <w:rFonts w:cs="Arial"/>
          <w:color w:val="1C1D1E"/>
          <w:szCs w:val="18"/>
          <w:shd w:val="clear" w:color="auto" w:fill="FFFFFF"/>
          <w:lang w:val="en-US"/>
        </w:rPr>
        <w:t xml:space="preserve"> </w:t>
      </w:r>
      <w:proofErr w:type="gramStart"/>
      <w:r>
        <w:rPr>
          <w:rFonts w:cs="Arial"/>
          <w:color w:val="1C1D1E"/>
          <w:szCs w:val="18"/>
          <w:shd w:val="clear" w:color="auto" w:fill="FFFFFF"/>
          <w:lang w:val="en-US"/>
        </w:rPr>
        <w:t>and</w:t>
      </w:r>
      <w:r w:rsidRPr="009A4490">
        <w:rPr>
          <w:rFonts w:cs="Arial"/>
          <w:color w:val="1C1D1E"/>
          <w:szCs w:val="18"/>
          <w:shd w:val="clear" w:color="auto" w:fill="FFFFFF"/>
          <w:lang w:val="en-US"/>
        </w:rPr>
        <w:t xml:space="preserve">  </w:t>
      </w:r>
      <w:r w:rsidRPr="009A4490">
        <w:rPr>
          <w:rFonts w:cs="Arial"/>
          <w:i/>
          <w:iCs/>
          <w:color w:val="1C1D1E"/>
          <w:szCs w:val="18"/>
          <w:shd w:val="clear" w:color="auto" w:fill="FFFFFF"/>
          <w:lang w:val="en-US"/>
        </w:rPr>
        <w:t>Candida</w:t>
      </w:r>
      <w:proofErr w:type="gramEnd"/>
      <w:r>
        <w:rPr>
          <w:rFonts w:cs="Arial"/>
          <w:i/>
          <w:iCs/>
          <w:color w:val="1C1D1E"/>
          <w:szCs w:val="18"/>
          <w:shd w:val="clear" w:color="auto" w:fill="FFFFFF"/>
          <w:lang w:val="en-US"/>
        </w:rPr>
        <w:t xml:space="preserve"> </w:t>
      </w:r>
      <w:proofErr w:type="spellStart"/>
      <w:r w:rsidRPr="009A4490">
        <w:rPr>
          <w:rFonts w:cs="Arial"/>
          <w:i/>
          <w:iCs/>
          <w:color w:val="1C1D1E"/>
          <w:szCs w:val="18"/>
          <w:shd w:val="clear" w:color="auto" w:fill="FFFFFF"/>
          <w:lang w:val="en-US"/>
        </w:rPr>
        <w:t>albican</w:t>
      </w:r>
      <w:proofErr w:type="spellEnd"/>
      <w:r>
        <w:rPr>
          <w:rFonts w:cs="Arial"/>
          <w:i/>
          <w:iCs/>
          <w:color w:val="1C1D1E"/>
          <w:szCs w:val="18"/>
          <w:shd w:val="clear" w:color="auto" w:fill="FFFFFF"/>
          <w:lang w:val="en-US"/>
        </w:rPr>
        <w:t xml:space="preserve"> </w:t>
      </w:r>
      <w:r>
        <w:rPr>
          <w:rFonts w:cs="Arial"/>
          <w:iCs/>
          <w:color w:val="1C1D1E"/>
          <w:szCs w:val="18"/>
          <w:shd w:val="clear" w:color="auto" w:fill="FFFFFF"/>
          <w:lang w:val="en-US"/>
        </w:rPr>
        <w:t>strains showed greater adhesion to the PLGA matrixes.</w:t>
      </w:r>
    </w:p>
    <w:p w14:paraId="13B54CBB" w14:textId="77777777" w:rsidR="00EA1B57" w:rsidRPr="00C27A9E" w:rsidRDefault="00EA1B57" w:rsidP="00C27A9E">
      <w:pPr>
        <w:contextualSpacing/>
        <w:rPr>
          <w:rFonts w:cs="Arial"/>
          <w:szCs w:val="18"/>
          <w:lang w:val="en-US"/>
        </w:rPr>
      </w:pPr>
    </w:p>
    <w:p w14:paraId="287ED37F" w14:textId="086676C9" w:rsidR="0057315E" w:rsidRPr="0057315E" w:rsidRDefault="00DB68B9" w:rsidP="00DB68B9">
      <w:pPr>
        <w:pStyle w:val="CETHeading1"/>
        <w:numPr>
          <w:ilvl w:val="0"/>
          <w:numId w:val="0"/>
        </w:numPr>
        <w:rPr>
          <w:lang w:val="en-GB"/>
        </w:rPr>
      </w:pPr>
      <w:r>
        <w:rPr>
          <w:lang w:val="en-GB"/>
        </w:rPr>
        <w:t xml:space="preserve">4. </w:t>
      </w:r>
      <w:r w:rsidR="00600535" w:rsidRPr="00B57B36">
        <w:rPr>
          <w:lang w:val="en-GB"/>
        </w:rPr>
        <w:t>Conclusions</w:t>
      </w:r>
    </w:p>
    <w:p w14:paraId="3176832B" w14:textId="63F92492" w:rsidR="00886688" w:rsidRPr="00886688" w:rsidRDefault="001E1AD9" w:rsidP="00886688">
      <w:pPr>
        <w:pStyle w:val="HTMLconformatoprevio"/>
        <w:shd w:val="clear" w:color="auto" w:fill="FFFFFF"/>
        <w:spacing w:line="264" w:lineRule="auto"/>
        <w:rPr>
          <w:rFonts w:ascii="Arial" w:hAnsi="Arial" w:cs="Arial"/>
          <w:color w:val="212121"/>
          <w:szCs w:val="18"/>
          <w:lang w:val="en-US" w:eastAsia="es-CO"/>
        </w:rPr>
      </w:pPr>
      <w:r w:rsidRPr="001E1AD9">
        <w:rPr>
          <w:rFonts w:ascii="Arial" w:hAnsi="Arial" w:cs="Arial"/>
          <w:color w:val="212121"/>
          <w:szCs w:val="18"/>
          <w:lang w:val="en" w:eastAsia="es-CO"/>
        </w:rPr>
        <w:t>Food intoxication</w:t>
      </w:r>
      <w:r w:rsidRPr="006F5EAE">
        <w:rPr>
          <w:rFonts w:ascii="Arial" w:hAnsi="Arial" w:cs="Arial"/>
          <w:color w:val="212121"/>
          <w:szCs w:val="18"/>
          <w:lang w:val="en" w:eastAsia="es-CO"/>
        </w:rPr>
        <w:t xml:space="preserve"> is a public health problem worldwide. The microorganisms that are most frequent</w:t>
      </w:r>
      <w:r w:rsidRPr="001E1AD9">
        <w:rPr>
          <w:rFonts w:ascii="Arial" w:hAnsi="Arial" w:cs="Arial"/>
          <w:color w:val="212121"/>
          <w:szCs w:val="18"/>
          <w:lang w:val="en" w:eastAsia="es-CO"/>
        </w:rPr>
        <w:t xml:space="preserve">ly related to this pathology </w:t>
      </w:r>
      <w:r w:rsidRPr="006F5EAE">
        <w:rPr>
          <w:rFonts w:ascii="Arial" w:hAnsi="Arial" w:cs="Arial"/>
          <w:color w:val="212121"/>
          <w:szCs w:val="18"/>
          <w:lang w:val="en" w:eastAsia="es-CO"/>
        </w:rPr>
        <w:t xml:space="preserve"> (</w:t>
      </w:r>
      <w:r w:rsidRPr="006F5EAE">
        <w:rPr>
          <w:rFonts w:ascii="Arial" w:hAnsi="Arial" w:cs="Arial"/>
          <w:i/>
          <w:color w:val="212121"/>
          <w:szCs w:val="18"/>
          <w:lang w:val="en" w:eastAsia="es-CO"/>
        </w:rPr>
        <w:t>Staphylococcus aureus</w:t>
      </w:r>
      <w:r w:rsidRPr="006F5EAE">
        <w:rPr>
          <w:rFonts w:ascii="Arial" w:hAnsi="Arial" w:cs="Arial"/>
          <w:color w:val="212121"/>
          <w:szCs w:val="18"/>
          <w:lang w:val="en" w:eastAsia="es-CO"/>
        </w:rPr>
        <w:t xml:space="preserve">, </w:t>
      </w:r>
      <w:r w:rsidRPr="006F5EAE">
        <w:rPr>
          <w:rFonts w:ascii="Arial" w:hAnsi="Arial" w:cs="Arial"/>
          <w:i/>
          <w:color w:val="212121"/>
          <w:szCs w:val="18"/>
          <w:lang w:val="en" w:eastAsia="es-CO"/>
        </w:rPr>
        <w:t xml:space="preserve">Enterococcus </w:t>
      </w:r>
      <w:proofErr w:type="spellStart"/>
      <w:r w:rsidRPr="006F5EAE">
        <w:rPr>
          <w:rFonts w:ascii="Arial" w:hAnsi="Arial" w:cs="Arial"/>
          <w:i/>
          <w:color w:val="212121"/>
          <w:szCs w:val="18"/>
          <w:lang w:val="en" w:eastAsia="es-CO"/>
        </w:rPr>
        <w:t>faecalis</w:t>
      </w:r>
      <w:proofErr w:type="spellEnd"/>
      <w:r w:rsidRPr="006F5EAE">
        <w:rPr>
          <w:rFonts w:ascii="Arial" w:hAnsi="Arial" w:cs="Arial"/>
          <w:color w:val="212121"/>
          <w:szCs w:val="18"/>
          <w:lang w:val="en" w:eastAsia="es-CO"/>
        </w:rPr>
        <w:t xml:space="preserve"> and </w:t>
      </w:r>
      <w:r w:rsidRPr="006F5EAE">
        <w:rPr>
          <w:rFonts w:ascii="Arial" w:hAnsi="Arial" w:cs="Arial"/>
          <w:i/>
          <w:color w:val="212121"/>
          <w:szCs w:val="18"/>
          <w:lang w:val="en" w:eastAsia="es-CO"/>
        </w:rPr>
        <w:t>Escherichia coli</w:t>
      </w:r>
      <w:r w:rsidRPr="006F5EAE">
        <w:rPr>
          <w:rFonts w:ascii="Arial" w:hAnsi="Arial" w:cs="Arial"/>
          <w:color w:val="212121"/>
          <w:szCs w:val="18"/>
          <w:lang w:val="en" w:eastAsia="es-CO"/>
        </w:rPr>
        <w:t>) have the ability to generate a variety of mechanisms to ensure their survival, for example, the formation of biofilm (microbial community surrounded of a polymeric matrix, generally of exopolysaccharides) that favors infection, resistance to antimicrobials and the maintenance of microorganisms on food surfaces and their packaging, which is why the materials used to manufacture the packaging also reduce bacterial proliferation they must inhibit the formation of biofi</w:t>
      </w:r>
      <w:r w:rsidRPr="001E1AD9">
        <w:rPr>
          <w:rFonts w:ascii="Arial" w:hAnsi="Arial" w:cs="Arial"/>
          <w:color w:val="212121"/>
          <w:szCs w:val="18"/>
          <w:lang w:val="en" w:eastAsia="es-CO"/>
        </w:rPr>
        <w:t>l</w:t>
      </w:r>
      <w:r w:rsidRPr="006F5EAE">
        <w:rPr>
          <w:rFonts w:ascii="Arial" w:hAnsi="Arial" w:cs="Arial"/>
          <w:color w:val="212121"/>
          <w:szCs w:val="18"/>
          <w:lang w:val="en" w:eastAsia="es-CO"/>
        </w:rPr>
        <w:t>m</w:t>
      </w:r>
      <w:r w:rsidRPr="001E1AD9">
        <w:rPr>
          <w:rFonts w:ascii="Arial" w:hAnsi="Arial" w:cs="Arial"/>
          <w:color w:val="212121"/>
          <w:szCs w:val="18"/>
          <w:lang w:val="en" w:eastAsia="es-CO"/>
        </w:rPr>
        <w:t xml:space="preserve"> (</w:t>
      </w:r>
      <w:r w:rsidRPr="001E1AD9">
        <w:rPr>
          <w:rFonts w:ascii="Arial" w:hAnsi="Arial" w:cs="Arial"/>
          <w:color w:val="000000"/>
          <w:szCs w:val="18"/>
          <w:shd w:val="clear" w:color="auto" w:fill="FFFFFF"/>
          <w:lang w:val="en-US"/>
        </w:rPr>
        <w:t>Kirk et al., 2015)</w:t>
      </w:r>
      <w:r w:rsidRPr="006F5EAE">
        <w:rPr>
          <w:rFonts w:ascii="Arial" w:hAnsi="Arial" w:cs="Arial"/>
          <w:color w:val="212121"/>
          <w:szCs w:val="18"/>
          <w:lang w:val="en" w:eastAsia="es-CO"/>
        </w:rPr>
        <w:t>.</w:t>
      </w:r>
      <w:r w:rsidRPr="001E1AD9">
        <w:rPr>
          <w:rFonts w:ascii="Arial" w:hAnsi="Arial" w:cs="Arial"/>
          <w:color w:val="212121"/>
          <w:szCs w:val="18"/>
          <w:lang w:val="en" w:eastAsia="es-CO"/>
        </w:rPr>
        <w:t xml:space="preserve"> </w:t>
      </w:r>
      <w:r w:rsidR="00DB68B9" w:rsidRPr="001E1AD9">
        <w:rPr>
          <w:rFonts w:ascii="Arial" w:hAnsi="Arial" w:cs="Arial"/>
          <w:color w:val="212121"/>
          <w:szCs w:val="18"/>
          <w:shd w:val="clear" w:color="auto" w:fill="FFFFFF"/>
          <w:lang w:val="en-US"/>
        </w:rPr>
        <w:t>Synthetic polymers such as PLGA and PCL are frequently used in the manufacture of food packaging. One of the limitations in the use of PLGA is that several microorganisms display good adhesion to matrixes, membranes and devices manufactured with this polymer. In this study, it was evidenced that there was a greater capacity for the formation of biofilms in the membranes made of PLGA micro/nanofibers versus those made of PLGA+PLC or exclusively PCL micro/nanofibers. On the biofilm, the oxygen and nutrient needs of the bacterial population change, as well as their resistance to antimicrobial agents; this increases the survival of microorganisms in different environments.</w:t>
      </w:r>
      <w:r w:rsidR="00886688">
        <w:rPr>
          <w:rFonts w:ascii="Arial" w:hAnsi="Arial" w:cs="Arial"/>
          <w:color w:val="212121"/>
          <w:szCs w:val="18"/>
          <w:shd w:val="clear" w:color="auto" w:fill="FFFFFF"/>
          <w:lang w:val="en-US"/>
        </w:rPr>
        <w:t xml:space="preserve"> </w:t>
      </w:r>
      <w:r w:rsidR="00886688" w:rsidRPr="00886688">
        <w:rPr>
          <w:rFonts w:ascii="Arial" w:hAnsi="Arial" w:cs="Arial"/>
          <w:color w:val="212121"/>
          <w:szCs w:val="18"/>
          <w:lang w:val="en" w:eastAsia="es-CO"/>
        </w:rPr>
        <w:t>Given the high adherence and formation of biofilm of microorg</w:t>
      </w:r>
      <w:r w:rsidR="00886688">
        <w:rPr>
          <w:rFonts w:ascii="Arial" w:hAnsi="Arial" w:cs="Arial"/>
          <w:color w:val="212121"/>
          <w:szCs w:val="18"/>
          <w:lang w:val="en" w:eastAsia="es-CO"/>
        </w:rPr>
        <w:t>anisms that cause food intoxication</w:t>
      </w:r>
      <w:r w:rsidR="00886688" w:rsidRPr="00886688">
        <w:rPr>
          <w:rFonts w:ascii="Arial" w:hAnsi="Arial" w:cs="Arial"/>
          <w:color w:val="212121"/>
          <w:szCs w:val="18"/>
          <w:lang w:val="en" w:eastAsia="es-CO"/>
        </w:rPr>
        <w:t xml:space="preserve"> to PLGA membranes, it is suggested that the packaging made exclusively with this material be more susceptible to bacterial contamination and therefore, if its use is considered, it should be carried out modifications or, as in this investigation, combine with other polymers that reduce this risk</w:t>
      </w:r>
    </w:p>
    <w:p w14:paraId="5F1B9959" w14:textId="67FCEF78" w:rsidR="00DB68B9" w:rsidRPr="001E1AD9" w:rsidRDefault="00DB68B9" w:rsidP="001E1AD9">
      <w:pPr>
        <w:pStyle w:val="Prrafodelista"/>
        <w:spacing w:line="264" w:lineRule="auto"/>
        <w:ind w:left="0"/>
        <w:jc w:val="both"/>
        <w:rPr>
          <w:rFonts w:ascii="Arial" w:hAnsi="Arial" w:cs="Arial"/>
          <w:color w:val="212121"/>
          <w:sz w:val="18"/>
          <w:szCs w:val="18"/>
          <w:shd w:val="clear" w:color="auto" w:fill="FFFFFF"/>
          <w:lang w:val="en-US"/>
        </w:rPr>
      </w:pPr>
      <w:r w:rsidRPr="001E1AD9">
        <w:rPr>
          <w:rFonts w:ascii="Arial" w:hAnsi="Arial" w:cs="Arial"/>
          <w:color w:val="212121"/>
          <w:sz w:val="18"/>
          <w:szCs w:val="18"/>
          <w:shd w:val="clear" w:color="auto" w:fill="FFFFFF"/>
          <w:lang w:val="en-US"/>
        </w:rPr>
        <w:t>Given that the incorporation of metallic particles with antimicrobial properties into food packaging has not been approved by the regulatory agencies, an adequate combination of polymers becomes a practical and efficient alternative to reduce bacterial proliferation, as well as the risk of biofilm formation.</w:t>
      </w:r>
    </w:p>
    <w:p w14:paraId="3319C886" w14:textId="77777777" w:rsidR="000E1D16" w:rsidRPr="001E1AD9" w:rsidRDefault="000E1D16" w:rsidP="001E1AD9">
      <w:pPr>
        <w:pStyle w:val="Prrafodelista"/>
        <w:spacing w:line="264" w:lineRule="auto"/>
        <w:ind w:left="0"/>
        <w:jc w:val="both"/>
        <w:rPr>
          <w:rFonts w:ascii="Arial" w:hAnsi="Arial" w:cs="Arial"/>
          <w:color w:val="212121"/>
          <w:sz w:val="18"/>
          <w:szCs w:val="18"/>
          <w:shd w:val="clear" w:color="auto" w:fill="FFFFFF"/>
          <w:lang w:val="en-US"/>
        </w:rPr>
      </w:pPr>
    </w:p>
    <w:p w14:paraId="459D05E6" w14:textId="77777777" w:rsidR="00600535" w:rsidRPr="00B57B36" w:rsidRDefault="00600535" w:rsidP="00600535">
      <w:pPr>
        <w:pStyle w:val="CETAcknowledgementstitle"/>
      </w:pPr>
      <w:r w:rsidRPr="00B57B36">
        <w:lastRenderedPageBreak/>
        <w:t>Acknowledgments</w:t>
      </w:r>
    </w:p>
    <w:p w14:paraId="07BDB71F" w14:textId="25C4715C" w:rsidR="008644F4" w:rsidRPr="001B5033" w:rsidRDefault="008644F4" w:rsidP="001D2A14">
      <w:pPr>
        <w:pStyle w:val="Prrafodelista"/>
        <w:spacing w:line="264" w:lineRule="auto"/>
        <w:ind w:left="0"/>
        <w:jc w:val="both"/>
        <w:rPr>
          <w:rFonts w:ascii="Arial" w:hAnsi="Arial" w:cs="Arial"/>
          <w:color w:val="212121"/>
          <w:sz w:val="18"/>
          <w:shd w:val="clear" w:color="auto" w:fill="FFFFFF"/>
          <w:lang w:val="en-US"/>
        </w:rPr>
      </w:pPr>
      <w:r>
        <w:rPr>
          <w:rFonts w:ascii="Arial" w:hAnsi="Arial" w:cs="Arial"/>
          <w:color w:val="212121"/>
          <w:sz w:val="18"/>
          <w:shd w:val="clear" w:color="auto" w:fill="FFFFFF"/>
          <w:lang w:val="en-US"/>
        </w:rPr>
        <w:t>This project was financed by means of Public Call 2017-2 by the</w:t>
      </w:r>
      <w:r w:rsidR="008C1C0E">
        <w:rPr>
          <w:rFonts w:ascii="Arial" w:hAnsi="Arial" w:cs="Arial"/>
          <w:color w:val="212121"/>
          <w:sz w:val="18"/>
          <w:shd w:val="clear" w:color="auto" w:fill="FFFFFF"/>
          <w:lang w:val="en-US"/>
        </w:rPr>
        <w:t xml:space="preserve"> </w:t>
      </w:r>
      <w:proofErr w:type="spellStart"/>
      <w:r w:rsidR="008C1C0E">
        <w:rPr>
          <w:rFonts w:ascii="Arial" w:hAnsi="Arial" w:cs="Arial"/>
          <w:color w:val="212121"/>
          <w:sz w:val="18"/>
          <w:shd w:val="clear" w:color="auto" w:fill="FFFFFF"/>
          <w:lang w:val="en-US"/>
        </w:rPr>
        <w:t>Fundación</w:t>
      </w:r>
      <w:proofErr w:type="spellEnd"/>
      <w:r w:rsidR="008C1C0E">
        <w:rPr>
          <w:rFonts w:ascii="Arial" w:hAnsi="Arial" w:cs="Arial"/>
          <w:color w:val="212121"/>
          <w:sz w:val="18"/>
          <w:shd w:val="clear" w:color="auto" w:fill="FFFFFF"/>
          <w:lang w:val="en-US"/>
        </w:rPr>
        <w:t xml:space="preserve"> </w:t>
      </w:r>
      <w:proofErr w:type="spellStart"/>
      <w:r w:rsidR="008C1C0E">
        <w:rPr>
          <w:rFonts w:ascii="Arial" w:hAnsi="Arial" w:cs="Arial"/>
          <w:color w:val="212121"/>
          <w:sz w:val="18"/>
          <w:shd w:val="clear" w:color="auto" w:fill="FFFFFF"/>
          <w:lang w:val="en-US"/>
        </w:rPr>
        <w:t>Universitaria</w:t>
      </w:r>
      <w:proofErr w:type="spellEnd"/>
      <w:r w:rsidR="008C1C0E">
        <w:rPr>
          <w:rFonts w:ascii="Arial" w:hAnsi="Arial" w:cs="Arial"/>
          <w:color w:val="212121"/>
          <w:sz w:val="18"/>
          <w:shd w:val="clear" w:color="auto" w:fill="FFFFFF"/>
          <w:lang w:val="en-US"/>
        </w:rPr>
        <w:t xml:space="preserve"> </w:t>
      </w:r>
      <w:proofErr w:type="spellStart"/>
      <w:r w:rsidR="008C1C0E">
        <w:rPr>
          <w:rFonts w:ascii="Arial" w:hAnsi="Arial" w:cs="Arial"/>
          <w:color w:val="212121"/>
          <w:sz w:val="18"/>
          <w:shd w:val="clear" w:color="auto" w:fill="FFFFFF"/>
          <w:lang w:val="en-US"/>
        </w:rPr>
        <w:t>Sanitas</w:t>
      </w:r>
      <w:proofErr w:type="spellEnd"/>
      <w:r>
        <w:rPr>
          <w:rFonts w:ascii="Arial" w:hAnsi="Arial" w:cs="Arial"/>
          <w:color w:val="212121"/>
          <w:sz w:val="18"/>
          <w:shd w:val="clear" w:color="auto" w:fill="FFFFFF"/>
          <w:lang w:val="en-US"/>
        </w:rPr>
        <w:t xml:space="preserve">. The authors wish to express their gratitude to the staff of the Electrospray and Electrospinning Laboratory of the Faculty of Medicine of the Universidad Nacional de Colombia and to Claudia Sierra and Orlando </w:t>
      </w:r>
      <w:proofErr w:type="spellStart"/>
      <w:r>
        <w:rPr>
          <w:rFonts w:ascii="Arial" w:hAnsi="Arial" w:cs="Arial"/>
          <w:color w:val="212121"/>
          <w:sz w:val="18"/>
          <w:shd w:val="clear" w:color="auto" w:fill="FFFFFF"/>
          <w:lang w:val="en-US"/>
        </w:rPr>
        <w:t>Gualdrón</w:t>
      </w:r>
      <w:proofErr w:type="spellEnd"/>
      <w:r>
        <w:rPr>
          <w:rFonts w:ascii="Arial" w:hAnsi="Arial" w:cs="Arial"/>
          <w:color w:val="212121"/>
          <w:sz w:val="18"/>
          <w:shd w:val="clear" w:color="auto" w:fill="FFFFFF"/>
          <w:lang w:val="en-US"/>
        </w:rPr>
        <w:t xml:space="preserve"> of the Microbiology Laboratory and the Cytogenetics Laboratory of </w:t>
      </w:r>
      <w:proofErr w:type="spellStart"/>
      <w:r>
        <w:rPr>
          <w:rFonts w:ascii="Arial" w:hAnsi="Arial" w:cs="Arial"/>
          <w:color w:val="212121"/>
          <w:sz w:val="18"/>
          <w:shd w:val="clear" w:color="auto" w:fill="FFFFFF"/>
          <w:lang w:val="en-US"/>
        </w:rPr>
        <w:t>Keralty</w:t>
      </w:r>
      <w:proofErr w:type="spellEnd"/>
      <w:r>
        <w:rPr>
          <w:rFonts w:ascii="Arial" w:hAnsi="Arial" w:cs="Arial"/>
          <w:color w:val="212121"/>
          <w:sz w:val="18"/>
          <w:shd w:val="clear" w:color="auto" w:fill="FFFFFF"/>
          <w:lang w:val="en-US"/>
        </w:rPr>
        <w:t xml:space="preserve"> (Bogota-Colombia) </w:t>
      </w:r>
    </w:p>
    <w:p w14:paraId="33F8138F" w14:textId="5FD0BBFF" w:rsidR="00600535" w:rsidRDefault="00600535" w:rsidP="00600535">
      <w:pPr>
        <w:pStyle w:val="CETBodytext"/>
        <w:rPr>
          <w:lang w:val="en-GB"/>
        </w:rPr>
      </w:pPr>
    </w:p>
    <w:p w14:paraId="7F2E7DA4" w14:textId="77777777" w:rsidR="000E1D16" w:rsidRPr="00B57B36" w:rsidRDefault="000E1D16" w:rsidP="00600535">
      <w:pPr>
        <w:pStyle w:val="CETBodytext"/>
        <w:rPr>
          <w:lang w:val="en-GB"/>
        </w:rPr>
      </w:pPr>
    </w:p>
    <w:p w14:paraId="4F1327F8" w14:textId="77777777" w:rsidR="00600535" w:rsidRDefault="00600535" w:rsidP="00307DA9">
      <w:pPr>
        <w:pStyle w:val="CETReference"/>
        <w:spacing w:before="0" w:after="0" w:line="264" w:lineRule="auto"/>
        <w:jc w:val="both"/>
      </w:pPr>
      <w:r w:rsidRPr="00B57B36">
        <w:t>References</w:t>
      </w:r>
    </w:p>
    <w:p w14:paraId="52C86262" w14:textId="77777777" w:rsidR="00DD05C5" w:rsidRDefault="00DD05C5" w:rsidP="00307DA9">
      <w:pPr>
        <w:pStyle w:val="CETReference"/>
        <w:spacing w:before="0" w:after="0" w:line="264" w:lineRule="auto"/>
        <w:jc w:val="both"/>
      </w:pPr>
    </w:p>
    <w:p w14:paraId="4F275B4F" w14:textId="0E5290E6" w:rsidR="00307DA9" w:rsidRPr="00D71A8B" w:rsidRDefault="00307DA9" w:rsidP="00835C45">
      <w:pPr>
        <w:pStyle w:val="CETReference"/>
        <w:spacing w:before="0" w:after="0" w:line="264" w:lineRule="auto"/>
        <w:ind w:left="284" w:hanging="284"/>
        <w:jc w:val="both"/>
        <w:rPr>
          <w:rFonts w:cs="Arial"/>
          <w:b w:val="0"/>
          <w:color w:val="000000"/>
          <w:szCs w:val="18"/>
          <w:shd w:val="clear" w:color="auto" w:fill="FFFFFF"/>
          <w:lang w:val="en-US"/>
        </w:rPr>
      </w:pPr>
      <w:proofErr w:type="gramStart"/>
      <w:r w:rsidRPr="000E1D16">
        <w:rPr>
          <w:rFonts w:cs="Arial"/>
          <w:b w:val="0"/>
          <w:color w:val="000000"/>
          <w:szCs w:val="18"/>
          <w:shd w:val="clear" w:color="auto" w:fill="FFFFFF"/>
        </w:rPr>
        <w:t xml:space="preserve">Al-Ahmad, A., </w:t>
      </w:r>
      <w:proofErr w:type="spellStart"/>
      <w:r w:rsidRPr="000E1D16">
        <w:rPr>
          <w:rFonts w:cs="Arial"/>
          <w:b w:val="0"/>
          <w:color w:val="000000"/>
          <w:szCs w:val="18"/>
          <w:shd w:val="clear" w:color="auto" w:fill="FFFFFF"/>
        </w:rPr>
        <w:t>Wiedmann</w:t>
      </w:r>
      <w:proofErr w:type="spellEnd"/>
      <w:r w:rsidRPr="000E1D16">
        <w:rPr>
          <w:rFonts w:cs="Arial"/>
          <w:b w:val="0"/>
          <w:color w:val="000000"/>
          <w:szCs w:val="18"/>
          <w:shd w:val="clear" w:color="auto" w:fill="FFFFFF"/>
        </w:rPr>
        <w:t xml:space="preserve">-Al-Ahmad, M., </w:t>
      </w:r>
      <w:proofErr w:type="spellStart"/>
      <w:r w:rsidRPr="000E1D16">
        <w:rPr>
          <w:rFonts w:cs="Arial"/>
          <w:b w:val="0"/>
          <w:color w:val="000000"/>
          <w:szCs w:val="18"/>
          <w:shd w:val="clear" w:color="auto" w:fill="FFFFFF"/>
        </w:rPr>
        <w:t>Carvalho</w:t>
      </w:r>
      <w:proofErr w:type="spellEnd"/>
      <w:r w:rsidRPr="000E1D16">
        <w:rPr>
          <w:rFonts w:cs="Arial"/>
          <w:b w:val="0"/>
          <w:color w:val="000000"/>
          <w:szCs w:val="18"/>
          <w:shd w:val="clear" w:color="auto" w:fill="FFFFFF"/>
        </w:rPr>
        <w:t xml:space="preserve">, C., Lang, M., </w:t>
      </w:r>
      <w:proofErr w:type="spellStart"/>
      <w:r w:rsidRPr="000E1D16">
        <w:rPr>
          <w:rFonts w:cs="Arial"/>
          <w:b w:val="0"/>
          <w:color w:val="000000"/>
          <w:szCs w:val="18"/>
          <w:shd w:val="clear" w:color="auto" w:fill="FFFFFF"/>
        </w:rPr>
        <w:t>Follo</w:t>
      </w:r>
      <w:proofErr w:type="spellEnd"/>
      <w:r w:rsidRPr="000E1D16">
        <w:rPr>
          <w:rFonts w:cs="Arial"/>
          <w:b w:val="0"/>
          <w:color w:val="000000"/>
          <w:szCs w:val="18"/>
          <w:shd w:val="clear" w:color="auto" w:fill="FFFFFF"/>
        </w:rPr>
        <w:t xml:space="preserve">, M., Braun, G., </w:t>
      </w:r>
      <w:proofErr w:type="spellStart"/>
      <w:r w:rsidRPr="000E1D16">
        <w:rPr>
          <w:rFonts w:cs="Arial"/>
          <w:b w:val="0"/>
          <w:color w:val="000000"/>
          <w:szCs w:val="18"/>
          <w:shd w:val="clear" w:color="auto" w:fill="FFFFFF"/>
        </w:rPr>
        <w:t>Wittmer</w:t>
      </w:r>
      <w:proofErr w:type="spellEnd"/>
      <w:r w:rsidRPr="000E1D16">
        <w:rPr>
          <w:rFonts w:cs="Arial"/>
          <w:b w:val="0"/>
          <w:color w:val="000000"/>
          <w:szCs w:val="18"/>
          <w:shd w:val="clear" w:color="auto" w:fill="FFFFFF"/>
        </w:rPr>
        <w:t xml:space="preserve">, A., </w:t>
      </w:r>
      <w:proofErr w:type="spellStart"/>
      <w:r w:rsidRPr="000E1D16">
        <w:rPr>
          <w:rFonts w:cs="Arial"/>
          <w:b w:val="0"/>
          <w:color w:val="000000"/>
          <w:szCs w:val="18"/>
          <w:shd w:val="clear" w:color="auto" w:fill="FFFFFF"/>
        </w:rPr>
        <w:t>Mülhaupt</w:t>
      </w:r>
      <w:proofErr w:type="spellEnd"/>
      <w:r w:rsidRPr="000E1D16">
        <w:rPr>
          <w:rFonts w:cs="Arial"/>
          <w:b w:val="0"/>
          <w:color w:val="000000"/>
          <w:szCs w:val="18"/>
          <w:shd w:val="clear" w:color="auto" w:fill="FFFFFF"/>
        </w:rPr>
        <w:t>,</w:t>
      </w:r>
      <w:r w:rsidR="000E1D16" w:rsidRPr="000E1D16">
        <w:rPr>
          <w:rFonts w:cs="Arial"/>
          <w:b w:val="0"/>
          <w:color w:val="000000"/>
          <w:szCs w:val="18"/>
          <w:shd w:val="clear" w:color="auto" w:fill="FFFFFF"/>
        </w:rPr>
        <w:t xml:space="preserve"> R. and </w:t>
      </w:r>
      <w:proofErr w:type="spellStart"/>
      <w:r w:rsidR="000E1D16" w:rsidRPr="000E1D16">
        <w:rPr>
          <w:rFonts w:cs="Arial"/>
          <w:b w:val="0"/>
          <w:color w:val="000000"/>
          <w:szCs w:val="18"/>
          <w:shd w:val="clear" w:color="auto" w:fill="FFFFFF"/>
        </w:rPr>
        <w:t>Hellwig</w:t>
      </w:r>
      <w:proofErr w:type="spellEnd"/>
      <w:r w:rsidR="000E1D16" w:rsidRPr="000E1D16">
        <w:rPr>
          <w:rFonts w:cs="Arial"/>
          <w:b w:val="0"/>
          <w:color w:val="000000"/>
          <w:szCs w:val="18"/>
          <w:shd w:val="clear" w:color="auto" w:fill="FFFFFF"/>
        </w:rPr>
        <w:t xml:space="preserve">, E. </w:t>
      </w:r>
      <w:r w:rsidR="00ED0AF1">
        <w:rPr>
          <w:rFonts w:cs="Arial"/>
          <w:b w:val="0"/>
          <w:color w:val="000000"/>
          <w:szCs w:val="18"/>
          <w:shd w:val="clear" w:color="auto" w:fill="FFFFFF"/>
        </w:rPr>
        <w:t>(</w:t>
      </w:r>
      <w:r w:rsidR="000E1D16" w:rsidRPr="000E1D16">
        <w:rPr>
          <w:rFonts w:cs="Arial"/>
          <w:b w:val="0"/>
          <w:color w:val="000000"/>
          <w:szCs w:val="18"/>
          <w:shd w:val="clear" w:color="auto" w:fill="FFFFFF"/>
        </w:rPr>
        <w:t>2008</w:t>
      </w:r>
      <w:r w:rsidR="00ED0AF1">
        <w:rPr>
          <w:rFonts w:cs="Arial"/>
          <w:b w:val="0"/>
          <w:color w:val="000000"/>
          <w:szCs w:val="18"/>
          <w:shd w:val="clear" w:color="auto" w:fill="FFFFFF"/>
        </w:rPr>
        <w:t>).</w:t>
      </w:r>
      <w:proofErr w:type="gramEnd"/>
      <w:r w:rsidR="000E1D16" w:rsidRPr="000E1D16">
        <w:rPr>
          <w:rFonts w:cs="Arial"/>
          <w:b w:val="0"/>
          <w:color w:val="000000"/>
          <w:szCs w:val="18"/>
          <w:shd w:val="clear" w:color="auto" w:fill="FFFFFF"/>
        </w:rPr>
        <w:t xml:space="preserve"> Bacterial and Candida </w:t>
      </w:r>
      <w:proofErr w:type="spellStart"/>
      <w:r w:rsidR="000E1D16" w:rsidRPr="000E1D16">
        <w:rPr>
          <w:rFonts w:cs="Arial"/>
          <w:b w:val="0"/>
          <w:color w:val="000000"/>
          <w:szCs w:val="18"/>
          <w:shd w:val="clear" w:color="auto" w:fill="FFFFFF"/>
        </w:rPr>
        <w:t>albicans</w:t>
      </w:r>
      <w:proofErr w:type="spellEnd"/>
      <w:r w:rsidR="000E1D16" w:rsidRPr="000E1D16">
        <w:rPr>
          <w:rFonts w:cs="Arial"/>
          <w:b w:val="0"/>
          <w:color w:val="000000"/>
          <w:szCs w:val="18"/>
          <w:shd w:val="clear" w:color="auto" w:fill="FFFFFF"/>
        </w:rPr>
        <w:t xml:space="preserve"> adhesion on rapid prototyping-produced 3D- scaffolds manufactured as bone replacement materials. </w:t>
      </w:r>
      <w:r w:rsidR="000E1D16" w:rsidRPr="000E1D16">
        <w:rPr>
          <w:rFonts w:cs="Arial"/>
          <w:b w:val="0"/>
          <w:iCs/>
          <w:color w:val="000000"/>
          <w:szCs w:val="18"/>
          <w:shd w:val="clear" w:color="auto" w:fill="FFFFFF"/>
        </w:rPr>
        <w:t>Journal of Biomedical Materials Research Part A</w:t>
      </w:r>
      <w:r w:rsidR="000E1D16" w:rsidRPr="000E1D16">
        <w:rPr>
          <w:rFonts w:cs="Arial"/>
          <w:b w:val="0"/>
          <w:color w:val="000000"/>
          <w:szCs w:val="18"/>
          <w:shd w:val="clear" w:color="auto" w:fill="FFFFFF"/>
        </w:rPr>
        <w:t xml:space="preserve">, </w:t>
      </w:r>
      <w:proofErr w:type="gramStart"/>
      <w:r w:rsidR="000E1D16" w:rsidRPr="000E1D16">
        <w:rPr>
          <w:rFonts w:cs="Arial"/>
          <w:b w:val="0"/>
          <w:color w:val="000000"/>
          <w:szCs w:val="18"/>
          <w:shd w:val="clear" w:color="auto" w:fill="FFFFFF"/>
        </w:rPr>
        <w:t>87A(</w:t>
      </w:r>
      <w:proofErr w:type="gramEnd"/>
      <w:r w:rsidR="000E1D16" w:rsidRPr="000E1D16">
        <w:rPr>
          <w:rFonts w:cs="Arial"/>
          <w:b w:val="0"/>
          <w:color w:val="000000"/>
          <w:szCs w:val="18"/>
          <w:shd w:val="clear" w:color="auto" w:fill="FFFFFF"/>
        </w:rPr>
        <w:t xml:space="preserve">4), pp.933-943. </w:t>
      </w:r>
      <w:r w:rsidR="000E1D16" w:rsidRPr="00D71A8B">
        <w:rPr>
          <w:rFonts w:cs="Arial"/>
          <w:b w:val="0"/>
          <w:color w:val="000000"/>
          <w:szCs w:val="18"/>
          <w:shd w:val="clear" w:color="auto" w:fill="FFFFFF"/>
          <w:lang w:val="en-US"/>
        </w:rPr>
        <w:t xml:space="preserve">                                                                                                     </w:t>
      </w:r>
      <w:r w:rsidRPr="00D71A8B">
        <w:rPr>
          <w:rFonts w:cs="Arial"/>
          <w:b w:val="0"/>
          <w:color w:val="000000"/>
          <w:szCs w:val="18"/>
          <w:shd w:val="clear" w:color="auto" w:fill="FFFFFF"/>
          <w:lang w:val="en-US"/>
        </w:rPr>
        <w:t xml:space="preserve"> </w:t>
      </w:r>
      <w:r w:rsidR="00DD05C5" w:rsidRPr="00D71A8B">
        <w:rPr>
          <w:rFonts w:cs="Arial"/>
          <w:b w:val="0"/>
          <w:color w:val="000000"/>
          <w:szCs w:val="18"/>
          <w:shd w:val="clear" w:color="auto" w:fill="FFFFFF"/>
          <w:lang w:val="en-US"/>
        </w:rPr>
        <w:t xml:space="preserve">            </w:t>
      </w:r>
      <w:r w:rsidR="000E1D16" w:rsidRPr="00D71A8B">
        <w:rPr>
          <w:rFonts w:cs="Arial"/>
          <w:b w:val="0"/>
          <w:color w:val="000000"/>
          <w:szCs w:val="18"/>
          <w:shd w:val="clear" w:color="auto" w:fill="FFFFFF"/>
          <w:lang w:val="en-US"/>
        </w:rPr>
        <w:t xml:space="preserve">        </w:t>
      </w:r>
    </w:p>
    <w:p w14:paraId="302BCEFC" w14:textId="7C06D56F" w:rsidR="00FD5BDF" w:rsidRPr="00FD5BDF" w:rsidRDefault="00FD5BDF" w:rsidP="00835C45">
      <w:pPr>
        <w:autoSpaceDE w:val="0"/>
        <w:autoSpaceDN w:val="0"/>
        <w:adjustRightInd w:val="0"/>
        <w:ind w:left="284" w:hanging="284"/>
        <w:rPr>
          <w:rFonts w:cs="Arial"/>
          <w:szCs w:val="18"/>
          <w:shd w:val="clear" w:color="auto" w:fill="FFFFFF"/>
          <w:lang w:val="en-US"/>
        </w:rPr>
      </w:pPr>
      <w:r w:rsidRPr="00FD5BDF">
        <w:rPr>
          <w:rFonts w:cs="Arial"/>
          <w:color w:val="000000"/>
          <w:shd w:val="clear" w:color="auto" w:fill="FFFFFF"/>
          <w:lang w:val="es-CO"/>
        </w:rPr>
        <w:t xml:space="preserve">Clavijo-Grimaldo, D., </w:t>
      </w:r>
      <w:proofErr w:type="spellStart"/>
      <w:r w:rsidRPr="00FD5BDF">
        <w:rPr>
          <w:rFonts w:cs="Arial"/>
          <w:color w:val="000000"/>
          <w:shd w:val="clear" w:color="auto" w:fill="FFFFFF"/>
          <w:lang w:val="es-CO"/>
        </w:rPr>
        <w:t>Casadiego</w:t>
      </w:r>
      <w:proofErr w:type="spellEnd"/>
      <w:r w:rsidRPr="00FD5BDF">
        <w:rPr>
          <w:rFonts w:cs="Arial"/>
          <w:color w:val="000000"/>
          <w:shd w:val="clear" w:color="auto" w:fill="FFFFFF"/>
          <w:lang w:val="es-CO"/>
        </w:rPr>
        <w:t xml:space="preserve">, C., Perea-Covarrubias, A. and Galindo-Zamora, V. (2018). </w:t>
      </w:r>
      <w:proofErr w:type="spellStart"/>
      <w:r w:rsidRPr="00FD5BDF">
        <w:rPr>
          <w:rFonts w:cs="Arial"/>
          <w:color w:val="000000"/>
          <w:shd w:val="clear" w:color="auto" w:fill="FFFFFF"/>
        </w:rPr>
        <w:t>Biofunctionalization</w:t>
      </w:r>
      <w:proofErr w:type="spellEnd"/>
      <w:r w:rsidRPr="00FD5BDF">
        <w:rPr>
          <w:rFonts w:cs="Arial"/>
          <w:color w:val="000000"/>
          <w:shd w:val="clear" w:color="auto" w:fill="FFFFFF"/>
        </w:rPr>
        <w:t xml:space="preserve"> of Titanium to Improve the Response in Patients with O</w:t>
      </w:r>
      <w:r>
        <w:rPr>
          <w:rFonts w:cs="Arial"/>
          <w:color w:val="000000"/>
          <w:shd w:val="clear" w:color="auto" w:fill="FFFFFF"/>
        </w:rPr>
        <w:t>steoporosis Requiring Implants,</w:t>
      </w:r>
      <w:r w:rsidRPr="00FD5BDF">
        <w:rPr>
          <w:rFonts w:cs="Arial"/>
          <w:color w:val="000000"/>
          <w:shd w:val="clear" w:color="auto" w:fill="FFFFFF"/>
        </w:rPr>
        <w:t> </w:t>
      </w:r>
      <w:r>
        <w:rPr>
          <w:rFonts w:cs="Arial"/>
          <w:iCs/>
          <w:color w:val="000000"/>
          <w:shd w:val="clear" w:color="auto" w:fill="FFFFFF"/>
        </w:rPr>
        <w:t>Chemical Engineering T</w:t>
      </w:r>
      <w:r w:rsidRPr="00FD5BDF">
        <w:rPr>
          <w:rFonts w:cs="Arial"/>
          <w:iCs/>
          <w:color w:val="000000"/>
          <w:shd w:val="clear" w:color="auto" w:fill="FFFFFF"/>
        </w:rPr>
        <w:t>ransactions</w:t>
      </w:r>
      <w:r w:rsidRPr="00FD5BDF">
        <w:rPr>
          <w:rFonts w:cs="Arial"/>
          <w:color w:val="000000"/>
          <w:shd w:val="clear" w:color="auto" w:fill="FFFFFF"/>
        </w:rPr>
        <w:t>, 64, pp.643-648.</w:t>
      </w:r>
    </w:p>
    <w:p w14:paraId="0A4768E3" w14:textId="204261BC" w:rsidR="000D568F" w:rsidRPr="000E1D16" w:rsidRDefault="00307DA9" w:rsidP="00835C45">
      <w:pPr>
        <w:autoSpaceDE w:val="0"/>
        <w:autoSpaceDN w:val="0"/>
        <w:adjustRightInd w:val="0"/>
        <w:ind w:left="284" w:hanging="284"/>
        <w:rPr>
          <w:rFonts w:cs="Arial"/>
          <w:szCs w:val="18"/>
          <w:shd w:val="clear" w:color="auto" w:fill="FFFFFF"/>
          <w:lang w:val="en-US"/>
        </w:rPr>
      </w:pPr>
      <w:r w:rsidRPr="007574F9">
        <w:rPr>
          <w:rFonts w:cs="Arial"/>
          <w:szCs w:val="18"/>
          <w:shd w:val="clear" w:color="auto" w:fill="FFFFFF"/>
          <w:lang w:val="es-CO"/>
        </w:rPr>
        <w:t xml:space="preserve">Clavijo-Grimaldo, D. </w:t>
      </w:r>
      <w:r w:rsidR="00ED0AF1">
        <w:rPr>
          <w:rFonts w:cs="Arial"/>
          <w:szCs w:val="18"/>
          <w:shd w:val="clear" w:color="auto" w:fill="FFFFFF"/>
          <w:lang w:val="es-CO"/>
        </w:rPr>
        <w:t>(</w:t>
      </w:r>
      <w:r w:rsidRPr="007574F9">
        <w:rPr>
          <w:rFonts w:cs="Arial"/>
          <w:szCs w:val="18"/>
          <w:shd w:val="clear" w:color="auto" w:fill="FFFFFF"/>
          <w:lang w:val="es-CO"/>
        </w:rPr>
        <w:t>2015</w:t>
      </w:r>
      <w:r w:rsidR="00ED0AF1">
        <w:rPr>
          <w:rFonts w:cs="Arial"/>
          <w:szCs w:val="18"/>
          <w:shd w:val="clear" w:color="auto" w:fill="FFFFFF"/>
          <w:lang w:val="es-CO"/>
        </w:rPr>
        <w:t>)</w:t>
      </w:r>
      <w:r w:rsidRPr="007574F9">
        <w:rPr>
          <w:rFonts w:cs="Arial"/>
          <w:szCs w:val="18"/>
          <w:shd w:val="clear" w:color="auto" w:fill="FFFFFF"/>
          <w:lang w:val="es-CO"/>
        </w:rPr>
        <w:t xml:space="preserve">. </w:t>
      </w:r>
      <w:proofErr w:type="spellStart"/>
      <w:r w:rsidRPr="000E1D16">
        <w:rPr>
          <w:rFonts w:cs="Arial"/>
          <w:iCs/>
          <w:szCs w:val="18"/>
          <w:shd w:val="clear" w:color="auto" w:fill="FFFFFF"/>
          <w:lang w:val="es-CO"/>
        </w:rPr>
        <w:t>Biofuncionalización</w:t>
      </w:r>
      <w:proofErr w:type="spellEnd"/>
      <w:r w:rsidRPr="000E1D16">
        <w:rPr>
          <w:rFonts w:cs="Arial"/>
          <w:iCs/>
          <w:szCs w:val="18"/>
          <w:shd w:val="clear" w:color="auto" w:fill="FFFFFF"/>
          <w:lang w:val="es-CO"/>
        </w:rPr>
        <w:t xml:space="preserve"> de titanio de uso ortopédico mediante la inmovilización de </w:t>
      </w:r>
      <w:r w:rsidR="000D568F"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raloxifeno</w:t>
      </w:r>
      <w:proofErr w:type="spellEnd"/>
      <w:r w:rsidR="000E1D16" w:rsidRPr="000D568F">
        <w:rPr>
          <w:rFonts w:cs="Arial"/>
          <w:iCs/>
          <w:szCs w:val="18"/>
          <w:shd w:val="clear" w:color="auto" w:fill="FFFFFF"/>
          <w:lang w:val="es-CO"/>
        </w:rPr>
        <w:t xml:space="preserve"> depositado por </w:t>
      </w:r>
      <w:proofErr w:type="spellStart"/>
      <w:r w:rsidR="000E1D16" w:rsidRPr="000D568F">
        <w:rPr>
          <w:rFonts w:cs="Arial"/>
          <w:iCs/>
          <w:szCs w:val="18"/>
          <w:shd w:val="clear" w:color="auto" w:fill="FFFFFF"/>
          <w:lang w:val="es-CO"/>
        </w:rPr>
        <w:t>electrospray</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Biofunctionalization</w:t>
      </w:r>
      <w:proofErr w:type="spellEnd"/>
      <w:r w:rsidR="000E1D16" w:rsidRPr="000D568F">
        <w:rPr>
          <w:rFonts w:cs="Arial"/>
          <w:iCs/>
          <w:szCs w:val="18"/>
          <w:shd w:val="clear" w:color="auto" w:fill="FFFFFF"/>
          <w:lang w:val="es-CO"/>
        </w:rPr>
        <w:t xml:space="preserve"> of </w:t>
      </w:r>
      <w:proofErr w:type="spellStart"/>
      <w:r w:rsidR="000E1D16" w:rsidRPr="000D568F">
        <w:rPr>
          <w:rFonts w:cs="Arial"/>
          <w:iCs/>
          <w:szCs w:val="18"/>
          <w:shd w:val="clear" w:color="auto" w:fill="FFFFFF"/>
          <w:lang w:val="es-CO"/>
        </w:rPr>
        <w:t>titanium</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for</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orthopedic</w:t>
      </w:r>
      <w:proofErr w:type="spellEnd"/>
      <w:r w:rsidR="000E1D16" w:rsidRPr="000D568F">
        <w:rPr>
          <w:rFonts w:cs="Arial"/>
          <w:iCs/>
          <w:szCs w:val="18"/>
          <w:shd w:val="clear" w:color="auto" w:fill="FFFFFF"/>
          <w:lang w:val="es-CO"/>
        </w:rPr>
        <w:t xml:space="preserve"> use </w:t>
      </w:r>
      <w:proofErr w:type="spellStart"/>
      <w:r w:rsidR="000E1D16" w:rsidRPr="000D568F">
        <w:rPr>
          <w:rFonts w:cs="Arial"/>
          <w:iCs/>
          <w:szCs w:val="18"/>
          <w:shd w:val="clear" w:color="auto" w:fill="FFFFFF"/>
          <w:lang w:val="es-CO"/>
        </w:rPr>
        <w:t>by</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the</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immobilization</w:t>
      </w:r>
      <w:proofErr w:type="spellEnd"/>
      <w:r w:rsidR="000E1D16" w:rsidRPr="000D568F">
        <w:rPr>
          <w:rFonts w:cs="Arial"/>
          <w:iCs/>
          <w:szCs w:val="18"/>
          <w:shd w:val="clear" w:color="auto" w:fill="FFFFFF"/>
          <w:lang w:val="es-CO"/>
        </w:rPr>
        <w:t xml:space="preserve"> of </w:t>
      </w:r>
      <w:proofErr w:type="spellStart"/>
      <w:r w:rsidR="000E1D16" w:rsidRPr="000D568F">
        <w:rPr>
          <w:rFonts w:cs="Arial"/>
          <w:iCs/>
          <w:szCs w:val="18"/>
          <w:shd w:val="clear" w:color="auto" w:fill="FFFFFF"/>
          <w:lang w:val="es-CO"/>
        </w:rPr>
        <w:t>raloxifene</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deposited</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by</w:t>
      </w:r>
      <w:proofErr w:type="spellEnd"/>
      <w:r w:rsidR="000E1D16" w:rsidRPr="000D568F">
        <w:rPr>
          <w:rFonts w:cs="Arial"/>
          <w:iCs/>
          <w:szCs w:val="18"/>
          <w:shd w:val="clear" w:color="auto" w:fill="FFFFFF"/>
          <w:lang w:val="es-CO"/>
        </w:rPr>
        <w:t xml:space="preserve"> </w:t>
      </w:r>
      <w:proofErr w:type="spellStart"/>
      <w:r w:rsidR="000E1D16" w:rsidRPr="000D568F">
        <w:rPr>
          <w:rFonts w:cs="Arial"/>
          <w:iCs/>
          <w:szCs w:val="18"/>
          <w:shd w:val="clear" w:color="auto" w:fill="FFFFFF"/>
          <w:lang w:val="es-CO"/>
        </w:rPr>
        <w:t>electrospray</w:t>
      </w:r>
      <w:proofErr w:type="spellEnd"/>
      <w:r w:rsidR="000E1D16" w:rsidRPr="000D568F">
        <w:rPr>
          <w:rFonts w:cs="Arial"/>
          <w:iCs/>
          <w:szCs w:val="18"/>
          <w:shd w:val="clear" w:color="auto" w:fill="FFFFFF"/>
          <w:lang w:val="es-CO"/>
        </w:rPr>
        <w:t>)</w:t>
      </w:r>
      <w:r w:rsidR="000E1D16" w:rsidRPr="000D568F">
        <w:rPr>
          <w:rFonts w:cs="Arial"/>
          <w:szCs w:val="18"/>
          <w:shd w:val="clear" w:color="auto" w:fill="FFFFFF"/>
          <w:lang w:val="es-CO"/>
        </w:rPr>
        <w:t xml:space="preserve">. </w:t>
      </w:r>
      <w:r w:rsidR="000E1D16" w:rsidRPr="000E1D16">
        <w:rPr>
          <w:rFonts w:cs="Arial"/>
          <w:szCs w:val="18"/>
          <w:shd w:val="clear" w:color="auto" w:fill="FFFFFF"/>
          <w:lang w:val="es-CO"/>
        </w:rPr>
        <w:t xml:space="preserve">Doctoral </w:t>
      </w:r>
      <w:proofErr w:type="spellStart"/>
      <w:r w:rsidR="000E1D16" w:rsidRPr="000E1D16">
        <w:rPr>
          <w:rFonts w:cs="Arial"/>
          <w:szCs w:val="18"/>
          <w:shd w:val="clear" w:color="auto" w:fill="FFFFFF"/>
          <w:lang w:val="es-CO"/>
        </w:rPr>
        <w:t>thesis</w:t>
      </w:r>
      <w:proofErr w:type="spellEnd"/>
      <w:r w:rsidR="000E1D16" w:rsidRPr="000E1D16">
        <w:rPr>
          <w:rFonts w:cs="Arial"/>
          <w:szCs w:val="18"/>
          <w:shd w:val="clear" w:color="auto" w:fill="FFFFFF"/>
          <w:lang w:val="es-CO"/>
        </w:rPr>
        <w:t xml:space="preserve">. </w:t>
      </w:r>
      <w:r w:rsidR="000E1D16" w:rsidRPr="00FD5BDF">
        <w:rPr>
          <w:rFonts w:cs="Arial"/>
          <w:szCs w:val="18"/>
          <w:shd w:val="clear" w:color="auto" w:fill="FFFFFF"/>
          <w:lang w:val="en-US"/>
        </w:rPr>
        <w:t xml:space="preserve">Universidad Nacional de Colombia.      </w:t>
      </w:r>
      <w:r w:rsidR="000E1D16" w:rsidRPr="000E1D16">
        <w:rPr>
          <w:rFonts w:cs="Arial"/>
          <w:szCs w:val="18"/>
          <w:shd w:val="clear" w:color="auto" w:fill="FFFFFF"/>
          <w:lang w:val="en-US"/>
        </w:rPr>
        <w:t>Bogotá, Colombia</w:t>
      </w:r>
      <w:r w:rsidR="000D568F">
        <w:rPr>
          <w:rFonts w:cs="Arial"/>
          <w:szCs w:val="18"/>
          <w:shd w:val="clear" w:color="auto" w:fill="FFFFFF"/>
          <w:lang w:val="en-US"/>
        </w:rPr>
        <w:t>.</w:t>
      </w:r>
    </w:p>
    <w:p w14:paraId="3FF67943" w14:textId="66F8B5C5" w:rsidR="00733E36" w:rsidRDefault="00FD5BDF" w:rsidP="000D568F">
      <w:pPr>
        <w:pStyle w:val="CETReference"/>
        <w:spacing w:before="0" w:after="0" w:line="264" w:lineRule="auto"/>
        <w:jc w:val="both"/>
        <w:rPr>
          <w:rFonts w:cs="Arial"/>
          <w:b w:val="0"/>
          <w:color w:val="000000"/>
          <w:szCs w:val="18"/>
          <w:shd w:val="clear" w:color="auto" w:fill="FFFFFF"/>
        </w:rPr>
      </w:pPr>
      <w:proofErr w:type="spellStart"/>
      <w:r>
        <w:rPr>
          <w:rFonts w:cs="Arial"/>
          <w:b w:val="0"/>
          <w:color w:val="000000"/>
          <w:szCs w:val="18"/>
          <w:shd w:val="clear" w:color="auto" w:fill="FFFFFF"/>
        </w:rPr>
        <w:t>Grumezescu</w:t>
      </w:r>
      <w:proofErr w:type="spellEnd"/>
      <w:r>
        <w:rPr>
          <w:rFonts w:cs="Arial"/>
          <w:b w:val="0"/>
          <w:color w:val="000000"/>
          <w:szCs w:val="18"/>
          <w:shd w:val="clear" w:color="auto" w:fill="FFFFFF"/>
        </w:rPr>
        <w:t>, A. (</w:t>
      </w:r>
      <w:r w:rsidR="00733E36" w:rsidRPr="000E1D16">
        <w:rPr>
          <w:rFonts w:cs="Arial"/>
          <w:b w:val="0"/>
          <w:color w:val="000000"/>
          <w:szCs w:val="18"/>
          <w:shd w:val="clear" w:color="auto" w:fill="FFFFFF"/>
        </w:rPr>
        <w:t>2017</w:t>
      </w:r>
      <w:r>
        <w:rPr>
          <w:rFonts w:cs="Arial"/>
          <w:b w:val="0"/>
          <w:color w:val="000000"/>
          <w:szCs w:val="18"/>
          <w:shd w:val="clear" w:color="auto" w:fill="FFFFFF"/>
        </w:rPr>
        <w:t>)</w:t>
      </w:r>
      <w:r w:rsidR="00733E36" w:rsidRPr="000E1D16">
        <w:rPr>
          <w:rFonts w:cs="Arial"/>
          <w:b w:val="0"/>
          <w:color w:val="000000"/>
          <w:szCs w:val="18"/>
          <w:shd w:val="clear" w:color="auto" w:fill="FFFFFF"/>
        </w:rPr>
        <w:t>.</w:t>
      </w:r>
      <w:r w:rsidR="00733E36" w:rsidRPr="000E1D16">
        <w:rPr>
          <w:rStyle w:val="apple-converted-space"/>
          <w:rFonts w:cs="Arial"/>
          <w:b w:val="0"/>
          <w:color w:val="000000"/>
          <w:szCs w:val="18"/>
          <w:shd w:val="clear" w:color="auto" w:fill="FFFFFF"/>
        </w:rPr>
        <w:t> </w:t>
      </w:r>
      <w:proofErr w:type="gramStart"/>
      <w:r w:rsidR="00733E36" w:rsidRPr="000E1D16">
        <w:rPr>
          <w:rFonts w:cs="Arial"/>
          <w:b w:val="0"/>
          <w:iCs/>
          <w:color w:val="000000"/>
          <w:szCs w:val="18"/>
          <w:shd w:val="clear" w:color="auto" w:fill="FFFFFF"/>
        </w:rPr>
        <w:t>Food preservation</w:t>
      </w:r>
      <w:r w:rsidR="00733E36" w:rsidRPr="000E1D16">
        <w:rPr>
          <w:rFonts w:cs="Arial"/>
          <w:b w:val="0"/>
          <w:color w:val="000000"/>
          <w:szCs w:val="18"/>
          <w:shd w:val="clear" w:color="auto" w:fill="FFFFFF"/>
        </w:rPr>
        <w:t>.</w:t>
      </w:r>
      <w:proofErr w:type="gramEnd"/>
      <w:r w:rsidR="00733E36" w:rsidRPr="000E1D16">
        <w:rPr>
          <w:rFonts w:cs="Arial"/>
          <w:b w:val="0"/>
          <w:color w:val="000000"/>
          <w:szCs w:val="18"/>
          <w:shd w:val="clear" w:color="auto" w:fill="FFFFFF"/>
        </w:rPr>
        <w:t xml:space="preserve"> London, UK: Academic Press.</w:t>
      </w:r>
    </w:p>
    <w:p w14:paraId="5EC71DC4" w14:textId="7CD321AF" w:rsidR="007B4B27" w:rsidRPr="007B4B27" w:rsidRDefault="007B4B27" w:rsidP="00835C45">
      <w:pPr>
        <w:pStyle w:val="CETReference"/>
        <w:spacing w:before="0" w:after="0" w:line="264" w:lineRule="auto"/>
        <w:ind w:left="284" w:hanging="284"/>
        <w:jc w:val="both"/>
        <w:rPr>
          <w:rFonts w:cs="Arial"/>
          <w:b w:val="0"/>
          <w:color w:val="000000"/>
          <w:szCs w:val="18"/>
          <w:shd w:val="clear" w:color="auto" w:fill="FFFFFF"/>
          <w:lang w:val="es-CO"/>
        </w:rPr>
      </w:pPr>
      <w:proofErr w:type="spellStart"/>
      <w:proofErr w:type="gramStart"/>
      <w:r w:rsidRPr="007B4B27">
        <w:rPr>
          <w:rFonts w:cs="Arial"/>
          <w:b w:val="0"/>
          <w:color w:val="000000"/>
          <w:szCs w:val="18"/>
          <w:shd w:val="clear" w:color="auto" w:fill="FFFFFF"/>
        </w:rPr>
        <w:t>Hadrup</w:t>
      </w:r>
      <w:proofErr w:type="spellEnd"/>
      <w:r w:rsidRPr="007B4B27">
        <w:rPr>
          <w:rFonts w:cs="Arial"/>
          <w:b w:val="0"/>
          <w:color w:val="000000"/>
          <w:szCs w:val="18"/>
          <w:shd w:val="clear" w:color="auto" w:fill="FFFFFF"/>
        </w:rPr>
        <w:t>, N. and Lam, H. (2014).</w:t>
      </w:r>
      <w:proofErr w:type="gramEnd"/>
      <w:r w:rsidRPr="007B4B27">
        <w:rPr>
          <w:rFonts w:cs="Arial"/>
          <w:b w:val="0"/>
          <w:color w:val="000000"/>
          <w:szCs w:val="18"/>
          <w:shd w:val="clear" w:color="auto" w:fill="FFFFFF"/>
        </w:rPr>
        <w:t xml:space="preserve"> </w:t>
      </w:r>
      <w:proofErr w:type="gramStart"/>
      <w:r w:rsidRPr="007B4B27">
        <w:rPr>
          <w:rFonts w:cs="Arial"/>
          <w:b w:val="0"/>
          <w:color w:val="000000"/>
          <w:szCs w:val="18"/>
          <w:shd w:val="clear" w:color="auto" w:fill="FFFFFF"/>
        </w:rPr>
        <w:t>Oral toxicity of silver ions, silver nanoparticles and colloidal silver – A review.</w:t>
      </w:r>
      <w:proofErr w:type="gramEnd"/>
      <w:r w:rsidRPr="007B4B27">
        <w:rPr>
          <w:rFonts w:cs="Arial"/>
          <w:b w:val="0"/>
          <w:color w:val="000000"/>
          <w:szCs w:val="18"/>
          <w:shd w:val="clear" w:color="auto" w:fill="FFFFFF"/>
        </w:rPr>
        <w:t> </w:t>
      </w:r>
      <w:proofErr w:type="spellStart"/>
      <w:r w:rsidRPr="007B4B27">
        <w:rPr>
          <w:rFonts w:cs="Arial"/>
          <w:b w:val="0"/>
          <w:iCs/>
          <w:color w:val="000000"/>
          <w:szCs w:val="18"/>
          <w:shd w:val="clear" w:color="auto" w:fill="FFFFFF"/>
          <w:lang w:val="es-CO"/>
        </w:rPr>
        <w:t>Regulatory</w:t>
      </w:r>
      <w:proofErr w:type="spellEnd"/>
      <w:r w:rsidRPr="007B4B27">
        <w:rPr>
          <w:rFonts w:cs="Arial"/>
          <w:b w:val="0"/>
          <w:iCs/>
          <w:color w:val="000000"/>
          <w:szCs w:val="18"/>
          <w:shd w:val="clear" w:color="auto" w:fill="FFFFFF"/>
          <w:lang w:val="es-CO"/>
        </w:rPr>
        <w:t xml:space="preserve"> </w:t>
      </w:r>
      <w:proofErr w:type="spellStart"/>
      <w:r w:rsidRPr="007B4B27">
        <w:rPr>
          <w:rFonts w:cs="Arial"/>
          <w:b w:val="0"/>
          <w:iCs/>
          <w:color w:val="000000"/>
          <w:szCs w:val="18"/>
          <w:shd w:val="clear" w:color="auto" w:fill="FFFFFF"/>
          <w:lang w:val="es-CO"/>
        </w:rPr>
        <w:t>Toxicology</w:t>
      </w:r>
      <w:proofErr w:type="spellEnd"/>
      <w:r w:rsidRPr="007B4B27">
        <w:rPr>
          <w:rFonts w:cs="Arial"/>
          <w:b w:val="0"/>
          <w:iCs/>
          <w:color w:val="000000"/>
          <w:szCs w:val="18"/>
          <w:shd w:val="clear" w:color="auto" w:fill="FFFFFF"/>
          <w:lang w:val="es-CO"/>
        </w:rPr>
        <w:t xml:space="preserve"> and </w:t>
      </w:r>
      <w:proofErr w:type="spellStart"/>
      <w:r w:rsidRPr="007B4B27">
        <w:rPr>
          <w:rFonts w:cs="Arial"/>
          <w:b w:val="0"/>
          <w:iCs/>
          <w:color w:val="000000"/>
          <w:szCs w:val="18"/>
          <w:shd w:val="clear" w:color="auto" w:fill="FFFFFF"/>
          <w:lang w:val="es-CO"/>
        </w:rPr>
        <w:t>Pharmacology</w:t>
      </w:r>
      <w:proofErr w:type="spellEnd"/>
      <w:r w:rsidRPr="007B4B27">
        <w:rPr>
          <w:rFonts w:cs="Arial"/>
          <w:b w:val="0"/>
          <w:color w:val="000000"/>
          <w:szCs w:val="18"/>
          <w:shd w:val="clear" w:color="auto" w:fill="FFFFFF"/>
          <w:lang w:val="es-CO"/>
        </w:rPr>
        <w:t>, 68(1), pp.1-7.</w:t>
      </w:r>
    </w:p>
    <w:p w14:paraId="03522350" w14:textId="4540CC80" w:rsidR="009E29A8" w:rsidRDefault="00DD05C5" w:rsidP="00835C45">
      <w:pPr>
        <w:autoSpaceDE w:val="0"/>
        <w:autoSpaceDN w:val="0"/>
        <w:adjustRightInd w:val="0"/>
        <w:ind w:left="284" w:hanging="284"/>
        <w:rPr>
          <w:rFonts w:cs="Arial"/>
          <w:szCs w:val="18"/>
          <w:shd w:val="clear" w:color="auto" w:fill="FFFFFF"/>
        </w:rPr>
      </w:pPr>
      <w:r w:rsidRPr="000E1D16">
        <w:rPr>
          <w:rFonts w:cs="Arial"/>
          <w:szCs w:val="18"/>
          <w:shd w:val="clear" w:color="auto" w:fill="FFFFFF"/>
          <w:lang w:val="es-CO"/>
        </w:rPr>
        <w:t>Izquierdo-Barba, I., García-Martín, J., Álvarez, R., Palmero, A., Esteban, J., Pérez-Jorge, C.,</w:t>
      </w:r>
      <w:r w:rsidR="000E1D16" w:rsidRPr="000E1D16">
        <w:rPr>
          <w:rFonts w:cs="Arial"/>
          <w:szCs w:val="18"/>
          <w:shd w:val="clear" w:color="auto" w:fill="FFFFFF"/>
          <w:lang w:val="es-CO"/>
        </w:rPr>
        <w:t xml:space="preserve"> Arcos, D. and </w:t>
      </w:r>
      <w:r w:rsidR="000E1D16" w:rsidRPr="007574F9">
        <w:rPr>
          <w:rFonts w:cs="Arial"/>
          <w:szCs w:val="18"/>
          <w:shd w:val="clear" w:color="auto" w:fill="FFFFFF"/>
          <w:lang w:val="es-CO"/>
        </w:rPr>
        <w:t xml:space="preserve">    </w:t>
      </w:r>
      <w:proofErr w:type="spellStart"/>
      <w:r w:rsidR="00ED0AF1">
        <w:rPr>
          <w:rFonts w:cs="Arial"/>
          <w:szCs w:val="18"/>
          <w:shd w:val="clear" w:color="auto" w:fill="FFFFFF"/>
          <w:lang w:val="es-CO"/>
        </w:rPr>
        <w:t>Vallet</w:t>
      </w:r>
      <w:proofErr w:type="spellEnd"/>
      <w:r w:rsidR="00ED0AF1">
        <w:rPr>
          <w:rFonts w:cs="Arial"/>
          <w:szCs w:val="18"/>
          <w:shd w:val="clear" w:color="auto" w:fill="FFFFFF"/>
          <w:lang w:val="es-CO"/>
        </w:rPr>
        <w:t>-Regí, M.</w:t>
      </w:r>
      <w:r w:rsidR="000E1D16" w:rsidRPr="000D568F">
        <w:rPr>
          <w:rFonts w:cs="Arial"/>
          <w:szCs w:val="18"/>
          <w:shd w:val="clear" w:color="auto" w:fill="FFFFFF"/>
          <w:lang w:val="es-CO"/>
        </w:rPr>
        <w:t xml:space="preserve"> </w:t>
      </w:r>
      <w:r w:rsidR="00ED0AF1">
        <w:rPr>
          <w:rFonts w:cs="Arial"/>
          <w:szCs w:val="18"/>
          <w:shd w:val="clear" w:color="auto" w:fill="FFFFFF"/>
          <w:lang w:val="es-CO"/>
        </w:rPr>
        <w:t>(</w:t>
      </w:r>
      <w:r w:rsidR="000E1D16" w:rsidRPr="000D568F">
        <w:rPr>
          <w:rFonts w:cs="Arial"/>
          <w:szCs w:val="18"/>
          <w:shd w:val="clear" w:color="auto" w:fill="FFFFFF"/>
          <w:lang w:val="es-CO"/>
        </w:rPr>
        <w:t>2015</w:t>
      </w:r>
      <w:r w:rsidR="00ED0AF1">
        <w:rPr>
          <w:rFonts w:cs="Arial"/>
          <w:szCs w:val="18"/>
          <w:shd w:val="clear" w:color="auto" w:fill="FFFFFF"/>
          <w:lang w:val="es-CO"/>
        </w:rPr>
        <w:t>)</w:t>
      </w:r>
      <w:r w:rsidR="000E1D16" w:rsidRPr="000D568F">
        <w:rPr>
          <w:rFonts w:cs="Arial"/>
          <w:szCs w:val="18"/>
          <w:shd w:val="clear" w:color="auto" w:fill="FFFFFF"/>
          <w:lang w:val="es-CO"/>
        </w:rPr>
        <w:t xml:space="preserve">. </w:t>
      </w:r>
      <w:proofErr w:type="spellStart"/>
      <w:proofErr w:type="gramStart"/>
      <w:r w:rsidR="000E1D16" w:rsidRPr="000E1D16">
        <w:rPr>
          <w:rFonts w:cs="Arial"/>
          <w:szCs w:val="18"/>
          <w:shd w:val="clear" w:color="auto" w:fill="FFFFFF"/>
        </w:rPr>
        <w:t>Nanocolumnar</w:t>
      </w:r>
      <w:proofErr w:type="spellEnd"/>
      <w:r w:rsidR="000E1D16" w:rsidRPr="000E1D16">
        <w:rPr>
          <w:rFonts w:cs="Arial"/>
          <w:szCs w:val="18"/>
          <w:shd w:val="clear" w:color="auto" w:fill="FFFFFF"/>
        </w:rPr>
        <w:t xml:space="preserve"> coatings with selective </w:t>
      </w:r>
      <w:proofErr w:type="spellStart"/>
      <w:r w:rsidR="000E1D16" w:rsidRPr="000E1D16">
        <w:rPr>
          <w:rFonts w:cs="Arial"/>
          <w:szCs w:val="18"/>
          <w:shd w:val="clear" w:color="auto" w:fill="FFFFFF"/>
        </w:rPr>
        <w:t>behavior</w:t>
      </w:r>
      <w:proofErr w:type="spellEnd"/>
      <w:r w:rsidR="000E1D16" w:rsidRPr="000E1D16">
        <w:rPr>
          <w:rFonts w:cs="Arial"/>
          <w:szCs w:val="18"/>
          <w:shd w:val="clear" w:color="auto" w:fill="FFFFFF"/>
        </w:rPr>
        <w:t xml:space="preserve"> towards osteoblast and     Staphylococcus aureus proliferation.</w:t>
      </w:r>
      <w:proofErr w:type="gramEnd"/>
      <w:r w:rsidR="000E1D16" w:rsidRPr="000E1D16">
        <w:rPr>
          <w:rFonts w:cs="Arial"/>
          <w:szCs w:val="18"/>
          <w:shd w:val="clear" w:color="auto" w:fill="FFFFFF"/>
        </w:rPr>
        <w:t> </w:t>
      </w:r>
      <w:proofErr w:type="spellStart"/>
      <w:proofErr w:type="gramStart"/>
      <w:r w:rsidR="000E1D16" w:rsidRPr="000E1D16">
        <w:rPr>
          <w:rFonts w:cs="Arial"/>
          <w:iCs/>
          <w:szCs w:val="18"/>
          <w:shd w:val="clear" w:color="auto" w:fill="FFFFFF"/>
        </w:rPr>
        <w:t>Acta</w:t>
      </w:r>
      <w:proofErr w:type="spellEnd"/>
      <w:r w:rsidR="000E1D16" w:rsidRPr="000E1D16">
        <w:rPr>
          <w:rFonts w:cs="Arial"/>
          <w:iCs/>
          <w:szCs w:val="18"/>
          <w:shd w:val="clear" w:color="auto" w:fill="FFFFFF"/>
        </w:rPr>
        <w:t xml:space="preserve"> </w:t>
      </w:r>
      <w:proofErr w:type="spellStart"/>
      <w:r w:rsidR="000E1D16" w:rsidRPr="000E1D16">
        <w:rPr>
          <w:rFonts w:cs="Arial"/>
          <w:iCs/>
          <w:szCs w:val="18"/>
          <w:shd w:val="clear" w:color="auto" w:fill="FFFFFF"/>
        </w:rPr>
        <w:t>Biomaterialia</w:t>
      </w:r>
      <w:proofErr w:type="spellEnd"/>
      <w:r w:rsidR="000E1D16" w:rsidRPr="000E1D16">
        <w:rPr>
          <w:rFonts w:cs="Arial"/>
          <w:szCs w:val="18"/>
          <w:shd w:val="clear" w:color="auto" w:fill="FFFFFF"/>
        </w:rPr>
        <w:t>, 15, pp.20-28</w:t>
      </w:r>
      <w:r w:rsidR="000D568F">
        <w:rPr>
          <w:rFonts w:cs="Arial"/>
          <w:szCs w:val="18"/>
          <w:shd w:val="clear" w:color="auto" w:fill="FFFFFF"/>
        </w:rPr>
        <w:t>.</w:t>
      </w:r>
      <w:proofErr w:type="gramEnd"/>
    </w:p>
    <w:p w14:paraId="77C9B22D" w14:textId="58886E8D" w:rsidR="000D568F" w:rsidRPr="009E29A8" w:rsidRDefault="003B0735" w:rsidP="00835C45">
      <w:pPr>
        <w:autoSpaceDE w:val="0"/>
        <w:autoSpaceDN w:val="0"/>
        <w:adjustRightInd w:val="0"/>
        <w:ind w:left="284" w:hanging="284"/>
        <w:rPr>
          <w:rFonts w:cs="Arial"/>
          <w:color w:val="000000"/>
          <w:szCs w:val="18"/>
          <w:shd w:val="clear" w:color="auto" w:fill="FFFFFF"/>
        </w:rPr>
      </w:pPr>
      <w:proofErr w:type="spellStart"/>
      <w:proofErr w:type="gramStart"/>
      <w:r w:rsidRPr="009E29A8">
        <w:rPr>
          <w:rFonts w:cs="Arial"/>
          <w:color w:val="000000"/>
          <w:szCs w:val="18"/>
          <w:shd w:val="clear" w:color="auto" w:fill="FFFFFF"/>
        </w:rPr>
        <w:t>Karmaus</w:t>
      </w:r>
      <w:proofErr w:type="spellEnd"/>
      <w:r w:rsidRPr="009E29A8">
        <w:rPr>
          <w:rFonts w:cs="Arial"/>
          <w:color w:val="000000"/>
          <w:szCs w:val="18"/>
          <w:shd w:val="clear" w:color="auto" w:fill="FFFFFF"/>
        </w:rPr>
        <w:t>, A., Osborn, R. and Krishan, M. (2018).</w:t>
      </w:r>
      <w:proofErr w:type="gramEnd"/>
      <w:r w:rsidRPr="009E29A8">
        <w:rPr>
          <w:rFonts w:cs="Arial"/>
          <w:color w:val="000000"/>
          <w:szCs w:val="18"/>
          <w:shd w:val="clear" w:color="auto" w:fill="FFFFFF"/>
        </w:rPr>
        <w:t xml:space="preserve"> Scientific advances and challenges in safety evaluation of </w:t>
      </w:r>
      <w:r w:rsidR="000D568F" w:rsidRPr="009E29A8">
        <w:rPr>
          <w:rFonts w:cs="Arial"/>
          <w:color w:val="000000"/>
          <w:szCs w:val="18"/>
          <w:shd w:val="clear" w:color="auto" w:fill="FFFFFF"/>
        </w:rPr>
        <w:t xml:space="preserve">   </w:t>
      </w:r>
      <w:r w:rsidR="000D568F" w:rsidRPr="009E29A8">
        <w:rPr>
          <w:rFonts w:cs="Arial"/>
          <w:color w:val="000000"/>
          <w:szCs w:val="18"/>
          <w:shd w:val="clear" w:color="auto" w:fill="FFFFFF"/>
        </w:rPr>
        <w:t>food packaging materials: Workshop proceedings. </w:t>
      </w:r>
      <w:proofErr w:type="gramStart"/>
      <w:r w:rsidR="000D568F" w:rsidRPr="009E29A8">
        <w:rPr>
          <w:rFonts w:cs="Arial"/>
          <w:iCs/>
          <w:color w:val="000000"/>
          <w:szCs w:val="18"/>
          <w:shd w:val="clear" w:color="auto" w:fill="FFFFFF"/>
        </w:rPr>
        <w:t>Regulatory Toxicology and Pharmacology</w:t>
      </w:r>
      <w:r w:rsidR="000D568F" w:rsidRPr="009E29A8">
        <w:rPr>
          <w:rFonts w:cs="Arial"/>
          <w:color w:val="000000"/>
          <w:szCs w:val="18"/>
          <w:shd w:val="clear" w:color="auto" w:fill="FFFFFF"/>
        </w:rPr>
        <w:t>, 98, pp.80-87.</w:t>
      </w:r>
      <w:proofErr w:type="gramEnd"/>
    </w:p>
    <w:p w14:paraId="41EEDCC0" w14:textId="6C46C687" w:rsidR="009E29A8" w:rsidRPr="009E29A8" w:rsidRDefault="009E29A8" w:rsidP="00835C45">
      <w:pPr>
        <w:autoSpaceDE w:val="0"/>
        <w:autoSpaceDN w:val="0"/>
        <w:adjustRightInd w:val="0"/>
        <w:ind w:left="284" w:hanging="284"/>
        <w:rPr>
          <w:rFonts w:cs="Arial"/>
          <w:szCs w:val="18"/>
          <w:lang w:val="es-CO"/>
        </w:rPr>
      </w:pPr>
      <w:r w:rsidRPr="009E29A8">
        <w:rPr>
          <w:rFonts w:cs="Arial"/>
          <w:color w:val="000000"/>
          <w:szCs w:val="18"/>
          <w:shd w:val="clear" w:color="auto" w:fill="FFFFFF"/>
        </w:rPr>
        <w:t xml:space="preserve">Kirk, M., </w:t>
      </w:r>
      <w:proofErr w:type="spellStart"/>
      <w:r w:rsidRPr="009E29A8">
        <w:rPr>
          <w:rFonts w:cs="Arial"/>
          <w:color w:val="000000"/>
          <w:szCs w:val="18"/>
          <w:shd w:val="clear" w:color="auto" w:fill="FFFFFF"/>
        </w:rPr>
        <w:t>Pires</w:t>
      </w:r>
      <w:proofErr w:type="spellEnd"/>
      <w:r w:rsidRPr="009E29A8">
        <w:rPr>
          <w:rFonts w:cs="Arial"/>
          <w:color w:val="000000"/>
          <w:szCs w:val="18"/>
          <w:shd w:val="clear" w:color="auto" w:fill="FFFFFF"/>
        </w:rPr>
        <w:t xml:space="preserve">, S., Black, R., </w:t>
      </w:r>
      <w:proofErr w:type="spellStart"/>
      <w:r w:rsidRPr="009E29A8">
        <w:rPr>
          <w:rFonts w:cs="Arial"/>
          <w:color w:val="000000"/>
          <w:szCs w:val="18"/>
          <w:shd w:val="clear" w:color="auto" w:fill="FFFFFF"/>
        </w:rPr>
        <w:t>Caipo</w:t>
      </w:r>
      <w:proofErr w:type="spellEnd"/>
      <w:r w:rsidRPr="009E29A8">
        <w:rPr>
          <w:rFonts w:cs="Arial"/>
          <w:color w:val="000000"/>
          <w:szCs w:val="18"/>
          <w:shd w:val="clear" w:color="auto" w:fill="FFFFFF"/>
        </w:rPr>
        <w:t xml:space="preserve">, M., Crump, J., </w:t>
      </w:r>
      <w:proofErr w:type="spellStart"/>
      <w:r w:rsidRPr="009E29A8">
        <w:rPr>
          <w:rFonts w:cs="Arial"/>
          <w:color w:val="000000"/>
          <w:szCs w:val="18"/>
          <w:shd w:val="clear" w:color="auto" w:fill="FFFFFF"/>
        </w:rPr>
        <w:t>Devleesschauwer</w:t>
      </w:r>
      <w:proofErr w:type="spellEnd"/>
      <w:r w:rsidRPr="009E29A8">
        <w:rPr>
          <w:rFonts w:cs="Arial"/>
          <w:color w:val="000000"/>
          <w:szCs w:val="18"/>
          <w:shd w:val="clear" w:color="auto" w:fill="FFFFFF"/>
        </w:rPr>
        <w:t xml:space="preserve">, B., </w:t>
      </w:r>
      <w:proofErr w:type="spellStart"/>
      <w:r w:rsidRPr="009E29A8">
        <w:rPr>
          <w:rFonts w:cs="Arial"/>
          <w:color w:val="000000"/>
          <w:szCs w:val="18"/>
          <w:shd w:val="clear" w:color="auto" w:fill="FFFFFF"/>
        </w:rPr>
        <w:t>Döpfer</w:t>
      </w:r>
      <w:proofErr w:type="spellEnd"/>
      <w:r w:rsidRPr="009E29A8">
        <w:rPr>
          <w:rFonts w:cs="Arial"/>
          <w:color w:val="000000"/>
          <w:szCs w:val="18"/>
          <w:shd w:val="clear" w:color="auto" w:fill="FFFFFF"/>
        </w:rPr>
        <w:t xml:space="preserve">, D., </w:t>
      </w:r>
      <w:proofErr w:type="spellStart"/>
      <w:r w:rsidRPr="009E29A8">
        <w:rPr>
          <w:rFonts w:cs="Arial"/>
          <w:color w:val="000000"/>
          <w:szCs w:val="18"/>
          <w:shd w:val="clear" w:color="auto" w:fill="FFFFFF"/>
        </w:rPr>
        <w:t>Fazil</w:t>
      </w:r>
      <w:proofErr w:type="spellEnd"/>
      <w:r w:rsidRPr="009E29A8">
        <w:rPr>
          <w:rFonts w:cs="Arial"/>
          <w:color w:val="000000"/>
          <w:szCs w:val="18"/>
          <w:shd w:val="clear" w:color="auto" w:fill="FFFFFF"/>
        </w:rPr>
        <w:t xml:space="preserve">, A., Fischer-Walker, C., </w:t>
      </w:r>
      <w:proofErr w:type="spellStart"/>
      <w:r w:rsidRPr="009E29A8">
        <w:rPr>
          <w:rFonts w:cs="Arial"/>
          <w:color w:val="000000"/>
          <w:szCs w:val="18"/>
          <w:shd w:val="clear" w:color="auto" w:fill="FFFFFF"/>
        </w:rPr>
        <w:t>Hald</w:t>
      </w:r>
      <w:proofErr w:type="spellEnd"/>
      <w:r w:rsidRPr="009E29A8">
        <w:rPr>
          <w:rFonts w:cs="Arial"/>
          <w:color w:val="000000"/>
          <w:szCs w:val="18"/>
          <w:shd w:val="clear" w:color="auto" w:fill="FFFFFF"/>
        </w:rPr>
        <w:t xml:space="preserve">, T., Hall, A., </w:t>
      </w:r>
      <w:proofErr w:type="spellStart"/>
      <w:r w:rsidRPr="009E29A8">
        <w:rPr>
          <w:rFonts w:cs="Arial"/>
          <w:color w:val="000000"/>
          <w:szCs w:val="18"/>
          <w:shd w:val="clear" w:color="auto" w:fill="FFFFFF"/>
        </w:rPr>
        <w:t>Keddy</w:t>
      </w:r>
      <w:proofErr w:type="spellEnd"/>
      <w:r w:rsidRPr="009E29A8">
        <w:rPr>
          <w:rFonts w:cs="Arial"/>
          <w:color w:val="000000"/>
          <w:szCs w:val="18"/>
          <w:shd w:val="clear" w:color="auto" w:fill="FFFFFF"/>
        </w:rPr>
        <w:t xml:space="preserve">, K., Lake, R., </w:t>
      </w:r>
      <w:proofErr w:type="spellStart"/>
      <w:r w:rsidRPr="009E29A8">
        <w:rPr>
          <w:rFonts w:cs="Arial"/>
          <w:color w:val="000000"/>
          <w:szCs w:val="18"/>
          <w:shd w:val="clear" w:color="auto" w:fill="FFFFFF"/>
        </w:rPr>
        <w:t>Lanata</w:t>
      </w:r>
      <w:proofErr w:type="spellEnd"/>
      <w:r w:rsidRPr="009E29A8">
        <w:rPr>
          <w:rFonts w:cs="Arial"/>
          <w:color w:val="000000"/>
          <w:szCs w:val="18"/>
          <w:shd w:val="clear" w:color="auto" w:fill="FFFFFF"/>
        </w:rPr>
        <w:t xml:space="preserve">, C., </w:t>
      </w:r>
      <w:proofErr w:type="spellStart"/>
      <w:r w:rsidRPr="009E29A8">
        <w:rPr>
          <w:rFonts w:cs="Arial"/>
          <w:color w:val="000000"/>
          <w:szCs w:val="18"/>
          <w:shd w:val="clear" w:color="auto" w:fill="FFFFFF"/>
        </w:rPr>
        <w:t>Torgerson</w:t>
      </w:r>
      <w:proofErr w:type="spellEnd"/>
      <w:r w:rsidRPr="009E29A8">
        <w:rPr>
          <w:rFonts w:cs="Arial"/>
          <w:color w:val="000000"/>
          <w:szCs w:val="18"/>
          <w:shd w:val="clear" w:color="auto" w:fill="FFFFFF"/>
        </w:rPr>
        <w:t xml:space="preserve">, P., </w:t>
      </w:r>
      <w:proofErr w:type="spellStart"/>
      <w:r w:rsidRPr="009E29A8">
        <w:rPr>
          <w:rFonts w:cs="Arial"/>
          <w:color w:val="000000"/>
          <w:szCs w:val="18"/>
          <w:shd w:val="clear" w:color="auto" w:fill="FFFFFF"/>
        </w:rPr>
        <w:t>Havelaar</w:t>
      </w:r>
      <w:proofErr w:type="spellEnd"/>
      <w:r w:rsidRPr="009E29A8">
        <w:rPr>
          <w:rFonts w:cs="Arial"/>
          <w:color w:val="000000"/>
          <w:szCs w:val="18"/>
          <w:shd w:val="clear" w:color="auto" w:fill="FFFFFF"/>
        </w:rPr>
        <w:t>, A. and Angulo, F. (2015). World Health Organization Estimates of the Global and Regional Disease Burden of 22 Foodborne Bacterial, Protozoal, and Viral Diseases, 2010: A Data Synthesis. </w:t>
      </w:r>
      <w:r w:rsidRPr="009E29A8">
        <w:rPr>
          <w:rFonts w:cs="Arial"/>
          <w:i/>
          <w:iCs/>
          <w:color w:val="000000"/>
          <w:szCs w:val="18"/>
          <w:shd w:val="clear" w:color="auto" w:fill="FFFFFF"/>
          <w:lang w:val="es-CO"/>
        </w:rPr>
        <w:t>PLOS Medicine</w:t>
      </w:r>
      <w:r w:rsidRPr="009E29A8">
        <w:rPr>
          <w:rFonts w:cs="Arial"/>
          <w:color w:val="000000"/>
          <w:szCs w:val="18"/>
          <w:shd w:val="clear" w:color="auto" w:fill="FFFFFF"/>
          <w:lang w:val="es-CO"/>
        </w:rPr>
        <w:t>, 12(12), p.e1001921.</w:t>
      </w:r>
    </w:p>
    <w:p w14:paraId="508D7E04" w14:textId="28D68FC7" w:rsidR="000D568F" w:rsidRPr="009E29A8" w:rsidRDefault="004263B6" w:rsidP="00835C45">
      <w:pPr>
        <w:pStyle w:val="CETReference"/>
        <w:spacing w:before="0" w:after="0" w:line="264" w:lineRule="auto"/>
        <w:ind w:left="284" w:hanging="284"/>
        <w:jc w:val="both"/>
        <w:rPr>
          <w:rFonts w:cs="Arial"/>
          <w:b w:val="0"/>
          <w:szCs w:val="18"/>
          <w:shd w:val="clear" w:color="auto" w:fill="FFFFFF"/>
        </w:rPr>
      </w:pPr>
      <w:proofErr w:type="spellStart"/>
      <w:r w:rsidRPr="009E29A8">
        <w:rPr>
          <w:rFonts w:cs="Arial"/>
          <w:b w:val="0"/>
          <w:szCs w:val="18"/>
          <w:shd w:val="clear" w:color="auto" w:fill="FFFFFF"/>
          <w:lang w:val="es-CO"/>
        </w:rPr>
        <w:t>Malagon</w:t>
      </w:r>
      <w:proofErr w:type="spellEnd"/>
      <w:r w:rsidRPr="009E29A8">
        <w:rPr>
          <w:rFonts w:cs="Arial"/>
          <w:b w:val="0"/>
          <w:szCs w:val="18"/>
          <w:shd w:val="clear" w:color="auto" w:fill="FFFFFF"/>
          <w:lang w:val="es-CO"/>
        </w:rPr>
        <w:t>-R</w:t>
      </w:r>
      <w:r w:rsidR="00FD5BDF" w:rsidRPr="009E29A8">
        <w:rPr>
          <w:rFonts w:cs="Arial"/>
          <w:b w:val="0"/>
          <w:szCs w:val="18"/>
          <w:shd w:val="clear" w:color="auto" w:fill="FFFFFF"/>
          <w:lang w:val="es-CO"/>
        </w:rPr>
        <w:t xml:space="preserve">omero D., Clavijo D., </w:t>
      </w:r>
      <w:proofErr w:type="spellStart"/>
      <w:r w:rsidR="00FD5BDF" w:rsidRPr="009E29A8">
        <w:rPr>
          <w:rFonts w:cs="Arial"/>
          <w:b w:val="0"/>
          <w:szCs w:val="18"/>
          <w:shd w:val="clear" w:color="auto" w:fill="FFFFFF"/>
          <w:lang w:val="es-CO"/>
        </w:rPr>
        <w:t>Lopez</w:t>
      </w:r>
      <w:proofErr w:type="spellEnd"/>
      <w:r w:rsidR="00FD5BDF" w:rsidRPr="009E29A8">
        <w:rPr>
          <w:rFonts w:cs="Arial"/>
          <w:b w:val="0"/>
          <w:szCs w:val="18"/>
          <w:shd w:val="clear" w:color="auto" w:fill="FFFFFF"/>
          <w:lang w:val="es-CO"/>
        </w:rPr>
        <w:t xml:space="preserve"> C</w:t>
      </w:r>
      <w:proofErr w:type="gramStart"/>
      <w:r w:rsidR="00FD5BDF" w:rsidRPr="009E29A8">
        <w:rPr>
          <w:rFonts w:cs="Arial"/>
          <w:b w:val="0"/>
          <w:szCs w:val="18"/>
          <w:shd w:val="clear" w:color="auto" w:fill="FFFFFF"/>
          <w:lang w:val="es-CO"/>
        </w:rPr>
        <w:t>.(</w:t>
      </w:r>
      <w:proofErr w:type="gramEnd"/>
      <w:r w:rsidRPr="009E29A8">
        <w:rPr>
          <w:rFonts w:cs="Arial"/>
          <w:b w:val="0"/>
          <w:szCs w:val="18"/>
          <w:shd w:val="clear" w:color="auto" w:fill="FFFFFF"/>
          <w:lang w:val="es-CO"/>
        </w:rPr>
        <w:t>2018</w:t>
      </w:r>
      <w:r w:rsidR="00FD5BDF" w:rsidRPr="009E29A8">
        <w:rPr>
          <w:rFonts w:cs="Arial"/>
          <w:b w:val="0"/>
          <w:szCs w:val="18"/>
          <w:shd w:val="clear" w:color="auto" w:fill="FFFFFF"/>
          <w:lang w:val="es-CO"/>
        </w:rPr>
        <w:t>).</w:t>
      </w:r>
      <w:r w:rsidRPr="009E29A8">
        <w:rPr>
          <w:rFonts w:cs="Arial"/>
          <w:b w:val="0"/>
          <w:szCs w:val="18"/>
          <w:shd w:val="clear" w:color="auto" w:fill="FFFFFF"/>
          <w:lang w:val="es-CO"/>
        </w:rPr>
        <w:t xml:space="preserve"> </w:t>
      </w:r>
      <w:proofErr w:type="gramStart"/>
      <w:r w:rsidRPr="009E29A8">
        <w:rPr>
          <w:rFonts w:cs="Arial"/>
          <w:b w:val="0"/>
          <w:szCs w:val="18"/>
          <w:shd w:val="clear" w:color="auto" w:fill="FFFFFF"/>
        </w:rPr>
        <w:t xml:space="preserve">Production of </w:t>
      </w:r>
      <w:proofErr w:type="spellStart"/>
      <w:r w:rsidRPr="009E29A8">
        <w:rPr>
          <w:rFonts w:cs="Arial"/>
          <w:b w:val="0"/>
          <w:szCs w:val="18"/>
          <w:shd w:val="clear" w:color="auto" w:fill="FFFFFF"/>
        </w:rPr>
        <w:t>Polycaprolactone</w:t>
      </w:r>
      <w:proofErr w:type="spellEnd"/>
      <w:r w:rsidRPr="009E29A8">
        <w:rPr>
          <w:rFonts w:cs="Arial"/>
          <w:b w:val="0"/>
          <w:szCs w:val="18"/>
          <w:shd w:val="clear" w:color="auto" w:fill="FFFFFF"/>
        </w:rPr>
        <w:t xml:space="preserve"> </w:t>
      </w:r>
      <w:proofErr w:type="spellStart"/>
      <w:r w:rsidRPr="009E29A8">
        <w:rPr>
          <w:rFonts w:cs="Arial"/>
          <w:b w:val="0"/>
          <w:szCs w:val="18"/>
          <w:shd w:val="clear" w:color="auto" w:fill="FFFFFF"/>
        </w:rPr>
        <w:t>Microcarriers</w:t>
      </w:r>
      <w:proofErr w:type="spellEnd"/>
      <w:r w:rsidRPr="009E29A8">
        <w:rPr>
          <w:rFonts w:cs="Arial"/>
          <w:b w:val="0"/>
          <w:szCs w:val="18"/>
          <w:shd w:val="clear" w:color="auto" w:fill="FFFFFF"/>
        </w:rPr>
        <w:t xml:space="preserve"> using </w:t>
      </w:r>
      <w:r w:rsidR="000E1D16" w:rsidRPr="009E29A8">
        <w:rPr>
          <w:rFonts w:cs="Arial"/>
          <w:b w:val="0"/>
          <w:szCs w:val="18"/>
          <w:shd w:val="clear" w:color="auto" w:fill="FFFFFF"/>
        </w:rPr>
        <w:t xml:space="preserve">    Electrospray for Fibroblast Cultures, Chemical Engineering Transactions, 64, </w:t>
      </w:r>
      <w:r w:rsidR="00FD5BDF" w:rsidRPr="009E29A8">
        <w:rPr>
          <w:rFonts w:cs="Arial"/>
          <w:b w:val="0"/>
          <w:szCs w:val="18"/>
          <w:shd w:val="clear" w:color="auto" w:fill="FFFFFF"/>
        </w:rPr>
        <w:t>pp</w:t>
      </w:r>
      <w:r w:rsidR="000E1D16" w:rsidRPr="009E29A8">
        <w:rPr>
          <w:rFonts w:cs="Arial"/>
          <w:b w:val="0"/>
          <w:szCs w:val="18"/>
          <w:shd w:val="clear" w:color="auto" w:fill="FFFFFF"/>
        </w:rPr>
        <w:t>661-666.</w:t>
      </w:r>
      <w:proofErr w:type="gramEnd"/>
    </w:p>
    <w:p w14:paraId="351AA1C3" w14:textId="54BFC5D1" w:rsidR="000E1D16" w:rsidRPr="009E29A8" w:rsidRDefault="004263B6" w:rsidP="00835C45">
      <w:pPr>
        <w:autoSpaceDE w:val="0"/>
        <w:autoSpaceDN w:val="0"/>
        <w:adjustRightInd w:val="0"/>
        <w:ind w:left="284" w:hanging="284"/>
        <w:rPr>
          <w:rFonts w:cs="Arial"/>
          <w:szCs w:val="18"/>
          <w:lang w:val="en-US"/>
        </w:rPr>
      </w:pPr>
      <w:proofErr w:type="spellStart"/>
      <w:proofErr w:type="gramStart"/>
      <w:r w:rsidRPr="009E29A8">
        <w:rPr>
          <w:rFonts w:cs="Arial"/>
          <w:szCs w:val="18"/>
          <w:shd w:val="clear" w:color="auto" w:fill="FFFFFF"/>
        </w:rPr>
        <w:t>Quirós</w:t>
      </w:r>
      <w:proofErr w:type="spellEnd"/>
      <w:r w:rsidR="00FD5BDF" w:rsidRPr="009E29A8">
        <w:rPr>
          <w:rFonts w:cs="Arial"/>
          <w:szCs w:val="18"/>
          <w:shd w:val="clear" w:color="auto" w:fill="FFFFFF"/>
        </w:rPr>
        <w:t xml:space="preserve">, J., </w:t>
      </w:r>
      <w:proofErr w:type="spellStart"/>
      <w:r w:rsidR="00FD5BDF" w:rsidRPr="009E29A8">
        <w:rPr>
          <w:rFonts w:cs="Arial"/>
          <w:szCs w:val="18"/>
          <w:shd w:val="clear" w:color="auto" w:fill="FFFFFF"/>
        </w:rPr>
        <w:t>Boltes</w:t>
      </w:r>
      <w:proofErr w:type="spellEnd"/>
      <w:r w:rsidR="00FD5BDF" w:rsidRPr="009E29A8">
        <w:rPr>
          <w:rFonts w:cs="Arial"/>
          <w:szCs w:val="18"/>
          <w:shd w:val="clear" w:color="auto" w:fill="FFFFFF"/>
        </w:rPr>
        <w:t xml:space="preserve">, K. and </w:t>
      </w:r>
      <w:proofErr w:type="spellStart"/>
      <w:r w:rsidR="00FD5BDF" w:rsidRPr="009E29A8">
        <w:rPr>
          <w:rFonts w:cs="Arial"/>
          <w:szCs w:val="18"/>
          <w:shd w:val="clear" w:color="auto" w:fill="FFFFFF"/>
        </w:rPr>
        <w:t>Rosal</w:t>
      </w:r>
      <w:proofErr w:type="spellEnd"/>
      <w:r w:rsidR="00FD5BDF" w:rsidRPr="009E29A8">
        <w:rPr>
          <w:rFonts w:cs="Arial"/>
          <w:szCs w:val="18"/>
          <w:shd w:val="clear" w:color="auto" w:fill="FFFFFF"/>
        </w:rPr>
        <w:t>, R. (</w:t>
      </w:r>
      <w:r w:rsidR="000E1D16" w:rsidRPr="009E29A8">
        <w:rPr>
          <w:rFonts w:cs="Arial"/>
          <w:szCs w:val="18"/>
          <w:shd w:val="clear" w:color="auto" w:fill="FFFFFF"/>
        </w:rPr>
        <w:t>2016</w:t>
      </w:r>
      <w:r w:rsidR="00FD5BDF" w:rsidRPr="009E29A8">
        <w:rPr>
          <w:rFonts w:cs="Arial"/>
          <w:szCs w:val="18"/>
          <w:shd w:val="clear" w:color="auto" w:fill="FFFFFF"/>
        </w:rPr>
        <w:t>)</w:t>
      </w:r>
      <w:r w:rsidRPr="009E29A8">
        <w:rPr>
          <w:rFonts w:cs="Arial"/>
          <w:szCs w:val="18"/>
          <w:shd w:val="clear" w:color="auto" w:fill="FFFFFF"/>
        </w:rPr>
        <w:t>.</w:t>
      </w:r>
      <w:proofErr w:type="gramEnd"/>
      <w:r w:rsidRPr="009E29A8">
        <w:rPr>
          <w:rFonts w:cs="Arial"/>
          <w:szCs w:val="18"/>
          <w:shd w:val="clear" w:color="auto" w:fill="FFFFFF"/>
        </w:rPr>
        <w:t xml:space="preserve"> </w:t>
      </w:r>
      <w:proofErr w:type="gramStart"/>
      <w:r w:rsidRPr="009E29A8">
        <w:rPr>
          <w:rFonts w:cs="Arial"/>
          <w:szCs w:val="18"/>
          <w:shd w:val="clear" w:color="auto" w:fill="FFFFFF"/>
        </w:rPr>
        <w:t xml:space="preserve">Bioactive Applications for </w:t>
      </w:r>
      <w:proofErr w:type="spellStart"/>
      <w:r w:rsidRPr="009E29A8">
        <w:rPr>
          <w:rFonts w:cs="Arial"/>
          <w:szCs w:val="18"/>
          <w:shd w:val="clear" w:color="auto" w:fill="FFFFFF"/>
        </w:rPr>
        <w:t>Electrospun</w:t>
      </w:r>
      <w:proofErr w:type="spellEnd"/>
      <w:r w:rsidRPr="009E29A8">
        <w:rPr>
          <w:rFonts w:cs="Arial"/>
          <w:szCs w:val="18"/>
          <w:shd w:val="clear" w:color="auto" w:fill="FFFFFF"/>
        </w:rPr>
        <w:t xml:space="preserve"> </w:t>
      </w:r>
      <w:proofErr w:type="spellStart"/>
      <w:r w:rsidRPr="009E29A8">
        <w:rPr>
          <w:rFonts w:cs="Arial"/>
          <w:szCs w:val="18"/>
          <w:shd w:val="clear" w:color="auto" w:fill="FFFFFF"/>
        </w:rPr>
        <w:t>Fibers</w:t>
      </w:r>
      <w:proofErr w:type="spellEnd"/>
      <w:r w:rsidRPr="009E29A8">
        <w:rPr>
          <w:rFonts w:cs="Arial"/>
          <w:szCs w:val="18"/>
          <w:shd w:val="clear" w:color="auto" w:fill="FFFFFF"/>
        </w:rPr>
        <w:t>.</w:t>
      </w:r>
      <w:proofErr w:type="gramEnd"/>
      <w:r w:rsidRPr="009E29A8">
        <w:rPr>
          <w:rFonts w:cs="Arial"/>
          <w:szCs w:val="18"/>
          <w:shd w:val="clear" w:color="auto" w:fill="FFFFFF"/>
        </w:rPr>
        <w:t> </w:t>
      </w:r>
      <w:r w:rsidRPr="009E29A8">
        <w:rPr>
          <w:rFonts w:cs="Arial"/>
          <w:iCs/>
          <w:szCs w:val="18"/>
          <w:shd w:val="clear" w:color="auto" w:fill="FFFFFF"/>
        </w:rPr>
        <w:t>Polymer Reviews</w:t>
      </w:r>
      <w:r w:rsidRPr="009E29A8">
        <w:rPr>
          <w:rFonts w:cs="Arial"/>
          <w:szCs w:val="18"/>
          <w:shd w:val="clear" w:color="auto" w:fill="FFFFFF"/>
        </w:rPr>
        <w:t xml:space="preserve">, </w:t>
      </w:r>
      <w:r w:rsidR="000E1D16" w:rsidRPr="009E29A8">
        <w:rPr>
          <w:rFonts w:cs="Arial"/>
          <w:szCs w:val="18"/>
          <w:shd w:val="clear" w:color="auto" w:fill="FFFFFF"/>
        </w:rPr>
        <w:t xml:space="preserve">    56(4), pp.631-667.</w:t>
      </w:r>
    </w:p>
    <w:p w14:paraId="562AEDF2" w14:textId="0764B8EA" w:rsidR="00307DA9" w:rsidRPr="000E1D16" w:rsidRDefault="00C27A9E" w:rsidP="00835C45">
      <w:pPr>
        <w:shd w:val="clear" w:color="auto" w:fill="FFFFFF"/>
        <w:ind w:left="284" w:hanging="284"/>
        <w:rPr>
          <w:b/>
          <w:szCs w:val="18"/>
        </w:rPr>
      </w:pPr>
      <w:proofErr w:type="spellStart"/>
      <w:proofErr w:type="gramStart"/>
      <w:r w:rsidRPr="000E1D16">
        <w:rPr>
          <w:rFonts w:cs="Arial"/>
          <w:szCs w:val="18"/>
          <w:shd w:val="clear" w:color="auto" w:fill="FFFFFF"/>
        </w:rPr>
        <w:t>Virlan</w:t>
      </w:r>
      <w:proofErr w:type="spellEnd"/>
      <w:r w:rsidRPr="000E1D16">
        <w:rPr>
          <w:rFonts w:cs="Arial"/>
          <w:szCs w:val="18"/>
          <w:shd w:val="clear" w:color="auto" w:fill="FFFFFF"/>
        </w:rPr>
        <w:t xml:space="preserve">, M., </w:t>
      </w:r>
      <w:proofErr w:type="spellStart"/>
      <w:r w:rsidRPr="000E1D16">
        <w:rPr>
          <w:rFonts w:cs="Arial"/>
          <w:szCs w:val="18"/>
          <w:shd w:val="clear" w:color="auto" w:fill="FFFFFF"/>
        </w:rPr>
        <w:t>Miricescu</w:t>
      </w:r>
      <w:proofErr w:type="spellEnd"/>
      <w:r w:rsidRPr="000E1D16">
        <w:rPr>
          <w:rFonts w:cs="Arial"/>
          <w:szCs w:val="18"/>
          <w:shd w:val="clear" w:color="auto" w:fill="FFFFFF"/>
        </w:rPr>
        <w:t xml:space="preserve">, D., </w:t>
      </w:r>
      <w:proofErr w:type="spellStart"/>
      <w:r w:rsidRPr="000E1D16">
        <w:rPr>
          <w:rFonts w:cs="Arial"/>
          <w:szCs w:val="18"/>
          <w:shd w:val="clear" w:color="auto" w:fill="FFFFFF"/>
        </w:rPr>
        <w:t>Totan</w:t>
      </w:r>
      <w:proofErr w:type="spellEnd"/>
      <w:r w:rsidRPr="000E1D16">
        <w:rPr>
          <w:rFonts w:cs="Arial"/>
          <w:szCs w:val="18"/>
          <w:shd w:val="clear" w:color="auto" w:fill="FFFFFF"/>
        </w:rPr>
        <w:t xml:space="preserve">, A., </w:t>
      </w:r>
      <w:proofErr w:type="spellStart"/>
      <w:r w:rsidRPr="000E1D16">
        <w:rPr>
          <w:rFonts w:cs="Arial"/>
          <w:szCs w:val="18"/>
          <w:shd w:val="clear" w:color="auto" w:fill="FFFFFF"/>
        </w:rPr>
        <w:t>Greabu</w:t>
      </w:r>
      <w:proofErr w:type="spellEnd"/>
      <w:r w:rsidRPr="000E1D16">
        <w:rPr>
          <w:rFonts w:cs="Arial"/>
          <w:szCs w:val="18"/>
          <w:shd w:val="clear" w:color="auto" w:fill="FFFFFF"/>
        </w:rPr>
        <w:t xml:space="preserve">, M., </w:t>
      </w:r>
      <w:proofErr w:type="spellStart"/>
      <w:r w:rsidRPr="000E1D16">
        <w:rPr>
          <w:rFonts w:cs="Arial"/>
          <w:szCs w:val="18"/>
          <w:shd w:val="clear" w:color="auto" w:fill="FFFFFF"/>
        </w:rPr>
        <w:t>Tanase</w:t>
      </w:r>
      <w:proofErr w:type="spellEnd"/>
      <w:r w:rsidRPr="000E1D16">
        <w:rPr>
          <w:rFonts w:cs="Arial"/>
          <w:szCs w:val="18"/>
          <w:shd w:val="clear" w:color="auto" w:fill="FFFFFF"/>
        </w:rPr>
        <w:t xml:space="preserve">, C., </w:t>
      </w:r>
      <w:proofErr w:type="spellStart"/>
      <w:r w:rsidRPr="000E1D16">
        <w:rPr>
          <w:rFonts w:cs="Arial"/>
          <w:szCs w:val="18"/>
          <w:shd w:val="clear" w:color="auto" w:fill="FFFFFF"/>
        </w:rPr>
        <w:t>Sabliov</w:t>
      </w:r>
      <w:proofErr w:type="spellEnd"/>
      <w:r w:rsidRPr="000E1D16">
        <w:rPr>
          <w:rFonts w:cs="Arial"/>
          <w:szCs w:val="18"/>
          <w:shd w:val="clear" w:color="auto" w:fill="FFFFFF"/>
        </w:rPr>
        <w:t>, C</w:t>
      </w:r>
      <w:r w:rsidR="000E1D16" w:rsidRPr="000E1D16">
        <w:rPr>
          <w:rFonts w:cs="Arial"/>
          <w:szCs w:val="18"/>
          <w:shd w:val="clear" w:color="auto" w:fill="FFFFFF"/>
        </w:rPr>
        <w:t xml:space="preserve">., </w:t>
      </w:r>
      <w:proofErr w:type="spellStart"/>
      <w:r w:rsidR="000E1D16" w:rsidRPr="000E1D16">
        <w:rPr>
          <w:rFonts w:cs="Arial"/>
          <w:szCs w:val="18"/>
          <w:shd w:val="clear" w:color="auto" w:fill="FFFFFF"/>
        </w:rPr>
        <w:t>Caruntu</w:t>
      </w:r>
      <w:proofErr w:type="spellEnd"/>
      <w:r w:rsidR="000E1D16" w:rsidRPr="000E1D16">
        <w:rPr>
          <w:rFonts w:cs="Arial"/>
          <w:szCs w:val="18"/>
          <w:shd w:val="clear" w:color="auto" w:fill="FFFFFF"/>
        </w:rPr>
        <w:t xml:space="preserve">, C. and </w:t>
      </w:r>
      <w:proofErr w:type="spellStart"/>
      <w:r w:rsidR="000E1D16" w:rsidRPr="000E1D16">
        <w:rPr>
          <w:rFonts w:cs="Arial"/>
          <w:szCs w:val="18"/>
          <w:shd w:val="clear" w:color="auto" w:fill="FFFFFF"/>
        </w:rPr>
        <w:t>Cale</w:t>
      </w:r>
      <w:proofErr w:type="spellEnd"/>
      <w:r w:rsidR="000E1D16" w:rsidRPr="000E1D16">
        <w:rPr>
          <w:rFonts w:cs="Arial"/>
          <w:szCs w:val="18"/>
          <w:shd w:val="clear" w:color="auto" w:fill="FFFFFF"/>
        </w:rPr>
        <w:t xml:space="preserve"> </w:t>
      </w:r>
      <w:r w:rsidR="00ED0AF1">
        <w:rPr>
          <w:rFonts w:cs="Arial"/>
          <w:szCs w:val="18"/>
          <w:shd w:val="clear" w:color="auto" w:fill="FFFFFF"/>
        </w:rPr>
        <w:t>B. (</w:t>
      </w:r>
      <w:r w:rsidR="002C370D">
        <w:rPr>
          <w:rFonts w:cs="Arial"/>
          <w:szCs w:val="18"/>
          <w:shd w:val="clear" w:color="auto" w:fill="FFFFFF"/>
        </w:rPr>
        <w:t>2015</w:t>
      </w:r>
      <w:r w:rsidR="00ED0AF1">
        <w:rPr>
          <w:rFonts w:cs="Arial"/>
          <w:szCs w:val="18"/>
          <w:shd w:val="clear" w:color="auto" w:fill="FFFFFF"/>
        </w:rPr>
        <w:t>)</w:t>
      </w:r>
      <w:r w:rsidR="002C370D">
        <w:rPr>
          <w:rFonts w:cs="Arial"/>
          <w:szCs w:val="18"/>
          <w:shd w:val="clear" w:color="auto" w:fill="FFFFFF"/>
        </w:rPr>
        <w:t>.</w:t>
      </w:r>
      <w:proofErr w:type="gramEnd"/>
      <w:r w:rsidR="000E1D16" w:rsidRPr="000E1D16">
        <w:rPr>
          <w:rFonts w:cs="Arial"/>
          <w:szCs w:val="18"/>
          <w:shd w:val="clear" w:color="auto" w:fill="FFFFFF"/>
        </w:rPr>
        <w:t xml:space="preserve">    Current Uses of </w:t>
      </w:r>
      <w:proofErr w:type="gramStart"/>
      <w:r w:rsidR="000E1D16" w:rsidRPr="000E1D16">
        <w:rPr>
          <w:rFonts w:cs="Arial"/>
          <w:szCs w:val="18"/>
          <w:shd w:val="clear" w:color="auto" w:fill="FFFFFF"/>
        </w:rPr>
        <w:t>Poly(</w:t>
      </w:r>
      <w:proofErr w:type="gramEnd"/>
      <w:r w:rsidR="000E1D16" w:rsidRPr="000E1D16">
        <w:rPr>
          <w:rFonts w:cs="Arial"/>
          <w:szCs w:val="18"/>
          <w:shd w:val="clear" w:color="auto" w:fill="FFFFFF"/>
        </w:rPr>
        <w:t>lactic-co-glycolic acid) in the Dental Field: A Comprehensive Review. </w:t>
      </w:r>
      <w:r w:rsidR="000E1D16" w:rsidRPr="000E1D16">
        <w:rPr>
          <w:rFonts w:cs="Arial"/>
          <w:iCs/>
          <w:szCs w:val="18"/>
          <w:shd w:val="clear" w:color="auto" w:fill="FFFFFF"/>
        </w:rPr>
        <w:t>Journal of</w:t>
      </w:r>
      <w:r w:rsidR="000D568F">
        <w:rPr>
          <w:rFonts w:cs="Arial"/>
          <w:iCs/>
          <w:szCs w:val="18"/>
          <w:shd w:val="clear" w:color="auto" w:fill="FFFFFF"/>
        </w:rPr>
        <w:t xml:space="preserve"> </w:t>
      </w:r>
      <w:r w:rsidR="000E1D16" w:rsidRPr="000E1D16">
        <w:rPr>
          <w:rFonts w:cs="Arial"/>
          <w:iCs/>
          <w:szCs w:val="18"/>
          <w:shd w:val="clear" w:color="auto" w:fill="FFFFFF"/>
        </w:rPr>
        <w:t xml:space="preserve">    Chemistry</w:t>
      </w:r>
      <w:r w:rsidR="000E1D16" w:rsidRPr="000E1D16">
        <w:rPr>
          <w:rFonts w:cs="Arial"/>
          <w:szCs w:val="18"/>
          <w:shd w:val="clear" w:color="auto" w:fill="FFFFFF"/>
        </w:rPr>
        <w:t>, 2015</w:t>
      </w:r>
      <w:proofErr w:type="gramStart"/>
      <w:r w:rsidR="000E1D16" w:rsidRPr="000E1D16">
        <w:rPr>
          <w:rFonts w:cs="Arial"/>
          <w:szCs w:val="18"/>
          <w:shd w:val="clear" w:color="auto" w:fill="FFFFFF"/>
        </w:rPr>
        <w:t>,.</w:t>
      </w:r>
      <w:proofErr w:type="gramEnd"/>
      <w:r w:rsidR="000E1D16" w:rsidRPr="000E1D16">
        <w:rPr>
          <w:rFonts w:cs="Arial"/>
          <w:szCs w:val="18"/>
          <w:shd w:val="clear" w:color="auto" w:fill="FFFFFF"/>
        </w:rPr>
        <w:t>1-12.</w:t>
      </w:r>
    </w:p>
    <w:sectPr w:rsidR="00307DA9" w:rsidRPr="000E1D1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0BB21" w14:textId="77777777" w:rsidR="0050386B" w:rsidRDefault="0050386B" w:rsidP="004F5E36">
      <w:r>
        <w:separator/>
      </w:r>
    </w:p>
  </w:endnote>
  <w:endnote w:type="continuationSeparator" w:id="0">
    <w:p w14:paraId="5DE4956F" w14:textId="77777777" w:rsidR="0050386B" w:rsidRDefault="005038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0406" w14:textId="77777777" w:rsidR="0050386B" w:rsidRDefault="0050386B" w:rsidP="004F5E36">
      <w:r>
        <w:separator/>
      </w:r>
    </w:p>
  </w:footnote>
  <w:footnote w:type="continuationSeparator" w:id="0">
    <w:p w14:paraId="50393D81" w14:textId="77777777" w:rsidR="0050386B" w:rsidRDefault="0050386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137D51E6"/>
    <w:multiLevelType w:val="multilevel"/>
    <w:tmpl w:val="CC34843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B1F1AC9"/>
    <w:multiLevelType w:val="hybridMultilevel"/>
    <w:tmpl w:val="3FECBDB6"/>
    <w:lvl w:ilvl="0" w:tplc="038C924C">
      <w:start w:val="1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4EA5CFB"/>
    <w:multiLevelType w:val="hybridMultilevel"/>
    <w:tmpl w:val="960AA4C6"/>
    <w:lvl w:ilvl="0" w:tplc="A8DA1C92">
      <w:start w:val="1"/>
      <w:numFmt w:val="bullet"/>
      <w:lvlText w:val="–"/>
      <w:lvlJc w:val="left"/>
      <w:pPr>
        <w:tabs>
          <w:tab w:val="num" w:pos="720"/>
        </w:tabs>
        <w:ind w:left="720" w:hanging="360"/>
      </w:pPr>
      <w:rPr>
        <w:rFonts w:ascii="Arial" w:hAnsi="Arial" w:hint="default"/>
      </w:rPr>
    </w:lvl>
    <w:lvl w:ilvl="1" w:tplc="71ECFF0C">
      <w:start w:val="1"/>
      <w:numFmt w:val="bullet"/>
      <w:lvlText w:val="–"/>
      <w:lvlJc w:val="left"/>
      <w:pPr>
        <w:tabs>
          <w:tab w:val="num" w:pos="1440"/>
        </w:tabs>
        <w:ind w:left="1440" w:hanging="360"/>
      </w:pPr>
      <w:rPr>
        <w:rFonts w:ascii="Arial" w:hAnsi="Arial" w:hint="default"/>
      </w:rPr>
    </w:lvl>
    <w:lvl w:ilvl="2" w:tplc="2A72D7D4" w:tentative="1">
      <w:start w:val="1"/>
      <w:numFmt w:val="bullet"/>
      <w:lvlText w:val="–"/>
      <w:lvlJc w:val="left"/>
      <w:pPr>
        <w:tabs>
          <w:tab w:val="num" w:pos="2160"/>
        </w:tabs>
        <w:ind w:left="2160" w:hanging="360"/>
      </w:pPr>
      <w:rPr>
        <w:rFonts w:ascii="Arial" w:hAnsi="Arial" w:hint="default"/>
      </w:rPr>
    </w:lvl>
    <w:lvl w:ilvl="3" w:tplc="79C6468A" w:tentative="1">
      <w:start w:val="1"/>
      <w:numFmt w:val="bullet"/>
      <w:lvlText w:val="–"/>
      <w:lvlJc w:val="left"/>
      <w:pPr>
        <w:tabs>
          <w:tab w:val="num" w:pos="2880"/>
        </w:tabs>
        <w:ind w:left="2880" w:hanging="360"/>
      </w:pPr>
      <w:rPr>
        <w:rFonts w:ascii="Arial" w:hAnsi="Arial" w:hint="default"/>
      </w:rPr>
    </w:lvl>
    <w:lvl w:ilvl="4" w:tplc="86A4B542" w:tentative="1">
      <w:start w:val="1"/>
      <w:numFmt w:val="bullet"/>
      <w:lvlText w:val="–"/>
      <w:lvlJc w:val="left"/>
      <w:pPr>
        <w:tabs>
          <w:tab w:val="num" w:pos="3600"/>
        </w:tabs>
        <w:ind w:left="3600" w:hanging="360"/>
      </w:pPr>
      <w:rPr>
        <w:rFonts w:ascii="Arial" w:hAnsi="Arial" w:hint="default"/>
      </w:rPr>
    </w:lvl>
    <w:lvl w:ilvl="5" w:tplc="44A28C7C" w:tentative="1">
      <w:start w:val="1"/>
      <w:numFmt w:val="bullet"/>
      <w:lvlText w:val="–"/>
      <w:lvlJc w:val="left"/>
      <w:pPr>
        <w:tabs>
          <w:tab w:val="num" w:pos="4320"/>
        </w:tabs>
        <w:ind w:left="4320" w:hanging="360"/>
      </w:pPr>
      <w:rPr>
        <w:rFonts w:ascii="Arial" w:hAnsi="Arial" w:hint="default"/>
      </w:rPr>
    </w:lvl>
    <w:lvl w:ilvl="6" w:tplc="1AB01B6A" w:tentative="1">
      <w:start w:val="1"/>
      <w:numFmt w:val="bullet"/>
      <w:lvlText w:val="–"/>
      <w:lvlJc w:val="left"/>
      <w:pPr>
        <w:tabs>
          <w:tab w:val="num" w:pos="5040"/>
        </w:tabs>
        <w:ind w:left="5040" w:hanging="360"/>
      </w:pPr>
      <w:rPr>
        <w:rFonts w:ascii="Arial" w:hAnsi="Arial" w:hint="default"/>
      </w:rPr>
    </w:lvl>
    <w:lvl w:ilvl="7" w:tplc="38B6264E" w:tentative="1">
      <w:start w:val="1"/>
      <w:numFmt w:val="bullet"/>
      <w:lvlText w:val="–"/>
      <w:lvlJc w:val="left"/>
      <w:pPr>
        <w:tabs>
          <w:tab w:val="num" w:pos="5760"/>
        </w:tabs>
        <w:ind w:left="5760" w:hanging="360"/>
      </w:pPr>
      <w:rPr>
        <w:rFonts w:ascii="Arial" w:hAnsi="Arial" w:hint="default"/>
      </w:rPr>
    </w:lvl>
    <w:lvl w:ilvl="8" w:tplc="E13AF670" w:tentative="1">
      <w:start w:val="1"/>
      <w:numFmt w:val="bullet"/>
      <w:lvlText w:val="–"/>
      <w:lvlJc w:val="left"/>
      <w:pPr>
        <w:tabs>
          <w:tab w:val="num" w:pos="6480"/>
        </w:tabs>
        <w:ind w:left="6480" w:hanging="360"/>
      </w:pPr>
      <w:rPr>
        <w:rFonts w:ascii="Arial" w:hAnsi="Arial"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5"/>
  </w:num>
  <w:num w:numId="14">
    <w:abstractNumId w:val="20"/>
  </w:num>
  <w:num w:numId="15">
    <w:abstractNumId w:val="22"/>
  </w:num>
  <w:num w:numId="16">
    <w:abstractNumId w:val="21"/>
  </w:num>
  <w:num w:numId="17">
    <w:abstractNumId w:val="14"/>
  </w:num>
  <w:num w:numId="18">
    <w:abstractNumId w:val="15"/>
    <w:lvlOverride w:ilvl="0">
      <w:startOverride w:val="1"/>
    </w:lvlOverride>
  </w:num>
  <w:num w:numId="19">
    <w:abstractNumId w:val="18"/>
  </w:num>
  <w:num w:numId="20">
    <w:abstractNumId w:val="17"/>
  </w:num>
  <w:num w:numId="21">
    <w:abstractNumId w:val="16"/>
  </w:num>
  <w:num w:numId="22">
    <w:abstractNumId w:val="10"/>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2A9A"/>
    <w:rsid w:val="00065058"/>
    <w:rsid w:val="00086C39"/>
    <w:rsid w:val="000A03B2"/>
    <w:rsid w:val="000D34BE"/>
    <w:rsid w:val="000D568F"/>
    <w:rsid w:val="000E08C9"/>
    <w:rsid w:val="000E102F"/>
    <w:rsid w:val="000E1D16"/>
    <w:rsid w:val="000E36F1"/>
    <w:rsid w:val="000E3A73"/>
    <w:rsid w:val="000E414A"/>
    <w:rsid w:val="000F093C"/>
    <w:rsid w:val="000F787B"/>
    <w:rsid w:val="00106617"/>
    <w:rsid w:val="0012091F"/>
    <w:rsid w:val="00126BC2"/>
    <w:rsid w:val="001308B6"/>
    <w:rsid w:val="0013121F"/>
    <w:rsid w:val="00131FE6"/>
    <w:rsid w:val="0013263F"/>
    <w:rsid w:val="00134DE4"/>
    <w:rsid w:val="0014034D"/>
    <w:rsid w:val="001413B2"/>
    <w:rsid w:val="0014464F"/>
    <w:rsid w:val="00150E59"/>
    <w:rsid w:val="00152DE3"/>
    <w:rsid w:val="0016498E"/>
    <w:rsid w:val="00164CF9"/>
    <w:rsid w:val="00184AD6"/>
    <w:rsid w:val="001A5B78"/>
    <w:rsid w:val="001B0349"/>
    <w:rsid w:val="001B65C1"/>
    <w:rsid w:val="001C684B"/>
    <w:rsid w:val="001D2A14"/>
    <w:rsid w:val="001D53FC"/>
    <w:rsid w:val="001E1AD9"/>
    <w:rsid w:val="001E5E27"/>
    <w:rsid w:val="001F42A5"/>
    <w:rsid w:val="001F7B9D"/>
    <w:rsid w:val="002224B4"/>
    <w:rsid w:val="00223675"/>
    <w:rsid w:val="002447EF"/>
    <w:rsid w:val="00251550"/>
    <w:rsid w:val="00263B05"/>
    <w:rsid w:val="0027221A"/>
    <w:rsid w:val="00275B61"/>
    <w:rsid w:val="00282656"/>
    <w:rsid w:val="00296B83"/>
    <w:rsid w:val="002B1A8B"/>
    <w:rsid w:val="002B78CE"/>
    <w:rsid w:val="002C2FB6"/>
    <w:rsid w:val="002C370D"/>
    <w:rsid w:val="002D2DFA"/>
    <w:rsid w:val="002D5C9E"/>
    <w:rsid w:val="002E5836"/>
    <w:rsid w:val="003009B7"/>
    <w:rsid w:val="00300E56"/>
    <w:rsid w:val="0030469C"/>
    <w:rsid w:val="00307DA9"/>
    <w:rsid w:val="003108BE"/>
    <w:rsid w:val="00321CA6"/>
    <w:rsid w:val="00331E39"/>
    <w:rsid w:val="00334C09"/>
    <w:rsid w:val="003723D4"/>
    <w:rsid w:val="00383F4B"/>
    <w:rsid w:val="00384CC8"/>
    <w:rsid w:val="003871FD"/>
    <w:rsid w:val="003A1E30"/>
    <w:rsid w:val="003A7D1C"/>
    <w:rsid w:val="003B0735"/>
    <w:rsid w:val="003B304B"/>
    <w:rsid w:val="003B3146"/>
    <w:rsid w:val="003B3816"/>
    <w:rsid w:val="003F015E"/>
    <w:rsid w:val="00400414"/>
    <w:rsid w:val="0041446B"/>
    <w:rsid w:val="004263B6"/>
    <w:rsid w:val="0044329C"/>
    <w:rsid w:val="004577FE"/>
    <w:rsid w:val="00457B9C"/>
    <w:rsid w:val="0046164A"/>
    <w:rsid w:val="004628D2"/>
    <w:rsid w:val="00462DCD"/>
    <w:rsid w:val="004648AD"/>
    <w:rsid w:val="004703A9"/>
    <w:rsid w:val="004760DE"/>
    <w:rsid w:val="004A004E"/>
    <w:rsid w:val="004A24CF"/>
    <w:rsid w:val="004A5C62"/>
    <w:rsid w:val="004B31F4"/>
    <w:rsid w:val="004C3D1D"/>
    <w:rsid w:val="004C7913"/>
    <w:rsid w:val="004E499C"/>
    <w:rsid w:val="004E4DD6"/>
    <w:rsid w:val="004E5014"/>
    <w:rsid w:val="004F5E36"/>
    <w:rsid w:val="0050386B"/>
    <w:rsid w:val="00507B47"/>
    <w:rsid w:val="00507CC9"/>
    <w:rsid w:val="005119A5"/>
    <w:rsid w:val="005278B7"/>
    <w:rsid w:val="00532016"/>
    <w:rsid w:val="005346C8"/>
    <w:rsid w:val="00543E7D"/>
    <w:rsid w:val="00547A68"/>
    <w:rsid w:val="005531C9"/>
    <w:rsid w:val="0057315E"/>
    <w:rsid w:val="005B2110"/>
    <w:rsid w:val="005B35A2"/>
    <w:rsid w:val="005B61E6"/>
    <w:rsid w:val="005C77E1"/>
    <w:rsid w:val="005D6A2F"/>
    <w:rsid w:val="005E1A82"/>
    <w:rsid w:val="005E794C"/>
    <w:rsid w:val="005F0A28"/>
    <w:rsid w:val="005F0E5E"/>
    <w:rsid w:val="005F6E54"/>
    <w:rsid w:val="00600535"/>
    <w:rsid w:val="00610CD6"/>
    <w:rsid w:val="00611F40"/>
    <w:rsid w:val="00620C11"/>
    <w:rsid w:val="00620DEE"/>
    <w:rsid w:val="00621F92"/>
    <w:rsid w:val="00625639"/>
    <w:rsid w:val="00631B33"/>
    <w:rsid w:val="00634379"/>
    <w:rsid w:val="0064184D"/>
    <w:rsid w:val="00660E3E"/>
    <w:rsid w:val="00662E74"/>
    <w:rsid w:val="00680C23"/>
    <w:rsid w:val="00693766"/>
    <w:rsid w:val="006A3281"/>
    <w:rsid w:val="006B4888"/>
    <w:rsid w:val="006C2E45"/>
    <w:rsid w:val="006C359C"/>
    <w:rsid w:val="006C5579"/>
    <w:rsid w:val="006E737D"/>
    <w:rsid w:val="00715F10"/>
    <w:rsid w:val="00720A24"/>
    <w:rsid w:val="00732386"/>
    <w:rsid w:val="00733E36"/>
    <w:rsid w:val="007447F3"/>
    <w:rsid w:val="0075499F"/>
    <w:rsid w:val="007574F9"/>
    <w:rsid w:val="007661C8"/>
    <w:rsid w:val="0077098D"/>
    <w:rsid w:val="007A7BBA"/>
    <w:rsid w:val="007B0940"/>
    <w:rsid w:val="007B0C50"/>
    <w:rsid w:val="007B4B27"/>
    <w:rsid w:val="007C1A43"/>
    <w:rsid w:val="007F5802"/>
    <w:rsid w:val="007F685D"/>
    <w:rsid w:val="00813288"/>
    <w:rsid w:val="008168FC"/>
    <w:rsid w:val="00830996"/>
    <w:rsid w:val="008345F1"/>
    <w:rsid w:val="00835C45"/>
    <w:rsid w:val="008644F4"/>
    <w:rsid w:val="00865B07"/>
    <w:rsid w:val="008667EA"/>
    <w:rsid w:val="00873D70"/>
    <w:rsid w:val="0087637F"/>
    <w:rsid w:val="00886688"/>
    <w:rsid w:val="00892AD5"/>
    <w:rsid w:val="008A1512"/>
    <w:rsid w:val="008C1C0E"/>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72AF4"/>
    <w:rsid w:val="00996483"/>
    <w:rsid w:val="00996F5A"/>
    <w:rsid w:val="009B041A"/>
    <w:rsid w:val="009C7C86"/>
    <w:rsid w:val="009D2FF7"/>
    <w:rsid w:val="009E29A8"/>
    <w:rsid w:val="009E7884"/>
    <w:rsid w:val="009E788A"/>
    <w:rsid w:val="009F0E08"/>
    <w:rsid w:val="009F7F64"/>
    <w:rsid w:val="00A1763D"/>
    <w:rsid w:val="00A17CEC"/>
    <w:rsid w:val="00A24E2D"/>
    <w:rsid w:val="00A27EF0"/>
    <w:rsid w:val="00A50B20"/>
    <w:rsid w:val="00A512D5"/>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47D4F"/>
    <w:rsid w:val="00B57B36"/>
    <w:rsid w:val="00B604EF"/>
    <w:rsid w:val="00B8686D"/>
    <w:rsid w:val="00BC30C9"/>
    <w:rsid w:val="00BE3E58"/>
    <w:rsid w:val="00C01616"/>
    <w:rsid w:val="00C0162B"/>
    <w:rsid w:val="00C27A9E"/>
    <w:rsid w:val="00C345B1"/>
    <w:rsid w:val="00C40142"/>
    <w:rsid w:val="00C46DAB"/>
    <w:rsid w:val="00C57182"/>
    <w:rsid w:val="00C57863"/>
    <w:rsid w:val="00C655FD"/>
    <w:rsid w:val="00C71FB5"/>
    <w:rsid w:val="00C870A8"/>
    <w:rsid w:val="00C94434"/>
    <w:rsid w:val="00CA0D75"/>
    <w:rsid w:val="00CA1C95"/>
    <w:rsid w:val="00CA2892"/>
    <w:rsid w:val="00CA5A9C"/>
    <w:rsid w:val="00CD5FE2"/>
    <w:rsid w:val="00CE7C68"/>
    <w:rsid w:val="00D02B4C"/>
    <w:rsid w:val="00D040C4"/>
    <w:rsid w:val="00D57C84"/>
    <w:rsid w:val="00D6057D"/>
    <w:rsid w:val="00D71A8B"/>
    <w:rsid w:val="00D72B21"/>
    <w:rsid w:val="00D84576"/>
    <w:rsid w:val="00D9275A"/>
    <w:rsid w:val="00D979D3"/>
    <w:rsid w:val="00DA1399"/>
    <w:rsid w:val="00DA24C6"/>
    <w:rsid w:val="00DA4D7B"/>
    <w:rsid w:val="00DB68B9"/>
    <w:rsid w:val="00DD05C5"/>
    <w:rsid w:val="00DE264A"/>
    <w:rsid w:val="00E02D18"/>
    <w:rsid w:val="00E041E7"/>
    <w:rsid w:val="00E23CA1"/>
    <w:rsid w:val="00E409A8"/>
    <w:rsid w:val="00E50C12"/>
    <w:rsid w:val="00E53E7D"/>
    <w:rsid w:val="00E63607"/>
    <w:rsid w:val="00E65B91"/>
    <w:rsid w:val="00E7209D"/>
    <w:rsid w:val="00E77223"/>
    <w:rsid w:val="00E8528B"/>
    <w:rsid w:val="00E85B94"/>
    <w:rsid w:val="00E978D0"/>
    <w:rsid w:val="00EA1B57"/>
    <w:rsid w:val="00EA4613"/>
    <w:rsid w:val="00EA7F91"/>
    <w:rsid w:val="00EB1523"/>
    <w:rsid w:val="00EC0E49"/>
    <w:rsid w:val="00ED0AF1"/>
    <w:rsid w:val="00EE0131"/>
    <w:rsid w:val="00EF2394"/>
    <w:rsid w:val="00EF7C5F"/>
    <w:rsid w:val="00F045AD"/>
    <w:rsid w:val="00F30C64"/>
    <w:rsid w:val="00F32CDB"/>
    <w:rsid w:val="00F63A70"/>
    <w:rsid w:val="00FA21D0"/>
    <w:rsid w:val="00FA3DA8"/>
    <w:rsid w:val="00FA5F5F"/>
    <w:rsid w:val="00FB730C"/>
    <w:rsid w:val="00FC2695"/>
    <w:rsid w:val="00FC3E03"/>
    <w:rsid w:val="00FC3FC1"/>
    <w:rsid w:val="00FD5BDF"/>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converted-space">
    <w:name w:val="apple-converted-space"/>
    <w:basedOn w:val="Fuentedeprrafopredeter"/>
    <w:rsid w:val="003108BE"/>
  </w:style>
  <w:style w:type="paragraph" w:styleId="Prrafodelista">
    <w:name w:val="List Paragraph"/>
    <w:basedOn w:val="Normal"/>
    <w:uiPriority w:val="34"/>
    <w:qFormat/>
    <w:rsid w:val="00D72B21"/>
    <w:pPr>
      <w:tabs>
        <w:tab w:val="clear" w:pos="7100"/>
      </w:tabs>
      <w:spacing w:line="240" w:lineRule="auto"/>
      <w:ind w:left="720"/>
      <w:contextualSpacing/>
      <w:jc w:val="left"/>
    </w:pPr>
    <w:rPr>
      <w:rFonts w:ascii="Times New Roman" w:hAnsi="Times New Roman"/>
      <w:sz w:val="24"/>
      <w:szCs w:val="24"/>
      <w:lang w:val="es-CO" w:eastAsia="es-CO"/>
    </w:rPr>
  </w:style>
  <w:style w:type="character" w:customStyle="1" w:styleId="info">
    <w:name w:val="info"/>
    <w:basedOn w:val="Fuentedeprrafopredeter"/>
    <w:rsid w:val="002D2DFA"/>
  </w:style>
  <w:style w:type="paragraph" w:customStyle="1" w:styleId="Default">
    <w:name w:val="Default"/>
    <w:rsid w:val="00B47D4F"/>
    <w:pPr>
      <w:autoSpaceDE w:val="0"/>
      <w:autoSpaceDN w:val="0"/>
      <w:adjustRightInd w:val="0"/>
      <w:spacing w:after="0" w:line="240" w:lineRule="auto"/>
    </w:pPr>
    <w:rPr>
      <w:rFonts w:ascii="Arial" w:hAnsi="Arial" w:cs="Arial"/>
      <w:color w:val="000000"/>
      <w:sz w:val="24"/>
      <w:szCs w:val="24"/>
      <w:lang w:val="es-CO"/>
    </w:rPr>
  </w:style>
  <w:style w:type="paragraph" w:customStyle="1" w:styleId="CET-table-title">
    <w:name w:val="CET-table-title"/>
    <w:rsid w:val="004B31F4"/>
    <w:pPr>
      <w:keepNext/>
      <w:spacing w:before="240" w:after="80" w:line="240" w:lineRule="exact"/>
    </w:pPr>
    <w:rPr>
      <w:rFonts w:ascii="Arial" w:eastAsia="Times New Roman" w:hAnsi="Arial" w:cs="Times New Roman"/>
      <w:i/>
      <w:sz w:val="18"/>
      <w:szCs w:val="20"/>
      <w:lang w:val="en-US"/>
    </w:rPr>
  </w:style>
  <w:style w:type="character" w:customStyle="1" w:styleId="selectable">
    <w:name w:val="selectable"/>
    <w:basedOn w:val="Fuentedeprrafopredeter"/>
    <w:rsid w:val="001D2A14"/>
  </w:style>
  <w:style w:type="character" w:styleId="Textoennegrita">
    <w:name w:val="Strong"/>
    <w:basedOn w:val="Fuentedeprrafopredeter"/>
    <w:uiPriority w:val="22"/>
    <w:qFormat/>
    <w:rsid w:val="002B1A8B"/>
    <w:rPr>
      <w:b/>
      <w:bCs/>
    </w:rPr>
  </w:style>
  <w:style w:type="character" w:customStyle="1" w:styleId="publication-metatype">
    <w:name w:val="publication-meta__type"/>
    <w:basedOn w:val="Fuentedeprrafopredeter"/>
    <w:rsid w:val="002B1A8B"/>
  </w:style>
  <w:style w:type="character" w:styleId="nfasis">
    <w:name w:val="Emphasis"/>
    <w:basedOn w:val="Fuentedeprrafopredeter"/>
    <w:uiPriority w:val="20"/>
    <w:qFormat/>
    <w:rsid w:val="002B1A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converted-space">
    <w:name w:val="apple-converted-space"/>
    <w:basedOn w:val="Fuentedeprrafopredeter"/>
    <w:rsid w:val="003108BE"/>
  </w:style>
  <w:style w:type="paragraph" w:styleId="Prrafodelista">
    <w:name w:val="List Paragraph"/>
    <w:basedOn w:val="Normal"/>
    <w:uiPriority w:val="34"/>
    <w:qFormat/>
    <w:rsid w:val="00D72B21"/>
    <w:pPr>
      <w:tabs>
        <w:tab w:val="clear" w:pos="7100"/>
      </w:tabs>
      <w:spacing w:line="240" w:lineRule="auto"/>
      <w:ind w:left="720"/>
      <w:contextualSpacing/>
      <w:jc w:val="left"/>
    </w:pPr>
    <w:rPr>
      <w:rFonts w:ascii="Times New Roman" w:hAnsi="Times New Roman"/>
      <w:sz w:val="24"/>
      <w:szCs w:val="24"/>
      <w:lang w:val="es-CO" w:eastAsia="es-CO"/>
    </w:rPr>
  </w:style>
  <w:style w:type="character" w:customStyle="1" w:styleId="info">
    <w:name w:val="info"/>
    <w:basedOn w:val="Fuentedeprrafopredeter"/>
    <w:rsid w:val="002D2DFA"/>
  </w:style>
  <w:style w:type="paragraph" w:customStyle="1" w:styleId="Default">
    <w:name w:val="Default"/>
    <w:rsid w:val="00B47D4F"/>
    <w:pPr>
      <w:autoSpaceDE w:val="0"/>
      <w:autoSpaceDN w:val="0"/>
      <w:adjustRightInd w:val="0"/>
      <w:spacing w:after="0" w:line="240" w:lineRule="auto"/>
    </w:pPr>
    <w:rPr>
      <w:rFonts w:ascii="Arial" w:hAnsi="Arial" w:cs="Arial"/>
      <w:color w:val="000000"/>
      <w:sz w:val="24"/>
      <w:szCs w:val="24"/>
      <w:lang w:val="es-CO"/>
    </w:rPr>
  </w:style>
  <w:style w:type="paragraph" w:customStyle="1" w:styleId="CET-table-title">
    <w:name w:val="CET-table-title"/>
    <w:rsid w:val="004B31F4"/>
    <w:pPr>
      <w:keepNext/>
      <w:spacing w:before="240" w:after="80" w:line="240" w:lineRule="exact"/>
    </w:pPr>
    <w:rPr>
      <w:rFonts w:ascii="Arial" w:eastAsia="Times New Roman" w:hAnsi="Arial" w:cs="Times New Roman"/>
      <w:i/>
      <w:sz w:val="18"/>
      <w:szCs w:val="20"/>
      <w:lang w:val="en-US"/>
    </w:rPr>
  </w:style>
  <w:style w:type="character" w:customStyle="1" w:styleId="selectable">
    <w:name w:val="selectable"/>
    <w:basedOn w:val="Fuentedeprrafopredeter"/>
    <w:rsid w:val="001D2A14"/>
  </w:style>
  <w:style w:type="character" w:styleId="Textoennegrita">
    <w:name w:val="Strong"/>
    <w:basedOn w:val="Fuentedeprrafopredeter"/>
    <w:uiPriority w:val="22"/>
    <w:qFormat/>
    <w:rsid w:val="002B1A8B"/>
    <w:rPr>
      <w:b/>
      <w:bCs/>
    </w:rPr>
  </w:style>
  <w:style w:type="character" w:customStyle="1" w:styleId="publication-metatype">
    <w:name w:val="publication-meta__type"/>
    <w:basedOn w:val="Fuentedeprrafopredeter"/>
    <w:rsid w:val="002B1A8B"/>
  </w:style>
  <w:style w:type="character" w:styleId="nfasis">
    <w:name w:val="Emphasis"/>
    <w:basedOn w:val="Fuentedeprrafopredeter"/>
    <w:uiPriority w:val="20"/>
    <w:qFormat/>
    <w:rsid w:val="002B1A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355">
      <w:bodyDiv w:val="1"/>
      <w:marLeft w:val="0"/>
      <w:marRight w:val="0"/>
      <w:marTop w:val="0"/>
      <w:marBottom w:val="0"/>
      <w:divBdr>
        <w:top w:val="none" w:sz="0" w:space="0" w:color="auto"/>
        <w:left w:val="none" w:sz="0" w:space="0" w:color="auto"/>
        <w:bottom w:val="none" w:sz="0" w:space="0" w:color="auto"/>
        <w:right w:val="none" w:sz="0" w:space="0" w:color="auto"/>
      </w:divBdr>
    </w:div>
    <w:div w:id="415517237">
      <w:bodyDiv w:val="1"/>
      <w:marLeft w:val="0"/>
      <w:marRight w:val="0"/>
      <w:marTop w:val="0"/>
      <w:marBottom w:val="0"/>
      <w:divBdr>
        <w:top w:val="none" w:sz="0" w:space="0" w:color="auto"/>
        <w:left w:val="none" w:sz="0" w:space="0" w:color="auto"/>
        <w:bottom w:val="none" w:sz="0" w:space="0" w:color="auto"/>
        <w:right w:val="none" w:sz="0" w:space="0" w:color="auto"/>
      </w:divBdr>
    </w:div>
    <w:div w:id="573784875">
      <w:bodyDiv w:val="1"/>
      <w:marLeft w:val="0"/>
      <w:marRight w:val="0"/>
      <w:marTop w:val="0"/>
      <w:marBottom w:val="0"/>
      <w:divBdr>
        <w:top w:val="none" w:sz="0" w:space="0" w:color="auto"/>
        <w:left w:val="none" w:sz="0" w:space="0" w:color="auto"/>
        <w:bottom w:val="none" w:sz="0" w:space="0" w:color="auto"/>
        <w:right w:val="none" w:sz="0" w:space="0" w:color="auto"/>
      </w:divBdr>
    </w:div>
    <w:div w:id="7044490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3341">
      <w:bodyDiv w:val="1"/>
      <w:marLeft w:val="0"/>
      <w:marRight w:val="0"/>
      <w:marTop w:val="0"/>
      <w:marBottom w:val="0"/>
      <w:divBdr>
        <w:top w:val="none" w:sz="0" w:space="0" w:color="auto"/>
        <w:left w:val="none" w:sz="0" w:space="0" w:color="auto"/>
        <w:bottom w:val="none" w:sz="0" w:space="0" w:color="auto"/>
        <w:right w:val="none" w:sz="0" w:space="0" w:color="auto"/>
      </w:divBdr>
    </w:div>
    <w:div w:id="167302589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aldrich.com/catalog/search?term=75-09-2&amp;interface=CAS%20No.&amp;lang=en&amp;region=US&amp;focus=product" TargetMode="Externa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40FE-108A-4FB1-BD29-D0095345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2986</Words>
  <Characters>16427</Characters>
  <Application>Microsoft Office Word</Application>
  <DocSecurity>0</DocSecurity>
  <Lines>136</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Aleida</cp:lastModifiedBy>
  <cp:revision>2</cp:revision>
  <cp:lastPrinted>2015-05-12T18:31:00Z</cp:lastPrinted>
  <dcterms:created xsi:type="dcterms:W3CDTF">2019-04-15T07:16:00Z</dcterms:created>
  <dcterms:modified xsi:type="dcterms:W3CDTF">2019-04-15T07:16:00Z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