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1843"/>
      </w:tblGrid>
      <w:tr w:rsidR="000A03B2" w:rsidRPr="00B57B36" w14:paraId="2CFD419D" w14:textId="77777777">
        <w:trPr>
          <w:trHeight w:val="852"/>
          <w:jc w:val="center"/>
        </w:trPr>
        <w:tc>
          <w:tcPr>
            <w:tcW w:w="6946" w:type="dxa"/>
            <w:vMerge w:val="restart"/>
            <w:tcBorders>
              <w:right w:val="single" w:sz="4" w:space="0" w:color="auto"/>
            </w:tcBorders>
          </w:tcPr>
          <w:p w14:paraId="2CFD4199" w14:textId="77777777" w:rsidR="000A03B2" w:rsidRPr="00B57B36" w:rsidRDefault="000A03B2" w:rsidP="00DE264A">
            <w:pPr>
              <w:tabs>
                <w:tab w:val="left" w:pos="-108"/>
              </w:tabs>
              <w:ind w:left="-108"/>
              <w:jc w:val="left"/>
              <w:rPr>
                <w:rFonts w:cs="Arial"/>
                <w:b/>
                <w:bCs/>
                <w:i/>
                <w:iCs/>
                <w:color w:val="000066"/>
                <w:sz w:val="12"/>
                <w:szCs w:val="12"/>
                <w:lang w:eastAsia="it-IT"/>
              </w:rPr>
            </w:pPr>
            <w:r w:rsidRPr="00B57B36">
              <w:rPr>
                <w:rFonts w:ascii="AdvP6960" w:hAnsi="AdvP6960" w:cs="AdvP6960"/>
                <w:noProof/>
                <w:color w:val="241F20"/>
                <w:szCs w:val="18"/>
                <w:lang w:val="pt-BR" w:eastAsia="pt-BR"/>
              </w:rPr>
              <w:drawing>
                <wp:inline distT="0" distB="0" distL="0" distR="0" wp14:anchorId="2CFD4270" wp14:editId="2CFD4271">
                  <wp:extent cx="640080" cy="373380"/>
                  <wp:effectExtent l="0" t="0" r="7620" b="7620"/>
                  <wp:docPr id="5" name="Immagine 5" descr="cet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et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7B36">
              <w:rPr>
                <w:rFonts w:ascii="AdvP6960" w:hAnsi="AdvP6960" w:cs="AdvP6960"/>
                <w:color w:val="241F20"/>
                <w:szCs w:val="18"/>
                <w:lang w:eastAsia="it-IT"/>
              </w:rPr>
              <w:t xml:space="preserve"> </w:t>
            </w:r>
            <w:r w:rsidRPr="00B57B36">
              <w:rPr>
                <w:rFonts w:cs="Arial"/>
                <w:b/>
                <w:bCs/>
                <w:i/>
                <w:iCs/>
                <w:color w:val="000066"/>
                <w:sz w:val="24"/>
                <w:szCs w:val="24"/>
                <w:lang w:eastAsia="it-IT"/>
              </w:rPr>
              <w:t>CHEMICAL ENGINEERING</w:t>
            </w:r>
            <w:r w:rsidRPr="00B57B36">
              <w:rPr>
                <w:rFonts w:cs="Arial"/>
                <w:b/>
                <w:bCs/>
                <w:i/>
                <w:iCs/>
                <w:color w:val="0033FF"/>
                <w:sz w:val="24"/>
                <w:szCs w:val="24"/>
                <w:lang w:eastAsia="it-IT"/>
              </w:rPr>
              <w:t xml:space="preserve"> </w:t>
            </w:r>
            <w:r w:rsidRPr="00B57B36">
              <w:rPr>
                <w:rFonts w:cs="Arial"/>
                <w:b/>
                <w:bCs/>
                <w:i/>
                <w:iCs/>
                <w:color w:val="666666"/>
                <w:sz w:val="24"/>
                <w:szCs w:val="24"/>
                <w:lang w:eastAsia="it-IT"/>
              </w:rPr>
              <w:t>TRANSACTIONS</w:t>
            </w:r>
            <w:r w:rsidRPr="00B57B36">
              <w:rPr>
                <w:color w:val="333333"/>
                <w:sz w:val="24"/>
                <w:szCs w:val="24"/>
                <w:lang w:eastAsia="it-IT"/>
              </w:rPr>
              <w:t xml:space="preserve"> </w:t>
            </w:r>
            <w:r w:rsidRPr="00B57B36">
              <w:rPr>
                <w:rFonts w:cs="Arial"/>
                <w:b/>
                <w:bCs/>
                <w:i/>
                <w:iCs/>
                <w:color w:val="000066"/>
                <w:sz w:val="27"/>
                <w:szCs w:val="27"/>
                <w:lang w:eastAsia="it-IT"/>
              </w:rPr>
              <w:br/>
            </w:r>
          </w:p>
          <w:p w14:paraId="2CFD419A" w14:textId="77777777" w:rsidR="000A03B2" w:rsidRPr="00B57B36" w:rsidRDefault="00A76EFC" w:rsidP="009635B9">
            <w:pPr>
              <w:tabs>
                <w:tab w:val="left" w:pos="-108"/>
              </w:tabs>
              <w:ind w:left="-108"/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</w:pPr>
            <w:r w:rsidRPr="00B57B36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 xml:space="preserve">VOL. </w:t>
            </w:r>
            <w:r w:rsidR="007931FA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7</w:t>
            </w:r>
            <w:r w:rsidR="009635B9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6</w:t>
            </w:r>
            <w:r w:rsidR="00FA5F5F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, 201</w:t>
            </w:r>
            <w:r w:rsidR="007931FA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FD419B" w14:textId="77777777" w:rsidR="000A03B2" w:rsidRPr="00B57B36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B57B36">
              <w:rPr>
                <w:rFonts w:cs="Arial"/>
                <w:sz w:val="14"/>
                <w:szCs w:val="14"/>
              </w:rPr>
              <w:t>A publication of</w:t>
            </w:r>
          </w:p>
          <w:p w14:paraId="2CFD419C" w14:textId="77777777" w:rsidR="000A03B2" w:rsidRPr="00B57B36" w:rsidRDefault="000A03B2" w:rsidP="00CD5FE2">
            <w:pPr>
              <w:jc w:val="right"/>
            </w:pPr>
            <w:r w:rsidRPr="00B57B36">
              <w:rPr>
                <w:noProof/>
                <w:lang w:val="pt-BR" w:eastAsia="pt-BR"/>
              </w:rPr>
              <w:drawing>
                <wp:inline distT="0" distB="0" distL="0" distR="0" wp14:anchorId="2CFD4272" wp14:editId="2CFD4273">
                  <wp:extent cx="670560" cy="358140"/>
                  <wp:effectExtent l="0" t="0" r="0" b="3810"/>
                  <wp:docPr id="6" name="Immagine 6" descr="aidiclogo_gra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idiclogo_gra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3B2" w:rsidRPr="00B57B36" w14:paraId="2CFD41A2" w14:textId="77777777">
        <w:trPr>
          <w:trHeight w:val="567"/>
          <w:jc w:val="center"/>
        </w:trPr>
        <w:tc>
          <w:tcPr>
            <w:tcW w:w="6946" w:type="dxa"/>
            <w:vMerge/>
            <w:tcBorders>
              <w:right w:val="single" w:sz="4" w:space="0" w:color="auto"/>
            </w:tcBorders>
          </w:tcPr>
          <w:p w14:paraId="2CFD419E" w14:textId="77777777" w:rsidR="000A03B2" w:rsidRPr="00B57B36" w:rsidRDefault="000A03B2" w:rsidP="00CD5FE2">
            <w:pPr>
              <w:tabs>
                <w:tab w:val="left" w:pos="-108"/>
              </w:tabs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FD419F" w14:textId="77777777" w:rsidR="000A03B2" w:rsidRPr="00B57B36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B57B36">
              <w:rPr>
                <w:rFonts w:cs="Arial"/>
                <w:sz w:val="14"/>
                <w:szCs w:val="14"/>
              </w:rPr>
              <w:t>The Italian Association</w:t>
            </w:r>
          </w:p>
          <w:p w14:paraId="2CFD41A0" w14:textId="77777777" w:rsidR="000A03B2" w:rsidRPr="00B57B36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B57B36">
              <w:rPr>
                <w:rFonts w:cs="Arial"/>
                <w:sz w:val="14"/>
                <w:szCs w:val="14"/>
              </w:rPr>
              <w:t>of Chemical Engineering</w:t>
            </w:r>
          </w:p>
          <w:p w14:paraId="2CFD41A1" w14:textId="77777777" w:rsidR="000A03B2" w:rsidRPr="00B57B36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B57B36">
              <w:rPr>
                <w:rFonts w:cs="Arial"/>
                <w:sz w:val="14"/>
                <w:szCs w:val="14"/>
              </w:rPr>
              <w:t xml:space="preserve">Online at </w:t>
            </w:r>
            <w:r w:rsidR="00892AD5" w:rsidRPr="00963E05">
              <w:rPr>
                <w:rFonts w:cs="Arial"/>
                <w:sz w:val="14"/>
                <w:szCs w:val="14"/>
              </w:rPr>
              <w:t>www.aidic.it/cet</w:t>
            </w:r>
          </w:p>
        </w:tc>
      </w:tr>
      <w:tr w:rsidR="000A03B2" w:rsidRPr="00B57B36" w14:paraId="2CFD41A5" w14:textId="77777777">
        <w:trPr>
          <w:trHeight w:val="68"/>
          <w:jc w:val="center"/>
        </w:trPr>
        <w:tc>
          <w:tcPr>
            <w:tcW w:w="8789" w:type="dxa"/>
            <w:gridSpan w:val="2"/>
          </w:tcPr>
          <w:p w14:paraId="2CFD41A3" w14:textId="77777777" w:rsidR="00300E56" w:rsidRPr="00252C1A" w:rsidRDefault="00300E56" w:rsidP="003365E3">
            <w:pPr>
              <w:ind w:left="-107"/>
              <w:rPr>
                <w:lang w:val="it-IT"/>
              </w:rPr>
            </w:pPr>
            <w:r w:rsidRPr="00252C1A">
              <w:rPr>
                <w:rFonts w:ascii="Tahoma" w:hAnsi="Tahoma" w:cs="Tahoma"/>
                <w:iCs/>
                <w:color w:val="333333"/>
                <w:sz w:val="14"/>
                <w:szCs w:val="14"/>
                <w:lang w:val="it-IT" w:eastAsia="it-IT"/>
              </w:rPr>
              <w:t>Guest Editors:</w:t>
            </w:r>
            <w:r w:rsidR="00904C62" w:rsidRPr="00252C1A">
              <w:rPr>
                <w:rFonts w:ascii="Tahoma" w:hAnsi="Tahoma" w:cs="Tahoma"/>
                <w:iCs/>
                <w:color w:val="333333"/>
                <w:sz w:val="14"/>
                <w:szCs w:val="14"/>
                <w:lang w:val="it-IT" w:eastAsia="it-IT"/>
              </w:rPr>
              <w:t xml:space="preserve"> </w:t>
            </w:r>
            <w:r w:rsidR="009635B9" w:rsidRPr="00252C1A">
              <w:rPr>
                <w:rFonts w:ascii="Tahoma" w:hAnsi="Tahoma" w:cs="Tahoma"/>
                <w:sz w:val="14"/>
                <w:szCs w:val="14"/>
                <w:lang w:val="it-IT"/>
              </w:rPr>
              <w:t>Sauro Pierucci,</w:t>
            </w:r>
            <w:r w:rsidR="003B60F3" w:rsidRPr="00252C1A">
              <w:rPr>
                <w:rFonts w:ascii="Tahoma" w:hAnsi="Tahoma" w:cs="Tahoma"/>
                <w:sz w:val="14"/>
                <w:szCs w:val="14"/>
                <w:lang w:val="it-IT"/>
              </w:rPr>
              <w:t xml:space="preserve"> </w:t>
            </w:r>
            <w:r w:rsidR="00047D7F" w:rsidRPr="00252C1A">
              <w:rPr>
                <w:rFonts w:ascii="Tahoma" w:hAnsi="Tahoma" w:cs="Tahoma"/>
                <w:sz w:val="14"/>
                <w:szCs w:val="14"/>
                <w:shd w:val="clear" w:color="auto" w:fill="FFFFFF"/>
                <w:lang w:val="it-IT"/>
              </w:rPr>
              <w:t>Jiří Jaromír Klemeš</w:t>
            </w:r>
            <w:r w:rsidR="00252C1A">
              <w:rPr>
                <w:rFonts w:ascii="Tahoma" w:hAnsi="Tahoma" w:cs="Tahoma"/>
                <w:sz w:val="14"/>
                <w:szCs w:val="14"/>
                <w:shd w:val="clear" w:color="auto" w:fill="FFFFFF"/>
                <w:lang w:val="it-IT"/>
              </w:rPr>
              <w:t>, Lau</w:t>
            </w:r>
            <w:r w:rsidR="00252C1A" w:rsidRPr="00252C1A">
              <w:rPr>
                <w:rFonts w:ascii="Tahoma" w:hAnsi="Tahoma" w:cs="Tahoma"/>
                <w:sz w:val="14"/>
                <w:szCs w:val="14"/>
                <w:shd w:val="clear" w:color="auto" w:fill="FFFFFF"/>
                <w:lang w:val="it-IT"/>
              </w:rPr>
              <w:t>ra Piazza</w:t>
            </w:r>
          </w:p>
          <w:p w14:paraId="2CFD41A4" w14:textId="77777777" w:rsidR="000A03B2" w:rsidRPr="00B57B36" w:rsidRDefault="00FA5F5F" w:rsidP="00131FAB">
            <w:pPr>
              <w:tabs>
                <w:tab w:val="left" w:pos="-108"/>
              </w:tabs>
              <w:spacing w:line="140" w:lineRule="atLeast"/>
              <w:ind w:left="-107"/>
              <w:jc w:val="left"/>
            </w:pPr>
            <w:r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Copyright © 201</w:t>
            </w:r>
            <w:r w:rsidR="007931FA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9</w:t>
            </w:r>
            <w:r w:rsidR="00904C62"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, AIDIC </w:t>
            </w:r>
            <w:proofErr w:type="spellStart"/>
            <w:r w:rsidR="00904C62"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Servizi</w:t>
            </w:r>
            <w:proofErr w:type="spellEnd"/>
            <w:r w:rsidR="00904C62"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="00904C62"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S.r.l</w:t>
            </w:r>
            <w:proofErr w:type="spellEnd"/>
            <w:r w:rsidR="00904C62"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.</w:t>
            </w:r>
            <w:r w:rsidR="00300E56"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br/>
            </w:r>
            <w:r w:rsidR="00300E56" w:rsidRPr="00B57B36">
              <w:rPr>
                <w:rFonts w:ascii="Tahoma" w:hAnsi="Tahoma" w:cs="Tahoma"/>
                <w:b/>
                <w:iCs/>
                <w:color w:val="000000"/>
                <w:sz w:val="14"/>
                <w:szCs w:val="14"/>
                <w:lang w:eastAsia="it-IT"/>
              </w:rPr>
              <w:t>ISBN</w:t>
            </w:r>
            <w:r w:rsidR="00300E56" w:rsidRPr="00B57B36">
              <w:rPr>
                <w:rFonts w:ascii="Tahoma" w:hAnsi="Tahoma" w:cs="Tahoma"/>
                <w:iCs/>
                <w:color w:val="000000"/>
                <w:sz w:val="14"/>
                <w:szCs w:val="14"/>
                <w:lang w:eastAsia="it-IT"/>
              </w:rPr>
              <w:t xml:space="preserve"> </w:t>
            </w:r>
            <w:r w:rsidR="008D32B9" w:rsidRPr="00131FAB">
              <w:rPr>
                <w:rFonts w:ascii="Tahoma" w:hAnsi="Tahoma" w:cs="Tahoma"/>
                <w:sz w:val="14"/>
                <w:szCs w:val="14"/>
              </w:rPr>
              <w:t>978-88-95608-</w:t>
            </w:r>
            <w:r w:rsidR="009635B9">
              <w:rPr>
                <w:rFonts w:ascii="Tahoma" w:hAnsi="Tahoma" w:cs="Tahoma"/>
                <w:sz w:val="14"/>
                <w:szCs w:val="14"/>
              </w:rPr>
              <w:t>73</w:t>
            </w:r>
            <w:r w:rsidR="008D32B9" w:rsidRPr="00131FAB">
              <w:rPr>
                <w:rFonts w:ascii="Tahoma" w:hAnsi="Tahoma" w:cs="Tahoma"/>
                <w:sz w:val="14"/>
                <w:szCs w:val="14"/>
              </w:rPr>
              <w:t>-</w:t>
            </w:r>
            <w:r w:rsidR="009635B9">
              <w:rPr>
                <w:rFonts w:ascii="Tahoma" w:hAnsi="Tahoma" w:cs="Tahoma"/>
                <w:sz w:val="14"/>
                <w:szCs w:val="14"/>
              </w:rPr>
              <w:t>0</w:t>
            </w:r>
            <w:r w:rsidR="00300E56" w:rsidRPr="00131FAB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;</w:t>
            </w:r>
            <w:r w:rsidR="00300E56"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 </w:t>
            </w:r>
            <w:r w:rsidR="00300E56" w:rsidRPr="00B57B36">
              <w:rPr>
                <w:rFonts w:ascii="Tahoma" w:hAnsi="Tahoma" w:cs="Tahoma"/>
                <w:b/>
                <w:iCs/>
                <w:color w:val="333333"/>
                <w:sz w:val="14"/>
                <w:szCs w:val="14"/>
                <w:lang w:eastAsia="it-IT"/>
              </w:rPr>
              <w:t>ISSN</w:t>
            </w:r>
            <w:r w:rsidR="00300E56"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 2283-9216</w:t>
            </w:r>
          </w:p>
        </w:tc>
      </w:tr>
    </w:tbl>
    <w:p w14:paraId="2CFD41A6" w14:textId="77777777" w:rsidR="000A03B2" w:rsidRPr="00B57B36" w:rsidRDefault="000A03B2" w:rsidP="000A03B2">
      <w:pPr>
        <w:pStyle w:val="CETAuthors"/>
        <w:sectPr w:rsidR="000A03B2" w:rsidRPr="00B57B36">
          <w:type w:val="continuous"/>
          <w:pgSz w:w="11906" w:h="16838" w:code="9"/>
          <w:pgMar w:top="1701" w:right="1418" w:bottom="1701" w:left="1701" w:header="1701" w:footer="0" w:gutter="0"/>
          <w:cols w:space="708"/>
          <w:titlePg/>
          <w:docGrid w:linePitch="360"/>
        </w:sectPr>
      </w:pPr>
    </w:p>
    <w:p w14:paraId="2CFD41A7" w14:textId="77777777" w:rsidR="00E978D0" w:rsidRPr="000D6D9D" w:rsidRDefault="00A85E22" w:rsidP="00252F5E">
      <w:pPr>
        <w:pStyle w:val="CETTitle"/>
        <w:rPr>
          <w:rFonts w:cs="Arial"/>
          <w:szCs w:val="32"/>
          <w:lang w:val="en-US"/>
        </w:rPr>
      </w:pPr>
      <w:r w:rsidRPr="000D6D9D">
        <w:rPr>
          <w:rFonts w:cs="Arial"/>
          <w:bCs/>
          <w:color w:val="000000"/>
          <w:szCs w:val="32"/>
          <w:shd w:val="clear" w:color="auto" w:fill="FFFFFF"/>
        </w:rPr>
        <w:t xml:space="preserve">Edible </w:t>
      </w:r>
      <w:r w:rsidR="00011711">
        <w:rPr>
          <w:rFonts w:cs="Arial"/>
          <w:bCs/>
          <w:color w:val="000000"/>
          <w:szCs w:val="32"/>
          <w:shd w:val="clear" w:color="auto" w:fill="FFFFFF"/>
        </w:rPr>
        <w:t>B</w:t>
      </w:r>
      <w:r w:rsidRPr="000D6D9D">
        <w:rPr>
          <w:rFonts w:cs="Arial"/>
          <w:bCs/>
          <w:color w:val="000000"/>
          <w:szCs w:val="32"/>
          <w:shd w:val="clear" w:color="auto" w:fill="FFFFFF"/>
        </w:rPr>
        <w:t xml:space="preserve">iofilms </w:t>
      </w:r>
      <w:r w:rsidR="00C624DE">
        <w:rPr>
          <w:rFonts w:cs="Arial"/>
          <w:bCs/>
          <w:color w:val="000000"/>
          <w:szCs w:val="32"/>
          <w:shd w:val="clear" w:color="auto" w:fill="FFFFFF"/>
        </w:rPr>
        <w:t>F</w:t>
      </w:r>
      <w:r w:rsidRPr="000D6D9D">
        <w:rPr>
          <w:rFonts w:cs="Arial"/>
          <w:bCs/>
          <w:color w:val="000000"/>
          <w:szCs w:val="32"/>
          <w:shd w:val="clear" w:color="auto" w:fill="FFFFFF"/>
        </w:rPr>
        <w:t xml:space="preserve">ormulated with </w:t>
      </w:r>
      <w:r w:rsidR="00011711">
        <w:rPr>
          <w:rFonts w:cs="Arial"/>
          <w:bCs/>
          <w:color w:val="000000"/>
          <w:szCs w:val="32"/>
          <w:shd w:val="clear" w:color="auto" w:fill="FFFFFF"/>
        </w:rPr>
        <w:t>W</w:t>
      </w:r>
      <w:r w:rsidRPr="000D6D9D">
        <w:rPr>
          <w:rFonts w:cs="Arial"/>
          <w:bCs/>
          <w:color w:val="000000"/>
          <w:szCs w:val="32"/>
          <w:shd w:val="clear" w:color="auto" w:fill="FFFFFF"/>
        </w:rPr>
        <w:t xml:space="preserve">hey </w:t>
      </w:r>
      <w:r w:rsidR="00011711">
        <w:rPr>
          <w:rFonts w:cs="Arial"/>
          <w:bCs/>
          <w:color w:val="000000"/>
          <w:szCs w:val="32"/>
          <w:shd w:val="clear" w:color="auto" w:fill="FFFFFF"/>
        </w:rPr>
        <w:t>P</w:t>
      </w:r>
      <w:r w:rsidRPr="000D6D9D">
        <w:rPr>
          <w:rFonts w:cs="Arial"/>
          <w:bCs/>
          <w:color w:val="000000"/>
          <w:szCs w:val="32"/>
          <w:shd w:val="clear" w:color="auto" w:fill="FFFFFF"/>
        </w:rPr>
        <w:t>rotein</w:t>
      </w:r>
      <w:r w:rsidR="005F086C">
        <w:rPr>
          <w:rFonts w:cs="Arial"/>
          <w:bCs/>
          <w:color w:val="000000"/>
          <w:szCs w:val="32"/>
          <w:shd w:val="clear" w:color="auto" w:fill="FFFFFF"/>
        </w:rPr>
        <w:t xml:space="preserve"> </w:t>
      </w:r>
      <w:r w:rsidR="00011711">
        <w:rPr>
          <w:rFonts w:cs="Arial"/>
          <w:bCs/>
          <w:color w:val="000000"/>
          <w:szCs w:val="32"/>
          <w:shd w:val="clear" w:color="auto" w:fill="FFFFFF"/>
        </w:rPr>
        <w:t>I</w:t>
      </w:r>
      <w:r w:rsidR="005F086C">
        <w:rPr>
          <w:rFonts w:cs="Arial"/>
          <w:bCs/>
          <w:color w:val="000000"/>
          <w:szCs w:val="32"/>
          <w:shd w:val="clear" w:color="auto" w:fill="FFFFFF"/>
        </w:rPr>
        <w:t>solate</w:t>
      </w:r>
      <w:r w:rsidRPr="000D6D9D">
        <w:rPr>
          <w:rFonts w:cs="Arial"/>
          <w:bCs/>
          <w:color w:val="000000"/>
          <w:szCs w:val="32"/>
          <w:shd w:val="clear" w:color="auto" w:fill="FFFFFF"/>
        </w:rPr>
        <w:t xml:space="preserve"> and </w:t>
      </w:r>
      <w:r w:rsidRPr="000D6D9D">
        <w:rPr>
          <w:rFonts w:cs="Arial"/>
          <w:bCs/>
          <w:i/>
          <w:color w:val="000000"/>
          <w:szCs w:val="32"/>
          <w:shd w:val="clear" w:color="auto" w:fill="FFFFFF"/>
        </w:rPr>
        <w:t xml:space="preserve">L. </w:t>
      </w:r>
      <w:proofErr w:type="spellStart"/>
      <w:r w:rsidRPr="000D6D9D">
        <w:rPr>
          <w:rFonts w:cs="Arial"/>
          <w:bCs/>
          <w:i/>
          <w:color w:val="000000"/>
          <w:szCs w:val="32"/>
          <w:shd w:val="clear" w:color="auto" w:fill="FFFFFF"/>
        </w:rPr>
        <w:t>casei</w:t>
      </w:r>
      <w:proofErr w:type="spellEnd"/>
      <w:r w:rsidRPr="000D6D9D">
        <w:rPr>
          <w:rFonts w:cs="Arial"/>
          <w:bCs/>
          <w:color w:val="000000"/>
          <w:szCs w:val="32"/>
          <w:shd w:val="clear" w:color="auto" w:fill="FFFFFF"/>
        </w:rPr>
        <w:t xml:space="preserve"> </w:t>
      </w:r>
      <w:r w:rsidR="00C624DE">
        <w:rPr>
          <w:rFonts w:cs="Arial"/>
          <w:bCs/>
          <w:color w:val="000000"/>
          <w:szCs w:val="32"/>
          <w:shd w:val="clear" w:color="auto" w:fill="FFFFFF"/>
        </w:rPr>
        <w:t>P</w:t>
      </w:r>
      <w:r w:rsidRPr="000D6D9D">
        <w:rPr>
          <w:rFonts w:cs="Arial"/>
          <w:bCs/>
          <w:color w:val="000000"/>
          <w:szCs w:val="32"/>
          <w:shd w:val="clear" w:color="auto" w:fill="FFFFFF"/>
        </w:rPr>
        <w:t xml:space="preserve">robiotic </w:t>
      </w:r>
      <w:r w:rsidR="00C624DE">
        <w:rPr>
          <w:rFonts w:cs="Arial"/>
          <w:bCs/>
          <w:color w:val="000000"/>
          <w:szCs w:val="32"/>
          <w:shd w:val="clear" w:color="auto" w:fill="FFFFFF"/>
        </w:rPr>
        <w:t>C</w:t>
      </w:r>
      <w:r w:rsidRPr="000D6D9D">
        <w:rPr>
          <w:rFonts w:cs="Arial"/>
          <w:bCs/>
          <w:color w:val="000000"/>
          <w:szCs w:val="32"/>
          <w:shd w:val="clear" w:color="auto" w:fill="FFFFFF"/>
        </w:rPr>
        <w:t>ulture:</w:t>
      </w:r>
      <w:r w:rsidRPr="000D6D9D">
        <w:rPr>
          <w:rFonts w:cs="Arial"/>
          <w:szCs w:val="32"/>
        </w:rPr>
        <w:t xml:space="preserve"> </w:t>
      </w:r>
      <w:r w:rsidR="00011711">
        <w:rPr>
          <w:rFonts w:cs="Arial"/>
          <w:bCs/>
          <w:color w:val="000000"/>
          <w:szCs w:val="32"/>
          <w:shd w:val="clear" w:color="auto" w:fill="FFFFFF"/>
        </w:rPr>
        <w:t>C</w:t>
      </w:r>
      <w:r w:rsidR="000D6D9D" w:rsidRPr="000D6D9D">
        <w:rPr>
          <w:rFonts w:cs="Arial"/>
          <w:bCs/>
          <w:color w:val="000000"/>
          <w:szCs w:val="32"/>
          <w:shd w:val="clear" w:color="auto" w:fill="FFFFFF"/>
        </w:rPr>
        <w:t xml:space="preserve">haracterization and </w:t>
      </w:r>
      <w:r w:rsidR="00011711">
        <w:rPr>
          <w:rFonts w:cs="Arial"/>
          <w:bCs/>
          <w:color w:val="000000"/>
          <w:szCs w:val="32"/>
          <w:shd w:val="clear" w:color="auto" w:fill="FFFFFF"/>
        </w:rPr>
        <w:t>A</w:t>
      </w:r>
      <w:r w:rsidR="000D6D9D" w:rsidRPr="000D6D9D">
        <w:rPr>
          <w:rFonts w:cs="Arial"/>
          <w:bCs/>
          <w:color w:val="000000"/>
          <w:szCs w:val="32"/>
          <w:shd w:val="clear" w:color="auto" w:fill="FFFFFF"/>
        </w:rPr>
        <w:t xml:space="preserve">pplication in </w:t>
      </w:r>
      <w:r w:rsidR="00011711">
        <w:rPr>
          <w:rFonts w:cs="Arial"/>
          <w:bCs/>
          <w:color w:val="000000"/>
          <w:szCs w:val="32"/>
          <w:shd w:val="clear" w:color="auto" w:fill="FFFFFF"/>
        </w:rPr>
        <w:t>T</w:t>
      </w:r>
      <w:r w:rsidR="000D6D9D" w:rsidRPr="000D6D9D">
        <w:rPr>
          <w:rFonts w:cs="Arial"/>
          <w:bCs/>
          <w:color w:val="000000"/>
          <w:szCs w:val="32"/>
          <w:shd w:val="clear" w:color="auto" w:fill="FFFFFF"/>
        </w:rPr>
        <w:t xml:space="preserve">omatoes </w:t>
      </w:r>
      <w:r w:rsidR="00F64FB9" w:rsidRPr="005F0987">
        <w:rPr>
          <w:rFonts w:cs="Arial"/>
          <w:bCs/>
          <w:color w:val="000000"/>
          <w:szCs w:val="32"/>
          <w:shd w:val="clear" w:color="auto" w:fill="FFFFFF"/>
        </w:rPr>
        <w:t>and</w:t>
      </w:r>
      <w:r w:rsidR="000D6D9D" w:rsidRPr="005F0987">
        <w:rPr>
          <w:rFonts w:cs="Arial"/>
          <w:bCs/>
          <w:color w:val="000000"/>
          <w:szCs w:val="32"/>
          <w:shd w:val="clear" w:color="auto" w:fill="FFFFFF"/>
        </w:rPr>
        <w:t xml:space="preserve"> </w:t>
      </w:r>
      <w:r w:rsidR="00011711" w:rsidRPr="005F0987">
        <w:rPr>
          <w:rFonts w:cs="Arial"/>
          <w:bCs/>
          <w:color w:val="000000"/>
          <w:szCs w:val="32"/>
          <w:shd w:val="clear" w:color="auto" w:fill="FFFFFF"/>
        </w:rPr>
        <w:t>G</w:t>
      </w:r>
      <w:r w:rsidR="000D6D9D" w:rsidRPr="005F0987">
        <w:rPr>
          <w:rFonts w:cs="Arial"/>
          <w:bCs/>
          <w:color w:val="000000"/>
          <w:szCs w:val="32"/>
          <w:shd w:val="clear" w:color="auto" w:fill="FFFFFF"/>
        </w:rPr>
        <w:t>rapes</w:t>
      </w:r>
    </w:p>
    <w:p w14:paraId="2CFD41A8" w14:textId="77777777" w:rsidR="00651B7F" w:rsidRPr="00671957" w:rsidRDefault="00F13646" w:rsidP="00651B7F">
      <w:pPr>
        <w:pStyle w:val="CETAuthors"/>
        <w:rPr>
          <w:lang w:val="pt-BR"/>
        </w:rPr>
      </w:pPr>
      <w:r>
        <w:rPr>
          <w:lang w:val="pt-BR"/>
        </w:rPr>
        <w:t xml:space="preserve">Izaura </w:t>
      </w:r>
      <w:r w:rsidR="00EB7D45">
        <w:rPr>
          <w:lang w:val="pt-BR"/>
        </w:rPr>
        <w:t>B</w:t>
      </w:r>
      <w:r w:rsidR="00F919B4">
        <w:rPr>
          <w:lang w:val="pt-BR"/>
        </w:rPr>
        <w:t>.</w:t>
      </w:r>
      <w:r>
        <w:rPr>
          <w:lang w:val="pt-BR"/>
        </w:rPr>
        <w:t xml:space="preserve"> Dianin</w:t>
      </w:r>
      <w:r w:rsidR="00651B7F" w:rsidRPr="00671957">
        <w:rPr>
          <w:vertAlign w:val="superscript"/>
          <w:lang w:val="pt-BR"/>
        </w:rPr>
        <w:t>a</w:t>
      </w:r>
      <w:r w:rsidR="00651B7F" w:rsidRPr="00671957">
        <w:rPr>
          <w:lang w:val="pt-BR"/>
        </w:rPr>
        <w:t>,</w:t>
      </w:r>
      <w:r>
        <w:rPr>
          <w:lang w:val="pt-BR"/>
        </w:rPr>
        <w:t xml:space="preserve"> Admilton G</w:t>
      </w:r>
      <w:r w:rsidR="00F919B4">
        <w:rPr>
          <w:lang w:val="pt-BR"/>
        </w:rPr>
        <w:t>.</w:t>
      </w:r>
      <w:r>
        <w:rPr>
          <w:lang w:val="pt-BR"/>
        </w:rPr>
        <w:t xml:space="preserve"> Oliveira Jr</w:t>
      </w:r>
      <w:r w:rsidR="002C2272">
        <w:rPr>
          <w:vertAlign w:val="superscript"/>
          <w:lang w:val="pt-BR"/>
        </w:rPr>
        <w:t>b</w:t>
      </w:r>
      <w:r w:rsidR="00651B7F" w:rsidRPr="00671957">
        <w:rPr>
          <w:lang w:val="pt-BR"/>
        </w:rPr>
        <w:t xml:space="preserve">, </w:t>
      </w:r>
      <w:r>
        <w:rPr>
          <w:lang w:val="pt-BR"/>
        </w:rPr>
        <w:t>Tatiana C</w:t>
      </w:r>
      <w:r w:rsidR="00F919B4">
        <w:rPr>
          <w:lang w:val="pt-BR"/>
        </w:rPr>
        <w:t>.</w:t>
      </w:r>
      <w:r>
        <w:rPr>
          <w:lang w:val="pt-BR"/>
        </w:rPr>
        <w:t xml:space="preserve"> Pimentel</w:t>
      </w:r>
      <w:r w:rsidR="009861C7">
        <w:rPr>
          <w:vertAlign w:val="superscript"/>
          <w:lang w:val="pt-BR"/>
        </w:rPr>
        <w:t>c</w:t>
      </w:r>
      <w:r w:rsidR="00651B7F" w:rsidRPr="00671957">
        <w:rPr>
          <w:lang w:val="pt-BR"/>
        </w:rPr>
        <w:t xml:space="preserve">, </w:t>
      </w:r>
      <w:r>
        <w:rPr>
          <w:lang w:val="pt-BR"/>
        </w:rPr>
        <w:t>Nilton Filho Hernandes</w:t>
      </w:r>
      <w:r w:rsidR="00651B7F" w:rsidRPr="00671957">
        <w:rPr>
          <w:vertAlign w:val="superscript"/>
          <w:lang w:val="pt-BR"/>
        </w:rPr>
        <w:t>a</w:t>
      </w:r>
      <w:r w:rsidR="00651B7F" w:rsidRPr="00671957">
        <w:rPr>
          <w:lang w:val="pt-BR"/>
        </w:rPr>
        <w:t xml:space="preserve">, </w:t>
      </w:r>
      <w:r>
        <w:rPr>
          <w:lang w:val="pt-BR"/>
        </w:rPr>
        <w:t>Giselle N</w:t>
      </w:r>
      <w:r w:rsidR="00F919B4">
        <w:rPr>
          <w:lang w:val="pt-BR"/>
        </w:rPr>
        <w:t>.</w:t>
      </w:r>
      <w:r>
        <w:rPr>
          <w:lang w:val="pt-BR"/>
        </w:rPr>
        <w:t xml:space="preserve"> Costa</w:t>
      </w:r>
      <w:r w:rsidR="00E9110C">
        <w:rPr>
          <w:vertAlign w:val="superscript"/>
          <w:lang w:val="pt-BR"/>
        </w:rPr>
        <w:t>a</w:t>
      </w:r>
      <w:r w:rsidR="00C07988">
        <w:rPr>
          <w:vertAlign w:val="superscript"/>
          <w:lang w:val="pt-BR"/>
        </w:rPr>
        <w:t>,</w:t>
      </w:r>
      <w:r w:rsidR="00651B7F" w:rsidRPr="00671957">
        <w:rPr>
          <w:lang w:val="pt-BR"/>
        </w:rPr>
        <w:t>*</w:t>
      </w:r>
    </w:p>
    <w:p w14:paraId="2CFD41A9" w14:textId="77777777" w:rsidR="002C2272" w:rsidRDefault="00262ACF" w:rsidP="002C2272">
      <w:pPr>
        <w:pStyle w:val="CETAddress"/>
        <w:jc w:val="both"/>
        <w:rPr>
          <w:vertAlign w:val="superscript"/>
          <w:lang w:val="pt-BR"/>
        </w:rPr>
      </w:pPr>
      <w:r w:rsidRPr="002C2272">
        <w:rPr>
          <w:vertAlign w:val="superscript"/>
          <w:lang w:val="pt-BR"/>
        </w:rPr>
        <w:t>a</w:t>
      </w:r>
      <w:r w:rsidR="002C2272" w:rsidRPr="002C2272">
        <w:rPr>
          <w:rFonts w:cs="Arial"/>
          <w:color w:val="000000"/>
          <w:shd w:val="clear" w:color="auto" w:fill="FFFFFF"/>
          <w:lang w:val="pt-BR"/>
        </w:rPr>
        <w:t>Universidade Pitágoras Unopar, Programa de Mestrado em Ciência e Tecnologia de Leite e Derivados, Rua Marselha, 591 Parque Res. João Piza, Londrina, Paraná, Zip Code 86041-120, Brasil</w:t>
      </w:r>
      <w:r w:rsidR="002C2272" w:rsidRPr="007E77B4">
        <w:rPr>
          <w:vertAlign w:val="superscript"/>
          <w:lang w:val="pt-BR"/>
        </w:rPr>
        <w:t xml:space="preserve"> </w:t>
      </w:r>
    </w:p>
    <w:p w14:paraId="2CFD41AA" w14:textId="77777777" w:rsidR="00262ACF" w:rsidRPr="00F8142E" w:rsidRDefault="00262ACF" w:rsidP="00630BDB">
      <w:pPr>
        <w:pStyle w:val="CETAddress"/>
        <w:jc w:val="both"/>
        <w:rPr>
          <w:lang w:val="en-US"/>
        </w:rPr>
      </w:pPr>
      <w:r w:rsidRPr="007E77B4">
        <w:rPr>
          <w:vertAlign w:val="superscript"/>
          <w:lang w:val="pt-BR"/>
        </w:rPr>
        <w:t>b</w:t>
      </w:r>
      <w:r w:rsidR="00630BDB" w:rsidRPr="00630BDB">
        <w:rPr>
          <w:rFonts w:cs="Arial"/>
          <w:color w:val="000000"/>
          <w:shd w:val="clear" w:color="auto" w:fill="FFFFFF"/>
          <w:lang w:val="pt-BR"/>
        </w:rPr>
        <w:t xml:space="preserve">Universidade  Estadual de Londrina, Departamento de Microbiologia, Rodovia Celso Garcia Cid, PR 445 Km 380 Campus Universitário, Cx. </w:t>
      </w:r>
      <w:r w:rsidR="00630BDB" w:rsidRPr="00096407">
        <w:rPr>
          <w:rFonts w:cs="Arial"/>
          <w:color w:val="000000"/>
          <w:shd w:val="clear" w:color="auto" w:fill="FFFFFF"/>
          <w:lang w:val="en-US"/>
        </w:rPr>
        <w:t>Postal 10011</w:t>
      </w:r>
      <w:r w:rsidR="00630BDB" w:rsidRPr="00096407">
        <w:rPr>
          <w:vertAlign w:val="superscript"/>
          <w:lang w:val="en-US"/>
        </w:rPr>
        <w:t xml:space="preserve"> </w:t>
      </w:r>
      <w:r w:rsidRPr="00096407">
        <w:rPr>
          <w:vertAlign w:val="superscript"/>
          <w:lang w:val="en-US"/>
        </w:rPr>
        <w:t>c</w:t>
      </w:r>
      <w:r w:rsidRPr="00096407">
        <w:rPr>
          <w:lang w:val="en-US"/>
        </w:rPr>
        <w:t xml:space="preserve">Design Department, State University of Maringá, Av Colombo, 5790. </w:t>
      </w:r>
      <w:r w:rsidRPr="00F8142E">
        <w:rPr>
          <w:lang w:val="en-US"/>
        </w:rPr>
        <w:t>87020-900, Maringá-PR, Brazil</w:t>
      </w:r>
    </w:p>
    <w:p w14:paraId="2CFD41AB" w14:textId="77777777" w:rsidR="00E9110C" w:rsidRDefault="00630BDB" w:rsidP="00E9110C">
      <w:pPr>
        <w:pStyle w:val="CETAddress"/>
        <w:rPr>
          <w:rFonts w:cs="Arial"/>
          <w:sz w:val="18"/>
          <w:szCs w:val="18"/>
          <w:lang w:val="pt-BR"/>
        </w:rPr>
      </w:pPr>
      <w:r w:rsidRPr="00E9110C">
        <w:rPr>
          <w:vertAlign w:val="superscript"/>
          <w:lang w:val="pt-BR"/>
        </w:rPr>
        <w:t>c</w:t>
      </w:r>
      <w:r w:rsidR="00E9110C" w:rsidRPr="00E9110C">
        <w:rPr>
          <w:rFonts w:cs="Arial"/>
          <w:color w:val="000000"/>
          <w:shd w:val="clear" w:color="auto" w:fill="FFFFFF"/>
          <w:lang w:val="pt-BR"/>
        </w:rPr>
        <w:t>Instituto Federal do Paraná (IFPR) – Campus Paranavaí, Rua José Felipe Tequinha, 1400, Jardim das Nações, Paranavaí, Paraná, 87703-536, Brasil.</w:t>
      </w:r>
      <w:r w:rsidR="00E9110C" w:rsidRPr="00E9110C">
        <w:rPr>
          <w:rFonts w:cs="Arial"/>
          <w:sz w:val="18"/>
          <w:szCs w:val="18"/>
          <w:lang w:val="pt-BR"/>
        </w:rPr>
        <w:t xml:space="preserve"> </w:t>
      </w:r>
    </w:p>
    <w:p w14:paraId="2CFD41AC" w14:textId="77777777" w:rsidR="00A91339" w:rsidRPr="00011711" w:rsidRDefault="00A91339" w:rsidP="00E9110C">
      <w:pPr>
        <w:pStyle w:val="CETAddress"/>
        <w:rPr>
          <w:rFonts w:cs="Arial"/>
          <w:sz w:val="18"/>
          <w:szCs w:val="18"/>
          <w:lang w:val="en-US"/>
        </w:rPr>
      </w:pPr>
      <w:r w:rsidRPr="00011711">
        <w:rPr>
          <w:rFonts w:cs="Arial"/>
          <w:sz w:val="18"/>
          <w:szCs w:val="18"/>
          <w:lang w:val="en-US"/>
        </w:rPr>
        <w:t>*</w:t>
      </w:r>
      <w:r w:rsidR="006D2D93" w:rsidRPr="00011711">
        <w:rPr>
          <w:rFonts w:cs="Arial"/>
          <w:sz w:val="18"/>
          <w:szCs w:val="18"/>
          <w:lang w:val="en-US"/>
        </w:rPr>
        <w:t>giselle.nobre@unopar.br</w:t>
      </w:r>
    </w:p>
    <w:p w14:paraId="2CFD41AD" w14:textId="77777777" w:rsidR="00E9110C" w:rsidRPr="00011711" w:rsidRDefault="00E9110C" w:rsidP="00E9110C">
      <w:pPr>
        <w:pStyle w:val="CETAddress"/>
        <w:rPr>
          <w:rFonts w:cs="Arial"/>
          <w:sz w:val="18"/>
          <w:szCs w:val="18"/>
          <w:lang w:val="en-US"/>
        </w:rPr>
      </w:pPr>
    </w:p>
    <w:p w14:paraId="2CFD41AE" w14:textId="77777777" w:rsidR="00096407" w:rsidRDefault="00096407" w:rsidP="00096407">
      <w:pPr>
        <w:rPr>
          <w:rFonts w:ascii="Times New Roman" w:hAnsi="Times New Roman"/>
          <w:sz w:val="24"/>
          <w:szCs w:val="24"/>
          <w:lang w:val="en-US"/>
        </w:rPr>
      </w:pPr>
      <w:r w:rsidRPr="005F0987">
        <w:rPr>
          <w:rFonts w:cs="Arial"/>
          <w:szCs w:val="18"/>
        </w:rPr>
        <w:t xml:space="preserve">This study aimed to produce and characterize </w:t>
      </w:r>
      <w:r w:rsidR="006468D4" w:rsidRPr="005F0987">
        <w:rPr>
          <w:rFonts w:cs="Arial"/>
          <w:szCs w:val="18"/>
        </w:rPr>
        <w:t xml:space="preserve">edible </w:t>
      </w:r>
      <w:r w:rsidRPr="005F0987">
        <w:rPr>
          <w:rFonts w:cs="Arial"/>
          <w:szCs w:val="18"/>
        </w:rPr>
        <w:t xml:space="preserve">biofilms based on whey </w:t>
      </w:r>
      <w:r w:rsidR="00524C99" w:rsidRPr="005F0987">
        <w:rPr>
          <w:rFonts w:cs="Arial"/>
          <w:szCs w:val="18"/>
        </w:rPr>
        <w:t>protein isolate</w:t>
      </w:r>
      <w:r w:rsidR="009411C9" w:rsidRPr="005F0987">
        <w:rPr>
          <w:rFonts w:cs="Arial"/>
          <w:szCs w:val="18"/>
        </w:rPr>
        <w:t xml:space="preserve"> (WPI)</w:t>
      </w:r>
      <w:r w:rsidR="00472BC0" w:rsidRPr="005F0987">
        <w:rPr>
          <w:rFonts w:cs="Arial"/>
          <w:szCs w:val="18"/>
        </w:rPr>
        <w:t xml:space="preserve">. Two formulations were prepared: </w:t>
      </w:r>
      <w:r w:rsidR="007A5CDA" w:rsidRPr="005F0987">
        <w:rPr>
          <w:rFonts w:cs="Arial"/>
          <w:szCs w:val="18"/>
        </w:rPr>
        <w:t xml:space="preserve">(1) without </w:t>
      </w:r>
      <w:r w:rsidRPr="005F0987">
        <w:rPr>
          <w:rFonts w:cs="Arial"/>
          <w:szCs w:val="18"/>
        </w:rPr>
        <w:t xml:space="preserve">and </w:t>
      </w:r>
      <w:r w:rsidR="007A5CDA" w:rsidRPr="005F0987">
        <w:rPr>
          <w:rFonts w:cs="Arial"/>
          <w:szCs w:val="18"/>
        </w:rPr>
        <w:t xml:space="preserve">(2) </w:t>
      </w:r>
      <w:r w:rsidRPr="005F0987">
        <w:rPr>
          <w:rFonts w:cs="Arial"/>
          <w:szCs w:val="18"/>
        </w:rPr>
        <w:t>with probiotic</w:t>
      </w:r>
      <w:r w:rsidRPr="005F0987">
        <w:rPr>
          <w:rFonts w:cs="Arial"/>
          <w:i/>
          <w:szCs w:val="18"/>
        </w:rPr>
        <w:t xml:space="preserve"> L</w:t>
      </w:r>
      <w:r w:rsidR="00EB7D45" w:rsidRPr="005F0987">
        <w:rPr>
          <w:rFonts w:cs="Arial"/>
          <w:i/>
          <w:szCs w:val="18"/>
        </w:rPr>
        <w:t>actobacillus</w:t>
      </w:r>
      <w:r w:rsidRPr="005F0987">
        <w:rPr>
          <w:rFonts w:cs="Arial"/>
          <w:i/>
          <w:szCs w:val="18"/>
        </w:rPr>
        <w:t xml:space="preserve"> </w:t>
      </w:r>
      <w:proofErr w:type="spellStart"/>
      <w:r w:rsidRPr="005F0987">
        <w:rPr>
          <w:rFonts w:cs="Arial"/>
          <w:i/>
          <w:szCs w:val="18"/>
        </w:rPr>
        <w:t>casei</w:t>
      </w:r>
      <w:proofErr w:type="spellEnd"/>
      <w:r w:rsidRPr="005F0987">
        <w:rPr>
          <w:rFonts w:cs="Arial"/>
          <w:szCs w:val="18"/>
        </w:rPr>
        <w:t>. Subsequently, the effect of the biofilms</w:t>
      </w:r>
      <w:r w:rsidR="00F8142E" w:rsidRPr="005F0987">
        <w:rPr>
          <w:rFonts w:cs="Arial"/>
          <w:szCs w:val="18"/>
        </w:rPr>
        <w:t xml:space="preserve"> as a fruit cover</w:t>
      </w:r>
      <w:r w:rsidRPr="005F0987">
        <w:rPr>
          <w:rFonts w:cs="Arial"/>
          <w:szCs w:val="18"/>
        </w:rPr>
        <w:t xml:space="preserve"> </w:t>
      </w:r>
      <w:r w:rsidR="00116534" w:rsidRPr="005F0987">
        <w:rPr>
          <w:rFonts w:cs="Arial"/>
          <w:szCs w:val="18"/>
        </w:rPr>
        <w:t>o</w:t>
      </w:r>
      <w:r w:rsidRPr="005F0987">
        <w:rPr>
          <w:rFonts w:cs="Arial"/>
          <w:szCs w:val="18"/>
        </w:rPr>
        <w:t xml:space="preserve">n the characteristics of </w:t>
      </w:r>
      <w:r w:rsidRPr="005F0987">
        <w:rPr>
          <w:rFonts w:cs="Arial"/>
          <w:i/>
          <w:szCs w:val="18"/>
        </w:rPr>
        <w:t xml:space="preserve">Cherry </w:t>
      </w:r>
      <w:r w:rsidRPr="005F0987">
        <w:rPr>
          <w:rFonts w:cs="Arial"/>
          <w:szCs w:val="18"/>
        </w:rPr>
        <w:t xml:space="preserve">tomatoes and </w:t>
      </w:r>
      <w:r w:rsidRPr="005F0987">
        <w:rPr>
          <w:rFonts w:cs="Arial"/>
          <w:i/>
          <w:szCs w:val="18"/>
        </w:rPr>
        <w:t>Thompson</w:t>
      </w:r>
      <w:r w:rsidRPr="005F0987">
        <w:rPr>
          <w:rFonts w:cs="Arial"/>
          <w:szCs w:val="18"/>
        </w:rPr>
        <w:t xml:space="preserve"> grapes was evaluated. The films (with or without probiotic culture</w:t>
      </w:r>
      <w:r w:rsidRPr="00096407">
        <w:rPr>
          <w:rFonts w:cs="Arial"/>
          <w:szCs w:val="18"/>
        </w:rPr>
        <w:t>) were transparent, malleable, homogeneous, continuous and without cracking. In the infrared spectroscopy, characteristic bands of the N-H bonds (protein structure), the amide bonds (1640 to 1560 cm</w:t>
      </w:r>
      <w:r w:rsidRPr="00096407">
        <w:rPr>
          <w:rFonts w:cs="Arial"/>
          <w:szCs w:val="18"/>
          <w:vertAlign w:val="superscript"/>
        </w:rPr>
        <w:t xml:space="preserve"> -1</w:t>
      </w:r>
      <w:r w:rsidRPr="00096407">
        <w:rPr>
          <w:rFonts w:cs="Arial"/>
          <w:szCs w:val="18"/>
        </w:rPr>
        <w:t>) and the C = O and C-N bands were observed. The addition of the probiotic culture had no effect on the density (1.272-1.303 g/cm</w:t>
      </w:r>
      <w:r w:rsidRPr="00096407">
        <w:rPr>
          <w:rFonts w:cs="Arial"/>
          <w:szCs w:val="18"/>
          <w:vertAlign w:val="superscript"/>
        </w:rPr>
        <w:t>3</w:t>
      </w:r>
      <w:r w:rsidRPr="00096407">
        <w:rPr>
          <w:rFonts w:cs="Arial"/>
          <w:szCs w:val="18"/>
        </w:rPr>
        <w:t xml:space="preserve">) and </w:t>
      </w:r>
      <w:r>
        <w:rPr>
          <w:rFonts w:cs="Arial"/>
          <w:szCs w:val="18"/>
        </w:rPr>
        <w:t>water vapor permeation</w:t>
      </w:r>
      <w:r w:rsidRPr="00096407">
        <w:rPr>
          <w:rFonts w:cs="Arial"/>
          <w:szCs w:val="18"/>
        </w:rPr>
        <w:t xml:space="preserve"> (0.28-0.35 g.mm/m</w:t>
      </w:r>
      <w:r w:rsidRPr="00096407">
        <w:rPr>
          <w:rFonts w:cs="Arial"/>
          <w:szCs w:val="18"/>
          <w:vertAlign w:val="superscript"/>
        </w:rPr>
        <w:t>2</w:t>
      </w:r>
      <w:r w:rsidRPr="00096407">
        <w:rPr>
          <w:rFonts w:cs="Arial"/>
          <w:szCs w:val="18"/>
        </w:rPr>
        <w:t xml:space="preserve">.day.kPa) of the films. However, the film containing probiotic culture was yellowish, thicker (16.18 </w:t>
      </w:r>
      <w:r w:rsidRPr="00096407">
        <w:rPr>
          <w:rFonts w:cs="Arial"/>
          <w:i/>
          <w:szCs w:val="18"/>
        </w:rPr>
        <w:t xml:space="preserve">vs </w:t>
      </w:r>
      <w:r w:rsidRPr="00096407">
        <w:rPr>
          <w:rFonts w:cs="Arial"/>
          <w:szCs w:val="18"/>
        </w:rPr>
        <w:t xml:space="preserve">13.15 µm), more soluble (42.8 </w:t>
      </w:r>
      <w:r w:rsidRPr="00096407">
        <w:rPr>
          <w:rFonts w:cs="Arial"/>
          <w:i/>
          <w:szCs w:val="18"/>
        </w:rPr>
        <w:t>vs</w:t>
      </w:r>
      <w:r w:rsidRPr="00096407">
        <w:rPr>
          <w:rFonts w:cs="Arial"/>
          <w:szCs w:val="18"/>
        </w:rPr>
        <w:t xml:space="preserve"> 34.8%), had higher resistance (higher tensile strength, 23.3 </w:t>
      </w:r>
      <w:r w:rsidRPr="00096407">
        <w:rPr>
          <w:rFonts w:cs="Arial"/>
          <w:i/>
          <w:szCs w:val="18"/>
        </w:rPr>
        <w:t xml:space="preserve">vs </w:t>
      </w:r>
      <w:r w:rsidRPr="00096407">
        <w:rPr>
          <w:rFonts w:cs="Arial"/>
          <w:szCs w:val="18"/>
        </w:rPr>
        <w:t xml:space="preserve">12.6 N) and was less flexible (lower elongation at break, 5.27 </w:t>
      </w:r>
      <w:r w:rsidRPr="00096407">
        <w:rPr>
          <w:rFonts w:cs="Arial"/>
          <w:i/>
          <w:szCs w:val="18"/>
        </w:rPr>
        <w:t xml:space="preserve">vs </w:t>
      </w:r>
      <w:r w:rsidRPr="00096407">
        <w:rPr>
          <w:rFonts w:cs="Arial"/>
          <w:szCs w:val="18"/>
        </w:rPr>
        <w:t xml:space="preserve">45.4%). </w:t>
      </w:r>
      <w:r w:rsidR="00C13F56">
        <w:t>Scanning Electron Microscopy</w:t>
      </w:r>
      <w:r w:rsidRPr="00096407">
        <w:rPr>
          <w:rFonts w:cs="Arial"/>
          <w:szCs w:val="18"/>
        </w:rPr>
        <w:t xml:space="preserve"> images evidenced that the </w:t>
      </w:r>
      <w:r w:rsidR="00BE6464" w:rsidRPr="00096407">
        <w:rPr>
          <w:rFonts w:cs="Arial"/>
          <w:szCs w:val="18"/>
        </w:rPr>
        <w:t>probiotic</w:t>
      </w:r>
      <w:r w:rsidR="00BE6464">
        <w:rPr>
          <w:rFonts w:cs="Arial"/>
          <w:szCs w:val="18"/>
        </w:rPr>
        <w:t xml:space="preserve"> </w:t>
      </w:r>
      <w:r w:rsidR="00EB7D45">
        <w:rPr>
          <w:rFonts w:cs="Arial"/>
          <w:szCs w:val="18"/>
        </w:rPr>
        <w:t xml:space="preserve">biofilm </w:t>
      </w:r>
      <w:r w:rsidRPr="00096407">
        <w:rPr>
          <w:rFonts w:cs="Arial"/>
          <w:szCs w:val="18"/>
        </w:rPr>
        <w:t xml:space="preserve">presented agglomerates in all superficial extension and a </w:t>
      </w:r>
      <w:r w:rsidR="003B2EF8">
        <w:rPr>
          <w:rFonts w:cs="Arial"/>
          <w:szCs w:val="18"/>
        </w:rPr>
        <w:t>higher</w:t>
      </w:r>
      <w:r w:rsidRPr="00096407">
        <w:rPr>
          <w:rFonts w:cs="Arial"/>
          <w:szCs w:val="18"/>
        </w:rPr>
        <w:t xml:space="preserve"> number of orifices. The </w:t>
      </w:r>
      <w:r w:rsidRPr="00096407">
        <w:rPr>
          <w:rFonts w:cs="Arial"/>
          <w:i/>
          <w:szCs w:val="18"/>
        </w:rPr>
        <w:t xml:space="preserve">L. </w:t>
      </w:r>
      <w:proofErr w:type="spellStart"/>
      <w:r w:rsidRPr="00096407">
        <w:rPr>
          <w:rFonts w:cs="Arial"/>
          <w:i/>
          <w:szCs w:val="18"/>
        </w:rPr>
        <w:t>casei</w:t>
      </w:r>
      <w:proofErr w:type="spellEnd"/>
      <w:r w:rsidRPr="00096407">
        <w:rPr>
          <w:rFonts w:cs="Arial"/>
          <w:szCs w:val="18"/>
        </w:rPr>
        <w:t xml:space="preserve"> remained viable (5.70 to 7.77 log </w:t>
      </w:r>
      <w:proofErr w:type="spellStart"/>
      <w:r w:rsidRPr="00096407">
        <w:rPr>
          <w:rFonts w:cs="Arial"/>
          <w:szCs w:val="18"/>
        </w:rPr>
        <w:t>cfu</w:t>
      </w:r>
      <w:proofErr w:type="spellEnd"/>
      <w:r w:rsidRPr="00096407">
        <w:rPr>
          <w:rFonts w:cs="Arial"/>
          <w:szCs w:val="18"/>
        </w:rPr>
        <w:t>/g) throughout the storage period</w:t>
      </w:r>
      <w:r w:rsidR="00D66D13">
        <w:rPr>
          <w:rFonts w:cs="Arial"/>
          <w:szCs w:val="18"/>
        </w:rPr>
        <w:t xml:space="preserve"> of the </w:t>
      </w:r>
      <w:r w:rsidR="00E515DE">
        <w:rPr>
          <w:rFonts w:cs="Arial"/>
          <w:szCs w:val="18"/>
        </w:rPr>
        <w:t xml:space="preserve">films </w:t>
      </w:r>
      <w:r w:rsidR="0071515B">
        <w:rPr>
          <w:rFonts w:cs="Arial"/>
          <w:szCs w:val="18"/>
        </w:rPr>
        <w:t>(25</w:t>
      </w:r>
      <w:r w:rsidR="00876E32">
        <w:rPr>
          <w:rFonts w:cs="Arial"/>
          <w:szCs w:val="18"/>
        </w:rPr>
        <w:t xml:space="preserve"> </w:t>
      </w:r>
      <w:proofErr w:type="spellStart"/>
      <w:r w:rsidR="0071515B">
        <w:rPr>
          <w:rFonts w:cs="Arial"/>
          <w:szCs w:val="18"/>
          <w:vertAlign w:val="superscript"/>
        </w:rPr>
        <w:t>o</w:t>
      </w:r>
      <w:r w:rsidR="0071515B">
        <w:rPr>
          <w:rFonts w:cs="Arial"/>
          <w:szCs w:val="18"/>
        </w:rPr>
        <w:t>C</w:t>
      </w:r>
      <w:proofErr w:type="spellEnd"/>
      <w:r w:rsidR="0071515B">
        <w:rPr>
          <w:rFonts w:cs="Arial"/>
          <w:szCs w:val="18"/>
        </w:rPr>
        <w:t>/2</w:t>
      </w:r>
      <w:r w:rsidR="00E515DE">
        <w:rPr>
          <w:rFonts w:cs="Arial"/>
          <w:szCs w:val="18"/>
        </w:rPr>
        <w:t>8</w:t>
      </w:r>
      <w:r w:rsidR="0071515B">
        <w:rPr>
          <w:rFonts w:cs="Arial"/>
          <w:szCs w:val="18"/>
        </w:rPr>
        <w:t xml:space="preserve"> days)</w:t>
      </w:r>
      <w:r w:rsidRPr="00096407">
        <w:rPr>
          <w:rFonts w:cs="Arial"/>
          <w:szCs w:val="18"/>
        </w:rPr>
        <w:t xml:space="preserve">, however, recommended counts (&gt; 6 log </w:t>
      </w:r>
      <w:proofErr w:type="spellStart"/>
      <w:r w:rsidRPr="00096407">
        <w:rPr>
          <w:rFonts w:cs="Arial"/>
          <w:szCs w:val="18"/>
        </w:rPr>
        <w:t>cfu</w:t>
      </w:r>
      <w:proofErr w:type="spellEnd"/>
      <w:r w:rsidRPr="00096407">
        <w:rPr>
          <w:rFonts w:cs="Arial"/>
          <w:szCs w:val="18"/>
        </w:rPr>
        <w:t>/g) were observed up to the 14</w:t>
      </w:r>
      <w:r w:rsidRPr="00096407">
        <w:rPr>
          <w:rFonts w:cs="Arial"/>
          <w:szCs w:val="18"/>
          <w:vertAlign w:val="superscript"/>
        </w:rPr>
        <w:t>th</w:t>
      </w:r>
      <w:r w:rsidRPr="00096407">
        <w:rPr>
          <w:rFonts w:cs="Arial"/>
          <w:szCs w:val="18"/>
        </w:rPr>
        <w:t xml:space="preserve"> day. The </w:t>
      </w:r>
      <w:r w:rsidR="00B52792">
        <w:rPr>
          <w:rFonts w:cs="Arial"/>
          <w:szCs w:val="18"/>
        </w:rPr>
        <w:t>application</w:t>
      </w:r>
      <w:r>
        <w:rPr>
          <w:rFonts w:cs="Arial"/>
          <w:szCs w:val="18"/>
        </w:rPr>
        <w:t xml:space="preserve"> of</w:t>
      </w:r>
      <w:r w:rsidR="00B52792">
        <w:rPr>
          <w:rFonts w:cs="Arial"/>
          <w:szCs w:val="18"/>
        </w:rPr>
        <w:t xml:space="preserve"> the</w:t>
      </w:r>
      <w:r w:rsidRPr="00096407">
        <w:rPr>
          <w:rFonts w:cs="Arial"/>
          <w:szCs w:val="18"/>
        </w:rPr>
        <w:t xml:space="preserve"> films did not result in</w:t>
      </w:r>
      <w:r w:rsidR="00B81A00">
        <w:rPr>
          <w:rFonts w:cs="Arial"/>
          <w:szCs w:val="18"/>
        </w:rPr>
        <w:t xml:space="preserve"> positive</w:t>
      </w:r>
      <w:r w:rsidRPr="00096407">
        <w:rPr>
          <w:rFonts w:cs="Arial"/>
          <w:szCs w:val="18"/>
        </w:rPr>
        <w:t xml:space="preserve"> </w:t>
      </w:r>
      <w:r w:rsidR="00A53521">
        <w:rPr>
          <w:rFonts w:cs="Arial"/>
          <w:szCs w:val="18"/>
        </w:rPr>
        <w:t>impact</w:t>
      </w:r>
      <w:r w:rsidRPr="00096407">
        <w:rPr>
          <w:rFonts w:cs="Arial"/>
          <w:szCs w:val="18"/>
        </w:rPr>
        <w:t xml:space="preserve"> </w:t>
      </w:r>
      <w:r w:rsidR="00B81A00">
        <w:rPr>
          <w:rFonts w:cs="Arial"/>
          <w:szCs w:val="18"/>
        </w:rPr>
        <w:t>o</w:t>
      </w:r>
      <w:r w:rsidRPr="00096407">
        <w:rPr>
          <w:rFonts w:cs="Arial"/>
          <w:szCs w:val="18"/>
        </w:rPr>
        <w:t>n the shelf life of the tomatoes</w:t>
      </w:r>
      <w:r>
        <w:rPr>
          <w:rFonts w:cs="Arial"/>
          <w:szCs w:val="18"/>
        </w:rPr>
        <w:t xml:space="preserve"> but </w:t>
      </w:r>
      <w:r w:rsidRPr="00096407">
        <w:rPr>
          <w:rFonts w:cs="Arial"/>
          <w:szCs w:val="18"/>
        </w:rPr>
        <w:t>reduced the mass loss</w:t>
      </w:r>
      <w:r w:rsidR="00CF2518">
        <w:rPr>
          <w:rFonts w:cs="Arial"/>
          <w:szCs w:val="18"/>
        </w:rPr>
        <w:t xml:space="preserve"> and TSS</w:t>
      </w:r>
      <w:r w:rsidRPr="00096407">
        <w:rPr>
          <w:rFonts w:cs="Arial"/>
          <w:szCs w:val="18"/>
        </w:rPr>
        <w:t xml:space="preserve"> of grapes.</w:t>
      </w:r>
      <w:r w:rsidR="007F213F">
        <w:rPr>
          <w:rFonts w:cs="Arial"/>
          <w:szCs w:val="18"/>
        </w:rPr>
        <w:t xml:space="preserve"> </w:t>
      </w:r>
      <w:r w:rsidRPr="00096407">
        <w:rPr>
          <w:rFonts w:cs="Arial"/>
          <w:szCs w:val="18"/>
        </w:rPr>
        <w:t>The application of the film with probiotic culture resulted in lower TSS values in tomatoes</w:t>
      </w:r>
      <w:r w:rsidR="00CC2E76">
        <w:rPr>
          <w:rFonts w:cs="Arial"/>
          <w:szCs w:val="18"/>
        </w:rPr>
        <w:t xml:space="preserve"> and grapes</w:t>
      </w:r>
      <w:r w:rsidRPr="00096407">
        <w:rPr>
          <w:rFonts w:cs="Arial"/>
          <w:szCs w:val="18"/>
        </w:rPr>
        <w:t xml:space="preserve"> and </w:t>
      </w:r>
      <w:r w:rsidR="00CC2E76">
        <w:rPr>
          <w:rFonts w:cs="Arial"/>
          <w:szCs w:val="18"/>
        </w:rPr>
        <w:t>higher</w:t>
      </w:r>
      <w:r w:rsidRPr="00096407">
        <w:rPr>
          <w:rFonts w:cs="Arial"/>
          <w:szCs w:val="18"/>
        </w:rPr>
        <w:t xml:space="preserve"> mass loss in grapes. It can be concluded that the use of </w:t>
      </w:r>
      <w:r w:rsidR="002E44FB">
        <w:rPr>
          <w:rFonts w:cs="Arial"/>
          <w:szCs w:val="18"/>
        </w:rPr>
        <w:t>WPI</w:t>
      </w:r>
      <w:r w:rsidRPr="00096407">
        <w:rPr>
          <w:rFonts w:cs="Arial"/>
          <w:szCs w:val="18"/>
        </w:rPr>
        <w:t xml:space="preserve"> originated films with </w:t>
      </w:r>
      <w:r w:rsidR="001A4940">
        <w:rPr>
          <w:rFonts w:cs="Arial"/>
          <w:szCs w:val="18"/>
        </w:rPr>
        <w:t>suitable</w:t>
      </w:r>
      <w:r w:rsidRPr="00096407">
        <w:rPr>
          <w:rFonts w:cs="Arial"/>
          <w:szCs w:val="18"/>
        </w:rPr>
        <w:t xml:space="preserve"> characteristics and </w:t>
      </w:r>
      <w:r w:rsidR="008C2D9F">
        <w:rPr>
          <w:rFonts w:cs="Arial"/>
          <w:szCs w:val="18"/>
        </w:rPr>
        <w:t>could</w:t>
      </w:r>
      <w:r w:rsidRPr="00096407">
        <w:rPr>
          <w:rFonts w:cs="Arial"/>
          <w:szCs w:val="18"/>
        </w:rPr>
        <w:t xml:space="preserve"> increase the shelf life of grapes. The addition of </w:t>
      </w:r>
      <w:r w:rsidRPr="00096407">
        <w:rPr>
          <w:rFonts w:cs="Arial"/>
          <w:i/>
          <w:szCs w:val="18"/>
        </w:rPr>
        <w:t xml:space="preserve">L. </w:t>
      </w:r>
      <w:proofErr w:type="spellStart"/>
      <w:r w:rsidRPr="00096407">
        <w:rPr>
          <w:rFonts w:cs="Arial"/>
          <w:i/>
          <w:szCs w:val="18"/>
        </w:rPr>
        <w:t>casei</w:t>
      </w:r>
      <w:proofErr w:type="spellEnd"/>
      <w:r w:rsidRPr="00096407">
        <w:rPr>
          <w:rFonts w:cs="Arial"/>
          <w:szCs w:val="18"/>
        </w:rPr>
        <w:t xml:space="preserve"> resulted in </w:t>
      </w:r>
      <w:r w:rsidR="00CC2E76">
        <w:rPr>
          <w:rFonts w:cs="Arial"/>
          <w:szCs w:val="18"/>
        </w:rPr>
        <w:t>alterations on</w:t>
      </w:r>
      <w:r w:rsidRPr="00096407">
        <w:rPr>
          <w:rFonts w:cs="Arial"/>
          <w:szCs w:val="18"/>
        </w:rPr>
        <w:t xml:space="preserve"> the mechanical properties of the films and </w:t>
      </w:r>
      <w:r w:rsidR="00F757A5">
        <w:rPr>
          <w:rFonts w:cs="Arial"/>
          <w:szCs w:val="18"/>
        </w:rPr>
        <w:t>suitable</w:t>
      </w:r>
      <w:r w:rsidR="003D14A3">
        <w:rPr>
          <w:rFonts w:cs="Arial"/>
          <w:szCs w:val="18"/>
        </w:rPr>
        <w:t xml:space="preserve"> probiotic</w:t>
      </w:r>
      <w:r w:rsidRPr="00096407">
        <w:rPr>
          <w:rFonts w:cs="Arial"/>
          <w:szCs w:val="18"/>
        </w:rPr>
        <w:t xml:space="preserve"> counts for 14 days, with </w:t>
      </w:r>
      <w:r w:rsidR="00C7719E" w:rsidRPr="00096407">
        <w:rPr>
          <w:rFonts w:cs="Arial"/>
          <w:szCs w:val="18"/>
        </w:rPr>
        <w:t>positive effect on the</w:t>
      </w:r>
      <w:r w:rsidR="00C7719E">
        <w:rPr>
          <w:rFonts w:cs="Arial"/>
          <w:szCs w:val="18"/>
        </w:rPr>
        <w:t xml:space="preserve"> ripening process </w:t>
      </w:r>
      <w:r w:rsidR="00C7719E" w:rsidRPr="00096407">
        <w:rPr>
          <w:rFonts w:cs="Arial"/>
          <w:szCs w:val="18"/>
        </w:rPr>
        <w:t>of the tomatoes</w:t>
      </w:r>
      <w:r w:rsidR="004535D3">
        <w:rPr>
          <w:rFonts w:cs="Arial"/>
          <w:szCs w:val="18"/>
        </w:rPr>
        <w:t xml:space="preserve"> and grapes</w:t>
      </w:r>
      <w:r w:rsidR="00C7719E">
        <w:rPr>
          <w:rFonts w:cs="Arial"/>
          <w:szCs w:val="18"/>
        </w:rPr>
        <w:t xml:space="preserve"> (lower TSS</w:t>
      </w:r>
      <w:r w:rsidR="00EA5893">
        <w:rPr>
          <w:rFonts w:cs="Arial"/>
          <w:szCs w:val="18"/>
        </w:rPr>
        <w:t xml:space="preserve"> values</w:t>
      </w:r>
      <w:r w:rsidR="00B82F41">
        <w:rPr>
          <w:rFonts w:cs="Arial"/>
          <w:szCs w:val="18"/>
        </w:rPr>
        <w:t>)</w:t>
      </w:r>
      <w:r w:rsidR="00C7719E" w:rsidRPr="00096407">
        <w:rPr>
          <w:rFonts w:cs="Arial"/>
          <w:szCs w:val="18"/>
        </w:rPr>
        <w:t>.</w:t>
      </w:r>
    </w:p>
    <w:p w14:paraId="2CFD41AF" w14:textId="77777777" w:rsidR="000332BD" w:rsidRPr="003D14A3" w:rsidRDefault="000332BD" w:rsidP="00E9110C">
      <w:pPr>
        <w:pStyle w:val="CETAddress"/>
        <w:jc w:val="both"/>
        <w:rPr>
          <w:rFonts w:cs="Arial"/>
          <w:b/>
          <w:sz w:val="18"/>
          <w:szCs w:val="18"/>
          <w:lang w:val="en-US"/>
        </w:rPr>
      </w:pPr>
    </w:p>
    <w:p w14:paraId="2CFD41B0" w14:textId="77777777" w:rsidR="00600535" w:rsidRPr="00DA1F6B" w:rsidRDefault="00600535" w:rsidP="000332BD">
      <w:pPr>
        <w:pStyle w:val="CETHeading1"/>
        <w:rPr>
          <w:color w:val="000000" w:themeColor="text1"/>
          <w:lang w:val="en-GB"/>
        </w:rPr>
      </w:pPr>
      <w:r w:rsidRPr="00DA1F6B">
        <w:rPr>
          <w:color w:val="000000" w:themeColor="text1"/>
          <w:lang w:val="en-GB"/>
        </w:rPr>
        <w:t>Introduction</w:t>
      </w:r>
    </w:p>
    <w:p w14:paraId="2CFD41B1" w14:textId="77777777" w:rsidR="008D17A4" w:rsidRPr="00BA0014" w:rsidRDefault="00FE5A95" w:rsidP="007F213F">
      <w:pPr>
        <w:pStyle w:val="CETBodytext"/>
      </w:pPr>
      <w:r>
        <w:t>Whey protein isolate (WPI) is a valuable by-product of the cheese industry and it presents high protein content (&gt; 90%) (</w:t>
      </w:r>
      <w:proofErr w:type="spellStart"/>
      <w:r>
        <w:t>Sukyai</w:t>
      </w:r>
      <w:proofErr w:type="spellEnd"/>
      <w:r>
        <w:t xml:space="preserve"> et al., 2018). </w:t>
      </w:r>
      <w:r w:rsidR="00904303" w:rsidRPr="00BA0014">
        <w:t xml:space="preserve">Whey proteins are characterized as proteins of high biological value because of the presence of essential amino acids. They also have bioactive peptides </w:t>
      </w:r>
      <w:r w:rsidR="00FB1BC2">
        <w:t>as</w:t>
      </w:r>
      <w:r w:rsidR="00CA449E">
        <w:t xml:space="preserve"> </w:t>
      </w:r>
      <w:r w:rsidR="00904303" w:rsidRPr="00BA0014">
        <w:t xml:space="preserve">exorphins, immunopeptides and </w:t>
      </w:r>
      <w:proofErr w:type="spellStart"/>
      <w:r w:rsidR="00904303" w:rsidRPr="00BA0014">
        <w:t>phosphopeptides</w:t>
      </w:r>
      <w:proofErr w:type="spellEnd"/>
      <w:r w:rsidR="00904303" w:rsidRPr="00BA0014">
        <w:t>,</w:t>
      </w:r>
      <w:r w:rsidR="00FB1BC2">
        <w:t xml:space="preserve"> besides</w:t>
      </w:r>
      <w:r w:rsidR="00904303" w:rsidRPr="00BA0014">
        <w:t xml:space="preserve"> </w:t>
      </w:r>
      <w:r w:rsidR="006D31B7">
        <w:t>important</w:t>
      </w:r>
      <w:r w:rsidR="00904303" w:rsidRPr="00BA0014">
        <w:t xml:space="preserve"> functional properties</w:t>
      </w:r>
      <w:r w:rsidR="007F213F" w:rsidRPr="00BA0014">
        <w:t>, such as, the high</w:t>
      </w:r>
      <w:r w:rsidR="00972CA8">
        <w:t xml:space="preserve"> gelation</w:t>
      </w:r>
      <w:r w:rsidR="007F213F" w:rsidRPr="00BA0014">
        <w:t xml:space="preserve"> capacity. The</w:t>
      </w:r>
      <w:r w:rsidR="008D17A4" w:rsidRPr="00BA0014">
        <w:t xml:space="preserve"> utilization of whey proteins in the development of</w:t>
      </w:r>
      <w:r w:rsidR="007F213F" w:rsidRPr="00BA0014">
        <w:t xml:space="preserve"> </w:t>
      </w:r>
      <w:r w:rsidR="00B936E7">
        <w:t>edible</w:t>
      </w:r>
      <w:r w:rsidR="007F213F" w:rsidRPr="00BA0014">
        <w:t xml:space="preserve"> film</w:t>
      </w:r>
      <w:r w:rsidR="00904303" w:rsidRPr="00BA0014">
        <w:t>s</w:t>
      </w:r>
      <w:r w:rsidR="008D17A4" w:rsidRPr="00BA0014">
        <w:t xml:space="preserve"> </w:t>
      </w:r>
      <w:r w:rsidR="007F213F" w:rsidRPr="00BA0014">
        <w:t>is one of the alternatives for th</w:t>
      </w:r>
      <w:r w:rsidR="008D17A4" w:rsidRPr="00BA0014">
        <w:t>e use of whey</w:t>
      </w:r>
      <w:r w:rsidR="00B936E7">
        <w:t xml:space="preserve"> (Gallus and </w:t>
      </w:r>
      <w:proofErr w:type="spellStart"/>
      <w:r w:rsidR="00B936E7">
        <w:t>Kadzinska</w:t>
      </w:r>
      <w:proofErr w:type="spellEnd"/>
      <w:r w:rsidR="00B936E7">
        <w:t>, 2016)</w:t>
      </w:r>
      <w:r w:rsidR="007F213F" w:rsidRPr="00BA0014">
        <w:t>.</w:t>
      </w:r>
      <w:r w:rsidR="008D17A4" w:rsidRPr="00BA0014">
        <w:t xml:space="preserve"> </w:t>
      </w:r>
    </w:p>
    <w:p w14:paraId="2CFD41B2" w14:textId="77777777" w:rsidR="00972CA8" w:rsidRDefault="00B936E7" w:rsidP="007F213F">
      <w:pPr>
        <w:pStyle w:val="CETBodytext"/>
        <w:rPr>
          <w:szCs w:val="18"/>
        </w:rPr>
      </w:pPr>
      <w:r>
        <w:t>Edible</w:t>
      </w:r>
      <w:r w:rsidR="00904303" w:rsidRPr="00BA0014">
        <w:t xml:space="preserve"> films can be defined as a thin film produced from polysaccharides, proteins, lipids </w:t>
      </w:r>
      <w:r w:rsidR="00972CA8">
        <w:t xml:space="preserve">or </w:t>
      </w:r>
      <w:r w:rsidR="00904303" w:rsidRPr="00BA0014">
        <w:t>derivatives. These films are intended to be a "green" substitute for petroleum-based films</w:t>
      </w:r>
      <w:r w:rsidR="00BA0014" w:rsidRPr="00BA0014">
        <w:t xml:space="preserve">, </w:t>
      </w:r>
      <w:r w:rsidR="00904303" w:rsidRPr="00BA0014">
        <w:t>can be consumed</w:t>
      </w:r>
      <w:r w:rsidR="006D4C12">
        <w:t xml:space="preserve"> along with the </w:t>
      </w:r>
      <w:r w:rsidR="006D4C12">
        <w:lastRenderedPageBreak/>
        <w:t>product</w:t>
      </w:r>
      <w:r w:rsidR="00E872E6">
        <w:t xml:space="preserve"> </w:t>
      </w:r>
      <w:r w:rsidR="00BA0014" w:rsidRPr="00BA0014">
        <w:t>and are usually applied onto the surface of food products by brushing, spraying or dipping (</w:t>
      </w:r>
      <w:proofErr w:type="spellStart"/>
      <w:r w:rsidR="00BA0014" w:rsidRPr="00BA0014">
        <w:t>Soukoulis</w:t>
      </w:r>
      <w:proofErr w:type="spellEnd"/>
      <w:r w:rsidR="00BA0014" w:rsidRPr="00BA0014">
        <w:t xml:space="preserve"> et al., 2014</w:t>
      </w:r>
      <w:r w:rsidR="00EF1522">
        <w:t xml:space="preserve">, </w:t>
      </w:r>
      <w:proofErr w:type="spellStart"/>
      <w:r w:rsidR="00EF1522">
        <w:t>Saadan</w:t>
      </w:r>
      <w:proofErr w:type="spellEnd"/>
      <w:r w:rsidR="00EF1522">
        <w:t xml:space="preserve"> et al., 2017</w:t>
      </w:r>
      <w:r w:rsidR="00BA0014" w:rsidRPr="00BA0014">
        <w:t>)</w:t>
      </w:r>
      <w:r w:rsidR="00904303" w:rsidRPr="00BA0014">
        <w:t xml:space="preserve">. </w:t>
      </w:r>
      <w:r w:rsidR="007F213F" w:rsidRPr="00BA0014">
        <w:t>Th</w:t>
      </w:r>
      <w:r w:rsidR="008D17A4" w:rsidRPr="00BA0014">
        <w:t>e</w:t>
      </w:r>
      <w:r w:rsidR="007F213F" w:rsidRPr="00BA0014">
        <w:t xml:space="preserve"> films</w:t>
      </w:r>
      <w:r w:rsidR="008D17A4" w:rsidRPr="00BA0014">
        <w:t xml:space="preserve"> based on whey proteins</w:t>
      </w:r>
      <w:r w:rsidR="007F213F" w:rsidRPr="00BA0014">
        <w:t xml:space="preserve"> are characterized by transparency, flexibility and absence of odor and flavor, allowing </w:t>
      </w:r>
      <w:r w:rsidR="00972CA8">
        <w:t xml:space="preserve">their </w:t>
      </w:r>
      <w:r w:rsidR="008D17A4" w:rsidRPr="00BA0014">
        <w:t xml:space="preserve">wide </w:t>
      </w:r>
      <w:r w:rsidR="00301764">
        <w:t>utilization</w:t>
      </w:r>
      <w:r>
        <w:t xml:space="preserve"> (</w:t>
      </w:r>
      <w:proofErr w:type="spellStart"/>
      <w:r>
        <w:t>Ket</w:t>
      </w:r>
      <w:proofErr w:type="spellEnd"/>
      <w:r>
        <w:t>-on et al., 2016)</w:t>
      </w:r>
      <w:r w:rsidR="008D17A4" w:rsidRPr="00BA0014">
        <w:t xml:space="preserve">. </w:t>
      </w:r>
      <w:r w:rsidR="00972CA8">
        <w:rPr>
          <w:szCs w:val="18"/>
        </w:rPr>
        <w:t xml:space="preserve">The application of biofilms in fruits can be effective in the increase of the shelf life period, as it can slow detrimental reactions by raising a physical or </w:t>
      </w:r>
      <w:r w:rsidR="00053E4F">
        <w:rPr>
          <w:szCs w:val="18"/>
        </w:rPr>
        <w:t>thermodynamically</w:t>
      </w:r>
      <w:r w:rsidR="00972CA8">
        <w:rPr>
          <w:szCs w:val="18"/>
        </w:rPr>
        <w:t xml:space="preserve"> barrier (</w:t>
      </w:r>
      <w:proofErr w:type="spellStart"/>
      <w:r w:rsidR="00972CA8">
        <w:rPr>
          <w:szCs w:val="18"/>
        </w:rPr>
        <w:t>Soukoulis</w:t>
      </w:r>
      <w:proofErr w:type="spellEnd"/>
      <w:r w:rsidR="00972CA8">
        <w:rPr>
          <w:szCs w:val="18"/>
        </w:rPr>
        <w:t xml:space="preserve"> et al., 2014),</w:t>
      </w:r>
      <w:r>
        <w:rPr>
          <w:szCs w:val="18"/>
        </w:rPr>
        <w:t xml:space="preserve"> and</w:t>
      </w:r>
      <w:r w:rsidR="00972CA8">
        <w:rPr>
          <w:szCs w:val="18"/>
        </w:rPr>
        <w:t xml:space="preserve"> reduc</w:t>
      </w:r>
      <w:r w:rsidR="005836E9">
        <w:rPr>
          <w:szCs w:val="18"/>
        </w:rPr>
        <w:t>ing</w:t>
      </w:r>
      <w:r w:rsidR="00972CA8">
        <w:rPr>
          <w:szCs w:val="18"/>
        </w:rPr>
        <w:t xml:space="preserve"> the rates of gas and moisture transfer between the environment and the </w:t>
      </w:r>
      <w:r w:rsidR="00353932">
        <w:rPr>
          <w:szCs w:val="18"/>
        </w:rPr>
        <w:t>fruit</w:t>
      </w:r>
      <w:r w:rsidR="00972CA8">
        <w:rPr>
          <w:szCs w:val="18"/>
        </w:rPr>
        <w:t xml:space="preserve"> (</w:t>
      </w:r>
      <w:proofErr w:type="spellStart"/>
      <w:r w:rsidR="00972CA8">
        <w:rPr>
          <w:szCs w:val="18"/>
        </w:rPr>
        <w:t>Espitia</w:t>
      </w:r>
      <w:proofErr w:type="spellEnd"/>
      <w:r w:rsidR="00972CA8">
        <w:rPr>
          <w:szCs w:val="18"/>
        </w:rPr>
        <w:t xml:space="preserve"> et al., 2016). </w:t>
      </w:r>
      <w:r w:rsidR="006D4C12">
        <w:rPr>
          <w:szCs w:val="18"/>
        </w:rPr>
        <w:t xml:space="preserve">In this way, it can maintain the freshness of the fruits </w:t>
      </w:r>
      <w:r w:rsidR="00116534">
        <w:rPr>
          <w:szCs w:val="18"/>
        </w:rPr>
        <w:t>for longer time</w:t>
      </w:r>
      <w:r w:rsidR="00E77A5E">
        <w:rPr>
          <w:szCs w:val="18"/>
        </w:rPr>
        <w:t>, the</w:t>
      </w:r>
      <w:r w:rsidR="006D4C12">
        <w:rPr>
          <w:szCs w:val="18"/>
        </w:rPr>
        <w:t xml:space="preserve"> quality characteristics (color, acid, sugar and flavor) and</w:t>
      </w:r>
      <w:r w:rsidR="00116534">
        <w:rPr>
          <w:szCs w:val="18"/>
        </w:rPr>
        <w:t xml:space="preserve"> </w:t>
      </w:r>
      <w:r w:rsidR="006D4C12">
        <w:rPr>
          <w:szCs w:val="18"/>
        </w:rPr>
        <w:t>the nutritional components (</w:t>
      </w:r>
      <w:r w:rsidR="00CA59F2">
        <w:rPr>
          <w:szCs w:val="18"/>
        </w:rPr>
        <w:t xml:space="preserve">Sessa et al., 2015, </w:t>
      </w:r>
      <w:r w:rsidR="006D4C12">
        <w:rPr>
          <w:szCs w:val="18"/>
        </w:rPr>
        <w:t xml:space="preserve">Feng et al., 2018). </w:t>
      </w:r>
    </w:p>
    <w:p w14:paraId="2CFD41B3" w14:textId="77777777" w:rsidR="008D17A4" w:rsidRPr="00353932" w:rsidRDefault="007F213F" w:rsidP="007F213F">
      <w:pPr>
        <w:pStyle w:val="CETBodytext"/>
        <w:rPr>
          <w:szCs w:val="18"/>
        </w:rPr>
      </w:pPr>
      <w:r w:rsidRPr="00BA0014">
        <w:t xml:space="preserve">The addition of chemical substances, enzymes or probiotics to whey protein films </w:t>
      </w:r>
      <w:r w:rsidR="008D17A4" w:rsidRPr="00BA0014">
        <w:t xml:space="preserve">can </w:t>
      </w:r>
      <w:r w:rsidRPr="00BA0014">
        <w:t xml:space="preserve">favor their intra and intermolecular bonds, </w:t>
      </w:r>
      <w:r w:rsidR="008D17A4" w:rsidRPr="00BA0014">
        <w:t>which can result in the</w:t>
      </w:r>
      <w:r w:rsidRPr="00BA0014">
        <w:t xml:space="preserve"> improvement </w:t>
      </w:r>
      <w:r w:rsidR="008D17A4" w:rsidRPr="00BA0014">
        <w:t>of</w:t>
      </w:r>
      <w:r w:rsidRPr="00BA0014">
        <w:t xml:space="preserve"> their physical, functional or texture characteristics</w:t>
      </w:r>
      <w:r w:rsidR="00353932">
        <w:t xml:space="preserve"> (</w:t>
      </w:r>
      <w:proofErr w:type="spellStart"/>
      <w:r w:rsidR="00353932" w:rsidRPr="005F0987">
        <w:t>Soukoulis</w:t>
      </w:r>
      <w:proofErr w:type="spellEnd"/>
      <w:r w:rsidR="00353932" w:rsidRPr="005F0987">
        <w:t xml:space="preserve"> et al., 2014)</w:t>
      </w:r>
      <w:r w:rsidRPr="005F0987">
        <w:t>.</w:t>
      </w:r>
      <w:r w:rsidR="00353932" w:rsidRPr="005F0987">
        <w:rPr>
          <w:szCs w:val="18"/>
        </w:rPr>
        <w:t xml:space="preserve"> </w:t>
      </w:r>
      <w:r w:rsidR="008D17A4" w:rsidRPr="005F0987">
        <w:rPr>
          <w:spacing w:val="3"/>
          <w:szCs w:val="18"/>
          <w:shd w:val="clear" w:color="auto" w:fill="FFFFFF"/>
        </w:rPr>
        <w:t>Probiotics are live microorganisms</w:t>
      </w:r>
      <w:r w:rsidR="00727BD1" w:rsidRPr="005F0987">
        <w:rPr>
          <w:spacing w:val="3"/>
          <w:szCs w:val="18"/>
          <w:shd w:val="clear" w:color="auto" w:fill="FFFFFF"/>
        </w:rPr>
        <w:t xml:space="preserve"> that confer a health benefit on the host</w:t>
      </w:r>
      <w:r w:rsidR="008D17A4" w:rsidRPr="005F0987">
        <w:rPr>
          <w:spacing w:val="3"/>
          <w:szCs w:val="18"/>
          <w:shd w:val="clear" w:color="auto" w:fill="FFFFFF"/>
        </w:rPr>
        <w:t xml:space="preserve"> when administered in adequate amounts (Hill et al., 2014). </w:t>
      </w:r>
      <w:r w:rsidR="00B17959" w:rsidRPr="005F0987">
        <w:rPr>
          <w:spacing w:val="3"/>
          <w:szCs w:val="18"/>
          <w:shd w:val="clear" w:color="auto" w:fill="FFFFFF"/>
        </w:rPr>
        <w:t xml:space="preserve">The consumption of </w:t>
      </w:r>
      <w:r w:rsidR="00B17959" w:rsidRPr="005F0987">
        <w:rPr>
          <w:i/>
          <w:spacing w:val="3"/>
          <w:szCs w:val="18"/>
          <w:shd w:val="clear" w:color="auto" w:fill="FFFFFF"/>
        </w:rPr>
        <w:t xml:space="preserve">L. </w:t>
      </w:r>
      <w:proofErr w:type="spellStart"/>
      <w:r w:rsidR="00B17959" w:rsidRPr="005F0987">
        <w:rPr>
          <w:i/>
          <w:spacing w:val="3"/>
          <w:szCs w:val="18"/>
          <w:shd w:val="clear" w:color="auto" w:fill="FFFFFF"/>
        </w:rPr>
        <w:t>casei</w:t>
      </w:r>
      <w:proofErr w:type="spellEnd"/>
      <w:r w:rsidR="00B17959" w:rsidRPr="005F0987">
        <w:rPr>
          <w:i/>
          <w:spacing w:val="3"/>
          <w:szCs w:val="18"/>
          <w:shd w:val="clear" w:color="auto" w:fill="FFFFFF"/>
        </w:rPr>
        <w:t xml:space="preserve"> </w:t>
      </w:r>
      <w:r w:rsidR="00B17959" w:rsidRPr="005F0987">
        <w:rPr>
          <w:spacing w:val="3"/>
          <w:szCs w:val="18"/>
          <w:shd w:val="clear" w:color="auto" w:fill="FFFFFF"/>
        </w:rPr>
        <w:t xml:space="preserve">probiotic culture has been associated to health effects, such as anticarcinogenic properties (Liu et al., 2011), healthier lipid profile (Sperry et al., 2018), </w:t>
      </w:r>
      <w:r w:rsidR="00BA0014" w:rsidRPr="005F0987">
        <w:rPr>
          <w:spacing w:val="3"/>
          <w:szCs w:val="18"/>
          <w:shd w:val="clear" w:color="auto" w:fill="FFFFFF"/>
        </w:rPr>
        <w:t>reduction of the incidence of antibiotic</w:t>
      </w:r>
      <w:r w:rsidR="00BA0014" w:rsidRPr="00BA0014">
        <w:rPr>
          <w:spacing w:val="3"/>
          <w:szCs w:val="18"/>
          <w:shd w:val="clear" w:color="auto" w:fill="FFFFFF"/>
        </w:rPr>
        <w:t xml:space="preserve">-associated diarrhea and </w:t>
      </w:r>
      <w:r w:rsidR="00BA0014" w:rsidRPr="006468D4">
        <w:rPr>
          <w:i/>
          <w:spacing w:val="3"/>
          <w:szCs w:val="18"/>
          <w:shd w:val="clear" w:color="auto" w:fill="FFFFFF"/>
        </w:rPr>
        <w:t>Clostridium difficile</w:t>
      </w:r>
      <w:r w:rsidR="00BA0014" w:rsidRPr="00BA0014">
        <w:rPr>
          <w:spacing w:val="3"/>
          <w:szCs w:val="18"/>
          <w:shd w:val="clear" w:color="auto" w:fill="FFFFFF"/>
        </w:rPr>
        <w:t xml:space="preserve"> infections (</w:t>
      </w:r>
      <w:proofErr w:type="spellStart"/>
      <w:r w:rsidR="00BA0014" w:rsidRPr="00BA0014">
        <w:rPr>
          <w:spacing w:val="3"/>
          <w:szCs w:val="18"/>
          <w:shd w:val="clear" w:color="auto" w:fill="FFFFFF"/>
        </w:rPr>
        <w:t>Auclair</w:t>
      </w:r>
      <w:proofErr w:type="spellEnd"/>
      <w:r w:rsidR="00BA0014" w:rsidRPr="00BA0014">
        <w:rPr>
          <w:spacing w:val="3"/>
          <w:szCs w:val="18"/>
          <w:shd w:val="clear" w:color="auto" w:fill="FFFFFF"/>
        </w:rPr>
        <w:t xml:space="preserve"> et al., 2015), among others. </w:t>
      </w:r>
    </w:p>
    <w:p w14:paraId="2CFD41B4" w14:textId="77777777" w:rsidR="004D71A9" w:rsidRPr="007F213F" w:rsidRDefault="00972CA8" w:rsidP="00CD7EC6">
      <w:pPr>
        <w:pStyle w:val="CETBodytext"/>
      </w:pPr>
      <w:r>
        <w:t>R</w:t>
      </w:r>
      <w:r w:rsidR="006468D4">
        <w:t>esearch on the development of</w:t>
      </w:r>
      <w:r w:rsidR="00116534">
        <w:t xml:space="preserve"> edible</w:t>
      </w:r>
      <w:r w:rsidR="006468D4">
        <w:t xml:space="preserve"> films incorporated with probiotic</w:t>
      </w:r>
      <w:r w:rsidR="00592709">
        <w:t xml:space="preserve"> cultures</w:t>
      </w:r>
      <w:r w:rsidR="006468D4">
        <w:t xml:space="preserve"> is still emerging, </w:t>
      </w:r>
      <w:r w:rsidR="006D4C12">
        <w:t>therefore, more</w:t>
      </w:r>
      <w:r w:rsidR="006468D4">
        <w:t xml:space="preserve"> studies</w:t>
      </w:r>
      <w:r w:rsidR="006D4C12">
        <w:t xml:space="preserve"> should be conducted</w:t>
      </w:r>
      <w:r>
        <w:t xml:space="preserve"> (</w:t>
      </w:r>
      <w:proofErr w:type="spellStart"/>
      <w:r>
        <w:t>Espitia</w:t>
      </w:r>
      <w:proofErr w:type="spellEnd"/>
      <w:r>
        <w:t xml:space="preserve"> et al., 2016)</w:t>
      </w:r>
      <w:r w:rsidR="00592709">
        <w:t>.</w:t>
      </w:r>
      <w:r w:rsidR="006468D4">
        <w:t xml:space="preserve"> </w:t>
      </w:r>
      <w:r>
        <w:t xml:space="preserve">The objective of this study was to </w:t>
      </w:r>
      <w:r w:rsidRPr="00096407">
        <w:rPr>
          <w:rFonts w:cs="Arial"/>
          <w:szCs w:val="18"/>
        </w:rPr>
        <w:t xml:space="preserve">produce and characterize </w:t>
      </w:r>
      <w:r>
        <w:rPr>
          <w:rFonts w:cs="Arial"/>
          <w:szCs w:val="18"/>
        </w:rPr>
        <w:t xml:space="preserve">edible </w:t>
      </w:r>
      <w:r w:rsidRPr="00096407">
        <w:rPr>
          <w:rFonts w:cs="Arial"/>
          <w:szCs w:val="18"/>
        </w:rPr>
        <w:t xml:space="preserve">biofilms based on </w:t>
      </w:r>
      <w:r w:rsidR="00BB3448">
        <w:rPr>
          <w:rFonts w:cs="Arial"/>
          <w:szCs w:val="18"/>
        </w:rPr>
        <w:t>WPI</w:t>
      </w:r>
      <w:r w:rsidRPr="00096407">
        <w:rPr>
          <w:rFonts w:cs="Arial"/>
          <w:szCs w:val="18"/>
        </w:rPr>
        <w:t xml:space="preserve"> and added or not with probiotic</w:t>
      </w:r>
      <w:r w:rsidRPr="00096407">
        <w:rPr>
          <w:rFonts w:cs="Arial"/>
          <w:i/>
          <w:szCs w:val="18"/>
        </w:rPr>
        <w:t xml:space="preserve"> L. </w:t>
      </w:r>
      <w:proofErr w:type="spellStart"/>
      <w:r w:rsidRPr="00096407">
        <w:rPr>
          <w:rFonts w:cs="Arial"/>
          <w:i/>
          <w:szCs w:val="18"/>
        </w:rPr>
        <w:t>casei</w:t>
      </w:r>
      <w:proofErr w:type="spellEnd"/>
      <w:r w:rsidRPr="00096407">
        <w:rPr>
          <w:rFonts w:cs="Arial"/>
          <w:szCs w:val="18"/>
        </w:rPr>
        <w:t xml:space="preserve">. Subsequently, the effect of the biofilms </w:t>
      </w:r>
      <w:r w:rsidR="00116534">
        <w:rPr>
          <w:rFonts w:cs="Arial"/>
          <w:szCs w:val="18"/>
        </w:rPr>
        <w:t>o</w:t>
      </w:r>
      <w:r w:rsidRPr="00096407">
        <w:rPr>
          <w:rFonts w:cs="Arial"/>
          <w:szCs w:val="18"/>
        </w:rPr>
        <w:t>n</w:t>
      </w:r>
      <w:r>
        <w:rPr>
          <w:rFonts w:cs="Arial"/>
          <w:szCs w:val="18"/>
        </w:rPr>
        <w:t xml:space="preserve"> the characteristics of</w:t>
      </w:r>
      <w:r w:rsidRPr="00096407">
        <w:rPr>
          <w:rFonts w:cs="Arial"/>
          <w:szCs w:val="18"/>
        </w:rPr>
        <w:t xml:space="preserve"> </w:t>
      </w:r>
      <w:r w:rsidRPr="00096407">
        <w:rPr>
          <w:rFonts w:cs="Arial"/>
          <w:i/>
          <w:szCs w:val="18"/>
        </w:rPr>
        <w:t xml:space="preserve">Cherry </w:t>
      </w:r>
      <w:r w:rsidRPr="00096407">
        <w:rPr>
          <w:rFonts w:cs="Arial"/>
          <w:szCs w:val="18"/>
        </w:rPr>
        <w:t xml:space="preserve">tomatoes and </w:t>
      </w:r>
      <w:r w:rsidRPr="00096407">
        <w:rPr>
          <w:rFonts w:cs="Arial"/>
          <w:i/>
          <w:szCs w:val="18"/>
        </w:rPr>
        <w:t>Thompson</w:t>
      </w:r>
      <w:r w:rsidRPr="00096407">
        <w:rPr>
          <w:rFonts w:cs="Arial"/>
          <w:szCs w:val="18"/>
        </w:rPr>
        <w:t xml:space="preserve"> grapes was evaluated.</w:t>
      </w:r>
    </w:p>
    <w:p w14:paraId="2CFD41B5" w14:textId="77777777" w:rsidR="004D71A9" w:rsidRPr="00DA1F6B" w:rsidRDefault="00592709" w:rsidP="00DA1F6B">
      <w:pPr>
        <w:pStyle w:val="CETHeading1"/>
        <w:tabs>
          <w:tab w:val="num" w:pos="360"/>
        </w:tabs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Material and methods</w:t>
      </w:r>
    </w:p>
    <w:p w14:paraId="2CFD41B6" w14:textId="77777777" w:rsidR="004D71A9" w:rsidRPr="004D71A9" w:rsidRDefault="004D71A9" w:rsidP="004D71A9">
      <w:pPr>
        <w:pStyle w:val="CETBodytext"/>
        <w:rPr>
          <w:lang w:val="pt-BR"/>
        </w:rPr>
      </w:pPr>
    </w:p>
    <w:p w14:paraId="2CFD41B7" w14:textId="77777777" w:rsidR="004D71A9" w:rsidRPr="00252F5E" w:rsidRDefault="009C7671" w:rsidP="004D71A9">
      <w:pPr>
        <w:pStyle w:val="CETBodytext"/>
      </w:pPr>
      <w:r w:rsidRPr="00252F5E">
        <w:t>Material</w:t>
      </w:r>
    </w:p>
    <w:p w14:paraId="2CFD41B8" w14:textId="77777777" w:rsidR="004D71A9" w:rsidRPr="00191110" w:rsidRDefault="004D71A9" w:rsidP="004D71A9">
      <w:pPr>
        <w:pStyle w:val="CETBodytext"/>
      </w:pPr>
      <w:r w:rsidRPr="00011711">
        <w:tab/>
      </w:r>
      <w:r w:rsidR="009C7671" w:rsidRPr="00191110">
        <w:rPr>
          <w:i/>
          <w:snapToGrid w:val="0"/>
        </w:rPr>
        <w:t xml:space="preserve">L. </w:t>
      </w:r>
      <w:proofErr w:type="spellStart"/>
      <w:r w:rsidR="009C7671" w:rsidRPr="00191110">
        <w:rPr>
          <w:i/>
          <w:snapToGrid w:val="0"/>
        </w:rPr>
        <w:t>casei</w:t>
      </w:r>
      <w:proofErr w:type="spellEnd"/>
      <w:r w:rsidR="009C7671" w:rsidRPr="00191110">
        <w:rPr>
          <w:snapToGrid w:val="0"/>
        </w:rPr>
        <w:t xml:space="preserve"> </w:t>
      </w:r>
      <w:r w:rsidR="00885CB9" w:rsidRPr="00191110">
        <w:rPr>
          <w:snapToGrid w:val="0"/>
        </w:rPr>
        <w:t>0</w:t>
      </w:r>
      <w:r w:rsidR="009C7671" w:rsidRPr="00191110">
        <w:rPr>
          <w:snapToGrid w:val="0"/>
        </w:rPr>
        <w:t>1 (Christian Hansen</w:t>
      </w:r>
      <w:r w:rsidR="00F70122" w:rsidRPr="00191110">
        <w:rPr>
          <w:rFonts w:cs="Arial"/>
          <w:snapToGrid w:val="0"/>
        </w:rPr>
        <w:t>®</w:t>
      </w:r>
      <w:r w:rsidR="009C7671" w:rsidRPr="00191110">
        <w:rPr>
          <w:snapToGrid w:val="0"/>
        </w:rPr>
        <w:t xml:space="preserve">, </w:t>
      </w:r>
      <w:proofErr w:type="spellStart"/>
      <w:r w:rsidR="009C7671" w:rsidRPr="00191110">
        <w:rPr>
          <w:snapToGrid w:val="0"/>
        </w:rPr>
        <w:t>Valinhos</w:t>
      </w:r>
      <w:proofErr w:type="spellEnd"/>
      <w:r w:rsidR="00294FE0" w:rsidRPr="00191110">
        <w:rPr>
          <w:snapToGrid w:val="0"/>
        </w:rPr>
        <w:t>,</w:t>
      </w:r>
      <w:r w:rsidR="009C7671" w:rsidRPr="00191110">
        <w:rPr>
          <w:snapToGrid w:val="0"/>
        </w:rPr>
        <w:t xml:space="preserve"> SP)</w:t>
      </w:r>
      <w:r w:rsidR="00007D24" w:rsidRPr="00191110">
        <w:rPr>
          <w:snapToGrid w:val="0"/>
        </w:rPr>
        <w:t xml:space="preserve">, </w:t>
      </w:r>
      <w:r w:rsidR="00885CB9" w:rsidRPr="00191110">
        <w:rPr>
          <w:snapToGrid w:val="0"/>
        </w:rPr>
        <w:t>WPI</w:t>
      </w:r>
      <w:r w:rsidR="009C7671" w:rsidRPr="00191110">
        <w:rPr>
          <w:snapToGrid w:val="0"/>
        </w:rPr>
        <w:t xml:space="preserve"> (</w:t>
      </w:r>
      <w:proofErr w:type="spellStart"/>
      <w:r w:rsidR="009C7671" w:rsidRPr="00191110">
        <w:rPr>
          <w:snapToGrid w:val="0"/>
        </w:rPr>
        <w:t>Artesana</w:t>
      </w:r>
      <w:proofErr w:type="spellEnd"/>
      <w:r w:rsidR="009C7671" w:rsidRPr="00191110">
        <w:rPr>
          <w:snapToGrid w:val="0"/>
        </w:rPr>
        <w:t xml:space="preserve"> </w:t>
      </w:r>
      <w:proofErr w:type="spellStart"/>
      <w:r w:rsidR="009C7671" w:rsidRPr="00191110">
        <w:rPr>
          <w:snapToGrid w:val="0"/>
        </w:rPr>
        <w:t>Doces</w:t>
      </w:r>
      <w:proofErr w:type="spellEnd"/>
      <w:r w:rsidR="009C7671" w:rsidRPr="00191110">
        <w:rPr>
          <w:snapToGrid w:val="0"/>
        </w:rPr>
        <w:t xml:space="preserve"> e Chocolates LTDA</w:t>
      </w:r>
      <w:r w:rsidR="00F70122" w:rsidRPr="00191110">
        <w:rPr>
          <w:rFonts w:cs="Arial"/>
          <w:snapToGrid w:val="0"/>
        </w:rPr>
        <w:t>®</w:t>
      </w:r>
      <w:r w:rsidR="009C7671" w:rsidRPr="00191110">
        <w:rPr>
          <w:snapToGrid w:val="0"/>
        </w:rPr>
        <w:t xml:space="preserve">, Novo </w:t>
      </w:r>
      <w:proofErr w:type="spellStart"/>
      <w:r w:rsidR="009C7671" w:rsidRPr="00191110">
        <w:rPr>
          <w:snapToGrid w:val="0"/>
        </w:rPr>
        <w:t>Hamburgo</w:t>
      </w:r>
      <w:proofErr w:type="spellEnd"/>
      <w:r w:rsidR="009C7671" w:rsidRPr="00191110">
        <w:rPr>
          <w:snapToGrid w:val="0"/>
        </w:rPr>
        <w:t>, RS)</w:t>
      </w:r>
      <w:r w:rsidR="00007D24" w:rsidRPr="00191110">
        <w:rPr>
          <w:snapToGrid w:val="0"/>
        </w:rPr>
        <w:t xml:space="preserve">, </w:t>
      </w:r>
      <w:r w:rsidR="009A1FCF" w:rsidRPr="00191110">
        <w:rPr>
          <w:snapToGrid w:val="0"/>
        </w:rPr>
        <w:t>g</w:t>
      </w:r>
      <w:r w:rsidR="00007D24" w:rsidRPr="00191110">
        <w:rPr>
          <w:snapToGrid w:val="0"/>
        </w:rPr>
        <w:t>lycerol (99.5 % purity, S</w:t>
      </w:r>
      <w:r w:rsidR="00F70122" w:rsidRPr="00191110">
        <w:rPr>
          <w:snapToGrid w:val="0"/>
        </w:rPr>
        <w:t>i</w:t>
      </w:r>
      <w:r w:rsidR="00007D24" w:rsidRPr="00191110">
        <w:rPr>
          <w:snapToGrid w:val="0"/>
        </w:rPr>
        <w:t>gma</w:t>
      </w:r>
      <w:r w:rsidR="00D532D8" w:rsidRPr="00191110">
        <w:rPr>
          <w:snapToGrid w:val="0"/>
        </w:rPr>
        <w:t xml:space="preserve"> Aldrich</w:t>
      </w:r>
      <w:r w:rsidR="00F70122" w:rsidRPr="00191110">
        <w:rPr>
          <w:rFonts w:cs="Arial"/>
          <w:snapToGrid w:val="0"/>
        </w:rPr>
        <w:t>®</w:t>
      </w:r>
      <w:r w:rsidR="00007D24" w:rsidRPr="00191110">
        <w:rPr>
          <w:snapToGrid w:val="0"/>
        </w:rPr>
        <w:t>)</w:t>
      </w:r>
      <w:r w:rsidR="009A1FCF" w:rsidRPr="00191110">
        <w:rPr>
          <w:snapToGrid w:val="0"/>
        </w:rPr>
        <w:t xml:space="preserve">, </w:t>
      </w:r>
      <w:r w:rsidR="00007D24" w:rsidRPr="00191110">
        <w:rPr>
          <w:snapToGrid w:val="0"/>
        </w:rPr>
        <w:t>magnesium nitrate (</w:t>
      </w:r>
      <w:r w:rsidR="0074588A" w:rsidRPr="00191110">
        <w:rPr>
          <w:snapToGrid w:val="0"/>
        </w:rPr>
        <w:t>(</w:t>
      </w:r>
      <w:r w:rsidR="000379D5" w:rsidRPr="00191110">
        <w:rPr>
          <w:snapToGrid w:val="0"/>
        </w:rPr>
        <w:t>MgNO</w:t>
      </w:r>
      <w:r w:rsidR="000379D5" w:rsidRPr="00191110">
        <w:rPr>
          <w:snapToGrid w:val="0"/>
          <w:vertAlign w:val="subscript"/>
        </w:rPr>
        <w:t>3</w:t>
      </w:r>
      <w:r w:rsidR="0074588A" w:rsidRPr="00191110">
        <w:rPr>
          <w:snapToGrid w:val="0"/>
        </w:rPr>
        <w:t>)</w:t>
      </w:r>
      <w:r w:rsidR="0074588A" w:rsidRPr="00191110">
        <w:rPr>
          <w:snapToGrid w:val="0"/>
          <w:vertAlign w:val="subscript"/>
        </w:rPr>
        <w:t>2</w:t>
      </w:r>
      <w:r w:rsidR="000379D5" w:rsidRPr="00191110">
        <w:rPr>
          <w:snapToGrid w:val="0"/>
        </w:rPr>
        <w:t xml:space="preserve">, </w:t>
      </w:r>
      <w:r w:rsidR="00007D24" w:rsidRPr="00191110">
        <w:rPr>
          <w:snapToGrid w:val="0"/>
        </w:rPr>
        <w:t>S</w:t>
      </w:r>
      <w:r w:rsidR="00F70122" w:rsidRPr="00191110">
        <w:rPr>
          <w:snapToGrid w:val="0"/>
        </w:rPr>
        <w:t>i</w:t>
      </w:r>
      <w:r w:rsidR="00007D24" w:rsidRPr="00191110">
        <w:rPr>
          <w:snapToGrid w:val="0"/>
        </w:rPr>
        <w:t>gma</w:t>
      </w:r>
      <w:r w:rsidR="00D532D8" w:rsidRPr="00191110">
        <w:rPr>
          <w:snapToGrid w:val="0"/>
        </w:rPr>
        <w:t xml:space="preserve"> Aldrich</w:t>
      </w:r>
      <w:r w:rsidR="00D532D8" w:rsidRPr="00191110">
        <w:rPr>
          <w:rFonts w:cs="Arial"/>
          <w:snapToGrid w:val="0"/>
        </w:rPr>
        <w:t xml:space="preserve"> </w:t>
      </w:r>
      <w:r w:rsidR="00F70122" w:rsidRPr="00191110">
        <w:rPr>
          <w:rFonts w:cs="Arial"/>
          <w:snapToGrid w:val="0"/>
        </w:rPr>
        <w:t>®</w:t>
      </w:r>
      <w:r w:rsidR="00007D24" w:rsidRPr="00191110">
        <w:rPr>
          <w:snapToGrid w:val="0"/>
        </w:rPr>
        <w:t>)</w:t>
      </w:r>
      <w:r w:rsidR="00191110" w:rsidRPr="00191110">
        <w:rPr>
          <w:snapToGrid w:val="0"/>
        </w:rPr>
        <w:t xml:space="preserve">, </w:t>
      </w:r>
      <w:r w:rsidR="00666184" w:rsidRPr="00191110">
        <w:rPr>
          <w:snapToGrid w:val="0"/>
        </w:rPr>
        <w:t>ammon</w:t>
      </w:r>
      <w:r w:rsidR="000379D5" w:rsidRPr="00191110">
        <w:rPr>
          <w:snapToGrid w:val="0"/>
        </w:rPr>
        <w:t>i</w:t>
      </w:r>
      <w:r w:rsidR="00172220" w:rsidRPr="00191110">
        <w:rPr>
          <w:snapToGrid w:val="0"/>
        </w:rPr>
        <w:t>um</w:t>
      </w:r>
      <w:r w:rsidR="00666184" w:rsidRPr="00191110">
        <w:rPr>
          <w:snapToGrid w:val="0"/>
        </w:rPr>
        <w:t xml:space="preserve"> hydrox</w:t>
      </w:r>
      <w:r w:rsidR="000379D5" w:rsidRPr="00191110">
        <w:rPr>
          <w:snapToGrid w:val="0"/>
        </w:rPr>
        <w:t>ide</w:t>
      </w:r>
      <w:r w:rsidR="00567472" w:rsidRPr="00191110">
        <w:rPr>
          <w:snapToGrid w:val="0"/>
        </w:rPr>
        <w:t xml:space="preserve"> (</w:t>
      </w:r>
      <w:r w:rsidR="000379D5" w:rsidRPr="00191110">
        <w:rPr>
          <w:snapToGrid w:val="0"/>
        </w:rPr>
        <w:t>NH</w:t>
      </w:r>
      <w:r w:rsidR="00172220" w:rsidRPr="00191110">
        <w:rPr>
          <w:snapToGrid w:val="0"/>
          <w:vertAlign w:val="subscript"/>
        </w:rPr>
        <w:t>4</w:t>
      </w:r>
      <w:r w:rsidR="000379D5" w:rsidRPr="00191110">
        <w:rPr>
          <w:snapToGrid w:val="0"/>
        </w:rPr>
        <w:t xml:space="preserve">OH, </w:t>
      </w:r>
      <w:r w:rsidR="00567472" w:rsidRPr="00191110">
        <w:rPr>
          <w:snapToGrid w:val="0"/>
        </w:rPr>
        <w:t>Sigma</w:t>
      </w:r>
      <w:r w:rsidR="00D532D8" w:rsidRPr="00191110">
        <w:rPr>
          <w:snapToGrid w:val="0"/>
        </w:rPr>
        <w:t xml:space="preserve"> Aldrich</w:t>
      </w:r>
      <w:r w:rsidR="00D532D8" w:rsidRPr="00191110">
        <w:rPr>
          <w:rFonts w:cs="Arial"/>
          <w:snapToGrid w:val="0"/>
        </w:rPr>
        <w:t xml:space="preserve"> </w:t>
      </w:r>
      <w:r w:rsidR="00567472" w:rsidRPr="00191110">
        <w:rPr>
          <w:rFonts w:cs="Arial"/>
          <w:snapToGrid w:val="0"/>
        </w:rPr>
        <w:t>®</w:t>
      </w:r>
      <w:r w:rsidR="00567472" w:rsidRPr="00191110">
        <w:rPr>
          <w:snapToGrid w:val="0"/>
        </w:rPr>
        <w:t>)</w:t>
      </w:r>
      <w:r w:rsidR="00191110" w:rsidRPr="00191110">
        <w:rPr>
          <w:snapToGrid w:val="0"/>
        </w:rPr>
        <w:t xml:space="preserve"> and </w:t>
      </w:r>
      <w:r w:rsidR="00191110" w:rsidRPr="00191110">
        <w:rPr>
          <w:rFonts w:cs="Arial"/>
          <w:i/>
          <w:szCs w:val="18"/>
        </w:rPr>
        <w:t xml:space="preserve">Cherry </w:t>
      </w:r>
      <w:r w:rsidR="00191110" w:rsidRPr="00191110">
        <w:rPr>
          <w:rFonts w:cs="Arial"/>
          <w:szCs w:val="18"/>
        </w:rPr>
        <w:t xml:space="preserve">tomatoes and </w:t>
      </w:r>
      <w:r w:rsidR="00191110" w:rsidRPr="00191110">
        <w:rPr>
          <w:rFonts w:cs="Arial"/>
          <w:i/>
          <w:szCs w:val="18"/>
        </w:rPr>
        <w:t>Thompson</w:t>
      </w:r>
      <w:r w:rsidR="00191110" w:rsidRPr="00191110">
        <w:rPr>
          <w:rFonts w:cs="Arial"/>
          <w:szCs w:val="18"/>
        </w:rPr>
        <w:t xml:space="preserve"> grapes (local marke</w:t>
      </w:r>
      <w:r w:rsidR="00191110">
        <w:rPr>
          <w:rFonts w:cs="Arial"/>
          <w:szCs w:val="18"/>
        </w:rPr>
        <w:t>t)</w:t>
      </w:r>
      <w:r w:rsidR="00567472" w:rsidRPr="00191110">
        <w:rPr>
          <w:snapToGrid w:val="0"/>
        </w:rPr>
        <w:t xml:space="preserve"> </w:t>
      </w:r>
      <w:r w:rsidR="00885CB9" w:rsidRPr="00191110">
        <w:rPr>
          <w:snapToGrid w:val="0"/>
        </w:rPr>
        <w:t xml:space="preserve">were used in the experiment. </w:t>
      </w:r>
    </w:p>
    <w:p w14:paraId="2CFD41B9" w14:textId="77777777" w:rsidR="004D71A9" w:rsidRPr="00191110" w:rsidRDefault="004D71A9" w:rsidP="004D71A9">
      <w:pPr>
        <w:pStyle w:val="CETBodytext"/>
      </w:pPr>
    </w:p>
    <w:p w14:paraId="2CFD41BA" w14:textId="77777777" w:rsidR="004D71A9" w:rsidRPr="00702E29" w:rsidRDefault="00702E29" w:rsidP="004D71A9">
      <w:pPr>
        <w:pStyle w:val="CETBodytext"/>
      </w:pPr>
      <w:r w:rsidRPr="00702E29">
        <w:t>Processing of the edible f</w:t>
      </w:r>
      <w:r>
        <w:t>ilms</w:t>
      </w:r>
    </w:p>
    <w:p w14:paraId="2CFD41BB" w14:textId="77777777" w:rsidR="007B76EE" w:rsidRDefault="00702E29" w:rsidP="00702E29">
      <w:pPr>
        <w:pStyle w:val="CETBodytext"/>
      </w:pPr>
      <w:r>
        <w:t>The film</w:t>
      </w:r>
      <w:r w:rsidR="000941B2">
        <w:t>s</w:t>
      </w:r>
      <w:r>
        <w:t xml:space="preserve"> w</w:t>
      </w:r>
      <w:r w:rsidR="000941B2">
        <w:t>ere</w:t>
      </w:r>
      <w:r>
        <w:t xml:space="preserve"> produced by</w:t>
      </w:r>
      <w:r w:rsidR="009110BC">
        <w:t xml:space="preserve"> the</w:t>
      </w:r>
      <w:r>
        <w:t xml:space="preserve"> </w:t>
      </w:r>
      <w:r w:rsidR="009110BC">
        <w:t>casting methodology</w:t>
      </w:r>
      <w:r>
        <w:t>.</w:t>
      </w:r>
      <w:r w:rsidR="00E051CE">
        <w:t xml:space="preserve"> Two types of films were prepared: (1)</w:t>
      </w:r>
      <w:r w:rsidR="00D57979">
        <w:t xml:space="preserve"> control and (2) with probiotic culture. For that,</w:t>
      </w:r>
      <w:r>
        <w:t xml:space="preserve"> </w:t>
      </w:r>
      <w:r w:rsidR="00D57979">
        <w:t>t</w:t>
      </w:r>
      <w:r>
        <w:t xml:space="preserve">he WPI (10% w/v) was dispersed in distilled water </w:t>
      </w:r>
      <w:r w:rsidR="007F1B7A">
        <w:t>and</w:t>
      </w:r>
      <w:r>
        <w:t xml:space="preserve"> stirr</w:t>
      </w:r>
      <w:r w:rsidR="009110BC">
        <w:t>ed</w:t>
      </w:r>
      <w:r>
        <w:t xml:space="preserve"> until </w:t>
      </w:r>
      <w:r w:rsidR="0013018E">
        <w:t xml:space="preserve">fully </w:t>
      </w:r>
      <w:r w:rsidR="00E76C8F">
        <w:t>hydration</w:t>
      </w:r>
      <w:r>
        <w:t xml:space="preserve">. </w:t>
      </w:r>
      <w:r w:rsidR="00B255D9">
        <w:t>Then</w:t>
      </w:r>
      <w:r>
        <w:t>, 5% (w</w:t>
      </w:r>
      <w:r w:rsidR="00B255D9">
        <w:t>/</w:t>
      </w:r>
      <w:r>
        <w:t>v)</w:t>
      </w:r>
      <w:r w:rsidR="00B255D9">
        <w:t xml:space="preserve"> glycerol</w:t>
      </w:r>
      <w:r>
        <w:t xml:space="preserve"> was added, the pH was adjusted to 9 with </w:t>
      </w:r>
      <w:r w:rsidR="009A1FCF" w:rsidRPr="009A1FCF">
        <w:rPr>
          <w:snapToGrid w:val="0"/>
        </w:rPr>
        <w:t>NH</w:t>
      </w:r>
      <w:r w:rsidR="009A1FCF" w:rsidRPr="009A1FCF">
        <w:rPr>
          <w:snapToGrid w:val="0"/>
          <w:vertAlign w:val="subscript"/>
        </w:rPr>
        <w:t>4</w:t>
      </w:r>
      <w:r w:rsidR="009A1FCF" w:rsidRPr="009A1FCF">
        <w:rPr>
          <w:snapToGrid w:val="0"/>
        </w:rPr>
        <w:t>OH</w:t>
      </w:r>
      <w:r w:rsidR="004C67C2">
        <w:t xml:space="preserve"> (50% w/v)</w:t>
      </w:r>
      <w:r w:rsidR="00B255D9">
        <w:t xml:space="preserve"> and</w:t>
      </w:r>
      <w:r>
        <w:t xml:space="preserve"> </w:t>
      </w:r>
      <w:r w:rsidR="00B255D9">
        <w:t>t</w:t>
      </w:r>
      <w:r>
        <w:t xml:space="preserve">he solution was heated in a water bath </w:t>
      </w:r>
      <w:r w:rsidR="000C677C">
        <w:t>at</w:t>
      </w:r>
      <w:r>
        <w:t xml:space="preserve"> 90°C for 15 min.</w:t>
      </w:r>
      <w:r w:rsidR="00146B45">
        <w:t xml:space="preserve"> The</w:t>
      </w:r>
      <w:r w:rsidR="000235E3">
        <w:t xml:space="preserve"> solution was cooled</w:t>
      </w:r>
      <w:r w:rsidR="001460A6">
        <w:t xml:space="preserve"> down</w:t>
      </w:r>
      <w:r w:rsidR="000235E3">
        <w:t xml:space="preserve"> </w:t>
      </w:r>
      <w:r w:rsidR="000941B2">
        <w:t>to 30</w:t>
      </w:r>
      <w:r w:rsidR="000941B2">
        <w:rPr>
          <w:vertAlign w:val="superscript"/>
        </w:rPr>
        <w:t>o</w:t>
      </w:r>
      <w:r w:rsidR="000941B2">
        <w:t>C and</w:t>
      </w:r>
      <w:r w:rsidR="00CB7E21">
        <w:t xml:space="preserve">, </w:t>
      </w:r>
      <w:r w:rsidR="0063103C">
        <w:t>for</w:t>
      </w:r>
      <w:r w:rsidR="00CB7E21">
        <w:t xml:space="preserve"> the probiotic film, the </w:t>
      </w:r>
      <w:r w:rsidR="00CB7E21" w:rsidRPr="005F37E9">
        <w:rPr>
          <w:i/>
        </w:rPr>
        <w:t xml:space="preserve">L. </w:t>
      </w:r>
      <w:proofErr w:type="spellStart"/>
      <w:r w:rsidR="00CB7E21" w:rsidRPr="005F37E9">
        <w:rPr>
          <w:i/>
        </w:rPr>
        <w:t>casei</w:t>
      </w:r>
      <w:proofErr w:type="spellEnd"/>
      <w:r w:rsidR="005F37E9">
        <w:t xml:space="preserve"> </w:t>
      </w:r>
      <w:r w:rsidR="00CB7E21">
        <w:t>was added (0.5% w/v</w:t>
      </w:r>
      <w:r w:rsidR="006E5F82">
        <w:t xml:space="preserve">). </w:t>
      </w:r>
      <w:r>
        <w:t>The film-forming solution was dispersed in Petri dishes (90x15</w:t>
      </w:r>
      <w:r w:rsidR="001C6CEB">
        <w:t xml:space="preserve"> </w:t>
      </w:r>
      <w:r>
        <w:t>mm)</w:t>
      </w:r>
      <w:r w:rsidR="00E1292E">
        <w:t xml:space="preserve"> and </w:t>
      </w:r>
      <w:r>
        <w:t>placed in a controlled environment (30</w:t>
      </w:r>
      <w:r w:rsidR="00876E32">
        <w:t xml:space="preserve"> </w:t>
      </w:r>
      <w:r>
        <w:t>ºC for 24 h)</w:t>
      </w:r>
      <w:r w:rsidR="001C6CEB">
        <w:t xml:space="preserve"> for drying</w:t>
      </w:r>
      <w:r>
        <w:t>.</w:t>
      </w:r>
      <w:r w:rsidR="008A2330">
        <w:t xml:space="preserve"> </w:t>
      </w:r>
      <w:r w:rsidR="008A2330" w:rsidRPr="008A2330">
        <w:t>To control</w:t>
      </w:r>
      <w:r w:rsidR="008A2330">
        <w:t xml:space="preserve"> the</w:t>
      </w:r>
      <w:r w:rsidR="008A2330" w:rsidRPr="008A2330">
        <w:t xml:space="preserve"> ﬁlm thickness, the volume of </w:t>
      </w:r>
      <w:r w:rsidR="00E76C8F">
        <w:t xml:space="preserve">the </w:t>
      </w:r>
      <w:r w:rsidR="008A2330" w:rsidRPr="008A2330">
        <w:t>ﬁlm-forming s</w:t>
      </w:r>
      <w:r w:rsidR="00092820">
        <w:t>olution</w:t>
      </w:r>
      <w:r w:rsidR="008A2330" w:rsidRPr="008A2330">
        <w:t xml:space="preserve"> poured onto </w:t>
      </w:r>
      <w:r w:rsidR="00981E7D">
        <w:t>the dish</w:t>
      </w:r>
      <w:r w:rsidR="008A2330" w:rsidRPr="008A2330">
        <w:t xml:space="preserve"> was the same, 1</w:t>
      </w:r>
      <w:r w:rsidR="008A2330">
        <w:t>0</w:t>
      </w:r>
      <w:r w:rsidR="008A2330" w:rsidRPr="008A2330">
        <w:t xml:space="preserve"> </w:t>
      </w:r>
      <w:proofErr w:type="spellStart"/>
      <w:r w:rsidR="008A2330" w:rsidRPr="008A2330">
        <w:t>mL.</w:t>
      </w:r>
      <w:proofErr w:type="spellEnd"/>
      <w:r>
        <w:t xml:space="preserve"> </w:t>
      </w:r>
      <w:r w:rsidR="001C6CEB">
        <w:t>Then</w:t>
      </w:r>
      <w:r>
        <w:t xml:space="preserve">, the films were </w:t>
      </w:r>
      <w:r w:rsidR="00CF601E" w:rsidRPr="00CF601E">
        <w:t>conditioned in a hygrostat</w:t>
      </w:r>
      <w:r w:rsidR="00DF35FB">
        <w:t xml:space="preserve"> environment</w:t>
      </w:r>
      <w:r w:rsidR="00CF601E" w:rsidRPr="00CF601E">
        <w:t xml:space="preserve"> containing saturated solution of </w:t>
      </w:r>
      <w:r w:rsidR="00C649A8">
        <w:t>(</w:t>
      </w:r>
      <w:r w:rsidR="00981E7D" w:rsidRPr="00981E7D">
        <w:rPr>
          <w:snapToGrid w:val="0"/>
        </w:rPr>
        <w:t>MgNO</w:t>
      </w:r>
      <w:r w:rsidR="00981E7D" w:rsidRPr="00981E7D">
        <w:rPr>
          <w:snapToGrid w:val="0"/>
          <w:vertAlign w:val="subscript"/>
        </w:rPr>
        <w:t>3</w:t>
      </w:r>
      <w:r w:rsidR="00981E7D" w:rsidRPr="00981E7D">
        <w:rPr>
          <w:snapToGrid w:val="0"/>
        </w:rPr>
        <w:t>)</w:t>
      </w:r>
      <w:r w:rsidR="00981E7D" w:rsidRPr="00981E7D">
        <w:rPr>
          <w:snapToGrid w:val="0"/>
          <w:vertAlign w:val="subscript"/>
        </w:rPr>
        <w:t xml:space="preserve">2 </w:t>
      </w:r>
      <w:r w:rsidR="00CF601E" w:rsidRPr="00CF601E">
        <w:t>at 25</w:t>
      </w:r>
      <w:r w:rsidR="00876E32">
        <w:t xml:space="preserve"> </w:t>
      </w:r>
      <w:proofErr w:type="spellStart"/>
      <w:r w:rsidR="00CF601E">
        <w:rPr>
          <w:vertAlign w:val="superscript"/>
        </w:rPr>
        <w:t>o</w:t>
      </w:r>
      <w:r w:rsidR="00CF601E" w:rsidRPr="00CF601E">
        <w:t>C</w:t>
      </w:r>
      <w:proofErr w:type="spellEnd"/>
      <w:r w:rsidR="00CF601E" w:rsidRPr="00CF601E">
        <w:t xml:space="preserve"> for 48 h. Equilibrium R</w:t>
      </w:r>
      <w:r w:rsidR="00CF601E">
        <w:t xml:space="preserve">elative Humidity </w:t>
      </w:r>
      <w:r w:rsidR="00CF601E" w:rsidRPr="00CF601E">
        <w:t>was approximately 53</w:t>
      </w:r>
      <w:r w:rsidR="002904C2">
        <w:t>.2</w:t>
      </w:r>
      <w:r w:rsidR="00CF601E" w:rsidRPr="00CF601E">
        <w:t>%</w:t>
      </w:r>
      <w:r w:rsidR="00CF601E">
        <w:t xml:space="preserve"> (</w:t>
      </w:r>
      <w:proofErr w:type="spellStart"/>
      <w:r w:rsidR="00CF601E">
        <w:t>Ket</w:t>
      </w:r>
      <w:proofErr w:type="spellEnd"/>
      <w:r w:rsidR="00CF601E">
        <w:t>-on et al., 2016)</w:t>
      </w:r>
      <w:r>
        <w:t>.</w:t>
      </w:r>
      <w:r w:rsidR="005D062A">
        <w:t xml:space="preserve"> The concentration of WPI</w:t>
      </w:r>
      <w:r w:rsidR="00581800">
        <w:t>,</w:t>
      </w:r>
      <w:r w:rsidR="005D062A">
        <w:t xml:space="preserve"> glycerol</w:t>
      </w:r>
      <w:r w:rsidR="00581800">
        <w:t xml:space="preserve"> and </w:t>
      </w:r>
      <w:r w:rsidR="00581800" w:rsidRPr="0098175F">
        <w:rPr>
          <w:i/>
        </w:rPr>
        <w:t xml:space="preserve">L. </w:t>
      </w:r>
      <w:proofErr w:type="spellStart"/>
      <w:r w:rsidR="00581800" w:rsidRPr="0098175F">
        <w:rPr>
          <w:i/>
        </w:rPr>
        <w:t>casei</w:t>
      </w:r>
      <w:proofErr w:type="spellEnd"/>
      <w:r w:rsidR="00581800" w:rsidRPr="0098175F">
        <w:rPr>
          <w:i/>
        </w:rPr>
        <w:t xml:space="preserve"> </w:t>
      </w:r>
      <w:r w:rsidR="00581800">
        <w:t>and the pH and heating temperature were determined in preliminary tests</w:t>
      </w:r>
      <w:r w:rsidR="00222314">
        <w:t>.</w:t>
      </w:r>
      <w:r w:rsidR="004D71A9" w:rsidRPr="00702E29">
        <w:tab/>
      </w:r>
    </w:p>
    <w:p w14:paraId="2CFD41BC" w14:textId="77777777" w:rsidR="007B76EE" w:rsidRDefault="007B76EE" w:rsidP="00702E29">
      <w:pPr>
        <w:pStyle w:val="CETBodytext"/>
      </w:pPr>
    </w:p>
    <w:p w14:paraId="2CFD41BD" w14:textId="77777777" w:rsidR="007B76EE" w:rsidRDefault="007B76EE" w:rsidP="00702E29">
      <w:pPr>
        <w:pStyle w:val="CETBodytext"/>
      </w:pPr>
      <w:r>
        <w:t>Characterization of the edible films</w:t>
      </w:r>
    </w:p>
    <w:p w14:paraId="2CFD41BE" w14:textId="77777777" w:rsidR="00AA1766" w:rsidRDefault="00EA5ABA" w:rsidP="00702E29">
      <w:pPr>
        <w:pStyle w:val="CETBodytext"/>
      </w:pPr>
      <w:r w:rsidRPr="00EA5ABA">
        <w:t>The films were analyzed for visual and tactile aspect</w:t>
      </w:r>
      <w:r w:rsidR="00E1600D">
        <w:t>s</w:t>
      </w:r>
      <w:r>
        <w:t>,</w:t>
      </w:r>
      <w:r w:rsidRPr="00EA5ABA">
        <w:t xml:space="preserve"> </w:t>
      </w:r>
      <w:r w:rsidR="00592260">
        <w:t>verify</w:t>
      </w:r>
      <w:r w:rsidR="00E1600D">
        <w:t>ing</w:t>
      </w:r>
      <w:r w:rsidRPr="00EA5ABA">
        <w:t xml:space="preserve"> the presence of </w:t>
      </w:r>
      <w:r w:rsidR="00592260" w:rsidRPr="00EA5ABA">
        <w:t>non-solubilized</w:t>
      </w:r>
      <w:r w:rsidRPr="00EA5ABA">
        <w:t xml:space="preserve"> particles, bubbles, colo</w:t>
      </w:r>
      <w:r w:rsidR="00592260">
        <w:t>r alteration</w:t>
      </w:r>
      <w:r w:rsidR="00E1600D">
        <w:t>s</w:t>
      </w:r>
      <w:r w:rsidRPr="00EA5ABA">
        <w:t>,</w:t>
      </w:r>
      <w:r w:rsidR="00592260">
        <w:t xml:space="preserve"> and the</w:t>
      </w:r>
      <w:r w:rsidRPr="00EA5ABA">
        <w:t xml:space="preserve"> </w:t>
      </w:r>
      <w:r w:rsidR="00592260">
        <w:t>presence of</w:t>
      </w:r>
      <w:r w:rsidRPr="00EA5ABA">
        <w:t xml:space="preserve"> rupture</w:t>
      </w:r>
      <w:r w:rsidR="00592260">
        <w:t>s</w:t>
      </w:r>
      <w:r w:rsidRPr="00EA5ABA">
        <w:t xml:space="preserve"> or brittle zones</w:t>
      </w:r>
      <w:r w:rsidR="00592260">
        <w:t>.</w:t>
      </w:r>
      <w:r w:rsidR="003E5DE5">
        <w:t xml:space="preserve"> </w:t>
      </w:r>
      <w:r w:rsidR="00AA1766" w:rsidRPr="0092103B">
        <w:t xml:space="preserve">The thickness of the films was determined using a micrometer (Series 293-805, </w:t>
      </w:r>
      <w:proofErr w:type="spellStart"/>
      <w:r w:rsidR="00AA1766" w:rsidRPr="0092103B">
        <w:t>Digimatic</w:t>
      </w:r>
      <w:proofErr w:type="spellEnd"/>
      <w:r w:rsidR="00AA1766" w:rsidRPr="0092103B">
        <w:t xml:space="preserve"> Micrometers, Mitutoyo, USA</w:t>
      </w:r>
      <w:r w:rsidR="00AA1766">
        <w:t xml:space="preserve">, exactness of </w:t>
      </w:r>
      <w:r w:rsidR="00AA1766" w:rsidRPr="0092103B">
        <w:t>0.001 mm</w:t>
      </w:r>
      <w:r w:rsidR="00AA1766">
        <w:t>) at</w:t>
      </w:r>
      <w:r w:rsidR="00AA1766" w:rsidRPr="0092103B">
        <w:t xml:space="preserve"> 15 </w:t>
      </w:r>
      <w:r w:rsidR="00AA1766">
        <w:t xml:space="preserve">different points of the film (Feng et al., 2018). </w:t>
      </w:r>
      <w:r w:rsidR="00FD376C">
        <w:t>The density</w:t>
      </w:r>
      <w:r w:rsidR="00991A79">
        <w:t xml:space="preserve"> of the films</w:t>
      </w:r>
      <w:r w:rsidR="005114FC">
        <w:t xml:space="preserve"> (pieces of 1</w:t>
      </w:r>
      <w:r w:rsidR="00342CBB">
        <w:t xml:space="preserve"> cm</w:t>
      </w:r>
      <w:r w:rsidR="00342CBB">
        <w:rPr>
          <w:vertAlign w:val="superscript"/>
        </w:rPr>
        <w:t xml:space="preserve">2 </w:t>
      </w:r>
      <w:r w:rsidR="00342CBB">
        <w:t>area)</w:t>
      </w:r>
      <w:r w:rsidR="00FD376C">
        <w:t xml:space="preserve"> was calculated as the ratio between the weight and volume</w:t>
      </w:r>
      <w:r w:rsidR="00A22499">
        <w:t xml:space="preserve"> (Area x </w:t>
      </w:r>
      <w:r w:rsidR="005114FC">
        <w:t>thickness)</w:t>
      </w:r>
      <w:r w:rsidR="00FD376C">
        <w:t xml:space="preserve"> </w:t>
      </w:r>
      <w:r w:rsidR="00493898">
        <w:t>(</w:t>
      </w:r>
      <w:proofErr w:type="spellStart"/>
      <w:r w:rsidR="00493898">
        <w:t>Aydogdu</w:t>
      </w:r>
      <w:proofErr w:type="spellEnd"/>
      <w:r w:rsidR="00493898">
        <w:t xml:space="preserve"> et al., 2018)</w:t>
      </w:r>
      <w:r w:rsidR="00FD376C">
        <w:t>.</w:t>
      </w:r>
      <w:r w:rsidR="004B5439">
        <w:t xml:space="preserve"> The films were weighed in a</w:t>
      </w:r>
      <w:r w:rsidR="00945597">
        <w:t>n</w:t>
      </w:r>
      <w:r w:rsidR="004B5439">
        <w:t xml:space="preserve"> </w:t>
      </w:r>
      <w:r w:rsidR="00945597">
        <w:t>analytical balance.</w:t>
      </w:r>
      <w:r w:rsidR="00A22499">
        <w:t xml:space="preserve"> </w:t>
      </w:r>
      <w:r w:rsidR="00FD376C">
        <w:t xml:space="preserve">The results </w:t>
      </w:r>
      <w:r w:rsidR="00007D6B">
        <w:t>were</w:t>
      </w:r>
      <w:r w:rsidR="00FD376C">
        <w:t xml:space="preserve"> reported as averages of </w:t>
      </w:r>
      <w:r w:rsidR="00007D6B">
        <w:t>ten</w:t>
      </w:r>
      <w:r w:rsidR="00FD376C">
        <w:t xml:space="preserve"> measurements</w:t>
      </w:r>
      <w:r w:rsidR="00007D6B">
        <w:t>.</w:t>
      </w:r>
    </w:p>
    <w:p w14:paraId="2CFD41BF" w14:textId="77777777" w:rsidR="00646BD4" w:rsidRDefault="00200A4D" w:rsidP="00702E29">
      <w:pPr>
        <w:pStyle w:val="CETBodytext"/>
      </w:pPr>
      <w:r>
        <w:t>The</w:t>
      </w:r>
      <w:r w:rsidR="006A1283">
        <w:t xml:space="preserve"> water</w:t>
      </w:r>
      <w:r>
        <w:t xml:space="preserve"> solubility</w:t>
      </w:r>
      <w:r w:rsidR="003E5DE5">
        <w:t xml:space="preserve"> (WS)</w:t>
      </w:r>
      <w:r>
        <w:t xml:space="preserve"> of the films</w:t>
      </w:r>
      <w:r w:rsidR="00326D77">
        <w:t>, in triplicates,</w:t>
      </w:r>
      <w:r>
        <w:t xml:space="preserve"> was </w:t>
      </w:r>
      <w:r w:rsidR="003554E7">
        <w:t xml:space="preserve">measured according to the methodology of </w:t>
      </w:r>
      <w:proofErr w:type="spellStart"/>
      <w:r w:rsidR="003554E7">
        <w:t>G</w:t>
      </w:r>
      <w:r w:rsidR="00F9300F">
        <w:t>alus</w:t>
      </w:r>
      <w:proofErr w:type="spellEnd"/>
      <w:r w:rsidR="003554E7">
        <w:t xml:space="preserve"> et al. (</w:t>
      </w:r>
      <w:r w:rsidR="00F9300F">
        <w:t>2016</w:t>
      </w:r>
      <w:r w:rsidR="003554E7">
        <w:t xml:space="preserve">). </w:t>
      </w:r>
      <w:r w:rsidR="003F265A">
        <w:t xml:space="preserve">Pieces of the films (1cm x 1cm) </w:t>
      </w:r>
      <w:r w:rsidR="0023442D">
        <w:t>were dried in an oven at 105</w:t>
      </w:r>
      <w:r w:rsidR="00876E32">
        <w:t xml:space="preserve"> </w:t>
      </w:r>
      <w:proofErr w:type="spellStart"/>
      <w:r w:rsidR="0023442D">
        <w:rPr>
          <w:vertAlign w:val="superscript"/>
        </w:rPr>
        <w:t>o</w:t>
      </w:r>
      <w:r w:rsidR="0023442D">
        <w:t>C</w:t>
      </w:r>
      <w:proofErr w:type="spellEnd"/>
      <w:r w:rsidR="0023442D">
        <w:t xml:space="preserve"> </w:t>
      </w:r>
      <w:r w:rsidR="003E30EE">
        <w:t>for 24 h to obtain the initial film dry weight</w:t>
      </w:r>
      <w:r w:rsidR="0017492F">
        <w:t xml:space="preserve"> (Wi, g)</w:t>
      </w:r>
      <w:r w:rsidR="003E30EE">
        <w:t xml:space="preserve">. </w:t>
      </w:r>
      <w:r w:rsidR="006759D0">
        <w:t xml:space="preserve">The film was placed in an Erlenmeyer </w:t>
      </w:r>
      <w:r w:rsidR="009C06A6">
        <w:t xml:space="preserve">with 50 mL distilled water and </w:t>
      </w:r>
      <w:r w:rsidR="007E3CD2">
        <w:t>stirred</w:t>
      </w:r>
      <w:r w:rsidR="009C06A6">
        <w:t xml:space="preserve"> </w:t>
      </w:r>
      <w:r w:rsidR="008A0212">
        <w:t>for 24 h at 25</w:t>
      </w:r>
      <w:r w:rsidR="00876E32">
        <w:t xml:space="preserve"> </w:t>
      </w:r>
      <w:proofErr w:type="spellStart"/>
      <w:r w:rsidR="008A0212">
        <w:rPr>
          <w:vertAlign w:val="superscript"/>
        </w:rPr>
        <w:t>o</w:t>
      </w:r>
      <w:r w:rsidR="008A0212">
        <w:t>C.</w:t>
      </w:r>
      <w:proofErr w:type="spellEnd"/>
      <w:r w:rsidR="008A0212">
        <w:t xml:space="preserve"> </w:t>
      </w:r>
      <w:r w:rsidR="00BB673B">
        <w:t>Then, the undissolved remnants were filtered out</w:t>
      </w:r>
      <w:r w:rsidR="001D0468">
        <w:t xml:space="preserve">, </w:t>
      </w:r>
      <w:r w:rsidR="00BB673B">
        <w:t xml:space="preserve">dried at </w:t>
      </w:r>
      <w:r w:rsidR="00BB673B" w:rsidRPr="00A12E8B">
        <w:t>105</w:t>
      </w:r>
      <w:r w:rsidR="00A12E8B">
        <w:rPr>
          <w:vertAlign w:val="superscript"/>
        </w:rPr>
        <w:t>o</w:t>
      </w:r>
      <w:r w:rsidR="00BB673B" w:rsidRPr="00A12E8B">
        <w:t>C</w:t>
      </w:r>
      <w:r w:rsidR="00BB673B">
        <w:t xml:space="preserve"> for 24 h</w:t>
      </w:r>
      <w:r w:rsidR="001D0468">
        <w:t xml:space="preserve"> and weighed (</w:t>
      </w:r>
      <w:r w:rsidR="00BB673B">
        <w:t>final dry weight</w:t>
      </w:r>
      <w:r w:rsidR="001D0468">
        <w:t xml:space="preserve">, </w:t>
      </w:r>
      <w:proofErr w:type="spellStart"/>
      <w:r w:rsidR="001D0468">
        <w:t>Wf</w:t>
      </w:r>
      <w:proofErr w:type="spellEnd"/>
      <w:r w:rsidR="001D0468">
        <w:t>, g)</w:t>
      </w:r>
      <w:r w:rsidR="00A12E8B">
        <w:t xml:space="preserve">. The </w:t>
      </w:r>
      <w:r w:rsidR="002819BF">
        <w:t>WS (%)</w:t>
      </w:r>
      <w:r w:rsidR="00A12E8B">
        <w:t xml:space="preserve"> of the films was calculated according to Eq. 1.</w:t>
      </w:r>
    </w:p>
    <w:p w14:paraId="2CFD41C0" w14:textId="77777777" w:rsidR="00A12E8B" w:rsidRDefault="00DE3F21" w:rsidP="00702E29">
      <w:pPr>
        <w:pStyle w:val="CETBodytext"/>
      </w:pPr>
      <w:r>
        <w:t xml:space="preserve">                                                                   </w:t>
      </w:r>
      <m:oMath>
        <m:r>
          <w:rPr>
            <w:rFonts w:ascii="Cambria Math" w:hAnsi="Cambria Math" w:cs="Arial"/>
            <w:szCs w:val="18"/>
          </w:rPr>
          <m:t>WS=</m:t>
        </m:r>
        <m:d>
          <m:dPr>
            <m:ctrlPr>
              <w:rPr>
                <w:rFonts w:ascii="Cambria Math" w:hAnsi="Cambria Math" w:cs="Arial"/>
                <w:i/>
                <w:szCs w:val="18"/>
              </w:rPr>
            </m:ctrlPr>
          </m:dPr>
          <m:e>
            <m:r>
              <w:rPr>
                <w:rFonts w:ascii="Cambria Math" w:hAnsi="Cambria Math" w:cs="Arial"/>
                <w:szCs w:val="18"/>
              </w:rPr>
              <m:t>Wi-</m:t>
            </m:r>
            <m:f>
              <m:fPr>
                <m:ctrlPr>
                  <w:rPr>
                    <w:rFonts w:ascii="Cambria Math" w:hAnsi="Cambria Math" w:cs="Arial"/>
                    <w:i/>
                    <w:szCs w:val="18"/>
                  </w:rPr>
                </m:ctrlPr>
              </m:fPr>
              <m:num>
                <m:r>
                  <w:rPr>
                    <w:rFonts w:ascii="Cambria Math" w:hAnsi="Cambria Math" w:cs="Arial"/>
                    <w:szCs w:val="18"/>
                  </w:rPr>
                  <m:t>Wf</m:t>
                </m:r>
              </m:num>
              <m:den>
                <m:r>
                  <w:rPr>
                    <w:rFonts w:ascii="Cambria Math" w:hAnsi="Cambria Math" w:cs="Arial"/>
                    <w:szCs w:val="18"/>
                  </w:rPr>
                  <m:t>Wi</m:t>
                </m:r>
              </m:den>
            </m:f>
          </m:e>
        </m:d>
        <m:r>
          <w:rPr>
            <w:rFonts w:ascii="Cambria Math" w:hAnsi="Cambria Math" w:cs="Arial"/>
            <w:szCs w:val="18"/>
          </w:rPr>
          <m:t>x100</m:t>
        </m:r>
      </m:oMath>
      <w:r>
        <w:t xml:space="preserve">                           (</w:t>
      </w:r>
      <w:r w:rsidR="003A2CA7">
        <w:t>1</w:t>
      </w:r>
      <w:r>
        <w:t>)</w:t>
      </w:r>
    </w:p>
    <w:p w14:paraId="2CFD41C1" w14:textId="77777777" w:rsidR="0066252F" w:rsidRDefault="0066252F" w:rsidP="006B054C">
      <w:pPr>
        <w:pStyle w:val="CETBodytext"/>
      </w:pPr>
    </w:p>
    <w:p w14:paraId="2CFD41C2" w14:textId="77777777" w:rsidR="006B054C" w:rsidRDefault="002829EA" w:rsidP="006B054C">
      <w:pPr>
        <w:pStyle w:val="CETBodytext"/>
      </w:pPr>
      <w:r>
        <w:t xml:space="preserve">The </w:t>
      </w:r>
      <w:r w:rsidRPr="002829EA">
        <w:t xml:space="preserve">Water </w:t>
      </w:r>
      <w:r w:rsidR="00D532D8">
        <w:t>V</w:t>
      </w:r>
      <w:r w:rsidRPr="002829EA">
        <w:t xml:space="preserve">apor </w:t>
      </w:r>
      <w:r w:rsidR="00D532D8">
        <w:t>P</w:t>
      </w:r>
      <w:r w:rsidRPr="002829EA">
        <w:t>ermeability</w:t>
      </w:r>
      <w:r>
        <w:t xml:space="preserve"> (</w:t>
      </w:r>
      <w:r w:rsidRPr="002829EA">
        <w:t>WVP</w:t>
      </w:r>
      <w:r>
        <w:t>)</w:t>
      </w:r>
      <w:r w:rsidRPr="002829EA">
        <w:t xml:space="preserve"> was determined</w:t>
      </w:r>
      <w:r w:rsidR="0023540A">
        <w:t xml:space="preserve"> in triplicates and</w:t>
      </w:r>
      <w:r w:rsidRPr="002829EA">
        <w:t xml:space="preserve"> according to ASTM E96 (ASTM</w:t>
      </w:r>
      <w:r>
        <w:t>, 1995</w:t>
      </w:r>
      <w:r w:rsidRPr="002829EA">
        <w:t>).</w:t>
      </w:r>
      <w:r w:rsidR="008728F3">
        <w:t xml:space="preserve"> Piece</w:t>
      </w:r>
      <w:r w:rsidR="006A2B48">
        <w:t>s</w:t>
      </w:r>
      <w:r w:rsidR="008728F3">
        <w:t xml:space="preserve"> of</w:t>
      </w:r>
      <w:r w:rsidR="00A716CC">
        <w:t xml:space="preserve"> the</w:t>
      </w:r>
      <w:r w:rsidR="008728F3">
        <w:t xml:space="preserve"> film</w:t>
      </w:r>
      <w:r w:rsidR="006A2B48">
        <w:t xml:space="preserve">s (3 cm diameter) were analyzed </w:t>
      </w:r>
      <w:r w:rsidR="00953D1E">
        <w:t>at 24 h intervals for 7 days.</w:t>
      </w:r>
      <w:r w:rsidR="006A2B48">
        <w:t xml:space="preserve"> </w:t>
      </w:r>
      <w:r w:rsidR="006B054C">
        <w:t xml:space="preserve">The WVP was calculated using </w:t>
      </w:r>
      <w:proofErr w:type="spellStart"/>
      <w:r w:rsidR="006B054C">
        <w:t>Eqs</w:t>
      </w:r>
      <w:proofErr w:type="spellEnd"/>
      <w:r w:rsidR="006B054C">
        <w:t xml:space="preserve">. </w:t>
      </w:r>
      <w:r w:rsidR="00DE3F21">
        <w:t>2</w:t>
      </w:r>
      <w:r w:rsidR="006B054C">
        <w:t xml:space="preserve"> and </w:t>
      </w:r>
      <w:r w:rsidR="00DE3F21">
        <w:t>3</w:t>
      </w:r>
      <w:r w:rsidR="006B054C">
        <w:t>:</w:t>
      </w:r>
    </w:p>
    <w:p w14:paraId="2CFD41C3" w14:textId="77777777" w:rsidR="000A6188" w:rsidRDefault="00B20819" w:rsidP="00702E29">
      <w:pPr>
        <w:pStyle w:val="CETBodytext"/>
      </w:pPr>
      <w:r>
        <w:lastRenderedPageBreak/>
        <w:t xml:space="preserve">                                                                        </w:t>
      </w:r>
      <m:oMath>
        <m:r>
          <w:rPr>
            <w:rFonts w:ascii="Cambria Math" w:hAnsi="Cambria Math" w:cs="Arial"/>
          </w:rPr>
          <m:t>WVTR=(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G</m:t>
            </m:r>
          </m:num>
          <m:den>
            <m:r>
              <w:rPr>
                <w:rFonts w:ascii="Cambria Math" w:hAnsi="Cambria Math" w:cs="Arial"/>
              </w:rPr>
              <m:t>t</m:t>
            </m:r>
          </m:den>
        </m:f>
        <m:r>
          <w:rPr>
            <w:rFonts w:ascii="Cambria Math" w:hAnsi="Cambria Math" w:cs="Arial"/>
          </w:rPr>
          <m:t>)/A</m:t>
        </m:r>
      </m:oMath>
      <w:r>
        <w:tab/>
        <w:t>(</w:t>
      </w:r>
      <w:r w:rsidR="00DE3F21">
        <w:t>2</w:t>
      </w:r>
      <w:r>
        <w:t>)</w:t>
      </w:r>
    </w:p>
    <w:p w14:paraId="2CFD41C4" w14:textId="77777777" w:rsidR="00B20819" w:rsidRDefault="00B20819" w:rsidP="00702E29">
      <w:pPr>
        <w:pStyle w:val="CETBodytext"/>
      </w:pPr>
    </w:p>
    <w:p w14:paraId="2CFD41C5" w14:textId="77777777" w:rsidR="000A6188" w:rsidRPr="00004CFE" w:rsidRDefault="00B20819" w:rsidP="00702E29">
      <w:pPr>
        <w:pStyle w:val="CETBodytext"/>
      </w:pPr>
      <w:r>
        <w:t xml:space="preserve">                                                                        </w:t>
      </w:r>
      <m:oMath>
        <m:r>
          <w:rPr>
            <w:rFonts w:ascii="Cambria Math" w:hAnsi="Cambria Math" w:cs="Arial"/>
          </w:rPr>
          <m:t>WVP=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WVTR x thickness</m:t>
            </m:r>
          </m:num>
          <m:den>
            <m:r>
              <w:rPr>
                <w:rFonts w:ascii="Cambria Math" w:hAnsi="Cambria Math" w:cs="Arial"/>
              </w:rPr>
              <m:t>(ρA1- ρA2)</m:t>
            </m:r>
          </m:den>
        </m:f>
      </m:oMath>
      <w:r>
        <w:t xml:space="preserve">                               (</w:t>
      </w:r>
      <w:r w:rsidR="00DE3F21">
        <w:t>3</w:t>
      </w:r>
      <w:r>
        <w:t>)</w:t>
      </w:r>
    </w:p>
    <w:p w14:paraId="2CFD41C6" w14:textId="77777777" w:rsidR="000521B5" w:rsidRDefault="000521B5" w:rsidP="00702E29">
      <w:pPr>
        <w:pStyle w:val="CETBodytext"/>
      </w:pPr>
    </w:p>
    <w:p w14:paraId="2CFD41C7" w14:textId="77777777" w:rsidR="00004CFE" w:rsidRDefault="00056822" w:rsidP="00702E29">
      <w:pPr>
        <w:pStyle w:val="CETBodytext"/>
      </w:pPr>
      <w:r w:rsidRPr="00056822">
        <w:t>Where</w:t>
      </w:r>
      <w:r>
        <w:t xml:space="preserve"> </w:t>
      </w:r>
      <w:r w:rsidRPr="00056822">
        <w:t>WVTR</w:t>
      </w:r>
      <w:r>
        <w:t xml:space="preserve"> </w:t>
      </w:r>
      <w:r w:rsidRPr="00056822">
        <w:t>is</w:t>
      </w:r>
      <w:r>
        <w:t xml:space="preserve"> </w:t>
      </w:r>
      <w:r w:rsidRPr="00056822">
        <w:t>the</w:t>
      </w:r>
      <w:r>
        <w:t xml:space="preserve"> </w:t>
      </w:r>
      <w:r w:rsidRPr="00056822">
        <w:t>water</w:t>
      </w:r>
      <w:r>
        <w:t xml:space="preserve"> </w:t>
      </w:r>
      <w:r w:rsidRPr="00056822">
        <w:t>vapor</w:t>
      </w:r>
      <w:r>
        <w:t xml:space="preserve"> </w:t>
      </w:r>
      <w:r w:rsidRPr="00056822">
        <w:t>transmission rate(g/m</w:t>
      </w:r>
      <w:r w:rsidRPr="00056822">
        <w:rPr>
          <w:vertAlign w:val="superscript"/>
        </w:rPr>
        <w:t>2</w:t>
      </w:r>
      <w:r w:rsidRPr="00056822">
        <w:t>.day),</w:t>
      </w:r>
      <w:r w:rsidR="00E53B5D">
        <w:t xml:space="preserve"> </w:t>
      </w:r>
      <w:r w:rsidRPr="00056822">
        <w:t>G/t</w:t>
      </w:r>
      <w:r>
        <w:t xml:space="preserve"> </w:t>
      </w:r>
      <w:r w:rsidRPr="00056822">
        <w:t>is</w:t>
      </w:r>
      <w:r w:rsidR="00E53B5D">
        <w:t xml:space="preserve"> </w:t>
      </w:r>
      <w:r w:rsidRPr="00056822">
        <w:t>the ratio of loss of weight per time (g/day), A is the surface area of the sample (m</w:t>
      </w:r>
      <w:r w:rsidRPr="00AB125B">
        <w:rPr>
          <w:vertAlign w:val="superscript"/>
        </w:rPr>
        <w:t>2</w:t>
      </w:r>
      <w:r w:rsidRPr="00056822">
        <w:t>), WVP is the water vapor permeability (g.mm/m</w:t>
      </w:r>
      <w:r w:rsidRPr="00AB125B">
        <w:rPr>
          <w:vertAlign w:val="superscript"/>
        </w:rPr>
        <w:t>2</w:t>
      </w:r>
      <w:r w:rsidRPr="00056822">
        <w:t xml:space="preserve">.d.kPa) and </w:t>
      </w:r>
      <w:r w:rsidR="00AB125B">
        <w:rPr>
          <w:rFonts w:cs="Arial"/>
        </w:rPr>
        <w:t>ρ</w:t>
      </w:r>
      <w:r w:rsidRPr="00056822">
        <w:t xml:space="preserve">A1 and </w:t>
      </w:r>
      <w:r w:rsidR="00AB125B">
        <w:rPr>
          <w:rFonts w:cs="Arial"/>
        </w:rPr>
        <w:t>ρ</w:t>
      </w:r>
      <w:r w:rsidRPr="00056822">
        <w:t>A2 are the water vapor partial pressure inside and outside the cup, respectively (kPa).</w:t>
      </w:r>
    </w:p>
    <w:p w14:paraId="2CFD41C8" w14:textId="77777777" w:rsidR="00056822" w:rsidRPr="00004CFE" w:rsidRDefault="00056822" w:rsidP="00702E29">
      <w:pPr>
        <w:pStyle w:val="CETBodytext"/>
      </w:pPr>
    </w:p>
    <w:p w14:paraId="2CFD41C9" w14:textId="77777777" w:rsidR="00646BD4" w:rsidRPr="000A57E9" w:rsidRDefault="00D532D8" w:rsidP="004D71A9">
      <w:pPr>
        <w:pStyle w:val="CETBodytext"/>
      </w:pPr>
      <w:r w:rsidRPr="00D532D8">
        <w:t>The</w:t>
      </w:r>
      <w:r>
        <w:t xml:space="preserve"> </w:t>
      </w:r>
      <w:r w:rsidRPr="00D532D8">
        <w:t xml:space="preserve">Attenuated total reﬂection-Fourier transform infrared spectroscopy </w:t>
      </w:r>
      <w:r>
        <w:t>(</w:t>
      </w:r>
      <w:r w:rsidRPr="00D532D8">
        <w:t>ATR-FTIR</w:t>
      </w:r>
      <w:r>
        <w:t>)</w:t>
      </w:r>
      <w:r w:rsidRPr="00D532D8">
        <w:t xml:space="preserve"> spectra of the </w:t>
      </w:r>
      <w:r>
        <w:t xml:space="preserve">films </w:t>
      </w:r>
      <w:r w:rsidRPr="00D532D8">
        <w:t xml:space="preserve">were recorded using a spectrophotometer </w:t>
      </w:r>
      <w:r>
        <w:rPr>
          <w:snapToGrid w:val="0"/>
        </w:rPr>
        <w:t>FT-IR (IRPrestig-21, Shimadzu)</w:t>
      </w:r>
      <w:r>
        <w:t xml:space="preserve"> </w:t>
      </w:r>
      <w:r w:rsidRPr="00D532D8">
        <w:t>at wavenumbers in the range</w:t>
      </w:r>
      <w:r w:rsidR="006439EC">
        <w:t xml:space="preserve"> of</w:t>
      </w:r>
      <w:r w:rsidRPr="00D532D8">
        <w:t xml:space="preserve"> 400–4000</w:t>
      </w:r>
      <w:r w:rsidR="00FF4F20">
        <w:t xml:space="preserve"> </w:t>
      </w:r>
      <w:r w:rsidRPr="00D532D8">
        <w:t>cm</w:t>
      </w:r>
      <w:r w:rsidRPr="00D532D8">
        <w:rPr>
          <w:vertAlign w:val="superscript"/>
        </w:rPr>
        <w:t>−1</w:t>
      </w:r>
      <w:r>
        <w:t xml:space="preserve"> (</w:t>
      </w:r>
      <w:proofErr w:type="spellStart"/>
      <w:r>
        <w:t>Sukyai</w:t>
      </w:r>
      <w:proofErr w:type="spellEnd"/>
      <w:r>
        <w:t xml:space="preserve"> et al., 2018)</w:t>
      </w:r>
      <w:r w:rsidRPr="00D532D8">
        <w:t>.</w:t>
      </w:r>
      <w:r w:rsidR="00744998">
        <w:t xml:space="preserve"> </w:t>
      </w:r>
      <w:r w:rsidR="00544F59">
        <w:t>T</w:t>
      </w:r>
      <w:r w:rsidR="00744998" w:rsidRPr="00744998">
        <w:t>hree measurements</w:t>
      </w:r>
      <w:r w:rsidR="00544F59">
        <w:t xml:space="preserve"> were</w:t>
      </w:r>
      <w:r w:rsidR="00744998" w:rsidRPr="00744998">
        <w:t xml:space="preserve"> taken f</w:t>
      </w:r>
      <w:r w:rsidR="00544F59">
        <w:t>or</w:t>
      </w:r>
      <w:r w:rsidR="00744998" w:rsidRPr="00744998">
        <w:t xml:space="preserve"> each </w:t>
      </w:r>
      <w:r w:rsidR="00544F59">
        <w:t>film</w:t>
      </w:r>
      <w:r w:rsidR="00744998" w:rsidRPr="00744998">
        <w:t>.</w:t>
      </w:r>
      <w:r w:rsidR="000A57E9">
        <w:t xml:space="preserve"> </w:t>
      </w:r>
      <w:r w:rsidR="00EE78D6">
        <w:t xml:space="preserve">The structure of the films </w:t>
      </w:r>
      <w:r w:rsidR="00C70523">
        <w:t>was measured using S</w:t>
      </w:r>
      <w:r w:rsidR="00EF16B8">
        <w:t>canning Electron Microscopy (SEM</w:t>
      </w:r>
      <w:r w:rsidR="004933A7">
        <w:t xml:space="preserve">, </w:t>
      </w:r>
      <w:r w:rsidR="004933A7">
        <w:rPr>
          <w:snapToGrid w:val="0"/>
          <w:shd w:val="clear" w:color="auto" w:fill="FFFFFF"/>
        </w:rPr>
        <w:t>FEI Quanta 200).</w:t>
      </w:r>
      <w:r w:rsidR="001C0217">
        <w:rPr>
          <w:snapToGrid w:val="0"/>
          <w:shd w:val="clear" w:color="auto" w:fill="FFFFFF"/>
        </w:rPr>
        <w:t xml:space="preserve"> For that,</w:t>
      </w:r>
      <w:r w:rsidR="004933A7">
        <w:rPr>
          <w:snapToGrid w:val="0"/>
          <w:shd w:val="clear" w:color="auto" w:fill="FFFFFF"/>
        </w:rPr>
        <w:t xml:space="preserve"> </w:t>
      </w:r>
      <w:r w:rsidR="001C0217">
        <w:rPr>
          <w:snapToGrid w:val="0"/>
          <w:shd w:val="clear" w:color="auto" w:fill="FFFFFF"/>
        </w:rPr>
        <w:t>t</w:t>
      </w:r>
      <w:r w:rsidR="004933A7">
        <w:rPr>
          <w:snapToGrid w:val="0"/>
          <w:shd w:val="clear" w:color="auto" w:fill="FFFFFF"/>
        </w:rPr>
        <w:t>he film wa</w:t>
      </w:r>
      <w:r w:rsidR="00FF4DD7">
        <w:rPr>
          <w:snapToGrid w:val="0"/>
          <w:shd w:val="clear" w:color="auto" w:fill="FFFFFF"/>
        </w:rPr>
        <w:t>s sputtered with a thin layer of gold (</w:t>
      </w:r>
      <w:r w:rsidR="001724B2">
        <w:rPr>
          <w:snapToGrid w:val="0"/>
          <w:shd w:val="clear" w:color="auto" w:fill="FFFFFF"/>
        </w:rPr>
        <w:t xml:space="preserve">20 </w:t>
      </w:r>
      <w:r w:rsidR="001724B2">
        <w:rPr>
          <w:rFonts w:cs="Arial"/>
          <w:snapToGrid w:val="0"/>
          <w:shd w:val="clear" w:color="auto" w:fill="FFFFFF"/>
        </w:rPr>
        <w:t>µ</w:t>
      </w:r>
      <w:r w:rsidR="001724B2">
        <w:rPr>
          <w:snapToGrid w:val="0"/>
          <w:shd w:val="clear" w:color="auto" w:fill="FFFFFF"/>
        </w:rPr>
        <w:t xml:space="preserve">m, </w:t>
      </w:r>
      <w:r w:rsidR="00984B82">
        <w:rPr>
          <w:snapToGrid w:val="0"/>
          <w:shd w:val="clear" w:color="auto" w:fill="FFFFFF"/>
        </w:rPr>
        <w:t>BALTEC SDC 050 Sputter Coater)</w:t>
      </w:r>
      <w:r w:rsidR="001C0217">
        <w:rPr>
          <w:snapToGrid w:val="0"/>
          <w:shd w:val="clear" w:color="auto" w:fill="FFFFFF"/>
        </w:rPr>
        <w:t xml:space="preserve">. </w:t>
      </w:r>
      <w:r w:rsidR="000F2A3C" w:rsidRPr="000F2A3C">
        <w:rPr>
          <w:snapToGrid w:val="0"/>
          <w:shd w:val="clear" w:color="auto" w:fill="FFFFFF"/>
        </w:rPr>
        <w:t>The cross-sectional micrographs of the film</w:t>
      </w:r>
      <w:r w:rsidR="000F2A3C">
        <w:rPr>
          <w:snapToGrid w:val="0"/>
          <w:shd w:val="clear" w:color="auto" w:fill="FFFFFF"/>
        </w:rPr>
        <w:t xml:space="preserve">s </w:t>
      </w:r>
      <w:r w:rsidR="000F2A3C" w:rsidRPr="000F2A3C">
        <w:rPr>
          <w:snapToGrid w:val="0"/>
          <w:shd w:val="clear" w:color="auto" w:fill="FFFFFF"/>
        </w:rPr>
        <w:t xml:space="preserve">were imaged with a magnification of </w:t>
      </w:r>
      <w:r w:rsidR="00DA6C63">
        <w:rPr>
          <w:snapToGrid w:val="0"/>
          <w:shd w:val="clear" w:color="auto" w:fill="FFFFFF"/>
        </w:rPr>
        <w:t>12</w:t>
      </w:r>
      <w:r w:rsidR="00433C57">
        <w:rPr>
          <w:snapToGrid w:val="0"/>
          <w:shd w:val="clear" w:color="auto" w:fill="FFFFFF"/>
        </w:rPr>
        <w:t>0</w:t>
      </w:r>
      <w:r w:rsidR="00DA6C63">
        <w:rPr>
          <w:snapToGrid w:val="0"/>
          <w:shd w:val="clear" w:color="auto" w:fill="FFFFFF"/>
        </w:rPr>
        <w:t>00x.</w:t>
      </w:r>
    </w:p>
    <w:p w14:paraId="2CFD41CA" w14:textId="77777777" w:rsidR="00A42127" w:rsidRPr="00702E29" w:rsidRDefault="002829EA" w:rsidP="004D71A9">
      <w:pPr>
        <w:pStyle w:val="CETBodytext"/>
      </w:pPr>
      <w:r>
        <w:t>The mechanical properties of the films (</w:t>
      </w:r>
      <w:r w:rsidRPr="002829EA">
        <w:t>Tensile strength, TS and elongation</w:t>
      </w:r>
      <w:r>
        <w:t xml:space="preserve"> at break</w:t>
      </w:r>
      <w:r w:rsidRPr="002829EA">
        <w:t>, %E</w:t>
      </w:r>
      <w:r>
        <w:t>)</w:t>
      </w:r>
      <w:r w:rsidRPr="002829EA">
        <w:t xml:space="preserve"> were determined by </w:t>
      </w:r>
      <w:proofErr w:type="spellStart"/>
      <w:r>
        <w:rPr>
          <w:snapToGrid w:val="0"/>
        </w:rPr>
        <w:t>TexturePro</w:t>
      </w:r>
      <w:proofErr w:type="spellEnd"/>
      <w:r>
        <w:rPr>
          <w:snapToGrid w:val="0"/>
        </w:rPr>
        <w:t xml:space="preserve"> CT V1.4 Build 17 equipment (Brookfield Engineering Labs, Inc) </w:t>
      </w:r>
      <w:r w:rsidRPr="002829EA">
        <w:t>using the standard method</w:t>
      </w:r>
      <w:r w:rsidR="00F2555C">
        <w:t xml:space="preserve"> </w:t>
      </w:r>
      <w:r w:rsidRPr="002829EA">
        <w:t>(ASTM</w:t>
      </w:r>
      <w:r>
        <w:t>,</w:t>
      </w:r>
      <w:r w:rsidRPr="002829EA">
        <w:t xml:space="preserve"> </w:t>
      </w:r>
      <w:r>
        <w:t>2010</w:t>
      </w:r>
      <w:r w:rsidRPr="002829EA">
        <w:t>). The ﬁlms</w:t>
      </w:r>
      <w:r w:rsidR="00742F3C">
        <w:t xml:space="preserve"> </w:t>
      </w:r>
      <w:r w:rsidRPr="002829EA">
        <w:t xml:space="preserve">were cut into </w:t>
      </w:r>
      <w:r>
        <w:t>60 x 20 cm</w:t>
      </w:r>
      <w:r w:rsidRPr="002829EA">
        <w:t xml:space="preserve"> </w:t>
      </w:r>
      <w:r>
        <w:t>rectangles</w:t>
      </w:r>
      <w:r w:rsidRPr="002829EA">
        <w:t xml:space="preserve">. The initial distance between the grips was </w:t>
      </w:r>
      <w:r>
        <w:t>4</w:t>
      </w:r>
      <w:r w:rsidRPr="002829EA">
        <w:t xml:space="preserve">0 mm. </w:t>
      </w:r>
      <w:r w:rsidR="00742F3C" w:rsidRPr="00742F3C">
        <w:t>The measurements were taken at room temperature</w:t>
      </w:r>
      <w:r w:rsidR="00115E2A">
        <w:t xml:space="preserve"> (25 </w:t>
      </w:r>
      <w:proofErr w:type="spellStart"/>
      <w:r w:rsidR="00115E2A">
        <w:rPr>
          <w:vertAlign w:val="superscript"/>
        </w:rPr>
        <w:t>o</w:t>
      </w:r>
      <w:r w:rsidR="00115E2A">
        <w:t>C</w:t>
      </w:r>
      <w:proofErr w:type="spellEnd"/>
      <w:r w:rsidR="00115E2A">
        <w:t>)</w:t>
      </w:r>
      <w:r w:rsidR="00742F3C" w:rsidRPr="00742F3C">
        <w:t xml:space="preserve">, and </w:t>
      </w:r>
      <w:r w:rsidR="00742F3C">
        <w:t>ten</w:t>
      </w:r>
      <w:r w:rsidR="00742F3C" w:rsidRPr="00742F3C">
        <w:t xml:space="preserve"> replicates were carried out per </w:t>
      </w:r>
      <w:r w:rsidR="00742F3C">
        <w:t>type of film.</w:t>
      </w:r>
      <w:r w:rsidR="0068430B">
        <w:t xml:space="preserve"> </w:t>
      </w:r>
      <w:r w:rsidR="00A42127">
        <w:t xml:space="preserve">The viability of the probiotic culture was determined using Man </w:t>
      </w:r>
      <w:proofErr w:type="spellStart"/>
      <w:r w:rsidR="00A42127">
        <w:t>Rogosa</w:t>
      </w:r>
      <w:proofErr w:type="spellEnd"/>
      <w:r w:rsidR="00A42127">
        <w:t xml:space="preserve"> and Sharp (MRS) agar and anaerobic incubation at 37 </w:t>
      </w:r>
      <w:proofErr w:type="spellStart"/>
      <w:r w:rsidR="00A42127">
        <w:rPr>
          <w:vertAlign w:val="superscript"/>
        </w:rPr>
        <w:t>o</w:t>
      </w:r>
      <w:r w:rsidR="00A42127">
        <w:t>C</w:t>
      </w:r>
      <w:proofErr w:type="spellEnd"/>
      <w:r w:rsidR="00A42127">
        <w:t xml:space="preserve"> for 24 h</w:t>
      </w:r>
      <w:r w:rsidR="00E515DE">
        <w:t>. The films were analyzed</w:t>
      </w:r>
      <w:r w:rsidR="00044156">
        <w:t xml:space="preserve"> in triplicates and</w:t>
      </w:r>
      <w:r w:rsidR="00E515DE">
        <w:t xml:space="preserve"> weekly for 28 days. </w:t>
      </w:r>
    </w:p>
    <w:p w14:paraId="2CFD41CB" w14:textId="77777777" w:rsidR="004D71A9" w:rsidRDefault="004D71A9" w:rsidP="004D71A9">
      <w:pPr>
        <w:pStyle w:val="CETBodytext"/>
      </w:pPr>
    </w:p>
    <w:p w14:paraId="2CFD41CC" w14:textId="77777777" w:rsidR="00CA6E97" w:rsidRDefault="003E2D7B" w:rsidP="004D71A9">
      <w:pPr>
        <w:pStyle w:val="CETBodytext"/>
      </w:pPr>
      <w:r>
        <w:t xml:space="preserve">Tomatoes and grapes </w:t>
      </w:r>
      <w:r w:rsidR="00CD24A6">
        <w:t>storage stability</w:t>
      </w:r>
    </w:p>
    <w:p w14:paraId="2CFD41CD" w14:textId="77777777" w:rsidR="004467C1" w:rsidRPr="00244B61" w:rsidRDefault="003E2D7B" w:rsidP="004D71A9">
      <w:pPr>
        <w:pStyle w:val="CETBodytext"/>
      </w:pPr>
      <w:r>
        <w:t>The fruits were visually checked for uniformity of size and absence of defects.</w:t>
      </w:r>
      <w:r w:rsidR="003A2365">
        <w:t xml:space="preserve"> </w:t>
      </w:r>
      <w:r w:rsidR="00222457">
        <w:t>After washing</w:t>
      </w:r>
      <w:r w:rsidR="0024509F">
        <w:t xml:space="preserve">, </w:t>
      </w:r>
      <w:r w:rsidR="00F96C17">
        <w:t>the</w:t>
      </w:r>
      <w:r w:rsidR="00D67911">
        <w:t xml:space="preserve"> selected</w:t>
      </w:r>
      <w:r w:rsidR="00F96C17">
        <w:t xml:space="preserve"> fruits</w:t>
      </w:r>
      <w:r w:rsidR="00D1662C">
        <w:t xml:space="preserve"> </w:t>
      </w:r>
      <w:r w:rsidR="00F96C17">
        <w:t>were immersed in a chlorinated solution (0.1 g/L) for 15 min.</w:t>
      </w:r>
      <w:r w:rsidR="0090296B">
        <w:t xml:space="preserve"> Three conditions were tested</w:t>
      </w:r>
      <w:r w:rsidR="006B0B36">
        <w:t xml:space="preserve"> (n=15 for each)</w:t>
      </w:r>
      <w:r w:rsidR="0090296B">
        <w:t>: (</w:t>
      </w:r>
      <w:r w:rsidR="00873D06">
        <w:t>0</w:t>
      </w:r>
      <w:r w:rsidR="0090296B">
        <w:t>) without biofilm, (</w:t>
      </w:r>
      <w:r w:rsidR="00873D06">
        <w:t>1</w:t>
      </w:r>
      <w:r w:rsidR="0090296B">
        <w:t>) with control biofilm, and (</w:t>
      </w:r>
      <w:r w:rsidR="00873D06">
        <w:t>2</w:t>
      </w:r>
      <w:r w:rsidR="0090296B">
        <w:t>) with probiotic biofilm.</w:t>
      </w:r>
      <w:r w:rsidR="00F96C17">
        <w:t xml:space="preserve"> </w:t>
      </w:r>
      <w:r w:rsidR="0090296B">
        <w:t>The fruits</w:t>
      </w:r>
      <w:r w:rsidR="00854446">
        <w:t xml:space="preserve"> were dipped into the film-forming solution </w:t>
      </w:r>
      <w:r w:rsidR="00BF253B">
        <w:t xml:space="preserve">for </w:t>
      </w:r>
      <w:r w:rsidR="00C2368B">
        <w:t>10</w:t>
      </w:r>
      <w:r w:rsidR="00BF253B">
        <w:t xml:space="preserve"> </w:t>
      </w:r>
      <w:r w:rsidR="00C2368B">
        <w:t>s</w:t>
      </w:r>
      <w:r w:rsidR="00BF253B">
        <w:t xml:space="preserve"> and removed. The excess of coating was </w:t>
      </w:r>
      <w:r w:rsidR="006838EA">
        <w:t xml:space="preserve">removed </w:t>
      </w:r>
      <w:r w:rsidR="005B3980">
        <w:t>by draining the fruits for 15 min.</w:t>
      </w:r>
      <w:r w:rsidR="004D2624">
        <w:t xml:space="preserve"> The fruits </w:t>
      </w:r>
      <w:r w:rsidR="002B4C35">
        <w:t>covered with the edible films were stored for 21 days at 25</w:t>
      </w:r>
      <w:r w:rsidR="00182D16">
        <w:t xml:space="preserve"> </w:t>
      </w:r>
      <w:proofErr w:type="spellStart"/>
      <w:r w:rsidR="002B4C35">
        <w:rPr>
          <w:vertAlign w:val="superscript"/>
        </w:rPr>
        <w:t>o</w:t>
      </w:r>
      <w:r w:rsidR="002B4C35">
        <w:t>C.</w:t>
      </w:r>
      <w:proofErr w:type="spellEnd"/>
      <w:r w:rsidR="002B4C35">
        <w:t xml:space="preserve"> </w:t>
      </w:r>
      <w:r w:rsidR="00FE114F" w:rsidRPr="00FE114F">
        <w:t>The</w:t>
      </w:r>
      <w:r w:rsidR="00FE114F">
        <w:t xml:space="preserve"> </w:t>
      </w:r>
      <w:r w:rsidR="00FE114F" w:rsidRPr="00FE114F">
        <w:t>TSS content</w:t>
      </w:r>
      <w:r w:rsidR="002230F6">
        <w:t xml:space="preserve"> </w:t>
      </w:r>
      <w:r w:rsidR="00FE114F" w:rsidRPr="00FE114F">
        <w:t>was determined in a</w:t>
      </w:r>
      <w:r w:rsidR="00F021D4">
        <w:t>n</w:t>
      </w:r>
      <w:r w:rsidR="00FE114F" w:rsidRPr="00FE114F">
        <w:t xml:space="preserve"> </w:t>
      </w:r>
      <w:r w:rsidR="005E10B4">
        <w:t>ABBE</w:t>
      </w:r>
      <w:r w:rsidR="00FE114F" w:rsidRPr="00FE114F">
        <w:t xml:space="preserve"> refractometer (</w:t>
      </w:r>
      <w:r w:rsidR="005E10B4">
        <w:rPr>
          <w:snapToGrid w:val="0"/>
        </w:rPr>
        <w:t>S</w:t>
      </w:r>
      <w:r w:rsidR="00400316">
        <w:rPr>
          <w:snapToGrid w:val="0"/>
        </w:rPr>
        <w:t>e</w:t>
      </w:r>
      <w:r w:rsidR="005E10B4">
        <w:rPr>
          <w:snapToGrid w:val="0"/>
        </w:rPr>
        <w:t xml:space="preserve">rie 911705, model I-107-B, </w:t>
      </w:r>
      <w:proofErr w:type="spellStart"/>
      <w:r w:rsidR="005E10B4">
        <w:rPr>
          <w:snapToGrid w:val="0"/>
        </w:rPr>
        <w:t>Quimis</w:t>
      </w:r>
      <w:proofErr w:type="spellEnd"/>
      <w:r w:rsidR="005E10B4">
        <w:rPr>
          <w:snapToGrid w:val="0"/>
        </w:rPr>
        <w:t>, SP</w:t>
      </w:r>
      <w:r w:rsidR="00FE114F" w:rsidRPr="00FE114F">
        <w:t>)</w:t>
      </w:r>
      <w:r w:rsidR="00C86550">
        <w:t xml:space="preserve"> on days 1, 7, 14 and 21 of storage</w:t>
      </w:r>
      <w:r w:rsidR="00FE114F" w:rsidRPr="00FE114F">
        <w:t xml:space="preserve"> and the results were expressed in </w:t>
      </w:r>
      <w:proofErr w:type="spellStart"/>
      <w:r w:rsidR="00FE114F" w:rsidRPr="005E10B4">
        <w:rPr>
          <w:vertAlign w:val="superscript"/>
        </w:rPr>
        <w:t>o</w:t>
      </w:r>
      <w:r w:rsidR="00FE114F" w:rsidRPr="00FE114F">
        <w:t>Brix</w:t>
      </w:r>
      <w:proofErr w:type="spellEnd"/>
      <w:r w:rsidR="00FE114F" w:rsidRPr="00FE114F">
        <w:t>.</w:t>
      </w:r>
      <w:r w:rsidR="005E10B4">
        <w:t xml:space="preserve"> </w:t>
      </w:r>
      <w:r w:rsidR="00F021D4" w:rsidRPr="00F021D4">
        <w:t>To measure the weight loss, the fruits were weighed in a digital semi-analytical balance, and their mass loss was determined by the difference between the initial mass</w:t>
      </w:r>
      <w:r w:rsidR="00C86550">
        <w:t xml:space="preserve"> (day 1)</w:t>
      </w:r>
      <w:r w:rsidR="00F021D4" w:rsidRPr="00F021D4">
        <w:t xml:space="preserve"> and the final mass</w:t>
      </w:r>
      <w:r w:rsidR="00C86550">
        <w:t xml:space="preserve"> (day 21)</w:t>
      </w:r>
      <w:r w:rsidR="00F021D4">
        <w:t xml:space="preserve">. </w:t>
      </w:r>
    </w:p>
    <w:p w14:paraId="2CFD41CE" w14:textId="77777777" w:rsidR="00055FD5" w:rsidRDefault="00055FD5" w:rsidP="004D71A9">
      <w:pPr>
        <w:pStyle w:val="CETBodytext"/>
      </w:pPr>
    </w:p>
    <w:p w14:paraId="2CFD41CF" w14:textId="77777777" w:rsidR="0054118A" w:rsidRDefault="0054118A" w:rsidP="004D71A9">
      <w:pPr>
        <w:pStyle w:val="CETBodytext"/>
      </w:pPr>
      <w:r>
        <w:t>Statistical analysis</w:t>
      </w:r>
    </w:p>
    <w:p w14:paraId="2CFD41D0" w14:textId="77777777" w:rsidR="0054118A" w:rsidRDefault="0054118A" w:rsidP="004D71A9">
      <w:pPr>
        <w:pStyle w:val="CETBodytext"/>
      </w:pPr>
      <w:r w:rsidRPr="0054118A">
        <w:t xml:space="preserve">Data were analyzed by Student's t-test for comparison of means (p ≤ 0.05) using </w:t>
      </w:r>
      <w:proofErr w:type="spellStart"/>
      <w:r w:rsidRPr="0054118A">
        <w:t>Statistica</w:t>
      </w:r>
      <w:proofErr w:type="spellEnd"/>
      <w:r w:rsidRPr="0054118A">
        <w:t xml:space="preserve"> 10 software (</w:t>
      </w:r>
      <w:proofErr w:type="spellStart"/>
      <w:r w:rsidRPr="0054118A">
        <w:t>Statsoft</w:t>
      </w:r>
      <w:proofErr w:type="spellEnd"/>
      <w:r w:rsidRPr="0054118A">
        <w:t>, Inc. 2011)</w:t>
      </w:r>
      <w:r>
        <w:t>.</w:t>
      </w:r>
    </w:p>
    <w:p w14:paraId="2CFD41D1" w14:textId="77777777" w:rsidR="0054118A" w:rsidRDefault="0054118A" w:rsidP="0054118A">
      <w:pPr>
        <w:pStyle w:val="CETHeading1"/>
      </w:pPr>
      <w:r>
        <w:t>Results and Discussion</w:t>
      </w:r>
    </w:p>
    <w:p w14:paraId="2CFD41D2" w14:textId="77777777" w:rsidR="001860F1" w:rsidRDefault="001860F1" w:rsidP="00154DC1">
      <w:pPr>
        <w:pStyle w:val="CETBodytext"/>
      </w:pPr>
      <w:r>
        <w:t xml:space="preserve">Characteristics of the films </w:t>
      </w:r>
    </w:p>
    <w:p w14:paraId="2CFD41D3" w14:textId="77777777" w:rsidR="00C11FAB" w:rsidRDefault="000C2486" w:rsidP="00154DC1">
      <w:pPr>
        <w:pStyle w:val="CETBodytext"/>
      </w:pPr>
      <w:r w:rsidRPr="000C2486">
        <w:t xml:space="preserve">The film </w:t>
      </w:r>
      <w:r>
        <w:t>of WPI</w:t>
      </w:r>
      <w:r w:rsidRPr="000C2486">
        <w:t xml:space="preserve"> w</w:t>
      </w:r>
      <w:r>
        <w:t>as</w:t>
      </w:r>
      <w:r w:rsidRPr="000C2486">
        <w:t xml:space="preserve"> transparent, malleable, homogeneous, continuous, without cracking and slightly yellowish (Figure </w:t>
      </w:r>
      <w:r w:rsidR="003408E4">
        <w:t>1</w:t>
      </w:r>
      <w:r w:rsidR="007E295C">
        <w:t>A</w:t>
      </w:r>
      <w:r w:rsidRPr="000C2486">
        <w:t xml:space="preserve">). The film </w:t>
      </w:r>
      <w:r w:rsidR="003408E4">
        <w:t>added with the</w:t>
      </w:r>
      <w:r w:rsidRPr="000C2486">
        <w:t xml:space="preserve"> probiotic</w:t>
      </w:r>
      <w:r w:rsidR="003408E4">
        <w:t xml:space="preserve"> culture</w:t>
      </w:r>
      <w:r w:rsidRPr="000C2486">
        <w:t xml:space="preserve"> had the same characteristics, except for the coloration, </w:t>
      </w:r>
      <w:r w:rsidR="005C7E7B">
        <w:t>as it</w:t>
      </w:r>
      <w:r w:rsidRPr="000C2486">
        <w:t xml:space="preserve"> presented</w:t>
      </w:r>
      <w:r w:rsidR="005C7E7B">
        <w:t xml:space="preserve"> a</w:t>
      </w:r>
      <w:r w:rsidRPr="000C2486">
        <w:t xml:space="preserve"> dark yellow</w:t>
      </w:r>
      <w:r w:rsidR="005C7E7B">
        <w:t xml:space="preserve"> color</w:t>
      </w:r>
      <w:r w:rsidRPr="000C2486">
        <w:t xml:space="preserve"> (Figure </w:t>
      </w:r>
      <w:r w:rsidR="005C7E7B">
        <w:t>1</w:t>
      </w:r>
      <w:r w:rsidR="00693F45">
        <w:t>B</w:t>
      </w:r>
      <w:r w:rsidRPr="000C2486">
        <w:t xml:space="preserve">). </w:t>
      </w:r>
    </w:p>
    <w:p w14:paraId="2CFD41D4" w14:textId="77777777" w:rsidR="00F865DC" w:rsidRPr="00C11FAB" w:rsidRDefault="00154DC1" w:rsidP="0054118A">
      <w:pPr>
        <w:pStyle w:val="CETBodytext"/>
      </w:pPr>
      <w:r>
        <w:t>The characteristics of the films are presented in Table 1.</w:t>
      </w:r>
      <w:r w:rsidR="00C11FAB">
        <w:t xml:space="preserve"> </w:t>
      </w:r>
      <w:r w:rsidR="000C008E" w:rsidRPr="00096407">
        <w:rPr>
          <w:rFonts w:cs="Arial"/>
          <w:szCs w:val="18"/>
        </w:rPr>
        <w:t>The addition of the probiotic culture had no effect on the density (1.27-1.30 g/cm</w:t>
      </w:r>
      <w:r w:rsidR="000C008E" w:rsidRPr="00096407">
        <w:rPr>
          <w:rFonts w:cs="Arial"/>
          <w:szCs w:val="18"/>
          <w:vertAlign w:val="superscript"/>
        </w:rPr>
        <w:t>3</w:t>
      </w:r>
      <w:r w:rsidR="000C008E" w:rsidRPr="00096407">
        <w:rPr>
          <w:rFonts w:cs="Arial"/>
          <w:szCs w:val="18"/>
        </w:rPr>
        <w:t xml:space="preserve">) and </w:t>
      </w:r>
      <w:r w:rsidR="000C008E">
        <w:rPr>
          <w:rFonts w:cs="Arial"/>
          <w:szCs w:val="18"/>
        </w:rPr>
        <w:t>WVP</w:t>
      </w:r>
      <w:r w:rsidR="000C008E" w:rsidRPr="00096407">
        <w:rPr>
          <w:rFonts w:cs="Arial"/>
          <w:szCs w:val="18"/>
        </w:rPr>
        <w:t xml:space="preserve"> (0.28-0.35 g.mm/m</w:t>
      </w:r>
      <w:r w:rsidR="000C008E" w:rsidRPr="00096407">
        <w:rPr>
          <w:rFonts w:cs="Arial"/>
          <w:szCs w:val="18"/>
          <w:vertAlign w:val="superscript"/>
        </w:rPr>
        <w:t>2</w:t>
      </w:r>
      <w:r w:rsidR="000C008E" w:rsidRPr="00096407">
        <w:rPr>
          <w:rFonts w:cs="Arial"/>
          <w:szCs w:val="18"/>
        </w:rPr>
        <w:t>.day.kPa) of the films</w:t>
      </w:r>
      <w:r w:rsidR="000C008E">
        <w:rPr>
          <w:rFonts w:cs="Arial"/>
          <w:szCs w:val="18"/>
        </w:rPr>
        <w:t xml:space="preserve"> (p &gt; 0.05)</w:t>
      </w:r>
      <w:r w:rsidR="000C008E" w:rsidRPr="00096407">
        <w:rPr>
          <w:rFonts w:cs="Arial"/>
          <w:szCs w:val="18"/>
        </w:rPr>
        <w:t xml:space="preserve">. However, the film containing probiotic culture was thicker (16.18 </w:t>
      </w:r>
      <w:r w:rsidR="000C008E" w:rsidRPr="00096407">
        <w:rPr>
          <w:rFonts w:cs="Arial"/>
          <w:i/>
          <w:szCs w:val="18"/>
        </w:rPr>
        <w:t xml:space="preserve">vs </w:t>
      </w:r>
      <w:r w:rsidR="000C008E" w:rsidRPr="00096407">
        <w:rPr>
          <w:rFonts w:cs="Arial"/>
          <w:szCs w:val="18"/>
        </w:rPr>
        <w:t>13.15 µm), more soluble (42.</w:t>
      </w:r>
      <w:r w:rsidR="000C008E">
        <w:rPr>
          <w:rFonts w:cs="Arial"/>
          <w:szCs w:val="18"/>
        </w:rPr>
        <w:t>77</w:t>
      </w:r>
      <w:r w:rsidR="000C008E" w:rsidRPr="00096407">
        <w:rPr>
          <w:rFonts w:cs="Arial"/>
          <w:szCs w:val="18"/>
        </w:rPr>
        <w:t xml:space="preserve"> </w:t>
      </w:r>
      <w:r w:rsidR="000C008E" w:rsidRPr="00096407">
        <w:rPr>
          <w:rFonts w:cs="Arial"/>
          <w:i/>
          <w:szCs w:val="18"/>
        </w:rPr>
        <w:t>vs</w:t>
      </w:r>
      <w:r w:rsidR="000C008E" w:rsidRPr="00096407">
        <w:rPr>
          <w:rFonts w:cs="Arial"/>
          <w:szCs w:val="18"/>
        </w:rPr>
        <w:t xml:space="preserve"> 34.</w:t>
      </w:r>
      <w:r w:rsidR="000C008E">
        <w:rPr>
          <w:rFonts w:cs="Arial"/>
          <w:szCs w:val="18"/>
        </w:rPr>
        <w:t>77</w:t>
      </w:r>
      <w:r w:rsidR="000C008E" w:rsidRPr="00096407">
        <w:rPr>
          <w:rFonts w:cs="Arial"/>
          <w:szCs w:val="18"/>
        </w:rPr>
        <w:t xml:space="preserve">%), had higher resistance (higher </w:t>
      </w:r>
      <w:r w:rsidR="000C008E">
        <w:rPr>
          <w:rFonts w:cs="Arial"/>
          <w:szCs w:val="18"/>
        </w:rPr>
        <w:t>TS</w:t>
      </w:r>
      <w:r w:rsidR="000C008E" w:rsidRPr="00096407">
        <w:rPr>
          <w:rFonts w:cs="Arial"/>
          <w:szCs w:val="18"/>
        </w:rPr>
        <w:t>, 23.3</w:t>
      </w:r>
      <w:r w:rsidR="000C008E">
        <w:rPr>
          <w:rFonts w:cs="Arial"/>
          <w:szCs w:val="18"/>
        </w:rPr>
        <w:t>4</w:t>
      </w:r>
      <w:r w:rsidR="000C008E" w:rsidRPr="00096407">
        <w:rPr>
          <w:rFonts w:cs="Arial"/>
          <w:szCs w:val="18"/>
        </w:rPr>
        <w:t xml:space="preserve"> </w:t>
      </w:r>
      <w:r w:rsidR="000C008E" w:rsidRPr="00096407">
        <w:rPr>
          <w:rFonts w:cs="Arial"/>
          <w:i/>
          <w:szCs w:val="18"/>
        </w:rPr>
        <w:t xml:space="preserve">vs </w:t>
      </w:r>
      <w:r w:rsidR="000C008E" w:rsidRPr="00096407">
        <w:rPr>
          <w:rFonts w:cs="Arial"/>
          <w:szCs w:val="18"/>
        </w:rPr>
        <w:t>12.6</w:t>
      </w:r>
      <w:r w:rsidR="000C008E">
        <w:rPr>
          <w:rFonts w:cs="Arial"/>
          <w:szCs w:val="18"/>
        </w:rPr>
        <w:t>0</w:t>
      </w:r>
      <w:r w:rsidR="000C008E" w:rsidRPr="00096407">
        <w:rPr>
          <w:rFonts w:cs="Arial"/>
          <w:szCs w:val="18"/>
        </w:rPr>
        <w:t xml:space="preserve"> N) and was less flexible (lower </w:t>
      </w:r>
      <w:r w:rsidR="000C008E">
        <w:rPr>
          <w:rFonts w:cs="Arial"/>
          <w:szCs w:val="18"/>
        </w:rPr>
        <w:t>%E</w:t>
      </w:r>
      <w:r w:rsidR="000C008E" w:rsidRPr="00096407">
        <w:rPr>
          <w:rFonts w:cs="Arial"/>
          <w:szCs w:val="18"/>
        </w:rPr>
        <w:t xml:space="preserve">, 5.27 </w:t>
      </w:r>
      <w:r w:rsidR="000C008E" w:rsidRPr="00096407">
        <w:rPr>
          <w:rFonts w:cs="Arial"/>
          <w:i/>
          <w:szCs w:val="18"/>
        </w:rPr>
        <w:t xml:space="preserve">vs </w:t>
      </w:r>
      <w:r w:rsidR="000C008E" w:rsidRPr="00096407">
        <w:rPr>
          <w:rFonts w:cs="Arial"/>
          <w:szCs w:val="18"/>
        </w:rPr>
        <w:t>45.</w:t>
      </w:r>
      <w:r w:rsidR="000C008E">
        <w:rPr>
          <w:rFonts w:cs="Arial"/>
          <w:szCs w:val="18"/>
        </w:rPr>
        <w:t>38</w:t>
      </w:r>
      <w:r w:rsidR="000C008E" w:rsidRPr="00096407">
        <w:rPr>
          <w:rFonts w:cs="Arial"/>
          <w:szCs w:val="18"/>
        </w:rPr>
        <w:t>%)</w:t>
      </w:r>
      <w:r w:rsidR="000C008E">
        <w:rPr>
          <w:rFonts w:cs="Arial"/>
          <w:szCs w:val="18"/>
        </w:rPr>
        <w:t xml:space="preserve"> (p ≤ 0.05)</w:t>
      </w:r>
      <w:r w:rsidR="000C008E" w:rsidRPr="00096407">
        <w:rPr>
          <w:rFonts w:cs="Arial"/>
          <w:szCs w:val="18"/>
        </w:rPr>
        <w:t>.</w:t>
      </w:r>
      <w:r w:rsidR="000C008E">
        <w:rPr>
          <w:rFonts w:cs="Arial"/>
          <w:szCs w:val="18"/>
        </w:rPr>
        <w:t xml:space="preserve"> The </w:t>
      </w:r>
      <w:r w:rsidR="009925CC">
        <w:rPr>
          <w:rFonts w:cs="Arial"/>
          <w:szCs w:val="18"/>
        </w:rPr>
        <w:t>alterations</w:t>
      </w:r>
      <w:r w:rsidR="000C008E">
        <w:rPr>
          <w:rFonts w:cs="Arial"/>
          <w:szCs w:val="18"/>
        </w:rPr>
        <w:t xml:space="preserve"> </w:t>
      </w:r>
      <w:r w:rsidR="009925CC">
        <w:rPr>
          <w:rFonts w:cs="Arial"/>
          <w:szCs w:val="18"/>
        </w:rPr>
        <w:t>can be</w:t>
      </w:r>
      <w:r w:rsidR="000C008E">
        <w:rPr>
          <w:rFonts w:cs="Arial"/>
          <w:szCs w:val="18"/>
        </w:rPr>
        <w:t xml:space="preserve"> associated to the presence of the probiotic culture in the films. In fact, </w:t>
      </w:r>
      <w:r w:rsidR="000C008E" w:rsidRPr="00096407">
        <w:rPr>
          <w:rFonts w:cs="Arial"/>
          <w:szCs w:val="18"/>
        </w:rPr>
        <w:t xml:space="preserve">SEM images evidenced that the probiotic film presented agglomerates in all superficial extension and a </w:t>
      </w:r>
      <w:r w:rsidR="000C008E">
        <w:rPr>
          <w:rFonts w:cs="Arial"/>
          <w:szCs w:val="18"/>
        </w:rPr>
        <w:t>higher</w:t>
      </w:r>
      <w:r w:rsidR="000C008E" w:rsidRPr="00096407">
        <w:rPr>
          <w:rFonts w:cs="Arial"/>
          <w:szCs w:val="18"/>
        </w:rPr>
        <w:t xml:space="preserve"> number of orifices</w:t>
      </w:r>
      <w:r w:rsidR="000C008E">
        <w:rPr>
          <w:rFonts w:cs="Arial"/>
          <w:szCs w:val="18"/>
        </w:rPr>
        <w:t xml:space="preserve"> (Figure 2</w:t>
      </w:r>
      <w:r w:rsidR="000B6548">
        <w:rPr>
          <w:rFonts w:cs="Arial"/>
          <w:szCs w:val="18"/>
        </w:rPr>
        <w:t>B</w:t>
      </w:r>
      <w:r w:rsidR="000C008E">
        <w:rPr>
          <w:rFonts w:cs="Arial"/>
          <w:szCs w:val="18"/>
        </w:rPr>
        <w:t xml:space="preserve">). </w:t>
      </w:r>
      <w:r w:rsidR="002D5E28" w:rsidRPr="002D5E28">
        <w:rPr>
          <w:rFonts w:cs="Arial"/>
          <w:szCs w:val="18"/>
        </w:rPr>
        <w:t xml:space="preserve">The </w:t>
      </w:r>
      <w:r w:rsidR="002D5E28">
        <w:rPr>
          <w:rFonts w:cs="Arial"/>
          <w:szCs w:val="18"/>
        </w:rPr>
        <w:t>control</w:t>
      </w:r>
      <w:r w:rsidR="002D5E28" w:rsidRPr="002D5E28">
        <w:rPr>
          <w:rFonts w:cs="Arial"/>
          <w:szCs w:val="18"/>
        </w:rPr>
        <w:t xml:space="preserve"> film was uniform without the formation of </w:t>
      </w:r>
      <w:r w:rsidR="002D5E28">
        <w:rPr>
          <w:rFonts w:cs="Arial"/>
          <w:szCs w:val="18"/>
        </w:rPr>
        <w:t>agglomerate</w:t>
      </w:r>
      <w:r w:rsidR="000B6548">
        <w:rPr>
          <w:rFonts w:cs="Arial"/>
          <w:szCs w:val="18"/>
        </w:rPr>
        <w:t>s</w:t>
      </w:r>
      <w:r w:rsidR="002D5E28" w:rsidRPr="002D5E28">
        <w:rPr>
          <w:rFonts w:cs="Arial"/>
          <w:szCs w:val="18"/>
        </w:rPr>
        <w:t xml:space="preserve">, with a surface with small holes, </w:t>
      </w:r>
      <w:r w:rsidR="000B6548">
        <w:rPr>
          <w:rFonts w:cs="Arial"/>
          <w:szCs w:val="18"/>
        </w:rPr>
        <w:t xml:space="preserve">and with </w:t>
      </w:r>
      <w:r w:rsidR="002D5E28" w:rsidRPr="002D5E28">
        <w:rPr>
          <w:rFonts w:cs="Arial"/>
          <w:szCs w:val="18"/>
        </w:rPr>
        <w:t>regular and homogeneous</w:t>
      </w:r>
      <w:r w:rsidR="00845723">
        <w:rPr>
          <w:rFonts w:cs="Arial"/>
          <w:szCs w:val="18"/>
        </w:rPr>
        <w:t xml:space="preserve"> superficies</w:t>
      </w:r>
      <w:r w:rsidR="001D5218">
        <w:rPr>
          <w:rFonts w:cs="Arial"/>
          <w:szCs w:val="18"/>
        </w:rPr>
        <w:t xml:space="preserve"> (Figure 2A)</w:t>
      </w:r>
      <w:r w:rsidR="002D5E28">
        <w:rPr>
          <w:rFonts w:cs="Arial"/>
          <w:szCs w:val="18"/>
        </w:rPr>
        <w:t>.</w:t>
      </w:r>
    </w:p>
    <w:p w14:paraId="2CFD41D5" w14:textId="77777777" w:rsidR="002D5E28" w:rsidRPr="000C008E" w:rsidRDefault="002D5E28" w:rsidP="0054118A">
      <w:pPr>
        <w:pStyle w:val="CETBodytext"/>
        <w:rPr>
          <w:rFonts w:cs="Arial"/>
          <w:szCs w:val="18"/>
        </w:rPr>
      </w:pPr>
    </w:p>
    <w:p w14:paraId="2CFD41D6" w14:textId="77777777" w:rsidR="00270F27" w:rsidRDefault="00F865DC" w:rsidP="0054118A">
      <w:pPr>
        <w:pStyle w:val="CETBodytext"/>
      </w:pPr>
      <w:r>
        <w:lastRenderedPageBreak/>
        <w:t xml:space="preserve">            </w:t>
      </w:r>
      <w:r w:rsidR="00792591">
        <w:tab/>
      </w:r>
      <w:r>
        <w:t xml:space="preserve">    </w:t>
      </w:r>
      <w:r>
        <w:rPr>
          <w:noProof/>
          <w:lang w:val="pt-BR" w:eastAsia="pt-BR"/>
        </w:rPr>
        <w:drawing>
          <wp:inline distT="0" distB="0" distL="0" distR="0" wp14:anchorId="2CFD4274" wp14:editId="2CFD4275">
            <wp:extent cx="1295400" cy="1080778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98" cy="108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E78">
        <w:t xml:space="preserve">                         </w:t>
      </w:r>
      <w:r w:rsidR="00790EC7">
        <w:rPr>
          <w:noProof/>
          <w:lang w:val="pt-BR" w:eastAsia="pt-BR"/>
        </w:rPr>
        <w:drawing>
          <wp:inline distT="0" distB="0" distL="0" distR="0" wp14:anchorId="2CFD4276" wp14:editId="2CFD4277">
            <wp:extent cx="1177028" cy="1085850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041" cy="109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D41D7" w14:textId="77777777" w:rsidR="00736E78" w:rsidRDefault="00790EC7" w:rsidP="00790EC7">
      <w:pPr>
        <w:pStyle w:val="CETBodytext"/>
        <w:numPr>
          <w:ilvl w:val="0"/>
          <w:numId w:val="24"/>
        </w:numPr>
      </w:pPr>
      <w:r>
        <w:t xml:space="preserve">                                                            (B)</w:t>
      </w:r>
      <w:r w:rsidR="00736E78">
        <w:tab/>
      </w:r>
    </w:p>
    <w:p w14:paraId="2CFD41D8" w14:textId="77777777" w:rsidR="00F865DC" w:rsidRPr="00736E78" w:rsidRDefault="00947D3A" w:rsidP="0054118A">
      <w:pPr>
        <w:pStyle w:val="CETBodytext"/>
        <w:rPr>
          <w:i/>
        </w:rPr>
      </w:pPr>
      <w:r w:rsidRPr="00736E78">
        <w:rPr>
          <w:i/>
        </w:rPr>
        <w:t xml:space="preserve">Figure 1: </w:t>
      </w:r>
      <w:r w:rsidR="00736E78">
        <w:rPr>
          <w:i/>
        </w:rPr>
        <w:t>Visual appearance of the films. (A) Control</w:t>
      </w:r>
      <w:r w:rsidR="007A4801">
        <w:rPr>
          <w:i/>
        </w:rPr>
        <w:t xml:space="preserve"> film</w:t>
      </w:r>
      <w:r w:rsidR="00736E78">
        <w:rPr>
          <w:i/>
        </w:rPr>
        <w:t xml:space="preserve">, (B) with L. </w:t>
      </w:r>
      <w:proofErr w:type="spellStart"/>
      <w:r w:rsidR="00736E78">
        <w:rPr>
          <w:i/>
        </w:rPr>
        <w:t>casei</w:t>
      </w:r>
      <w:proofErr w:type="spellEnd"/>
    </w:p>
    <w:p w14:paraId="2CFD41D9" w14:textId="77777777" w:rsidR="00877911" w:rsidRDefault="00877911" w:rsidP="0054118A">
      <w:pPr>
        <w:pStyle w:val="CETBodytext"/>
      </w:pPr>
    </w:p>
    <w:p w14:paraId="2CFD41DA" w14:textId="77777777" w:rsidR="00877911" w:rsidRPr="006039CB" w:rsidRDefault="006577D6" w:rsidP="0054118A">
      <w:pPr>
        <w:pStyle w:val="CETBodytext"/>
        <w:rPr>
          <w:i/>
        </w:rPr>
      </w:pPr>
      <w:r w:rsidRPr="006577D6">
        <w:rPr>
          <w:i/>
        </w:rPr>
        <w:t xml:space="preserve">Table 1: </w:t>
      </w:r>
      <w:r>
        <w:rPr>
          <w:i/>
        </w:rPr>
        <w:t>Characteristics of the WPI films</w:t>
      </w:r>
    </w:p>
    <w:tbl>
      <w:tblPr>
        <w:tblW w:w="8746" w:type="dxa"/>
        <w:tblBorders>
          <w:top w:val="single" w:sz="12" w:space="0" w:color="008000"/>
          <w:bottom w:val="single" w:sz="12" w:space="0" w:color="008000"/>
        </w:tblBorders>
        <w:shd w:val="clear" w:color="auto" w:fill="FFFFFF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2572"/>
        <w:gridCol w:w="2630"/>
      </w:tblGrid>
      <w:tr w:rsidR="00BC66B1" w14:paraId="2CFD41DE" w14:textId="77777777" w:rsidTr="00C04572">
        <w:trPr>
          <w:trHeight w:val="282"/>
        </w:trPr>
        <w:tc>
          <w:tcPr>
            <w:tcW w:w="3544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shd w:val="clear" w:color="auto" w:fill="FFFFFF"/>
            <w:hideMark/>
          </w:tcPr>
          <w:p w14:paraId="2CFD41DB" w14:textId="77777777" w:rsidR="00BC66B1" w:rsidRDefault="00BC66B1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Parameter</w:t>
            </w:r>
          </w:p>
        </w:tc>
        <w:tc>
          <w:tcPr>
            <w:tcW w:w="2572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shd w:val="clear" w:color="auto" w:fill="FFFFFF"/>
            <w:hideMark/>
          </w:tcPr>
          <w:p w14:paraId="2CFD41DC" w14:textId="77777777" w:rsidR="00BC66B1" w:rsidRPr="0073029B" w:rsidRDefault="00BC66B1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Control</w:t>
            </w:r>
          </w:p>
        </w:tc>
        <w:tc>
          <w:tcPr>
            <w:tcW w:w="2630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shd w:val="clear" w:color="auto" w:fill="FFFFFF"/>
            <w:hideMark/>
          </w:tcPr>
          <w:p w14:paraId="2CFD41DD" w14:textId="77777777" w:rsidR="00BC66B1" w:rsidRDefault="00BC66B1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Probiotic</w:t>
            </w:r>
          </w:p>
        </w:tc>
      </w:tr>
      <w:tr w:rsidR="00BC66B1" w14:paraId="2CFD41E2" w14:textId="77777777" w:rsidTr="00C04572">
        <w:trPr>
          <w:trHeight w:val="28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FD41DF" w14:textId="77777777" w:rsidR="00BC66B1" w:rsidRPr="002F785E" w:rsidRDefault="00BC66B1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Density</w:t>
            </w:r>
            <w:r w:rsidR="002F785E">
              <w:rPr>
                <w:lang w:val="en-GB"/>
              </w:rPr>
              <w:t xml:space="preserve"> (g/cm</w:t>
            </w:r>
            <w:r w:rsidR="002F785E">
              <w:rPr>
                <w:vertAlign w:val="superscript"/>
                <w:lang w:val="en-GB"/>
              </w:rPr>
              <w:t>3</w:t>
            </w:r>
            <w:r w:rsidR="002F785E">
              <w:rPr>
                <w:lang w:val="en-GB"/>
              </w:rPr>
              <w:t>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1E0" w14:textId="77777777" w:rsidR="00BC66B1" w:rsidRPr="005C7F88" w:rsidRDefault="005C7F88">
            <w:pPr>
              <w:pStyle w:val="CETBodytext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1.27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0.0</w:t>
            </w:r>
            <w:r w:rsidR="0090533A">
              <w:rPr>
                <w:lang w:val="en-GB"/>
              </w:rPr>
              <w:t>7</w:t>
            </w:r>
            <w:r>
              <w:rPr>
                <w:vertAlign w:val="superscript"/>
                <w:lang w:val="en-GB"/>
              </w:rPr>
              <w:t>a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1E1" w14:textId="77777777" w:rsidR="00BC66B1" w:rsidRDefault="005C7F8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 xml:space="preserve">1.30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0.06</w:t>
            </w:r>
            <w:r>
              <w:rPr>
                <w:vertAlign w:val="superscript"/>
                <w:lang w:val="en-GB"/>
              </w:rPr>
              <w:t>a</w:t>
            </w:r>
          </w:p>
        </w:tc>
      </w:tr>
      <w:tr w:rsidR="00BC66B1" w14:paraId="2CFD41E6" w14:textId="77777777" w:rsidTr="00C04572">
        <w:trPr>
          <w:trHeight w:val="29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1E3" w14:textId="77777777" w:rsidR="00BC66B1" w:rsidRDefault="00BC66B1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Thickness</w:t>
            </w:r>
            <w:r w:rsidR="002F785E">
              <w:rPr>
                <w:rFonts w:cs="Arial"/>
                <w:szCs w:val="18"/>
                <w:lang w:val="en-GB"/>
              </w:rPr>
              <w:t xml:space="preserve"> (µm)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1E4" w14:textId="77777777" w:rsidR="00BC66B1" w:rsidRDefault="0090533A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 xml:space="preserve">13.15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1.63</w:t>
            </w:r>
            <w:r>
              <w:rPr>
                <w:vertAlign w:val="superscript"/>
                <w:lang w:val="en-GB"/>
              </w:rPr>
              <w:t>b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1E5" w14:textId="77777777" w:rsidR="00BC66B1" w:rsidRDefault="0090533A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 xml:space="preserve">16.18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1.28</w:t>
            </w:r>
            <w:r>
              <w:rPr>
                <w:vertAlign w:val="superscript"/>
                <w:lang w:val="en-GB"/>
              </w:rPr>
              <w:t>a</w:t>
            </w:r>
          </w:p>
        </w:tc>
      </w:tr>
      <w:tr w:rsidR="00BC66B1" w14:paraId="2CFD41EA" w14:textId="77777777" w:rsidTr="00C04572">
        <w:trPr>
          <w:trHeight w:val="29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1E7" w14:textId="77777777" w:rsidR="00BC66B1" w:rsidRPr="00427F92" w:rsidRDefault="002F78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 w:rsidRPr="00427F92">
              <w:rPr>
                <w:rFonts w:cs="Arial"/>
                <w:szCs w:val="18"/>
                <w:lang w:val="en-GB"/>
              </w:rPr>
              <w:t>WVP (</w:t>
            </w:r>
            <w:r w:rsidR="006F34BF" w:rsidRPr="003C0028">
              <w:rPr>
                <w:rFonts w:eastAsiaTheme="minorHAnsi" w:cs="Arial"/>
                <w:szCs w:val="18"/>
              </w:rPr>
              <w:t>g.mm/m</w:t>
            </w:r>
            <w:r w:rsidR="006F34BF" w:rsidRPr="003C0028">
              <w:rPr>
                <w:rFonts w:eastAsiaTheme="minorHAnsi" w:cs="Arial"/>
                <w:szCs w:val="18"/>
                <w:vertAlign w:val="superscript"/>
              </w:rPr>
              <w:t>2</w:t>
            </w:r>
            <w:r w:rsidR="006F34BF" w:rsidRPr="003C0028">
              <w:rPr>
                <w:rFonts w:eastAsiaTheme="minorHAnsi" w:cs="Arial"/>
                <w:szCs w:val="18"/>
              </w:rPr>
              <w:t>.d.kPa)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1E8" w14:textId="77777777" w:rsidR="00BC66B1" w:rsidRDefault="0090533A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 xml:space="preserve">0.28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0.05</w:t>
            </w:r>
            <w:r>
              <w:rPr>
                <w:vertAlign w:val="superscript"/>
                <w:lang w:val="en-GB"/>
              </w:rPr>
              <w:t>b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1E9" w14:textId="77777777" w:rsidR="00BC66B1" w:rsidRDefault="0090533A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 xml:space="preserve">0.35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0.09</w:t>
            </w:r>
            <w:r>
              <w:rPr>
                <w:vertAlign w:val="superscript"/>
                <w:lang w:val="en-GB"/>
              </w:rPr>
              <w:t>a</w:t>
            </w:r>
          </w:p>
        </w:tc>
      </w:tr>
      <w:tr w:rsidR="006F34BF" w14:paraId="2CFD41EE" w14:textId="77777777" w:rsidTr="00C04572">
        <w:trPr>
          <w:trHeight w:val="29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1EB" w14:textId="77777777" w:rsidR="006F34BF" w:rsidRDefault="005919E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WS (%)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1EC" w14:textId="77777777" w:rsidR="006F34BF" w:rsidRDefault="0090533A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 xml:space="preserve">34.77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3.82</w:t>
            </w:r>
            <w:r>
              <w:rPr>
                <w:vertAlign w:val="superscript"/>
                <w:lang w:val="en-GB"/>
              </w:rPr>
              <w:t>b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1ED" w14:textId="77777777" w:rsidR="006F34BF" w:rsidRDefault="0090533A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>4</w:t>
            </w:r>
            <w:r w:rsidR="006C483A">
              <w:rPr>
                <w:lang w:val="en-GB"/>
              </w:rPr>
              <w:t>2</w:t>
            </w:r>
            <w:r>
              <w:rPr>
                <w:lang w:val="en-GB"/>
              </w:rPr>
              <w:t xml:space="preserve">.77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</w:t>
            </w:r>
            <w:r w:rsidR="006C483A">
              <w:rPr>
                <w:lang w:val="en-GB"/>
              </w:rPr>
              <w:t>1</w:t>
            </w:r>
            <w:r>
              <w:rPr>
                <w:lang w:val="en-GB"/>
              </w:rPr>
              <w:t>.</w:t>
            </w:r>
            <w:r w:rsidR="006C483A">
              <w:rPr>
                <w:lang w:val="en-GB"/>
              </w:rPr>
              <w:t>92</w:t>
            </w:r>
            <w:r w:rsidR="002D01E5">
              <w:rPr>
                <w:vertAlign w:val="superscript"/>
                <w:lang w:val="en-GB"/>
              </w:rPr>
              <w:t>a</w:t>
            </w:r>
          </w:p>
        </w:tc>
      </w:tr>
      <w:tr w:rsidR="005919E8" w14:paraId="2CFD41F2" w14:textId="77777777" w:rsidTr="00C04572">
        <w:trPr>
          <w:trHeight w:val="29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1EF" w14:textId="77777777" w:rsidR="005919E8" w:rsidRDefault="00D41F66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TS</w:t>
            </w:r>
            <w:r w:rsidR="005C7F88">
              <w:rPr>
                <w:rFonts w:cs="Arial"/>
                <w:szCs w:val="18"/>
                <w:lang w:val="en-GB"/>
              </w:rPr>
              <w:t xml:space="preserve"> (N)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1F0" w14:textId="77777777" w:rsidR="005919E8" w:rsidRDefault="002D01E5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 xml:space="preserve">12.60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2.28</w:t>
            </w:r>
            <w:r>
              <w:rPr>
                <w:vertAlign w:val="superscript"/>
                <w:lang w:val="en-GB"/>
              </w:rPr>
              <w:t>b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1F1" w14:textId="77777777" w:rsidR="005919E8" w:rsidRDefault="002D01E5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 xml:space="preserve">23.34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2.99</w:t>
            </w:r>
            <w:r>
              <w:rPr>
                <w:vertAlign w:val="superscript"/>
                <w:lang w:val="en-GB"/>
              </w:rPr>
              <w:t>a</w:t>
            </w:r>
          </w:p>
        </w:tc>
      </w:tr>
      <w:tr w:rsidR="00D41F66" w14:paraId="2CFD41F6" w14:textId="77777777" w:rsidTr="00C04572">
        <w:trPr>
          <w:trHeight w:val="299"/>
        </w:trPr>
        <w:tc>
          <w:tcPr>
            <w:tcW w:w="3544" w:type="dxa"/>
            <w:tcBorders>
              <w:top w:val="nil"/>
              <w:left w:val="nil"/>
              <w:bottom w:val="single" w:sz="12" w:space="0" w:color="008000"/>
              <w:right w:val="nil"/>
            </w:tcBorders>
            <w:shd w:val="clear" w:color="auto" w:fill="FFFFFF"/>
          </w:tcPr>
          <w:p w14:paraId="2CFD41F3" w14:textId="77777777" w:rsidR="00D41F66" w:rsidRDefault="00A63B13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%E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12" w:space="0" w:color="008000"/>
              <w:right w:val="nil"/>
            </w:tcBorders>
            <w:shd w:val="clear" w:color="auto" w:fill="FFFFFF"/>
          </w:tcPr>
          <w:p w14:paraId="2CFD41F4" w14:textId="77777777" w:rsidR="00D41F66" w:rsidRDefault="002D01E5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 xml:space="preserve">45.38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</w:t>
            </w:r>
            <w:r w:rsidRPr="003C0028">
              <w:rPr>
                <w:lang w:val="en-GB"/>
              </w:rPr>
              <w:t>12.06</w:t>
            </w:r>
            <w:r w:rsidRPr="003C0028">
              <w:rPr>
                <w:vertAlign w:val="superscript"/>
                <w:lang w:val="en-GB"/>
              </w:rPr>
              <w:t>a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008000"/>
              <w:right w:val="nil"/>
            </w:tcBorders>
            <w:shd w:val="clear" w:color="auto" w:fill="FFFFFF"/>
          </w:tcPr>
          <w:p w14:paraId="2CFD41F5" w14:textId="77777777" w:rsidR="00D41F66" w:rsidRDefault="002D01E5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 xml:space="preserve">5.27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</w:t>
            </w:r>
            <w:r w:rsidR="00D25034">
              <w:rPr>
                <w:lang w:val="en-GB"/>
              </w:rPr>
              <w:t>2</w:t>
            </w:r>
            <w:r>
              <w:rPr>
                <w:lang w:val="en-GB"/>
              </w:rPr>
              <w:t>.34</w:t>
            </w:r>
            <w:r>
              <w:rPr>
                <w:vertAlign w:val="superscript"/>
                <w:lang w:val="en-GB"/>
              </w:rPr>
              <w:t>b</w:t>
            </w:r>
          </w:p>
        </w:tc>
      </w:tr>
    </w:tbl>
    <w:p w14:paraId="2CFD41F7" w14:textId="77777777" w:rsidR="00FF2F50" w:rsidRPr="000C008E" w:rsidRDefault="00C04572" w:rsidP="004D71A9">
      <w:pPr>
        <w:pStyle w:val="CETBodytext"/>
      </w:pPr>
      <w:r>
        <w:rPr>
          <w:lang w:val="en-GB"/>
        </w:rPr>
        <w:t>WVP (water vapor permeation</w:t>
      </w:r>
      <w:r w:rsidR="005C7F88">
        <w:rPr>
          <w:lang w:val="en-GB"/>
        </w:rPr>
        <w:t>, n=</w:t>
      </w:r>
      <w:r w:rsidR="00924FD9">
        <w:rPr>
          <w:lang w:val="en-GB"/>
        </w:rPr>
        <w:t>3</w:t>
      </w:r>
      <w:r>
        <w:rPr>
          <w:lang w:val="en-GB"/>
        </w:rPr>
        <w:t>), WS (water solubility</w:t>
      </w:r>
      <w:r w:rsidR="005C7F88">
        <w:rPr>
          <w:lang w:val="en-GB"/>
        </w:rPr>
        <w:t>, n=</w:t>
      </w:r>
      <w:r w:rsidR="00924FD9">
        <w:rPr>
          <w:lang w:val="en-GB"/>
        </w:rPr>
        <w:t>3</w:t>
      </w:r>
      <w:r>
        <w:rPr>
          <w:lang w:val="en-GB"/>
        </w:rPr>
        <w:t>), TS (</w:t>
      </w:r>
      <w:r>
        <w:t>t</w:t>
      </w:r>
      <w:r w:rsidRPr="002829EA">
        <w:t>ensile strength</w:t>
      </w:r>
      <w:r w:rsidR="005C7F88">
        <w:t>, n=</w:t>
      </w:r>
      <w:r w:rsidR="00924FD9">
        <w:t>1</w:t>
      </w:r>
      <w:r w:rsidR="005C7F88">
        <w:t>0</w:t>
      </w:r>
      <w:r>
        <w:t>), %E (</w:t>
      </w:r>
      <w:r w:rsidRPr="002829EA">
        <w:t>elongation</w:t>
      </w:r>
      <w:r>
        <w:t xml:space="preserve"> at break</w:t>
      </w:r>
      <w:r w:rsidR="005C7F88">
        <w:t>, n=</w:t>
      </w:r>
      <w:r w:rsidR="00924FD9">
        <w:t>1</w:t>
      </w:r>
      <w:r w:rsidR="005C7F88">
        <w:t>0</w:t>
      </w:r>
      <w:r>
        <w:t>)</w:t>
      </w:r>
      <w:r w:rsidR="00C43C8B">
        <w:t>, Thickness (n</w:t>
      </w:r>
      <w:r w:rsidR="00924FD9">
        <w:t>=1</w:t>
      </w:r>
      <w:r w:rsidR="00C43C8B">
        <w:t>5)</w:t>
      </w:r>
      <w:r w:rsidR="00A53077">
        <w:t>, Density (n=</w:t>
      </w:r>
      <w:r w:rsidR="00924FD9">
        <w:t>1</w:t>
      </w:r>
      <w:r w:rsidR="00A53077">
        <w:t>0).</w:t>
      </w:r>
      <w:r w:rsidR="000972FD">
        <w:t xml:space="preserve"> Mean </w:t>
      </w:r>
      <w:r w:rsidR="000972FD">
        <w:rPr>
          <w:rFonts w:cs="Arial"/>
        </w:rPr>
        <w:t>±</w:t>
      </w:r>
      <w:r w:rsidR="000972FD">
        <w:t xml:space="preserve"> standard deviation with different </w:t>
      </w:r>
      <w:r w:rsidR="00F33769">
        <w:t xml:space="preserve">letters in the same row indicates significant differences (p </w:t>
      </w:r>
      <w:r w:rsidR="00F33769">
        <w:rPr>
          <w:rFonts w:cs="Arial"/>
        </w:rPr>
        <w:t xml:space="preserve">≤ 0.05) among control and probiotic films. </w:t>
      </w:r>
      <w:r w:rsidR="004D71A9" w:rsidRPr="006F34BF">
        <w:rPr>
          <w:lang w:val="en-GB"/>
        </w:rPr>
        <w:tab/>
      </w:r>
    </w:p>
    <w:p w14:paraId="2CFD41F8" w14:textId="77777777" w:rsidR="00017F81" w:rsidRDefault="00017F81" w:rsidP="004D71A9">
      <w:pPr>
        <w:pStyle w:val="CETBodytext"/>
        <w:rPr>
          <w:lang w:val="en-GB"/>
        </w:rPr>
      </w:pPr>
    </w:p>
    <w:p w14:paraId="2CFD41F9" w14:textId="77777777" w:rsidR="00017F81" w:rsidRDefault="00ED25F9" w:rsidP="004D71A9">
      <w:pPr>
        <w:pStyle w:val="CETBodytext"/>
        <w:rPr>
          <w:lang w:val="en-GB"/>
        </w:rPr>
      </w:pPr>
      <w:r>
        <w:rPr>
          <w:lang w:val="en-GB"/>
        </w:rPr>
        <w:tab/>
      </w:r>
      <w:r w:rsidR="007E0721" w:rsidRPr="00105C9B">
        <w:rPr>
          <w:rFonts w:eastAsiaTheme="minorHAnsi" w:cs="Arial"/>
          <w:noProof/>
          <w:sz w:val="20"/>
          <w:szCs w:val="22"/>
          <w:lang w:val="pt-BR" w:eastAsia="pt-BR"/>
        </w:rPr>
        <w:drawing>
          <wp:inline distT="0" distB="0" distL="0" distR="0" wp14:anchorId="2CFD4278" wp14:editId="2CFD4279">
            <wp:extent cx="1857375" cy="1600781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drao_S_12kx_002.t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07"/>
                    <a:stretch/>
                  </pic:blipFill>
                  <pic:spPr bwMode="auto">
                    <a:xfrm>
                      <a:off x="0" y="0"/>
                      <a:ext cx="1861067" cy="1603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</w:t>
      </w:r>
      <w:r w:rsidRPr="00105C9B">
        <w:rPr>
          <w:rFonts w:eastAsiaTheme="minorHAnsi" w:cs="Arial"/>
          <w:noProof/>
          <w:sz w:val="20"/>
          <w:szCs w:val="22"/>
          <w:lang w:val="pt-BR" w:eastAsia="pt-BR"/>
        </w:rPr>
        <w:drawing>
          <wp:inline distT="0" distB="0" distL="0" distR="0" wp14:anchorId="2CFD427A" wp14:editId="2CFD427B">
            <wp:extent cx="1833562" cy="158496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ei_S_12kx_004.tif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28"/>
                    <a:stretch/>
                  </pic:blipFill>
                  <pic:spPr bwMode="auto">
                    <a:xfrm>
                      <a:off x="0" y="0"/>
                      <a:ext cx="1847105" cy="1596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FD41FA" w14:textId="77777777" w:rsidR="00ED25F9" w:rsidRDefault="00B73989" w:rsidP="00B73989">
      <w:pPr>
        <w:pStyle w:val="CETBodytext"/>
        <w:numPr>
          <w:ilvl w:val="0"/>
          <w:numId w:val="26"/>
        </w:numPr>
      </w:pPr>
      <w:r>
        <w:t xml:space="preserve">                                                         (B)</w:t>
      </w:r>
      <w:r w:rsidR="00ED25F9">
        <w:tab/>
      </w:r>
    </w:p>
    <w:p w14:paraId="2CFD41FB" w14:textId="77777777" w:rsidR="00ED25F9" w:rsidRPr="00736E78" w:rsidRDefault="00ED25F9" w:rsidP="00ED25F9">
      <w:pPr>
        <w:pStyle w:val="CETBodytext"/>
        <w:rPr>
          <w:i/>
        </w:rPr>
      </w:pPr>
      <w:r w:rsidRPr="00736E78">
        <w:rPr>
          <w:i/>
        </w:rPr>
        <w:t xml:space="preserve">Figure </w:t>
      </w:r>
      <w:r>
        <w:rPr>
          <w:i/>
        </w:rPr>
        <w:t>2</w:t>
      </w:r>
      <w:r w:rsidRPr="00736E78">
        <w:rPr>
          <w:i/>
        </w:rPr>
        <w:t xml:space="preserve">: </w:t>
      </w:r>
      <w:r>
        <w:rPr>
          <w:i/>
        </w:rPr>
        <w:t>SEM of the films. (A) Control</w:t>
      </w:r>
      <w:r w:rsidR="007A4801">
        <w:rPr>
          <w:i/>
        </w:rPr>
        <w:t xml:space="preserve"> film</w:t>
      </w:r>
      <w:r>
        <w:rPr>
          <w:i/>
        </w:rPr>
        <w:t xml:space="preserve">, (B) with L. </w:t>
      </w:r>
      <w:proofErr w:type="spellStart"/>
      <w:r>
        <w:rPr>
          <w:i/>
        </w:rPr>
        <w:t>casei</w:t>
      </w:r>
      <w:proofErr w:type="spellEnd"/>
      <w:r w:rsidR="009D0FFF">
        <w:rPr>
          <w:i/>
        </w:rPr>
        <w:t xml:space="preserve"> (12000 x of magnification) </w:t>
      </w:r>
    </w:p>
    <w:p w14:paraId="2CFD41FC" w14:textId="77777777" w:rsidR="000972FD" w:rsidRPr="00ED25F9" w:rsidRDefault="000972FD" w:rsidP="004D71A9">
      <w:pPr>
        <w:pStyle w:val="CETBodytext"/>
      </w:pPr>
    </w:p>
    <w:p w14:paraId="2CFD41FD" w14:textId="77777777" w:rsidR="00B73989" w:rsidRPr="00C03516" w:rsidRDefault="00C03516" w:rsidP="006E16F5">
      <w:pPr>
        <w:pStyle w:val="CETAcknowledgementstitle"/>
        <w:jc w:val="both"/>
        <w:rPr>
          <w:b w:val="0"/>
          <w:color w:val="000000" w:themeColor="text1"/>
          <w:lang w:val="en-US"/>
        </w:rPr>
      </w:pPr>
      <w:r w:rsidRPr="00C03516">
        <w:rPr>
          <w:b w:val="0"/>
          <w:color w:val="000000" w:themeColor="text1"/>
          <w:lang w:val="en-US"/>
        </w:rPr>
        <w:t>The spectrum of</w:t>
      </w:r>
      <w:r>
        <w:rPr>
          <w:b w:val="0"/>
          <w:color w:val="000000" w:themeColor="text1"/>
          <w:lang w:val="en-US"/>
        </w:rPr>
        <w:t xml:space="preserve"> the</w:t>
      </w:r>
      <w:r w:rsidRPr="00C03516">
        <w:rPr>
          <w:b w:val="0"/>
          <w:color w:val="000000" w:themeColor="text1"/>
          <w:lang w:val="en-US"/>
        </w:rPr>
        <w:t xml:space="preserve"> film</w:t>
      </w:r>
      <w:r>
        <w:rPr>
          <w:b w:val="0"/>
          <w:color w:val="000000" w:themeColor="text1"/>
          <w:lang w:val="en-US"/>
        </w:rPr>
        <w:t>s</w:t>
      </w:r>
      <w:r w:rsidRPr="00C03516">
        <w:rPr>
          <w:b w:val="0"/>
          <w:color w:val="000000" w:themeColor="text1"/>
          <w:lang w:val="en-US"/>
        </w:rPr>
        <w:t xml:space="preserve"> </w:t>
      </w:r>
      <w:r w:rsidR="00AE78F9">
        <w:rPr>
          <w:b w:val="0"/>
          <w:color w:val="000000" w:themeColor="text1"/>
          <w:lang w:val="en-US"/>
        </w:rPr>
        <w:t>is</w:t>
      </w:r>
      <w:r w:rsidRPr="00C03516">
        <w:rPr>
          <w:b w:val="0"/>
          <w:color w:val="000000" w:themeColor="text1"/>
          <w:lang w:val="en-US"/>
        </w:rPr>
        <w:t xml:space="preserve"> shown in Figure </w:t>
      </w:r>
      <w:r>
        <w:rPr>
          <w:b w:val="0"/>
          <w:color w:val="000000" w:themeColor="text1"/>
          <w:lang w:val="en-US"/>
        </w:rPr>
        <w:t>3</w:t>
      </w:r>
      <w:r w:rsidR="00AE78F9">
        <w:rPr>
          <w:b w:val="0"/>
          <w:color w:val="000000" w:themeColor="text1"/>
          <w:lang w:val="en-US"/>
        </w:rPr>
        <w:t xml:space="preserve">. </w:t>
      </w:r>
      <w:r w:rsidR="00AE78F9" w:rsidRPr="00AE78F9">
        <w:rPr>
          <w:rFonts w:cs="Arial"/>
          <w:b w:val="0"/>
          <w:szCs w:val="18"/>
        </w:rPr>
        <w:t>Characteristic bands of the N-H bonds</w:t>
      </w:r>
      <w:r w:rsidR="0043011F">
        <w:rPr>
          <w:rFonts w:cs="Arial"/>
          <w:b w:val="0"/>
          <w:szCs w:val="18"/>
        </w:rPr>
        <w:t xml:space="preserve"> related to </w:t>
      </w:r>
      <w:r w:rsidR="00AE78F9" w:rsidRPr="00AE78F9">
        <w:rPr>
          <w:rFonts w:cs="Arial"/>
          <w:b w:val="0"/>
          <w:szCs w:val="18"/>
        </w:rPr>
        <w:t>protein structure</w:t>
      </w:r>
      <w:r w:rsidR="0043011F">
        <w:rPr>
          <w:rFonts w:cs="Arial"/>
          <w:b w:val="0"/>
          <w:szCs w:val="18"/>
        </w:rPr>
        <w:t>s</w:t>
      </w:r>
      <w:r w:rsidR="00AE78F9" w:rsidRPr="00AE78F9">
        <w:rPr>
          <w:rFonts w:cs="Arial"/>
          <w:b w:val="0"/>
          <w:szCs w:val="18"/>
        </w:rPr>
        <w:t>, the amide bonds (1640 to 1560 cm</w:t>
      </w:r>
      <w:r w:rsidR="00AE78F9" w:rsidRPr="00AE78F9">
        <w:rPr>
          <w:rFonts w:cs="Arial"/>
          <w:b w:val="0"/>
          <w:szCs w:val="18"/>
          <w:vertAlign w:val="superscript"/>
        </w:rPr>
        <w:t xml:space="preserve"> -1</w:t>
      </w:r>
      <w:r w:rsidR="00AE78F9" w:rsidRPr="00AE78F9">
        <w:rPr>
          <w:rFonts w:cs="Arial"/>
          <w:b w:val="0"/>
          <w:szCs w:val="18"/>
        </w:rPr>
        <w:t>) and the C = O and C-N bands were observed</w:t>
      </w:r>
      <w:r w:rsidR="00AE78F9">
        <w:rPr>
          <w:rFonts w:cs="Arial"/>
          <w:b w:val="0"/>
          <w:szCs w:val="18"/>
        </w:rPr>
        <w:t xml:space="preserve"> in both films. </w:t>
      </w:r>
    </w:p>
    <w:p w14:paraId="2CFD41FE" w14:textId="77777777" w:rsidR="000A0C92" w:rsidRDefault="00116B69" w:rsidP="00C55343">
      <w:pPr>
        <w:pStyle w:val="CETBodytext"/>
        <w:jc w:val="center"/>
      </w:pPr>
      <w:r>
        <w:rPr>
          <w:noProof/>
          <w:lang w:val="pt-BR" w:eastAsia="pt-BR"/>
        </w:rPr>
        <w:drawing>
          <wp:inline distT="0" distB="0" distL="0" distR="0" wp14:anchorId="2CFD427C" wp14:editId="2CFD427D">
            <wp:extent cx="4724400" cy="2048028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183" cy="205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D41FF" w14:textId="77777777" w:rsidR="009627A8" w:rsidRPr="006C0F36" w:rsidRDefault="000A0C92" w:rsidP="00B73989">
      <w:pPr>
        <w:pStyle w:val="CETBodytext"/>
        <w:rPr>
          <w:i/>
        </w:rPr>
      </w:pPr>
      <w:r w:rsidRPr="00736E78">
        <w:rPr>
          <w:i/>
        </w:rPr>
        <w:t xml:space="preserve">Figure </w:t>
      </w:r>
      <w:r>
        <w:rPr>
          <w:i/>
        </w:rPr>
        <w:t>3</w:t>
      </w:r>
      <w:r w:rsidRPr="00736E78">
        <w:rPr>
          <w:i/>
        </w:rPr>
        <w:t xml:space="preserve">: </w:t>
      </w:r>
      <w:r w:rsidR="00146BD8" w:rsidRPr="009627A8">
        <w:rPr>
          <w:i/>
        </w:rPr>
        <w:t>Attenuated total reﬂection-Fourier transform infrared spectroscopy (ATR-FTIR) spectra of the films</w:t>
      </w:r>
      <w:r w:rsidR="009627A8" w:rsidRPr="009627A8">
        <w:rPr>
          <w:i/>
        </w:rPr>
        <w:t xml:space="preserve"> (400–4000 cm</w:t>
      </w:r>
      <w:r w:rsidR="009627A8" w:rsidRPr="009627A8">
        <w:rPr>
          <w:i/>
          <w:vertAlign w:val="superscript"/>
        </w:rPr>
        <w:t>−1</w:t>
      </w:r>
      <w:r w:rsidR="009627A8" w:rsidRPr="009627A8">
        <w:rPr>
          <w:i/>
        </w:rPr>
        <w:t>)</w:t>
      </w:r>
      <w:r w:rsidR="00CD5283">
        <w:rPr>
          <w:i/>
        </w:rPr>
        <w:t>. Black: control film. Red: probiotic film.</w:t>
      </w:r>
    </w:p>
    <w:p w14:paraId="2CFD4200" w14:textId="77777777" w:rsidR="000C008E" w:rsidRDefault="00A52681" w:rsidP="00B73989">
      <w:pPr>
        <w:pStyle w:val="CETBodytext"/>
      </w:pPr>
      <w:r>
        <w:lastRenderedPageBreak/>
        <w:t>The probiotic viability</w:t>
      </w:r>
      <w:r w:rsidR="004725CB">
        <w:t xml:space="preserve"> in the films</w:t>
      </w:r>
      <w:r>
        <w:t xml:space="preserve"> </w:t>
      </w:r>
      <w:r w:rsidR="002800F0">
        <w:t>is presented in Figure 4.</w:t>
      </w:r>
      <w:r w:rsidR="00D11017">
        <w:t xml:space="preserve"> </w:t>
      </w:r>
      <w:r w:rsidR="00193A4D">
        <w:rPr>
          <w:rFonts w:cs="Arial"/>
          <w:szCs w:val="18"/>
        </w:rPr>
        <w:t>T</w:t>
      </w:r>
      <w:r w:rsidR="000A33EB" w:rsidRPr="00096407">
        <w:rPr>
          <w:rFonts w:cs="Arial"/>
          <w:szCs w:val="18"/>
        </w:rPr>
        <w:t xml:space="preserve">he </w:t>
      </w:r>
      <w:r w:rsidR="000A33EB" w:rsidRPr="00096407">
        <w:rPr>
          <w:rFonts w:cs="Arial"/>
          <w:i/>
          <w:szCs w:val="18"/>
        </w:rPr>
        <w:t xml:space="preserve">L. </w:t>
      </w:r>
      <w:proofErr w:type="spellStart"/>
      <w:r w:rsidR="000A33EB" w:rsidRPr="00096407">
        <w:rPr>
          <w:rFonts w:cs="Arial"/>
          <w:i/>
          <w:szCs w:val="18"/>
        </w:rPr>
        <w:t>casei</w:t>
      </w:r>
      <w:proofErr w:type="spellEnd"/>
      <w:r w:rsidR="000A33EB" w:rsidRPr="00096407">
        <w:rPr>
          <w:rFonts w:cs="Arial"/>
          <w:szCs w:val="18"/>
        </w:rPr>
        <w:t xml:space="preserve"> remained viable (5.70 to 7.77 log </w:t>
      </w:r>
      <w:proofErr w:type="spellStart"/>
      <w:r w:rsidR="000A33EB" w:rsidRPr="00096407">
        <w:rPr>
          <w:rFonts w:cs="Arial"/>
          <w:szCs w:val="18"/>
        </w:rPr>
        <w:t>cfu</w:t>
      </w:r>
      <w:proofErr w:type="spellEnd"/>
      <w:r w:rsidR="000A33EB" w:rsidRPr="00096407">
        <w:rPr>
          <w:rFonts w:cs="Arial"/>
          <w:szCs w:val="18"/>
        </w:rPr>
        <w:t>/g) throughout the storage period</w:t>
      </w:r>
      <w:r w:rsidR="000A33EB">
        <w:rPr>
          <w:rFonts w:cs="Arial"/>
          <w:szCs w:val="18"/>
        </w:rPr>
        <w:t xml:space="preserve"> of the films (25 </w:t>
      </w:r>
      <w:proofErr w:type="spellStart"/>
      <w:r w:rsidR="000A33EB">
        <w:rPr>
          <w:rFonts w:cs="Arial"/>
          <w:szCs w:val="18"/>
          <w:vertAlign w:val="superscript"/>
        </w:rPr>
        <w:t>o</w:t>
      </w:r>
      <w:r w:rsidR="000A33EB">
        <w:rPr>
          <w:rFonts w:cs="Arial"/>
          <w:szCs w:val="18"/>
        </w:rPr>
        <w:t>C</w:t>
      </w:r>
      <w:proofErr w:type="spellEnd"/>
      <w:r w:rsidR="000A33EB">
        <w:rPr>
          <w:rFonts w:cs="Arial"/>
          <w:szCs w:val="18"/>
        </w:rPr>
        <w:t>/28 days)</w:t>
      </w:r>
      <w:r w:rsidR="000A33EB" w:rsidRPr="00096407">
        <w:rPr>
          <w:rFonts w:cs="Arial"/>
          <w:szCs w:val="18"/>
        </w:rPr>
        <w:t xml:space="preserve">, however, recommended counts (&gt; 6 log </w:t>
      </w:r>
      <w:proofErr w:type="spellStart"/>
      <w:r w:rsidR="000A33EB" w:rsidRPr="00096407">
        <w:rPr>
          <w:rFonts w:cs="Arial"/>
          <w:szCs w:val="18"/>
        </w:rPr>
        <w:t>cfu</w:t>
      </w:r>
      <w:proofErr w:type="spellEnd"/>
      <w:r w:rsidR="000A33EB" w:rsidRPr="00096407">
        <w:rPr>
          <w:rFonts w:cs="Arial"/>
          <w:szCs w:val="18"/>
        </w:rPr>
        <w:t>/g) were observed up to the 14</w:t>
      </w:r>
      <w:r w:rsidR="000A33EB" w:rsidRPr="00096407">
        <w:rPr>
          <w:rFonts w:cs="Arial"/>
          <w:szCs w:val="18"/>
          <w:vertAlign w:val="superscript"/>
        </w:rPr>
        <w:t>th</w:t>
      </w:r>
      <w:r w:rsidR="000A33EB" w:rsidRPr="00096407">
        <w:rPr>
          <w:rFonts w:cs="Arial"/>
          <w:szCs w:val="18"/>
        </w:rPr>
        <w:t xml:space="preserve"> day</w:t>
      </w:r>
      <w:r w:rsidR="00561C08">
        <w:rPr>
          <w:rFonts w:cs="Arial"/>
          <w:szCs w:val="18"/>
        </w:rPr>
        <w:t xml:space="preserve">. </w:t>
      </w:r>
      <w:r w:rsidR="006C054E" w:rsidRPr="006C054E">
        <w:rPr>
          <w:rFonts w:cs="Arial"/>
          <w:szCs w:val="18"/>
        </w:rPr>
        <w:t>Loss of viability can be attributed to the stress environment caused by the storage at room temperature and the drying process of the films</w:t>
      </w:r>
      <w:r w:rsidR="000F0CA3">
        <w:rPr>
          <w:rFonts w:cs="Arial"/>
          <w:szCs w:val="18"/>
        </w:rPr>
        <w:t>.</w:t>
      </w:r>
    </w:p>
    <w:p w14:paraId="2CFD4201" w14:textId="77777777" w:rsidR="002800F0" w:rsidRDefault="002800F0" w:rsidP="00B73989">
      <w:pPr>
        <w:pStyle w:val="CETBodytext"/>
      </w:pPr>
    </w:p>
    <w:p w14:paraId="2CFD4202" w14:textId="77777777" w:rsidR="002800F0" w:rsidRDefault="00820DDE" w:rsidP="00724323">
      <w:pPr>
        <w:pStyle w:val="CETBodytext"/>
        <w:jc w:val="center"/>
      </w:pPr>
      <w:r>
        <w:rPr>
          <w:noProof/>
          <w:lang w:val="pt-BR" w:eastAsia="pt-BR"/>
        </w:rPr>
        <w:drawing>
          <wp:inline distT="0" distB="0" distL="0" distR="0" wp14:anchorId="2CFD427E" wp14:editId="2CFD427F">
            <wp:extent cx="4371110" cy="1925782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4D10FCE0-5D97-473C-BD35-11D1F74B95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CFD4203" w14:textId="77777777" w:rsidR="00724323" w:rsidRDefault="00724323" w:rsidP="00724323">
      <w:pPr>
        <w:pStyle w:val="CETBodytext"/>
        <w:rPr>
          <w:i/>
        </w:rPr>
      </w:pPr>
      <w:r w:rsidRPr="00736E78">
        <w:rPr>
          <w:i/>
        </w:rPr>
        <w:t xml:space="preserve">Figure </w:t>
      </w:r>
      <w:r w:rsidR="000A33EB">
        <w:rPr>
          <w:i/>
        </w:rPr>
        <w:t>4</w:t>
      </w:r>
      <w:r w:rsidRPr="00736E78">
        <w:rPr>
          <w:i/>
        </w:rPr>
        <w:t xml:space="preserve">: </w:t>
      </w:r>
      <w:r>
        <w:rPr>
          <w:i/>
        </w:rPr>
        <w:t xml:space="preserve">L. </w:t>
      </w:r>
      <w:proofErr w:type="spellStart"/>
      <w:r>
        <w:rPr>
          <w:i/>
        </w:rPr>
        <w:t>casei</w:t>
      </w:r>
      <w:proofErr w:type="spellEnd"/>
      <w:r>
        <w:rPr>
          <w:i/>
        </w:rPr>
        <w:t xml:space="preserve"> viability during storage of the films (25 </w:t>
      </w:r>
      <w:proofErr w:type="spellStart"/>
      <w:r>
        <w:rPr>
          <w:i/>
          <w:vertAlign w:val="superscript"/>
        </w:rPr>
        <w:t>o</w:t>
      </w:r>
      <w:r>
        <w:rPr>
          <w:i/>
        </w:rPr>
        <w:t>C</w:t>
      </w:r>
      <w:proofErr w:type="spellEnd"/>
      <w:r>
        <w:rPr>
          <w:i/>
        </w:rPr>
        <w:t>) for 28 days.</w:t>
      </w:r>
    </w:p>
    <w:p w14:paraId="2CFD4204" w14:textId="77777777" w:rsidR="00724323" w:rsidRDefault="00724323" w:rsidP="00724323">
      <w:pPr>
        <w:pStyle w:val="CETBodytext"/>
        <w:rPr>
          <w:i/>
        </w:rPr>
      </w:pPr>
    </w:p>
    <w:p w14:paraId="2CFD4205" w14:textId="77777777" w:rsidR="003B1CBD" w:rsidRDefault="003B1CBD" w:rsidP="003B1CBD">
      <w:pPr>
        <w:pStyle w:val="CETBodytext"/>
      </w:pPr>
      <w:r>
        <w:t>Tomatoes and grapes storage stability</w:t>
      </w:r>
    </w:p>
    <w:p w14:paraId="2CFD4206" w14:textId="77777777" w:rsidR="003B1CBD" w:rsidRDefault="00C11FAB" w:rsidP="003B1CBD">
      <w:pPr>
        <w:pStyle w:val="CETBodytext"/>
      </w:pPr>
      <w:r>
        <w:t>The characteristics of the fruits are presented in Table 2.</w:t>
      </w:r>
    </w:p>
    <w:p w14:paraId="2CFD4207" w14:textId="77777777" w:rsidR="00D17B13" w:rsidRDefault="00D17B13" w:rsidP="003B1CBD">
      <w:pPr>
        <w:pStyle w:val="CETBodytext"/>
      </w:pPr>
    </w:p>
    <w:p w14:paraId="2CFD4208" w14:textId="77777777" w:rsidR="00D17B13" w:rsidRPr="00D17B13" w:rsidRDefault="00D17B13" w:rsidP="003B1CBD">
      <w:pPr>
        <w:pStyle w:val="CETBodytext"/>
        <w:rPr>
          <w:i/>
        </w:rPr>
      </w:pPr>
      <w:r w:rsidRPr="006577D6">
        <w:rPr>
          <w:i/>
        </w:rPr>
        <w:t xml:space="preserve">Table </w:t>
      </w:r>
      <w:r>
        <w:rPr>
          <w:i/>
        </w:rPr>
        <w:t>2</w:t>
      </w:r>
      <w:r w:rsidRPr="006577D6">
        <w:rPr>
          <w:i/>
        </w:rPr>
        <w:t xml:space="preserve">: </w:t>
      </w:r>
      <w:r>
        <w:rPr>
          <w:i/>
        </w:rPr>
        <w:t xml:space="preserve">Characteristics of the fruits </w:t>
      </w:r>
    </w:p>
    <w:p w14:paraId="2CFD4209" w14:textId="77777777" w:rsidR="00C11FAB" w:rsidRDefault="00C11FAB" w:rsidP="003B1CBD">
      <w:pPr>
        <w:pStyle w:val="CETBodytext"/>
        <w:rPr>
          <w:b/>
          <w:color w:val="000000" w:themeColor="text1"/>
        </w:rPr>
      </w:pPr>
    </w:p>
    <w:tbl>
      <w:tblPr>
        <w:tblW w:w="8787" w:type="dxa"/>
        <w:tblBorders>
          <w:top w:val="single" w:sz="12" w:space="0" w:color="008000"/>
          <w:bottom w:val="single" w:sz="12" w:space="0" w:color="008000"/>
        </w:tblBorders>
        <w:shd w:val="clear" w:color="auto" w:fill="FFFFFF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62"/>
        <w:gridCol w:w="1926"/>
        <w:gridCol w:w="1243"/>
        <w:gridCol w:w="1307"/>
        <w:gridCol w:w="1404"/>
        <w:gridCol w:w="1245"/>
      </w:tblGrid>
      <w:tr w:rsidR="007A4801" w14:paraId="2CFD4211" w14:textId="77777777" w:rsidTr="007A4801">
        <w:trPr>
          <w:trHeight w:val="282"/>
        </w:trPr>
        <w:tc>
          <w:tcPr>
            <w:tcW w:w="1662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shd w:val="clear" w:color="auto" w:fill="FFFFFF"/>
          </w:tcPr>
          <w:p w14:paraId="2CFD420A" w14:textId="77777777" w:rsidR="007A4801" w:rsidRDefault="007A4801" w:rsidP="004F0290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Fruit</w:t>
            </w:r>
          </w:p>
        </w:tc>
        <w:tc>
          <w:tcPr>
            <w:tcW w:w="1926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shd w:val="clear" w:color="auto" w:fill="FFFFFF"/>
            <w:hideMark/>
          </w:tcPr>
          <w:p w14:paraId="2CFD420B" w14:textId="77777777" w:rsidR="007A4801" w:rsidRDefault="007A4801" w:rsidP="004F0290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Parameter</w:t>
            </w:r>
          </w:p>
        </w:tc>
        <w:tc>
          <w:tcPr>
            <w:tcW w:w="1243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shd w:val="clear" w:color="auto" w:fill="FFFFFF"/>
          </w:tcPr>
          <w:p w14:paraId="2CFD420C" w14:textId="77777777" w:rsidR="007A4801" w:rsidRDefault="007A4801" w:rsidP="004F0290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Storage time</w:t>
            </w:r>
          </w:p>
          <w:p w14:paraId="2CFD420D" w14:textId="77777777" w:rsidR="007A4801" w:rsidRDefault="007A4801" w:rsidP="004F0290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(Days)</w:t>
            </w:r>
          </w:p>
        </w:tc>
        <w:tc>
          <w:tcPr>
            <w:tcW w:w="1307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shd w:val="clear" w:color="auto" w:fill="FFFFFF"/>
            <w:hideMark/>
          </w:tcPr>
          <w:p w14:paraId="2CFD420E" w14:textId="77777777" w:rsidR="007A4801" w:rsidRPr="0073029B" w:rsidRDefault="007A4801" w:rsidP="004F0290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Without film</w:t>
            </w:r>
          </w:p>
        </w:tc>
        <w:tc>
          <w:tcPr>
            <w:tcW w:w="1404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shd w:val="clear" w:color="auto" w:fill="FFFFFF"/>
            <w:hideMark/>
          </w:tcPr>
          <w:p w14:paraId="2CFD420F" w14:textId="77777777" w:rsidR="007A4801" w:rsidRDefault="007A4801" w:rsidP="004F0290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Control film</w:t>
            </w:r>
          </w:p>
        </w:tc>
        <w:tc>
          <w:tcPr>
            <w:tcW w:w="1245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shd w:val="clear" w:color="auto" w:fill="FFFFFF"/>
          </w:tcPr>
          <w:p w14:paraId="2CFD4210" w14:textId="77777777" w:rsidR="007A4801" w:rsidRDefault="007A4801" w:rsidP="004F0290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Probiotic film</w:t>
            </w:r>
          </w:p>
        </w:tc>
      </w:tr>
      <w:tr w:rsidR="007A4801" w14:paraId="2CFD4218" w14:textId="77777777" w:rsidTr="007A4801">
        <w:trPr>
          <w:trHeight w:val="28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12" w14:textId="77777777" w:rsidR="007A4801" w:rsidRDefault="007A4801" w:rsidP="004F0290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Tomato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FD4213" w14:textId="77777777" w:rsidR="007A4801" w:rsidRPr="00D17B13" w:rsidRDefault="007A4801" w:rsidP="004F0290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TSS (</w:t>
            </w:r>
            <w:proofErr w:type="spellStart"/>
            <w:r>
              <w:rPr>
                <w:vertAlign w:val="superscript"/>
                <w:lang w:val="en-GB"/>
              </w:rPr>
              <w:t>o</w:t>
            </w:r>
            <w:r>
              <w:rPr>
                <w:lang w:val="en-GB"/>
              </w:rPr>
              <w:t>Brix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14" w14:textId="77777777" w:rsidR="007A4801" w:rsidRDefault="007A4801" w:rsidP="004F0290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15" w14:textId="77777777" w:rsidR="007A4801" w:rsidRPr="00A41AB6" w:rsidRDefault="00307680" w:rsidP="004F0290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1119A3">
              <w:rPr>
                <w:lang w:val="en-GB"/>
              </w:rPr>
              <w:t>.</w:t>
            </w:r>
            <w:r>
              <w:rPr>
                <w:lang w:val="en-GB"/>
              </w:rPr>
              <w:t>87</w:t>
            </w:r>
            <w:r w:rsidR="001119A3">
              <w:rPr>
                <w:lang w:val="en-GB"/>
              </w:rPr>
              <w:t xml:space="preserve"> </w:t>
            </w:r>
            <w:r w:rsidR="001119A3">
              <w:rPr>
                <w:rFonts w:cs="Arial"/>
                <w:lang w:val="en-GB"/>
              </w:rPr>
              <w:t>±</w:t>
            </w:r>
            <w:r w:rsidR="001119A3">
              <w:rPr>
                <w:lang w:val="en-GB"/>
              </w:rPr>
              <w:t xml:space="preserve"> </w:t>
            </w:r>
            <w:r>
              <w:rPr>
                <w:lang w:val="en-GB"/>
              </w:rPr>
              <w:t>1</w:t>
            </w:r>
            <w:r w:rsidR="001119A3">
              <w:rPr>
                <w:lang w:val="en-GB"/>
              </w:rPr>
              <w:t>.</w:t>
            </w:r>
            <w:r>
              <w:rPr>
                <w:lang w:val="en-GB"/>
              </w:rPr>
              <w:t>24</w:t>
            </w:r>
            <w:r w:rsidR="00814FB6" w:rsidRPr="00814FB6">
              <w:rPr>
                <w:vertAlign w:val="superscript"/>
                <w:lang w:val="en-GB"/>
              </w:rPr>
              <w:t>B</w:t>
            </w:r>
            <w:r w:rsidR="00A41AB6">
              <w:rPr>
                <w:vertAlign w:val="superscript"/>
                <w:lang w:val="en-GB"/>
              </w:rPr>
              <w:t>a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16" w14:textId="77777777" w:rsidR="007A4801" w:rsidRPr="008701C2" w:rsidRDefault="001119A3" w:rsidP="004F0290">
            <w:pPr>
              <w:pStyle w:val="CETBodytext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4.12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0.53</w:t>
            </w:r>
            <w:r w:rsidR="00D426CC" w:rsidRPr="00D426CC">
              <w:rPr>
                <w:vertAlign w:val="superscript"/>
                <w:lang w:val="en-GB"/>
              </w:rPr>
              <w:t>B</w:t>
            </w:r>
            <w:r w:rsidR="008701C2">
              <w:rPr>
                <w:vertAlign w:val="superscript"/>
                <w:lang w:val="en-GB"/>
              </w:rPr>
              <w:t>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17" w14:textId="77777777" w:rsidR="007A4801" w:rsidRPr="00884C00" w:rsidRDefault="001119A3" w:rsidP="004F0290">
            <w:pPr>
              <w:pStyle w:val="CETBodytext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4.50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0.10</w:t>
            </w:r>
            <w:r w:rsidR="006B263B" w:rsidRPr="006B263B">
              <w:rPr>
                <w:vertAlign w:val="superscript"/>
                <w:lang w:val="en-GB"/>
              </w:rPr>
              <w:t>A</w:t>
            </w:r>
            <w:r w:rsidR="00884C00">
              <w:rPr>
                <w:vertAlign w:val="superscript"/>
                <w:lang w:val="en-GB"/>
              </w:rPr>
              <w:t>a</w:t>
            </w:r>
          </w:p>
        </w:tc>
      </w:tr>
      <w:tr w:rsidR="007A4801" w14:paraId="2CFD421F" w14:textId="77777777" w:rsidTr="007A4801">
        <w:trPr>
          <w:trHeight w:val="299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19" w14:textId="77777777" w:rsidR="007A4801" w:rsidRDefault="007A4801" w:rsidP="004F0290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1A" w14:textId="77777777" w:rsidR="007A4801" w:rsidRDefault="007A4801" w:rsidP="004F0290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1B" w14:textId="77777777" w:rsidR="007A4801" w:rsidRDefault="007A4801" w:rsidP="004F0290">
            <w:pPr>
              <w:pStyle w:val="CETBodytext"/>
              <w:ind w:right="-1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1C" w14:textId="77777777" w:rsidR="007A4801" w:rsidRPr="00884C00" w:rsidRDefault="001119A3" w:rsidP="004F0290">
            <w:pPr>
              <w:pStyle w:val="CETBodytext"/>
              <w:ind w:right="-1"/>
              <w:rPr>
                <w:rFonts w:cs="Arial"/>
                <w:szCs w:val="18"/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4.63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0.53</w:t>
            </w:r>
            <w:r w:rsidR="00C80815">
              <w:rPr>
                <w:vertAlign w:val="superscript"/>
                <w:lang w:val="en-GB"/>
              </w:rPr>
              <w:t>Aa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1D" w14:textId="77777777" w:rsidR="007A4801" w:rsidRPr="00884C00" w:rsidRDefault="001119A3" w:rsidP="004F0290">
            <w:pPr>
              <w:pStyle w:val="CETBodytext"/>
              <w:ind w:right="-1"/>
              <w:rPr>
                <w:rFonts w:cs="Arial"/>
                <w:szCs w:val="18"/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5.37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0.53</w:t>
            </w:r>
            <w:r w:rsidR="006B263B" w:rsidRPr="006B263B">
              <w:rPr>
                <w:vertAlign w:val="superscript"/>
                <w:lang w:val="en-GB"/>
              </w:rPr>
              <w:t>A</w:t>
            </w:r>
            <w:r w:rsidR="00884C00">
              <w:rPr>
                <w:vertAlign w:val="superscript"/>
                <w:lang w:val="en-GB"/>
              </w:rPr>
              <w:t>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1E" w14:textId="77777777" w:rsidR="007A4801" w:rsidRPr="00884C00" w:rsidRDefault="001119A3" w:rsidP="004F0290">
            <w:pPr>
              <w:pStyle w:val="CETBodytext"/>
              <w:ind w:right="-1"/>
              <w:rPr>
                <w:rFonts w:cs="Arial"/>
                <w:szCs w:val="18"/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3.88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0.18</w:t>
            </w:r>
            <w:r w:rsidR="006B263B" w:rsidRPr="006B263B">
              <w:rPr>
                <w:vertAlign w:val="superscript"/>
                <w:lang w:val="en-GB"/>
              </w:rPr>
              <w:t>A</w:t>
            </w:r>
            <w:r w:rsidR="00884C00">
              <w:rPr>
                <w:vertAlign w:val="superscript"/>
                <w:lang w:val="en-GB"/>
              </w:rPr>
              <w:t>b</w:t>
            </w:r>
          </w:p>
        </w:tc>
      </w:tr>
      <w:tr w:rsidR="007A4801" w14:paraId="2CFD4226" w14:textId="77777777" w:rsidTr="007A4801">
        <w:trPr>
          <w:trHeight w:val="299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20" w14:textId="77777777" w:rsidR="007A4801" w:rsidRDefault="007A4801" w:rsidP="004F0290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21" w14:textId="77777777" w:rsidR="007A4801" w:rsidRDefault="007A4801" w:rsidP="004F0290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22" w14:textId="77777777" w:rsidR="007A4801" w:rsidRDefault="007A4801" w:rsidP="004F0290">
            <w:pPr>
              <w:pStyle w:val="CETBodytext"/>
              <w:ind w:right="-1"/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23" w14:textId="77777777" w:rsidR="007A4801" w:rsidRPr="00884C00" w:rsidRDefault="00307680" w:rsidP="004F0290">
            <w:pPr>
              <w:pStyle w:val="CETBodytext"/>
              <w:ind w:right="-1"/>
              <w:rPr>
                <w:rFonts w:cs="Arial"/>
                <w:szCs w:val="18"/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4.12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0.18</w:t>
            </w:r>
            <w:r>
              <w:rPr>
                <w:vertAlign w:val="superscript"/>
                <w:lang w:val="en-GB"/>
              </w:rPr>
              <w:t>A</w:t>
            </w:r>
            <w:r w:rsidR="00814FB6">
              <w:rPr>
                <w:vertAlign w:val="superscript"/>
                <w:lang w:val="en-GB"/>
              </w:rPr>
              <w:t>B</w:t>
            </w:r>
            <w:r w:rsidR="001741FC">
              <w:rPr>
                <w:vertAlign w:val="superscript"/>
                <w:lang w:val="en-GB"/>
              </w:rPr>
              <w:t>b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24" w14:textId="77777777" w:rsidR="007A4801" w:rsidRPr="00884C00" w:rsidRDefault="001119A3" w:rsidP="004F0290">
            <w:pPr>
              <w:pStyle w:val="CETBodytext"/>
              <w:ind w:right="-1"/>
              <w:rPr>
                <w:rFonts w:cs="Arial"/>
                <w:szCs w:val="18"/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5.38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0.18</w:t>
            </w:r>
            <w:r w:rsidR="006B263B" w:rsidRPr="006B263B">
              <w:rPr>
                <w:vertAlign w:val="superscript"/>
                <w:lang w:val="en-GB"/>
              </w:rPr>
              <w:t>A</w:t>
            </w:r>
            <w:r w:rsidR="00884C00">
              <w:rPr>
                <w:vertAlign w:val="superscript"/>
                <w:lang w:val="en-GB"/>
              </w:rPr>
              <w:t>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25" w14:textId="77777777" w:rsidR="007A4801" w:rsidRPr="00884C00" w:rsidRDefault="001119A3" w:rsidP="004F0290">
            <w:pPr>
              <w:pStyle w:val="CETBodytext"/>
              <w:ind w:right="-1"/>
              <w:rPr>
                <w:rFonts w:cs="Arial"/>
                <w:szCs w:val="18"/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4.13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0.53</w:t>
            </w:r>
            <w:r w:rsidR="006B263B" w:rsidRPr="006B263B">
              <w:rPr>
                <w:vertAlign w:val="superscript"/>
                <w:lang w:val="en-GB"/>
              </w:rPr>
              <w:t>A</w:t>
            </w:r>
            <w:r w:rsidR="00884C00">
              <w:rPr>
                <w:vertAlign w:val="superscript"/>
                <w:lang w:val="en-GB"/>
              </w:rPr>
              <w:t>b</w:t>
            </w:r>
          </w:p>
        </w:tc>
      </w:tr>
      <w:tr w:rsidR="007A4801" w14:paraId="2CFD422D" w14:textId="77777777" w:rsidTr="007A4801">
        <w:trPr>
          <w:trHeight w:val="299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27" w14:textId="77777777" w:rsidR="007A4801" w:rsidRDefault="007A4801" w:rsidP="004F0290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28" w14:textId="77777777" w:rsidR="007A4801" w:rsidRDefault="007A4801" w:rsidP="004F0290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29" w14:textId="77777777" w:rsidR="007A4801" w:rsidRDefault="007A4801" w:rsidP="004F0290">
            <w:pPr>
              <w:pStyle w:val="CETBodytext"/>
              <w:ind w:right="-1"/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2A" w14:textId="77777777" w:rsidR="007A4801" w:rsidRPr="0053146D" w:rsidRDefault="001119A3" w:rsidP="004F0290">
            <w:pPr>
              <w:pStyle w:val="CETBodytext"/>
              <w:ind w:right="-1"/>
              <w:rPr>
                <w:rFonts w:cs="Arial"/>
                <w:szCs w:val="18"/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4.25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0.71</w:t>
            </w:r>
            <w:r w:rsidR="00C80815">
              <w:rPr>
                <w:vertAlign w:val="superscript"/>
                <w:lang w:val="en-GB"/>
              </w:rPr>
              <w:t>Ab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2B" w14:textId="77777777" w:rsidR="007A4801" w:rsidRPr="00884C00" w:rsidRDefault="001119A3" w:rsidP="004F0290">
            <w:pPr>
              <w:pStyle w:val="CETBodytext"/>
              <w:ind w:right="-1"/>
              <w:rPr>
                <w:rFonts w:cs="Arial"/>
                <w:szCs w:val="18"/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5.39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0.18</w:t>
            </w:r>
            <w:r w:rsidR="006B263B" w:rsidRPr="006B263B">
              <w:rPr>
                <w:vertAlign w:val="superscript"/>
                <w:lang w:val="en-GB"/>
              </w:rPr>
              <w:t>A</w:t>
            </w:r>
            <w:r w:rsidR="00884C00">
              <w:rPr>
                <w:vertAlign w:val="superscript"/>
                <w:lang w:val="en-GB"/>
              </w:rPr>
              <w:t>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2C" w14:textId="77777777" w:rsidR="007A4801" w:rsidRPr="0053146D" w:rsidRDefault="001119A3" w:rsidP="004F0290">
            <w:pPr>
              <w:pStyle w:val="CETBodytext"/>
              <w:ind w:right="-1"/>
              <w:rPr>
                <w:rFonts w:cs="Arial"/>
                <w:szCs w:val="18"/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2.63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0.53</w:t>
            </w:r>
            <w:r w:rsidR="006B263B" w:rsidRPr="006B263B">
              <w:rPr>
                <w:vertAlign w:val="superscript"/>
                <w:lang w:val="en-GB"/>
              </w:rPr>
              <w:t>B</w:t>
            </w:r>
            <w:r w:rsidR="0053146D">
              <w:rPr>
                <w:vertAlign w:val="superscript"/>
                <w:lang w:val="en-GB"/>
              </w:rPr>
              <w:t>c</w:t>
            </w:r>
          </w:p>
        </w:tc>
      </w:tr>
      <w:tr w:rsidR="00EE48A4" w14:paraId="2CFD4234" w14:textId="77777777" w:rsidTr="007A4801">
        <w:trPr>
          <w:trHeight w:val="299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2E" w14:textId="77777777" w:rsidR="00EE48A4" w:rsidRDefault="00EE48A4" w:rsidP="00EE48A4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2F" w14:textId="77777777" w:rsidR="00EE48A4" w:rsidRDefault="00EE48A4" w:rsidP="00EE48A4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Mass loss (%)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30" w14:textId="77777777" w:rsidR="00EE48A4" w:rsidRDefault="00EE48A4" w:rsidP="00EE48A4">
            <w:pPr>
              <w:pStyle w:val="CETBodytext"/>
              <w:ind w:right="-1"/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31" w14:textId="77777777" w:rsidR="00EE48A4" w:rsidRDefault="00EE48A4" w:rsidP="00EE48A4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 xml:space="preserve">25.92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</w:t>
            </w:r>
            <w:r w:rsidR="00227989">
              <w:rPr>
                <w:lang w:val="en-GB"/>
              </w:rPr>
              <w:t>5</w:t>
            </w:r>
            <w:r>
              <w:rPr>
                <w:lang w:val="en-GB"/>
              </w:rPr>
              <w:t>.</w:t>
            </w:r>
            <w:r w:rsidR="00227989">
              <w:rPr>
                <w:lang w:val="en-GB"/>
              </w:rPr>
              <w:t>46</w:t>
            </w:r>
            <w:r w:rsidR="00227989">
              <w:rPr>
                <w:vertAlign w:val="superscript"/>
                <w:lang w:val="en-GB"/>
              </w:rPr>
              <w:t>a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32" w14:textId="77777777" w:rsidR="00EE48A4" w:rsidRDefault="00EE48A4" w:rsidP="00EE48A4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>2</w:t>
            </w:r>
            <w:r w:rsidR="005B6403">
              <w:rPr>
                <w:lang w:val="en-GB"/>
              </w:rPr>
              <w:t>6</w:t>
            </w:r>
            <w:r>
              <w:rPr>
                <w:lang w:val="en-GB"/>
              </w:rPr>
              <w:t>.</w:t>
            </w:r>
            <w:r w:rsidR="005B6403">
              <w:rPr>
                <w:lang w:val="en-GB"/>
              </w:rPr>
              <w:t>01</w:t>
            </w:r>
            <w:r>
              <w:rPr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</w:t>
            </w:r>
            <w:r w:rsidR="00A556A3">
              <w:rPr>
                <w:lang w:val="en-GB"/>
              </w:rPr>
              <w:t>6</w:t>
            </w:r>
            <w:r>
              <w:rPr>
                <w:lang w:val="en-GB"/>
              </w:rPr>
              <w:t>.</w:t>
            </w:r>
            <w:r w:rsidR="00A556A3">
              <w:rPr>
                <w:lang w:val="en-GB"/>
              </w:rPr>
              <w:t>8</w:t>
            </w:r>
            <w:r>
              <w:rPr>
                <w:lang w:val="en-GB"/>
              </w:rPr>
              <w:t>8</w:t>
            </w:r>
            <w:r w:rsidR="00A556A3">
              <w:rPr>
                <w:vertAlign w:val="superscript"/>
                <w:lang w:val="en-GB"/>
              </w:rPr>
              <w:t>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33" w14:textId="77777777" w:rsidR="00EE48A4" w:rsidRDefault="00E02A50" w:rsidP="00EE48A4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>20</w:t>
            </w:r>
            <w:r w:rsidR="00EE48A4">
              <w:rPr>
                <w:lang w:val="en-GB"/>
              </w:rPr>
              <w:t>.</w:t>
            </w:r>
            <w:r>
              <w:rPr>
                <w:lang w:val="en-GB"/>
              </w:rPr>
              <w:t>58</w:t>
            </w:r>
            <w:r w:rsidR="00EE48A4">
              <w:rPr>
                <w:lang w:val="en-GB"/>
              </w:rPr>
              <w:t xml:space="preserve"> </w:t>
            </w:r>
            <w:r w:rsidR="00EE48A4">
              <w:rPr>
                <w:rFonts w:cs="Arial"/>
                <w:lang w:val="en-GB"/>
              </w:rPr>
              <w:t>±</w:t>
            </w:r>
            <w:r w:rsidR="00EE48A4">
              <w:rPr>
                <w:lang w:val="en-GB"/>
              </w:rPr>
              <w:t xml:space="preserve"> </w:t>
            </w:r>
            <w:r>
              <w:rPr>
                <w:lang w:val="en-GB"/>
              </w:rPr>
              <w:t>5</w:t>
            </w:r>
            <w:r w:rsidR="00EE48A4">
              <w:rPr>
                <w:lang w:val="en-GB"/>
              </w:rPr>
              <w:t>.</w:t>
            </w:r>
            <w:r>
              <w:rPr>
                <w:lang w:val="en-GB"/>
              </w:rPr>
              <w:t>92</w:t>
            </w:r>
            <w:r w:rsidR="00EE48A4">
              <w:rPr>
                <w:vertAlign w:val="superscript"/>
                <w:lang w:val="en-GB"/>
              </w:rPr>
              <w:t>a</w:t>
            </w:r>
          </w:p>
        </w:tc>
      </w:tr>
      <w:tr w:rsidR="00EE48A4" w14:paraId="2CFD423B" w14:textId="77777777" w:rsidTr="007A4801">
        <w:trPr>
          <w:trHeight w:val="299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35" w14:textId="77777777" w:rsidR="00EE48A4" w:rsidRDefault="00EE48A4" w:rsidP="00EE48A4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>Grapes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36" w14:textId="77777777" w:rsidR="00EE48A4" w:rsidRDefault="00EE48A4" w:rsidP="00EE48A4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>TSS (</w:t>
            </w:r>
            <w:proofErr w:type="spellStart"/>
            <w:r>
              <w:rPr>
                <w:vertAlign w:val="superscript"/>
                <w:lang w:val="en-GB"/>
              </w:rPr>
              <w:t>o</w:t>
            </w:r>
            <w:r>
              <w:rPr>
                <w:lang w:val="en-GB"/>
              </w:rPr>
              <w:t>Brix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37" w14:textId="77777777" w:rsidR="00EE48A4" w:rsidRDefault="00EE48A4" w:rsidP="00EE48A4">
            <w:pPr>
              <w:pStyle w:val="CETBodytext"/>
              <w:ind w:right="-1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38" w14:textId="77777777" w:rsidR="00EE48A4" w:rsidRPr="009E4AD1" w:rsidRDefault="001119A3" w:rsidP="00EE48A4">
            <w:pPr>
              <w:pStyle w:val="CETBodytext"/>
              <w:ind w:right="-1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21.25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2.47</w:t>
            </w:r>
            <w:r w:rsidR="004E5450">
              <w:rPr>
                <w:vertAlign w:val="superscript"/>
                <w:lang w:val="en-GB"/>
              </w:rPr>
              <w:t>C</w:t>
            </w:r>
            <w:r w:rsidR="009E4AD1">
              <w:rPr>
                <w:vertAlign w:val="superscript"/>
                <w:lang w:val="en-GB"/>
              </w:rPr>
              <w:t>a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39" w14:textId="77777777" w:rsidR="00EE48A4" w:rsidRPr="009E4AD1" w:rsidRDefault="00CC166B" w:rsidP="00EE48A4">
            <w:pPr>
              <w:pStyle w:val="CETBodytext"/>
              <w:ind w:right="-1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19.38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0.53</w:t>
            </w:r>
            <w:r w:rsidR="00B93A41" w:rsidRPr="00B93A41">
              <w:rPr>
                <w:vertAlign w:val="superscript"/>
                <w:lang w:val="en-GB"/>
              </w:rPr>
              <w:t>C</w:t>
            </w:r>
            <w:r w:rsidR="009E4AD1">
              <w:rPr>
                <w:vertAlign w:val="superscript"/>
                <w:lang w:val="en-GB"/>
              </w:rPr>
              <w:t>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3A" w14:textId="77777777" w:rsidR="00EE48A4" w:rsidRPr="009E4AD1" w:rsidRDefault="00023CDF" w:rsidP="00EE48A4">
            <w:pPr>
              <w:pStyle w:val="CETBodytext"/>
              <w:ind w:right="-1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18.62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0.53</w:t>
            </w:r>
            <w:r w:rsidR="00B93A41" w:rsidRPr="00B93A41">
              <w:rPr>
                <w:vertAlign w:val="superscript"/>
                <w:lang w:val="en-GB"/>
              </w:rPr>
              <w:t>C</w:t>
            </w:r>
            <w:r w:rsidR="009E4AD1">
              <w:rPr>
                <w:vertAlign w:val="superscript"/>
                <w:lang w:val="en-GB"/>
              </w:rPr>
              <w:t>a</w:t>
            </w:r>
          </w:p>
        </w:tc>
      </w:tr>
      <w:tr w:rsidR="00EE48A4" w14:paraId="2CFD4242" w14:textId="77777777" w:rsidTr="007A4801">
        <w:trPr>
          <w:trHeight w:val="299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3C" w14:textId="77777777" w:rsidR="00EE48A4" w:rsidRDefault="00EE48A4" w:rsidP="00EE48A4">
            <w:pPr>
              <w:pStyle w:val="CETBodytext"/>
              <w:ind w:right="-1"/>
              <w:rPr>
                <w:lang w:val="en-GB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3D" w14:textId="77777777" w:rsidR="00EE48A4" w:rsidRDefault="00EE48A4" w:rsidP="00EE48A4">
            <w:pPr>
              <w:pStyle w:val="CETBodytext"/>
              <w:ind w:right="-1"/>
              <w:rPr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3E" w14:textId="77777777" w:rsidR="00EE48A4" w:rsidRDefault="00EE48A4" w:rsidP="00EE48A4">
            <w:pPr>
              <w:pStyle w:val="CETBodytext"/>
              <w:ind w:right="-1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3F" w14:textId="77777777" w:rsidR="00EE48A4" w:rsidRPr="009E4AD1" w:rsidRDefault="001119A3" w:rsidP="00EE48A4">
            <w:pPr>
              <w:pStyle w:val="CETBodytext"/>
              <w:ind w:right="-1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2</w:t>
            </w:r>
            <w:r w:rsidR="005036A4">
              <w:rPr>
                <w:lang w:val="en-GB"/>
              </w:rPr>
              <w:t>3</w:t>
            </w:r>
            <w:r>
              <w:rPr>
                <w:lang w:val="en-GB"/>
              </w:rPr>
              <w:t>.</w:t>
            </w:r>
            <w:r w:rsidR="005036A4">
              <w:rPr>
                <w:lang w:val="en-GB"/>
              </w:rPr>
              <w:t>00</w:t>
            </w:r>
            <w:r>
              <w:rPr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2.47</w:t>
            </w:r>
            <w:r w:rsidR="004E5450">
              <w:rPr>
                <w:vertAlign w:val="superscript"/>
                <w:lang w:val="en-GB"/>
              </w:rPr>
              <w:t>C</w:t>
            </w:r>
            <w:r w:rsidR="009E4AD1">
              <w:rPr>
                <w:vertAlign w:val="superscript"/>
                <w:lang w:val="en-GB"/>
              </w:rPr>
              <w:t>a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40" w14:textId="77777777" w:rsidR="00EE48A4" w:rsidRPr="009E4AD1" w:rsidRDefault="00CC166B" w:rsidP="00EE48A4">
            <w:pPr>
              <w:pStyle w:val="CETBodytext"/>
              <w:ind w:right="-1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23.00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1.06</w:t>
            </w:r>
            <w:r w:rsidR="00B93A41" w:rsidRPr="00B93A41">
              <w:rPr>
                <w:vertAlign w:val="superscript"/>
                <w:lang w:val="en-GB"/>
              </w:rPr>
              <w:t>B</w:t>
            </w:r>
            <w:r w:rsidR="009E4AD1">
              <w:rPr>
                <w:vertAlign w:val="superscript"/>
                <w:lang w:val="en-GB"/>
              </w:rPr>
              <w:t>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41" w14:textId="77777777" w:rsidR="00EE48A4" w:rsidRPr="009E4AD1" w:rsidRDefault="00023CDF" w:rsidP="00EE48A4">
            <w:pPr>
              <w:pStyle w:val="CETBodytext"/>
              <w:ind w:right="-1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23.63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3.30</w:t>
            </w:r>
            <w:r w:rsidR="00B93A41" w:rsidRPr="00B93A41">
              <w:rPr>
                <w:vertAlign w:val="superscript"/>
                <w:lang w:val="en-GB"/>
              </w:rPr>
              <w:t>B</w:t>
            </w:r>
            <w:r w:rsidR="009E4AD1">
              <w:rPr>
                <w:vertAlign w:val="superscript"/>
                <w:lang w:val="en-GB"/>
              </w:rPr>
              <w:t>a</w:t>
            </w:r>
          </w:p>
        </w:tc>
      </w:tr>
      <w:tr w:rsidR="00EE48A4" w14:paraId="2CFD4249" w14:textId="77777777" w:rsidTr="007A4801">
        <w:trPr>
          <w:trHeight w:val="299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43" w14:textId="77777777" w:rsidR="00EE48A4" w:rsidRDefault="00EE48A4" w:rsidP="00EE48A4">
            <w:pPr>
              <w:pStyle w:val="CETBodytext"/>
              <w:ind w:right="-1"/>
              <w:rPr>
                <w:lang w:val="en-GB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44" w14:textId="77777777" w:rsidR="00EE48A4" w:rsidRDefault="00EE48A4" w:rsidP="00EE48A4">
            <w:pPr>
              <w:pStyle w:val="CETBodytext"/>
              <w:ind w:right="-1"/>
              <w:rPr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45" w14:textId="77777777" w:rsidR="00EE48A4" w:rsidRDefault="00EE48A4" w:rsidP="00EE48A4">
            <w:pPr>
              <w:pStyle w:val="CETBodytext"/>
              <w:ind w:right="-1"/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46" w14:textId="77777777" w:rsidR="00EE48A4" w:rsidRPr="009E4AD1" w:rsidRDefault="005036A4" w:rsidP="00EE48A4">
            <w:pPr>
              <w:pStyle w:val="CETBodytext"/>
              <w:ind w:right="-1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28.63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3.36</w:t>
            </w:r>
            <w:r w:rsidR="004E5450" w:rsidRPr="004E5450">
              <w:rPr>
                <w:vertAlign w:val="superscript"/>
                <w:lang w:val="en-GB"/>
              </w:rPr>
              <w:t>B</w:t>
            </w:r>
            <w:r w:rsidR="009E4AD1">
              <w:rPr>
                <w:vertAlign w:val="superscript"/>
                <w:lang w:val="en-GB"/>
              </w:rPr>
              <w:t>a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47" w14:textId="77777777" w:rsidR="00EE48A4" w:rsidRPr="009E4AD1" w:rsidRDefault="00CC166B" w:rsidP="00EE48A4">
            <w:pPr>
              <w:pStyle w:val="CETBodytext"/>
              <w:ind w:right="-1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23.63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1.94</w:t>
            </w:r>
            <w:r w:rsidR="00B93A41" w:rsidRPr="00B93A41">
              <w:rPr>
                <w:vertAlign w:val="superscript"/>
                <w:lang w:val="en-GB"/>
              </w:rPr>
              <w:t>B</w:t>
            </w:r>
            <w:r w:rsidR="009E4AD1">
              <w:rPr>
                <w:vertAlign w:val="superscript"/>
                <w:lang w:val="en-GB"/>
              </w:rPr>
              <w:t>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48" w14:textId="77777777" w:rsidR="00EE48A4" w:rsidRPr="009E4AD1" w:rsidRDefault="00023CDF" w:rsidP="00EE48A4">
            <w:pPr>
              <w:pStyle w:val="CETBodytext"/>
              <w:ind w:right="-1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26.25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2.48</w:t>
            </w:r>
            <w:r w:rsidR="001C4A5F" w:rsidRPr="001C4A5F">
              <w:rPr>
                <w:vertAlign w:val="superscript"/>
                <w:lang w:val="en-GB"/>
              </w:rPr>
              <w:t>A</w:t>
            </w:r>
            <w:r w:rsidR="001C4A5F">
              <w:rPr>
                <w:vertAlign w:val="superscript"/>
                <w:lang w:val="en-GB"/>
              </w:rPr>
              <w:t>B</w:t>
            </w:r>
            <w:r w:rsidR="009E4AD1">
              <w:rPr>
                <w:vertAlign w:val="superscript"/>
                <w:lang w:val="en-GB"/>
              </w:rPr>
              <w:t>a</w:t>
            </w:r>
          </w:p>
        </w:tc>
      </w:tr>
      <w:tr w:rsidR="00EE48A4" w14:paraId="2CFD4250" w14:textId="77777777" w:rsidTr="007A4801">
        <w:trPr>
          <w:trHeight w:val="299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4A" w14:textId="77777777" w:rsidR="00EE48A4" w:rsidRDefault="00EE48A4" w:rsidP="00EE48A4">
            <w:pPr>
              <w:pStyle w:val="CETBodytext"/>
              <w:ind w:right="-1"/>
              <w:rPr>
                <w:lang w:val="en-GB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4B" w14:textId="77777777" w:rsidR="00EE48A4" w:rsidRDefault="00EE48A4" w:rsidP="00EE48A4">
            <w:pPr>
              <w:pStyle w:val="CETBodytext"/>
              <w:ind w:right="-1"/>
              <w:rPr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4C" w14:textId="77777777" w:rsidR="00EE48A4" w:rsidRDefault="00EE48A4" w:rsidP="00EE48A4">
            <w:pPr>
              <w:pStyle w:val="CETBodytext"/>
              <w:ind w:right="-1"/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4D" w14:textId="77777777" w:rsidR="00EE48A4" w:rsidRPr="00F27955" w:rsidRDefault="005036A4" w:rsidP="00EE48A4">
            <w:pPr>
              <w:pStyle w:val="CETBodytext"/>
              <w:ind w:right="-1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32.38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2.30</w:t>
            </w:r>
            <w:r w:rsidR="00977BAD" w:rsidRPr="00977BAD">
              <w:rPr>
                <w:vertAlign w:val="superscript"/>
                <w:lang w:val="en-GB"/>
              </w:rPr>
              <w:t>A</w:t>
            </w:r>
            <w:r w:rsidR="00F27955">
              <w:rPr>
                <w:vertAlign w:val="superscript"/>
                <w:lang w:val="en-GB"/>
              </w:rPr>
              <w:t>a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4E" w14:textId="77777777" w:rsidR="00EE48A4" w:rsidRPr="00F27955" w:rsidRDefault="00CC166B" w:rsidP="00EE48A4">
            <w:pPr>
              <w:pStyle w:val="CETBodytext"/>
              <w:ind w:right="-1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27.75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</w:t>
            </w:r>
            <w:r w:rsidR="00023CDF">
              <w:rPr>
                <w:lang w:val="en-GB"/>
              </w:rPr>
              <w:t>1</w:t>
            </w:r>
            <w:r>
              <w:rPr>
                <w:lang w:val="en-GB"/>
              </w:rPr>
              <w:t>.</w:t>
            </w:r>
            <w:r w:rsidR="00023CDF">
              <w:rPr>
                <w:lang w:val="en-GB"/>
              </w:rPr>
              <w:t>06</w:t>
            </w:r>
            <w:r w:rsidR="00B93A41" w:rsidRPr="00B93A41">
              <w:rPr>
                <w:vertAlign w:val="superscript"/>
                <w:lang w:val="en-GB"/>
              </w:rPr>
              <w:t>A</w:t>
            </w:r>
            <w:r w:rsidR="00F27955">
              <w:rPr>
                <w:vertAlign w:val="superscript"/>
                <w:lang w:val="en-GB"/>
              </w:rPr>
              <w:t>b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D424F" w14:textId="77777777" w:rsidR="00EE48A4" w:rsidRPr="00F27955" w:rsidRDefault="00023CDF" w:rsidP="00EE48A4">
            <w:pPr>
              <w:pStyle w:val="CETBodytext"/>
              <w:ind w:right="-1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 xml:space="preserve">27.25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</w:t>
            </w:r>
            <w:r w:rsidRPr="001C4A5F">
              <w:rPr>
                <w:lang w:val="en-GB"/>
              </w:rPr>
              <w:t>71</w:t>
            </w:r>
            <w:r w:rsidR="001C4A5F">
              <w:rPr>
                <w:vertAlign w:val="superscript"/>
                <w:lang w:val="en-GB"/>
              </w:rPr>
              <w:t>A</w:t>
            </w:r>
            <w:r w:rsidR="00F27955" w:rsidRPr="001C4A5F">
              <w:rPr>
                <w:vertAlign w:val="superscript"/>
                <w:lang w:val="en-GB"/>
              </w:rPr>
              <w:t>b</w:t>
            </w:r>
          </w:p>
        </w:tc>
      </w:tr>
      <w:tr w:rsidR="00EE48A4" w14:paraId="2CFD4257" w14:textId="77777777" w:rsidTr="007A4801">
        <w:trPr>
          <w:trHeight w:val="299"/>
        </w:trPr>
        <w:tc>
          <w:tcPr>
            <w:tcW w:w="1662" w:type="dxa"/>
            <w:tcBorders>
              <w:top w:val="nil"/>
              <w:left w:val="nil"/>
              <w:bottom w:val="single" w:sz="12" w:space="0" w:color="008000"/>
              <w:right w:val="nil"/>
            </w:tcBorders>
            <w:shd w:val="clear" w:color="auto" w:fill="FFFFFF"/>
          </w:tcPr>
          <w:p w14:paraId="2CFD4251" w14:textId="77777777" w:rsidR="00EE48A4" w:rsidRDefault="00EE48A4" w:rsidP="00EE48A4">
            <w:pPr>
              <w:pStyle w:val="CETBodytext"/>
              <w:ind w:right="-1"/>
              <w:rPr>
                <w:lang w:val="en-GB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12" w:space="0" w:color="008000"/>
              <w:right w:val="nil"/>
            </w:tcBorders>
            <w:shd w:val="clear" w:color="auto" w:fill="FFFFFF"/>
          </w:tcPr>
          <w:p w14:paraId="2CFD4252" w14:textId="77777777" w:rsidR="00EE48A4" w:rsidRDefault="00EE48A4" w:rsidP="00EE48A4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Mass loss (%)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008000"/>
              <w:right w:val="nil"/>
            </w:tcBorders>
            <w:shd w:val="clear" w:color="auto" w:fill="FFFFFF"/>
          </w:tcPr>
          <w:p w14:paraId="2CFD4253" w14:textId="77777777" w:rsidR="00EE48A4" w:rsidRDefault="00EE48A4" w:rsidP="00EE48A4">
            <w:pPr>
              <w:pStyle w:val="CETBodytext"/>
              <w:ind w:right="-1"/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12" w:space="0" w:color="008000"/>
              <w:right w:val="nil"/>
            </w:tcBorders>
            <w:shd w:val="clear" w:color="auto" w:fill="FFFFFF"/>
          </w:tcPr>
          <w:p w14:paraId="2CFD4254" w14:textId="77777777" w:rsidR="00EE48A4" w:rsidRDefault="00EE48A4" w:rsidP="00EE48A4">
            <w:pPr>
              <w:pStyle w:val="CETBodytext"/>
              <w:ind w:right="-1"/>
              <w:rPr>
                <w:lang w:val="en-GB"/>
              </w:rPr>
            </w:pPr>
            <w:r>
              <w:rPr>
                <w:lang w:val="en-GB"/>
              </w:rPr>
              <w:t xml:space="preserve">34.91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0.25</w:t>
            </w:r>
            <w:r>
              <w:rPr>
                <w:vertAlign w:val="superscript"/>
                <w:lang w:val="en-GB"/>
              </w:rPr>
              <w:t>b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008000"/>
              <w:right w:val="nil"/>
            </w:tcBorders>
            <w:shd w:val="clear" w:color="auto" w:fill="FFFFFF"/>
          </w:tcPr>
          <w:p w14:paraId="2CFD4255" w14:textId="77777777" w:rsidR="00EE48A4" w:rsidRDefault="00EE48A4" w:rsidP="00EE48A4">
            <w:pPr>
              <w:pStyle w:val="CETBodytext"/>
              <w:ind w:right="-1"/>
              <w:rPr>
                <w:lang w:val="en-GB"/>
              </w:rPr>
            </w:pPr>
            <w:r>
              <w:rPr>
                <w:lang w:val="en-GB"/>
              </w:rPr>
              <w:t xml:space="preserve">32.80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0.98</w:t>
            </w:r>
            <w:r>
              <w:rPr>
                <w:vertAlign w:val="superscript"/>
                <w:lang w:val="en-GB"/>
              </w:rPr>
              <w:t>c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8000"/>
              <w:right w:val="nil"/>
            </w:tcBorders>
            <w:shd w:val="clear" w:color="auto" w:fill="FFFFFF"/>
          </w:tcPr>
          <w:p w14:paraId="2CFD4256" w14:textId="77777777" w:rsidR="00EE48A4" w:rsidRDefault="00EE48A4" w:rsidP="00EE48A4">
            <w:pPr>
              <w:pStyle w:val="CETBodytext"/>
              <w:ind w:right="-1"/>
              <w:rPr>
                <w:lang w:val="en-GB"/>
              </w:rPr>
            </w:pPr>
            <w:r>
              <w:rPr>
                <w:lang w:val="en-GB"/>
              </w:rPr>
              <w:t xml:space="preserve">43.63 </w:t>
            </w:r>
            <w:r>
              <w:rPr>
                <w:rFonts w:cs="Arial"/>
                <w:lang w:val="en-GB"/>
              </w:rPr>
              <w:t>±</w:t>
            </w:r>
            <w:r>
              <w:rPr>
                <w:lang w:val="en-GB"/>
              </w:rPr>
              <w:t xml:space="preserve"> 0.66</w:t>
            </w:r>
            <w:r>
              <w:rPr>
                <w:vertAlign w:val="superscript"/>
                <w:lang w:val="en-GB"/>
              </w:rPr>
              <w:t>a</w:t>
            </w:r>
          </w:p>
        </w:tc>
      </w:tr>
    </w:tbl>
    <w:p w14:paraId="2CFD4258" w14:textId="77777777" w:rsidR="00C11FAB" w:rsidRPr="00BD6F9B" w:rsidRDefault="00BD6F9B" w:rsidP="003B1CBD">
      <w:pPr>
        <w:pStyle w:val="CETBodytext"/>
        <w:rPr>
          <w:color w:val="000000" w:themeColor="text1"/>
        </w:rPr>
      </w:pPr>
      <w:r>
        <w:rPr>
          <w:color w:val="000000" w:themeColor="text1"/>
        </w:rPr>
        <w:t>TSS (Total soluble solids</w:t>
      </w:r>
      <w:r w:rsidR="00294646">
        <w:rPr>
          <w:color w:val="000000" w:themeColor="text1"/>
        </w:rPr>
        <w:t>)</w:t>
      </w:r>
      <w:r w:rsidR="00B43085">
        <w:rPr>
          <w:color w:val="000000" w:themeColor="text1"/>
        </w:rPr>
        <w:t xml:space="preserve">. </w:t>
      </w:r>
      <w:r w:rsidR="00B43085">
        <w:t xml:space="preserve">Mean </w:t>
      </w:r>
      <w:r w:rsidR="00B43085">
        <w:rPr>
          <w:rFonts w:cs="Arial"/>
        </w:rPr>
        <w:t>±</w:t>
      </w:r>
      <w:r w:rsidR="00B43085">
        <w:t xml:space="preserve"> standard deviation with different</w:t>
      </w:r>
      <w:r w:rsidR="002277A8">
        <w:t xml:space="preserve"> lowercase</w:t>
      </w:r>
      <w:r w:rsidR="00B43085">
        <w:t xml:space="preserve"> letters in the same row indicates significant differences (p </w:t>
      </w:r>
      <w:r w:rsidR="00B43085">
        <w:rPr>
          <w:rFonts w:cs="Arial"/>
        </w:rPr>
        <w:t>≤ 0.05) among</w:t>
      </w:r>
      <w:r w:rsidR="002277A8">
        <w:rPr>
          <w:rFonts w:cs="Arial"/>
        </w:rPr>
        <w:t xml:space="preserve"> </w:t>
      </w:r>
      <w:r w:rsidR="00B43085">
        <w:rPr>
          <w:rFonts w:cs="Arial"/>
        </w:rPr>
        <w:t xml:space="preserve">films. </w:t>
      </w:r>
      <w:r w:rsidR="00B43085">
        <w:t xml:space="preserve">Mean </w:t>
      </w:r>
      <w:r w:rsidR="00B43085">
        <w:rPr>
          <w:rFonts w:cs="Arial"/>
        </w:rPr>
        <w:t>±</w:t>
      </w:r>
      <w:r w:rsidR="00B43085">
        <w:t xml:space="preserve"> standard deviation with different</w:t>
      </w:r>
      <w:r w:rsidR="002277A8">
        <w:t xml:space="preserve"> capital</w:t>
      </w:r>
      <w:r w:rsidR="00B43085">
        <w:t xml:space="preserve"> letters in the same </w:t>
      </w:r>
      <w:r w:rsidR="002277A8">
        <w:t>column</w:t>
      </w:r>
      <w:r w:rsidR="00B43085">
        <w:t xml:space="preserve"> indicates significant differences</w:t>
      </w:r>
      <w:r w:rsidR="00AC04B5">
        <w:t xml:space="preserve"> in TSS</w:t>
      </w:r>
      <w:r w:rsidR="00B43085">
        <w:t xml:space="preserve"> (p </w:t>
      </w:r>
      <w:r w:rsidR="00B43085">
        <w:rPr>
          <w:rFonts w:cs="Arial"/>
        </w:rPr>
        <w:t xml:space="preserve">≤ 0.05) </w:t>
      </w:r>
      <w:r w:rsidR="00EB7079">
        <w:rPr>
          <w:rFonts w:cs="Arial"/>
        </w:rPr>
        <w:t>during</w:t>
      </w:r>
      <w:r w:rsidR="002277A8">
        <w:rPr>
          <w:rFonts w:cs="Arial"/>
        </w:rPr>
        <w:t xml:space="preserve"> storage time</w:t>
      </w:r>
      <w:r w:rsidR="00B43085">
        <w:rPr>
          <w:rFonts w:cs="Arial"/>
        </w:rPr>
        <w:t>.</w:t>
      </w:r>
      <w:r w:rsidR="00A14B9D">
        <w:rPr>
          <w:rFonts w:cs="Arial"/>
        </w:rPr>
        <w:t xml:space="preserve"> </w:t>
      </w:r>
      <w:r w:rsidR="00294646">
        <w:rPr>
          <w:rFonts w:cs="Arial"/>
        </w:rPr>
        <w:t>n=15.</w:t>
      </w:r>
    </w:p>
    <w:p w14:paraId="2CFD4259" w14:textId="77777777" w:rsidR="00BD6F9B" w:rsidRDefault="00BD6F9B" w:rsidP="003B1CBD">
      <w:pPr>
        <w:pStyle w:val="CETBodytext"/>
        <w:rPr>
          <w:b/>
          <w:color w:val="000000" w:themeColor="text1"/>
        </w:rPr>
      </w:pPr>
    </w:p>
    <w:p w14:paraId="2CFD425A" w14:textId="77777777" w:rsidR="00A11326" w:rsidRDefault="004A0AD9" w:rsidP="003B1CBD">
      <w:pPr>
        <w:pStyle w:val="CETBodytext"/>
        <w:rPr>
          <w:rFonts w:cs="Arial"/>
          <w:szCs w:val="18"/>
        </w:rPr>
      </w:pPr>
      <w:r w:rsidRPr="00096407">
        <w:rPr>
          <w:rFonts w:cs="Arial"/>
          <w:szCs w:val="18"/>
        </w:rPr>
        <w:t xml:space="preserve">The </w:t>
      </w:r>
      <w:r>
        <w:rPr>
          <w:rFonts w:cs="Arial"/>
          <w:szCs w:val="18"/>
        </w:rPr>
        <w:t>application of the</w:t>
      </w:r>
      <w:r w:rsidR="00F62D16">
        <w:rPr>
          <w:rFonts w:cs="Arial"/>
          <w:szCs w:val="18"/>
        </w:rPr>
        <w:t xml:space="preserve"> WPI</w:t>
      </w:r>
      <w:r w:rsidRPr="00096407">
        <w:rPr>
          <w:rFonts w:cs="Arial"/>
          <w:szCs w:val="18"/>
        </w:rPr>
        <w:t xml:space="preserve"> films did not result in</w:t>
      </w:r>
      <w:r w:rsidR="008B5B08">
        <w:rPr>
          <w:rFonts w:cs="Arial"/>
          <w:szCs w:val="18"/>
        </w:rPr>
        <w:t xml:space="preserve"> positive</w:t>
      </w:r>
      <w:r w:rsidRPr="00096407">
        <w:rPr>
          <w:rFonts w:cs="Arial"/>
          <w:szCs w:val="18"/>
        </w:rPr>
        <w:t xml:space="preserve"> </w:t>
      </w:r>
      <w:r w:rsidR="008B5B08">
        <w:rPr>
          <w:rFonts w:cs="Arial"/>
          <w:szCs w:val="18"/>
        </w:rPr>
        <w:t>impact</w:t>
      </w:r>
      <w:r w:rsidRPr="00096407">
        <w:rPr>
          <w:rFonts w:cs="Arial"/>
          <w:szCs w:val="18"/>
        </w:rPr>
        <w:t xml:space="preserve"> </w:t>
      </w:r>
      <w:r w:rsidR="008B5B08">
        <w:rPr>
          <w:rFonts w:cs="Arial"/>
          <w:szCs w:val="18"/>
        </w:rPr>
        <w:t>on</w:t>
      </w:r>
      <w:r w:rsidRPr="00096407">
        <w:rPr>
          <w:rFonts w:cs="Arial"/>
          <w:szCs w:val="18"/>
        </w:rPr>
        <w:t xml:space="preserve"> the shelf life of the tomatoes</w:t>
      </w:r>
      <w:r w:rsidR="002E4026">
        <w:rPr>
          <w:rFonts w:cs="Arial"/>
          <w:szCs w:val="18"/>
        </w:rPr>
        <w:t xml:space="preserve">. It is possible to observe the </w:t>
      </w:r>
      <w:r>
        <w:rPr>
          <w:rFonts w:cs="Arial"/>
          <w:szCs w:val="18"/>
        </w:rPr>
        <w:t xml:space="preserve">maintenance of </w:t>
      </w:r>
      <w:r w:rsidRPr="00096407">
        <w:rPr>
          <w:rFonts w:cs="Arial"/>
          <w:szCs w:val="18"/>
        </w:rPr>
        <w:t>mass loss</w:t>
      </w:r>
      <w:r w:rsidR="009B0104">
        <w:rPr>
          <w:rFonts w:cs="Arial"/>
          <w:szCs w:val="18"/>
        </w:rPr>
        <w:t xml:space="preserve"> similar to the products without film</w:t>
      </w:r>
      <w:r w:rsidR="00F62D16">
        <w:rPr>
          <w:rFonts w:cs="Arial"/>
          <w:szCs w:val="18"/>
        </w:rPr>
        <w:t xml:space="preserve"> </w:t>
      </w:r>
      <w:r w:rsidR="002E4026">
        <w:rPr>
          <w:rFonts w:cs="Arial"/>
          <w:szCs w:val="18"/>
        </w:rPr>
        <w:t>(</w:t>
      </w:r>
      <w:r w:rsidR="00F62D16">
        <w:rPr>
          <w:rFonts w:cs="Arial"/>
          <w:szCs w:val="18"/>
        </w:rPr>
        <w:t>p&gt; 0.05</w:t>
      </w:r>
      <w:r w:rsidR="002E4026">
        <w:rPr>
          <w:rFonts w:cs="Arial"/>
          <w:szCs w:val="18"/>
        </w:rPr>
        <w:t>)</w:t>
      </w:r>
      <w:r w:rsidR="006F03E5">
        <w:rPr>
          <w:rFonts w:cs="Arial"/>
          <w:szCs w:val="18"/>
        </w:rPr>
        <w:t xml:space="preserve"> </w:t>
      </w:r>
      <w:r w:rsidR="003158D6">
        <w:rPr>
          <w:rFonts w:cs="Arial"/>
          <w:szCs w:val="18"/>
        </w:rPr>
        <w:t>and increased TSS from 14</w:t>
      </w:r>
      <w:r w:rsidR="003158D6" w:rsidRPr="003158D6">
        <w:rPr>
          <w:rFonts w:cs="Arial"/>
          <w:szCs w:val="18"/>
          <w:vertAlign w:val="superscript"/>
        </w:rPr>
        <w:t>th</w:t>
      </w:r>
      <w:r w:rsidR="003158D6">
        <w:rPr>
          <w:rFonts w:cs="Arial"/>
          <w:szCs w:val="18"/>
        </w:rPr>
        <w:t xml:space="preserve"> day</w:t>
      </w:r>
      <w:r w:rsidR="00C3787A">
        <w:rPr>
          <w:rFonts w:cs="Arial"/>
          <w:szCs w:val="18"/>
        </w:rPr>
        <w:t xml:space="preserve"> of storage </w:t>
      </w:r>
      <w:r w:rsidR="002E4026">
        <w:rPr>
          <w:rFonts w:cs="Arial"/>
          <w:szCs w:val="18"/>
        </w:rPr>
        <w:t>(</w:t>
      </w:r>
      <w:r w:rsidR="00C3787A">
        <w:rPr>
          <w:rFonts w:cs="Arial"/>
          <w:szCs w:val="18"/>
        </w:rPr>
        <w:t>p ≤ 0.05</w:t>
      </w:r>
      <w:r w:rsidR="00752E30">
        <w:rPr>
          <w:rFonts w:cs="Arial"/>
          <w:szCs w:val="18"/>
        </w:rPr>
        <w:t>) but</w:t>
      </w:r>
      <w:r>
        <w:rPr>
          <w:rFonts w:cs="Arial"/>
          <w:szCs w:val="18"/>
        </w:rPr>
        <w:t xml:space="preserve"> </w:t>
      </w:r>
      <w:r w:rsidRPr="00096407">
        <w:rPr>
          <w:rFonts w:cs="Arial"/>
          <w:szCs w:val="18"/>
        </w:rPr>
        <w:t>reduced the mass loss of</w:t>
      </w:r>
      <w:r w:rsidR="00EC0F44">
        <w:rPr>
          <w:rFonts w:cs="Arial"/>
          <w:szCs w:val="18"/>
        </w:rPr>
        <w:t xml:space="preserve"> the</w:t>
      </w:r>
      <w:r w:rsidRPr="00096407">
        <w:rPr>
          <w:rFonts w:cs="Arial"/>
          <w:szCs w:val="18"/>
        </w:rPr>
        <w:t xml:space="preserve"> grapes</w:t>
      </w:r>
      <w:r w:rsidR="008422D7">
        <w:rPr>
          <w:rFonts w:cs="Arial"/>
          <w:szCs w:val="18"/>
        </w:rPr>
        <w:t xml:space="preserve"> and the TSS values</w:t>
      </w:r>
      <w:r w:rsidR="00AF2E39">
        <w:rPr>
          <w:rFonts w:cs="Arial"/>
          <w:szCs w:val="18"/>
        </w:rPr>
        <w:t xml:space="preserve"> (day 21)</w:t>
      </w:r>
      <w:r w:rsidR="00F62D16">
        <w:rPr>
          <w:rFonts w:cs="Arial"/>
          <w:szCs w:val="18"/>
        </w:rPr>
        <w:t xml:space="preserve"> (p ≤ 0.05)</w:t>
      </w:r>
      <w:r w:rsidRPr="00096407">
        <w:rPr>
          <w:rFonts w:cs="Arial"/>
          <w:szCs w:val="18"/>
        </w:rPr>
        <w:t>.</w:t>
      </w:r>
      <w:r w:rsidR="004E2612">
        <w:rPr>
          <w:rFonts w:cs="Arial"/>
          <w:szCs w:val="18"/>
        </w:rPr>
        <w:t xml:space="preserve"> </w:t>
      </w:r>
      <w:r w:rsidR="003624F1">
        <w:rPr>
          <w:rFonts w:cs="Arial"/>
          <w:szCs w:val="18"/>
        </w:rPr>
        <w:t>The m</w:t>
      </w:r>
      <w:r w:rsidR="003624F1" w:rsidRPr="003624F1">
        <w:rPr>
          <w:rFonts w:cs="Arial"/>
          <w:szCs w:val="18"/>
        </w:rPr>
        <w:t xml:space="preserve">ass loss during storage is a factor associated with quality loss, and the main objective of the application of </w:t>
      </w:r>
      <w:r w:rsidR="003624F1">
        <w:rPr>
          <w:rFonts w:cs="Arial"/>
          <w:szCs w:val="18"/>
        </w:rPr>
        <w:t>edible films</w:t>
      </w:r>
      <w:r w:rsidR="003624F1" w:rsidRPr="003624F1">
        <w:rPr>
          <w:rFonts w:cs="Arial"/>
          <w:szCs w:val="18"/>
        </w:rPr>
        <w:t xml:space="preserve"> is </w:t>
      </w:r>
      <w:r w:rsidR="003624F1">
        <w:rPr>
          <w:rFonts w:cs="Arial"/>
          <w:szCs w:val="18"/>
        </w:rPr>
        <w:t xml:space="preserve">its </w:t>
      </w:r>
      <w:r w:rsidR="003624F1" w:rsidRPr="003624F1">
        <w:rPr>
          <w:rFonts w:cs="Arial"/>
          <w:szCs w:val="18"/>
        </w:rPr>
        <w:t>control. The protection exerted by the</w:t>
      </w:r>
      <w:r w:rsidR="00927AC0">
        <w:rPr>
          <w:rFonts w:cs="Arial"/>
          <w:szCs w:val="18"/>
        </w:rPr>
        <w:t xml:space="preserve"> film</w:t>
      </w:r>
      <w:r w:rsidR="003624F1" w:rsidRPr="003624F1">
        <w:rPr>
          <w:rFonts w:cs="Arial"/>
          <w:szCs w:val="18"/>
        </w:rPr>
        <w:t xml:space="preserve"> </w:t>
      </w:r>
      <w:r w:rsidR="003624F1">
        <w:rPr>
          <w:rFonts w:cs="Arial"/>
          <w:szCs w:val="18"/>
        </w:rPr>
        <w:t>can be</w:t>
      </w:r>
      <w:r w:rsidR="003624F1" w:rsidRPr="003624F1">
        <w:rPr>
          <w:rFonts w:cs="Arial"/>
          <w:szCs w:val="18"/>
        </w:rPr>
        <w:t xml:space="preserve"> </w:t>
      </w:r>
      <w:r w:rsidR="003624F1">
        <w:rPr>
          <w:rFonts w:cs="Arial"/>
          <w:szCs w:val="18"/>
        </w:rPr>
        <w:t>related</w:t>
      </w:r>
      <w:r w:rsidR="003624F1" w:rsidRPr="003624F1">
        <w:rPr>
          <w:rFonts w:cs="Arial"/>
          <w:szCs w:val="18"/>
        </w:rPr>
        <w:t xml:space="preserve"> </w:t>
      </w:r>
      <w:r w:rsidR="003624F1">
        <w:rPr>
          <w:rFonts w:cs="Arial"/>
          <w:szCs w:val="18"/>
        </w:rPr>
        <w:t>to</w:t>
      </w:r>
      <w:r w:rsidR="003624F1" w:rsidRPr="003624F1">
        <w:rPr>
          <w:rFonts w:cs="Arial"/>
          <w:szCs w:val="18"/>
        </w:rPr>
        <w:t xml:space="preserve"> the </w:t>
      </w:r>
      <w:proofErr w:type="spellStart"/>
      <w:r w:rsidR="003624F1" w:rsidRPr="003624F1">
        <w:rPr>
          <w:rFonts w:cs="Arial"/>
          <w:szCs w:val="18"/>
        </w:rPr>
        <w:t>filmogenic</w:t>
      </w:r>
      <w:proofErr w:type="spellEnd"/>
      <w:r w:rsidR="003624F1" w:rsidRPr="003624F1">
        <w:rPr>
          <w:rFonts w:cs="Arial"/>
          <w:szCs w:val="18"/>
        </w:rPr>
        <w:t xml:space="preserve"> properties of the </w:t>
      </w:r>
      <w:r w:rsidR="003624F1">
        <w:rPr>
          <w:rFonts w:cs="Arial"/>
          <w:szCs w:val="18"/>
        </w:rPr>
        <w:t>WPI</w:t>
      </w:r>
      <w:r w:rsidR="003624F1" w:rsidRPr="003624F1">
        <w:rPr>
          <w:rFonts w:cs="Arial"/>
          <w:szCs w:val="18"/>
        </w:rPr>
        <w:t>, act</w:t>
      </w:r>
      <w:r w:rsidR="003624F1">
        <w:rPr>
          <w:rFonts w:cs="Arial"/>
          <w:szCs w:val="18"/>
        </w:rPr>
        <w:t>ing</w:t>
      </w:r>
      <w:r w:rsidR="003624F1" w:rsidRPr="003624F1">
        <w:rPr>
          <w:rFonts w:cs="Arial"/>
          <w:szCs w:val="18"/>
        </w:rPr>
        <w:t xml:space="preserve"> as a barrier to water vapor and gas exchange, reducing water loss through transpiration</w:t>
      </w:r>
      <w:r w:rsidR="004334FF">
        <w:rPr>
          <w:rFonts w:cs="Arial"/>
          <w:szCs w:val="18"/>
        </w:rPr>
        <w:t xml:space="preserve">, </w:t>
      </w:r>
      <w:r w:rsidR="004334FF" w:rsidRPr="004334FF">
        <w:rPr>
          <w:rFonts w:cs="Arial"/>
          <w:szCs w:val="18"/>
        </w:rPr>
        <w:t xml:space="preserve">the respiratory rate and metabolic activity, the use of metabolites and the hydrolysis of carbohydrates to sugars </w:t>
      </w:r>
      <w:r w:rsidR="003624F1" w:rsidRPr="003624F1">
        <w:rPr>
          <w:rFonts w:cs="Arial"/>
          <w:szCs w:val="18"/>
        </w:rPr>
        <w:t>(Hajji et al.</w:t>
      </w:r>
      <w:r w:rsidR="00927AC0">
        <w:rPr>
          <w:rFonts w:cs="Arial"/>
          <w:szCs w:val="18"/>
        </w:rPr>
        <w:t>,</w:t>
      </w:r>
      <w:r w:rsidR="003624F1" w:rsidRPr="003624F1">
        <w:rPr>
          <w:rFonts w:cs="Arial"/>
          <w:szCs w:val="18"/>
        </w:rPr>
        <w:t xml:space="preserve"> 2018).</w:t>
      </w:r>
      <w:r w:rsidR="004334FF">
        <w:rPr>
          <w:rFonts w:cs="Arial"/>
          <w:szCs w:val="18"/>
        </w:rPr>
        <w:t xml:space="preserve"> </w:t>
      </w:r>
      <w:r w:rsidR="00EC0F44">
        <w:rPr>
          <w:rFonts w:cs="Arial"/>
          <w:szCs w:val="18"/>
        </w:rPr>
        <w:t xml:space="preserve">Therefore, the application of the WPI </w:t>
      </w:r>
      <w:r w:rsidR="001262B1">
        <w:rPr>
          <w:rFonts w:cs="Arial"/>
          <w:szCs w:val="18"/>
        </w:rPr>
        <w:t>edible film contributed</w:t>
      </w:r>
      <w:r w:rsidR="001128ED">
        <w:rPr>
          <w:rFonts w:cs="Arial"/>
          <w:szCs w:val="18"/>
        </w:rPr>
        <w:t xml:space="preserve"> </w:t>
      </w:r>
      <w:r w:rsidR="001262B1">
        <w:rPr>
          <w:rFonts w:cs="Arial"/>
          <w:szCs w:val="18"/>
        </w:rPr>
        <w:t>to the maintenance of the characteristics of the grapes</w:t>
      </w:r>
      <w:r w:rsidR="006E61B2" w:rsidRPr="006E61B2">
        <w:rPr>
          <w:rFonts w:cs="Arial"/>
          <w:szCs w:val="18"/>
        </w:rPr>
        <w:t>, which shows a behavior different from the biofilms, depending on the material covered</w:t>
      </w:r>
      <w:r w:rsidR="00A11326">
        <w:rPr>
          <w:rFonts w:cs="Arial"/>
          <w:szCs w:val="18"/>
        </w:rPr>
        <w:t xml:space="preserve">. </w:t>
      </w:r>
    </w:p>
    <w:p w14:paraId="2CFD425B" w14:textId="77777777" w:rsidR="00D17B13" w:rsidRPr="003B1CBD" w:rsidRDefault="004A0AD9" w:rsidP="003B1CBD">
      <w:pPr>
        <w:pStyle w:val="CETBodytext"/>
      </w:pPr>
      <w:r w:rsidRPr="00096407">
        <w:rPr>
          <w:rFonts w:cs="Arial"/>
          <w:szCs w:val="18"/>
        </w:rPr>
        <w:t>The application of the film with probiotic culture resulted in lower TSS values in tomatoes</w:t>
      </w:r>
      <w:r w:rsidR="00BB3095">
        <w:rPr>
          <w:rFonts w:cs="Arial"/>
          <w:szCs w:val="18"/>
        </w:rPr>
        <w:t xml:space="preserve"> and grapes</w:t>
      </w:r>
      <w:r w:rsidR="004E0C5D">
        <w:rPr>
          <w:rFonts w:cs="Arial"/>
          <w:szCs w:val="18"/>
        </w:rPr>
        <w:t xml:space="preserve"> (day 21)</w:t>
      </w:r>
      <w:r w:rsidRPr="00096407">
        <w:rPr>
          <w:rFonts w:cs="Arial"/>
          <w:szCs w:val="18"/>
        </w:rPr>
        <w:t xml:space="preserve"> </w:t>
      </w:r>
      <w:r w:rsidR="00BB3095">
        <w:rPr>
          <w:rFonts w:cs="Arial"/>
          <w:szCs w:val="18"/>
        </w:rPr>
        <w:t>but</w:t>
      </w:r>
      <w:r w:rsidRPr="00096407">
        <w:rPr>
          <w:rFonts w:cs="Arial"/>
          <w:szCs w:val="18"/>
        </w:rPr>
        <w:t xml:space="preserve"> </w:t>
      </w:r>
      <w:r w:rsidR="00BB3095">
        <w:rPr>
          <w:rFonts w:cs="Arial"/>
          <w:szCs w:val="18"/>
        </w:rPr>
        <w:t>high</w:t>
      </w:r>
      <w:r w:rsidRPr="00096407">
        <w:rPr>
          <w:rFonts w:cs="Arial"/>
          <w:szCs w:val="18"/>
        </w:rPr>
        <w:t>er mass loss in grapes</w:t>
      </w:r>
      <w:r>
        <w:rPr>
          <w:rFonts w:cs="Arial"/>
          <w:szCs w:val="18"/>
        </w:rPr>
        <w:t xml:space="preserve"> </w:t>
      </w:r>
      <w:r w:rsidR="00A11326">
        <w:rPr>
          <w:rFonts w:cs="Arial"/>
          <w:szCs w:val="18"/>
        </w:rPr>
        <w:t>(p ≤ 0.05)</w:t>
      </w:r>
      <w:r w:rsidR="0034422E">
        <w:rPr>
          <w:rFonts w:cs="Arial"/>
          <w:szCs w:val="18"/>
        </w:rPr>
        <w:t xml:space="preserve"> than the product without film</w:t>
      </w:r>
      <w:r w:rsidR="00A11326">
        <w:rPr>
          <w:rFonts w:cs="Arial"/>
          <w:szCs w:val="18"/>
        </w:rPr>
        <w:t>.</w:t>
      </w:r>
      <w:r w:rsidR="00100F55">
        <w:rPr>
          <w:rFonts w:cs="Arial"/>
          <w:szCs w:val="18"/>
        </w:rPr>
        <w:t xml:space="preserve"> </w:t>
      </w:r>
      <w:r w:rsidR="00A10F04">
        <w:rPr>
          <w:rFonts w:cs="Arial"/>
          <w:szCs w:val="18"/>
        </w:rPr>
        <w:t xml:space="preserve">Therefore, </w:t>
      </w:r>
      <w:r w:rsidR="00100F55">
        <w:rPr>
          <w:rFonts w:cs="Arial"/>
          <w:szCs w:val="18"/>
        </w:rPr>
        <w:t xml:space="preserve">the </w:t>
      </w:r>
      <w:r w:rsidR="00EB2C52">
        <w:rPr>
          <w:rFonts w:cs="Arial"/>
          <w:szCs w:val="18"/>
        </w:rPr>
        <w:t xml:space="preserve">addition of </w:t>
      </w:r>
      <w:r w:rsidR="00143C17" w:rsidRPr="00143C17">
        <w:rPr>
          <w:rFonts w:cs="Arial"/>
          <w:szCs w:val="18"/>
        </w:rPr>
        <w:t>the probiotic</w:t>
      </w:r>
      <w:r w:rsidR="00EB2C52" w:rsidRPr="00143C17">
        <w:rPr>
          <w:rFonts w:cs="Arial"/>
          <w:szCs w:val="18"/>
        </w:rPr>
        <w:t xml:space="preserve"> </w:t>
      </w:r>
      <w:r w:rsidR="00EB2C52">
        <w:rPr>
          <w:rFonts w:cs="Arial"/>
          <w:szCs w:val="18"/>
        </w:rPr>
        <w:t>films</w:t>
      </w:r>
      <w:r w:rsidR="00A10F04">
        <w:rPr>
          <w:rFonts w:cs="Arial"/>
          <w:szCs w:val="18"/>
        </w:rPr>
        <w:t xml:space="preserve"> did not contribute to </w:t>
      </w:r>
      <w:r w:rsidR="006A30E9">
        <w:rPr>
          <w:rFonts w:cs="Arial"/>
          <w:szCs w:val="18"/>
        </w:rPr>
        <w:t>decrease</w:t>
      </w:r>
      <w:r w:rsidR="00A10F04">
        <w:rPr>
          <w:rFonts w:cs="Arial"/>
          <w:szCs w:val="18"/>
        </w:rPr>
        <w:t xml:space="preserve"> t</w:t>
      </w:r>
      <w:r w:rsidR="00C65DA0">
        <w:rPr>
          <w:rFonts w:cs="Arial"/>
          <w:szCs w:val="18"/>
        </w:rPr>
        <w:t>he</w:t>
      </w:r>
      <w:r w:rsidR="006A30E9">
        <w:rPr>
          <w:rFonts w:cs="Arial"/>
          <w:szCs w:val="18"/>
        </w:rPr>
        <w:t xml:space="preserve"> mass loss</w:t>
      </w:r>
      <w:r w:rsidR="00C65DA0">
        <w:rPr>
          <w:rFonts w:cs="Arial"/>
          <w:szCs w:val="18"/>
        </w:rPr>
        <w:t xml:space="preserve"> </w:t>
      </w:r>
      <w:r w:rsidR="006A30E9">
        <w:rPr>
          <w:rFonts w:cs="Arial"/>
          <w:szCs w:val="18"/>
        </w:rPr>
        <w:t>of the fruits</w:t>
      </w:r>
      <w:r w:rsidR="0005232C">
        <w:rPr>
          <w:rFonts w:cs="Arial"/>
          <w:szCs w:val="18"/>
        </w:rPr>
        <w:t xml:space="preserve"> but</w:t>
      </w:r>
      <w:r w:rsidR="00C65DA0">
        <w:rPr>
          <w:rFonts w:cs="Arial"/>
          <w:szCs w:val="18"/>
        </w:rPr>
        <w:t xml:space="preserve"> </w:t>
      </w:r>
      <w:r w:rsidR="0005232C">
        <w:rPr>
          <w:rFonts w:cs="Arial"/>
          <w:szCs w:val="18"/>
        </w:rPr>
        <w:t xml:space="preserve">retarded the </w:t>
      </w:r>
      <w:r w:rsidR="006A30E9">
        <w:rPr>
          <w:rFonts w:cs="Arial"/>
          <w:szCs w:val="18"/>
        </w:rPr>
        <w:t>increase in the TSS values</w:t>
      </w:r>
      <w:r w:rsidR="00A10F04">
        <w:rPr>
          <w:rFonts w:cs="Arial"/>
          <w:szCs w:val="18"/>
        </w:rPr>
        <w:t xml:space="preserve">. </w:t>
      </w:r>
    </w:p>
    <w:p w14:paraId="2CFD425C" w14:textId="77777777" w:rsidR="004D71A9" w:rsidRPr="000972FD" w:rsidRDefault="00DA1F6B" w:rsidP="00E114C1">
      <w:pPr>
        <w:pStyle w:val="CETHeading1"/>
      </w:pPr>
      <w:r w:rsidRPr="000972FD">
        <w:lastRenderedPageBreak/>
        <w:t>Conclus</w:t>
      </w:r>
      <w:r w:rsidR="00B73989">
        <w:t>ion</w:t>
      </w:r>
    </w:p>
    <w:p w14:paraId="2CFD425D" w14:textId="72C4E67D" w:rsidR="00604FB3" w:rsidRPr="003C40A3" w:rsidRDefault="00604FB3" w:rsidP="00604FB3">
      <w:pPr>
        <w:rPr>
          <w:rFonts w:ascii="Times New Roman" w:hAnsi="Times New Roman"/>
          <w:sz w:val="24"/>
          <w:szCs w:val="24"/>
          <w:lang w:val="en-US"/>
        </w:rPr>
      </w:pPr>
      <w:r w:rsidRPr="00096407">
        <w:rPr>
          <w:rFonts w:cs="Arial"/>
          <w:szCs w:val="18"/>
        </w:rPr>
        <w:t xml:space="preserve">It can be concluded that the use of </w:t>
      </w:r>
      <w:r>
        <w:rPr>
          <w:rFonts w:cs="Arial"/>
          <w:szCs w:val="18"/>
        </w:rPr>
        <w:t>WPI</w:t>
      </w:r>
      <w:r w:rsidRPr="00096407">
        <w:rPr>
          <w:rFonts w:cs="Arial"/>
          <w:szCs w:val="18"/>
        </w:rPr>
        <w:t xml:space="preserve"> originated films with </w:t>
      </w:r>
      <w:r>
        <w:rPr>
          <w:rFonts w:cs="Arial"/>
          <w:szCs w:val="18"/>
        </w:rPr>
        <w:t>suitable</w:t>
      </w:r>
      <w:r w:rsidRPr="00096407">
        <w:rPr>
          <w:rFonts w:cs="Arial"/>
          <w:szCs w:val="18"/>
        </w:rPr>
        <w:t xml:space="preserve"> characteristics and </w:t>
      </w:r>
      <w:r w:rsidR="0006658E">
        <w:rPr>
          <w:rFonts w:cs="Arial"/>
          <w:szCs w:val="18"/>
        </w:rPr>
        <w:t>could</w:t>
      </w:r>
      <w:r w:rsidRPr="00096407">
        <w:rPr>
          <w:rFonts w:cs="Arial"/>
          <w:szCs w:val="18"/>
        </w:rPr>
        <w:t xml:space="preserve"> increase the shelf life of grapes</w:t>
      </w:r>
      <w:r w:rsidR="001E18D8">
        <w:rPr>
          <w:rFonts w:cs="Arial"/>
          <w:szCs w:val="18"/>
        </w:rPr>
        <w:t xml:space="preserve"> but not tomatoes</w:t>
      </w:r>
      <w:r w:rsidRPr="00096407">
        <w:rPr>
          <w:rFonts w:cs="Arial"/>
          <w:szCs w:val="18"/>
        </w:rPr>
        <w:t>.</w:t>
      </w:r>
      <w:r w:rsidR="00766FDA">
        <w:rPr>
          <w:rFonts w:cs="Arial"/>
          <w:szCs w:val="18"/>
        </w:rPr>
        <w:t xml:space="preserve"> </w:t>
      </w:r>
      <w:r w:rsidR="00766FDA" w:rsidRPr="00A11326">
        <w:rPr>
          <w:rFonts w:cs="Arial"/>
          <w:szCs w:val="18"/>
        </w:rPr>
        <w:t>The</w:t>
      </w:r>
      <w:r w:rsidR="001E18D8">
        <w:rPr>
          <w:rFonts w:cs="Arial"/>
          <w:szCs w:val="18"/>
        </w:rPr>
        <w:t>refore, the</w:t>
      </w:r>
      <w:r w:rsidR="00766FDA" w:rsidRPr="00A11326">
        <w:rPr>
          <w:rFonts w:cs="Arial"/>
          <w:szCs w:val="18"/>
        </w:rPr>
        <w:t xml:space="preserve"> applicability of the film is dependent on the fruit used.</w:t>
      </w:r>
      <w:r w:rsidR="00766FDA" w:rsidRPr="00F8135D">
        <w:rPr>
          <w:rFonts w:ascii="Times New Roman" w:hAnsi="Times New Roman"/>
          <w:sz w:val="24"/>
          <w:szCs w:val="24"/>
        </w:rPr>
        <w:t xml:space="preserve"> </w:t>
      </w:r>
      <w:r w:rsidRPr="00096407">
        <w:rPr>
          <w:rFonts w:cs="Arial"/>
          <w:szCs w:val="18"/>
        </w:rPr>
        <w:t xml:space="preserve">The addition of </w:t>
      </w:r>
      <w:r w:rsidRPr="00096407">
        <w:rPr>
          <w:rFonts w:cs="Arial"/>
          <w:i/>
          <w:szCs w:val="18"/>
        </w:rPr>
        <w:t xml:space="preserve">L. </w:t>
      </w:r>
      <w:proofErr w:type="spellStart"/>
      <w:r w:rsidRPr="00096407">
        <w:rPr>
          <w:rFonts w:cs="Arial"/>
          <w:i/>
          <w:szCs w:val="18"/>
        </w:rPr>
        <w:t>casei</w:t>
      </w:r>
      <w:proofErr w:type="spellEnd"/>
      <w:r w:rsidRPr="00096407">
        <w:rPr>
          <w:rFonts w:cs="Arial"/>
          <w:szCs w:val="18"/>
        </w:rPr>
        <w:t xml:space="preserve"> resulted in</w:t>
      </w:r>
      <w:r w:rsidR="003C40A3">
        <w:rPr>
          <w:rFonts w:cs="Arial"/>
          <w:szCs w:val="18"/>
        </w:rPr>
        <w:t xml:space="preserve"> alterations</w:t>
      </w:r>
      <w:r w:rsidRPr="00096407">
        <w:rPr>
          <w:rFonts w:cs="Arial"/>
          <w:szCs w:val="18"/>
        </w:rPr>
        <w:t xml:space="preserve"> </w:t>
      </w:r>
      <w:r w:rsidR="0032056A">
        <w:rPr>
          <w:rFonts w:cs="Arial"/>
          <w:szCs w:val="18"/>
        </w:rPr>
        <w:t>on</w:t>
      </w:r>
      <w:r w:rsidRPr="00096407">
        <w:rPr>
          <w:rFonts w:cs="Arial"/>
          <w:szCs w:val="18"/>
        </w:rPr>
        <w:t xml:space="preserve"> the mechanical properties of the films</w:t>
      </w:r>
      <w:r w:rsidR="00C26914">
        <w:rPr>
          <w:rFonts w:cs="Arial"/>
          <w:szCs w:val="18"/>
        </w:rPr>
        <w:t xml:space="preserve"> </w:t>
      </w:r>
      <w:r w:rsidR="006E61B2">
        <w:rPr>
          <w:rFonts w:cs="Arial"/>
          <w:szCs w:val="18"/>
        </w:rPr>
        <w:t xml:space="preserve">as </w:t>
      </w:r>
      <w:r w:rsidR="00C7719E" w:rsidRPr="00C7719E">
        <w:rPr>
          <w:rFonts w:cs="Arial"/>
          <w:szCs w:val="18"/>
        </w:rPr>
        <w:t xml:space="preserve">higher strength and lower </w:t>
      </w:r>
      <w:r w:rsidR="00752E30" w:rsidRPr="00C7719E">
        <w:rPr>
          <w:rFonts w:cs="Arial"/>
          <w:szCs w:val="18"/>
        </w:rPr>
        <w:t>elasticity</w:t>
      </w:r>
      <w:r w:rsidR="00752E30" w:rsidRPr="00096407">
        <w:rPr>
          <w:rFonts w:cs="Arial"/>
          <w:szCs w:val="18"/>
        </w:rPr>
        <w:t xml:space="preserve"> </w:t>
      </w:r>
      <w:r w:rsidR="00752E30">
        <w:rPr>
          <w:rFonts w:cs="Arial"/>
          <w:szCs w:val="18"/>
        </w:rPr>
        <w:t>besides</w:t>
      </w:r>
      <w:r w:rsidR="006E61B2">
        <w:rPr>
          <w:rFonts w:cs="Arial"/>
          <w:szCs w:val="18"/>
        </w:rPr>
        <w:t xml:space="preserve"> the </w:t>
      </w:r>
      <w:r>
        <w:rPr>
          <w:rFonts w:cs="Arial"/>
          <w:szCs w:val="18"/>
        </w:rPr>
        <w:t>suitable probiotic</w:t>
      </w:r>
      <w:r w:rsidRPr="00096407">
        <w:rPr>
          <w:rFonts w:cs="Arial"/>
          <w:szCs w:val="18"/>
        </w:rPr>
        <w:t xml:space="preserve"> counts for 14 days, </w:t>
      </w:r>
      <w:r w:rsidR="006E61B2" w:rsidRPr="006E61B2">
        <w:rPr>
          <w:rFonts w:cs="Arial"/>
          <w:szCs w:val="18"/>
        </w:rPr>
        <w:t>with a positive effect on the fruit ripening process evidenced by the lower SST.</w:t>
      </w:r>
      <w:r w:rsidR="003C40A3">
        <w:rPr>
          <w:rFonts w:cs="Arial"/>
          <w:szCs w:val="18"/>
        </w:rPr>
        <w:t xml:space="preserve"> This study proved that the </w:t>
      </w:r>
      <w:r w:rsidR="003C40A3" w:rsidRPr="00E42CE0">
        <w:rPr>
          <w:rFonts w:cs="Arial"/>
          <w:i/>
          <w:szCs w:val="18"/>
        </w:rPr>
        <w:t xml:space="preserve">L. </w:t>
      </w:r>
      <w:proofErr w:type="spellStart"/>
      <w:r w:rsidR="003C40A3" w:rsidRPr="00E42CE0">
        <w:rPr>
          <w:rFonts w:cs="Arial"/>
          <w:i/>
          <w:szCs w:val="18"/>
        </w:rPr>
        <w:t>casei</w:t>
      </w:r>
      <w:proofErr w:type="spellEnd"/>
      <w:r w:rsidR="003C40A3" w:rsidRPr="00E42CE0">
        <w:rPr>
          <w:rFonts w:cs="Arial"/>
          <w:i/>
          <w:szCs w:val="18"/>
        </w:rPr>
        <w:t xml:space="preserve"> </w:t>
      </w:r>
      <w:r w:rsidR="003C40A3">
        <w:rPr>
          <w:rFonts w:cs="Arial"/>
          <w:szCs w:val="18"/>
        </w:rPr>
        <w:t xml:space="preserve">probiotic culture was able to survive in the WPI films for 14 days at 25 </w:t>
      </w:r>
      <w:proofErr w:type="spellStart"/>
      <w:r w:rsidR="003C40A3">
        <w:rPr>
          <w:rFonts w:cs="Arial"/>
          <w:szCs w:val="18"/>
          <w:vertAlign w:val="superscript"/>
        </w:rPr>
        <w:t>o</w:t>
      </w:r>
      <w:r w:rsidR="003C40A3">
        <w:rPr>
          <w:rFonts w:cs="Arial"/>
          <w:szCs w:val="18"/>
        </w:rPr>
        <w:t>C</w:t>
      </w:r>
      <w:proofErr w:type="spellEnd"/>
      <w:r w:rsidR="0006658E">
        <w:rPr>
          <w:rFonts w:cs="Arial"/>
          <w:szCs w:val="18"/>
        </w:rPr>
        <w:t xml:space="preserve"> and could be incorporated in WPI films. </w:t>
      </w:r>
      <w:r w:rsidR="00000F64">
        <w:t xml:space="preserve">The incorporation of a probiotic edible film in fruits could be an alternative to </w:t>
      </w:r>
      <w:r w:rsidR="008524F6">
        <w:t>prolong the ripening process</w:t>
      </w:r>
      <w:r w:rsidR="00000F64">
        <w:t xml:space="preserve"> and provide health benefits to the consumer.</w:t>
      </w:r>
      <w:r w:rsidR="00622AF8">
        <w:rPr>
          <w:rFonts w:cs="Arial"/>
          <w:szCs w:val="18"/>
        </w:rPr>
        <w:t xml:space="preserve"> </w:t>
      </w:r>
    </w:p>
    <w:p w14:paraId="2CFD425E" w14:textId="77777777" w:rsidR="001A6DD9" w:rsidRPr="00C43C8B" w:rsidRDefault="004D71A9" w:rsidP="001A6DD9">
      <w:pPr>
        <w:pStyle w:val="CETBodytext"/>
      </w:pPr>
      <w:r w:rsidRPr="000972FD">
        <w:tab/>
      </w:r>
      <w:r w:rsidR="006F2591" w:rsidRPr="00C43C8B">
        <w:t xml:space="preserve"> </w:t>
      </w:r>
    </w:p>
    <w:p w14:paraId="2CFD425F" w14:textId="77777777" w:rsidR="00600535" w:rsidRPr="00252F5E" w:rsidRDefault="00600535" w:rsidP="001A6DD9">
      <w:pPr>
        <w:pStyle w:val="CETBodytext"/>
        <w:rPr>
          <w:b/>
        </w:rPr>
      </w:pPr>
      <w:r w:rsidRPr="00252F5E">
        <w:rPr>
          <w:b/>
          <w:color w:val="000000" w:themeColor="text1"/>
        </w:rPr>
        <w:t>References</w:t>
      </w:r>
    </w:p>
    <w:p w14:paraId="2CFD4260" w14:textId="77777777" w:rsidR="0035679C" w:rsidRDefault="00F772F5" w:rsidP="0035679C">
      <w:pPr>
        <w:pStyle w:val="Referncias"/>
        <w:spacing w:after="0" w:line="240" w:lineRule="auto"/>
        <w:ind w:left="284" w:hanging="284"/>
        <w:rPr>
          <w:rFonts w:cs="Arial"/>
          <w:sz w:val="18"/>
          <w:szCs w:val="18"/>
          <w:lang w:val="en-GB" w:eastAsia="en-US"/>
        </w:rPr>
      </w:pPr>
      <w:r w:rsidRPr="00F772F5">
        <w:rPr>
          <w:rFonts w:cs="Arial"/>
          <w:sz w:val="18"/>
          <w:szCs w:val="18"/>
          <w:lang w:val="en-GB" w:eastAsia="en-US"/>
        </w:rPr>
        <w:t>ASTM</w:t>
      </w:r>
      <w:r w:rsidR="008E41F0">
        <w:rPr>
          <w:rFonts w:cs="Arial"/>
          <w:sz w:val="18"/>
          <w:szCs w:val="18"/>
          <w:lang w:val="en-GB" w:eastAsia="en-US"/>
        </w:rPr>
        <w:t xml:space="preserve">, </w:t>
      </w:r>
      <w:r w:rsidRPr="00F772F5">
        <w:rPr>
          <w:rFonts w:cs="Arial"/>
          <w:sz w:val="18"/>
          <w:szCs w:val="18"/>
          <w:lang w:val="en-GB" w:eastAsia="en-US"/>
        </w:rPr>
        <w:t>American Standar</w:t>
      </w:r>
      <w:bookmarkStart w:id="0" w:name="_GoBack"/>
      <w:bookmarkEnd w:id="0"/>
      <w:r w:rsidRPr="00F772F5">
        <w:rPr>
          <w:rFonts w:cs="Arial"/>
          <w:sz w:val="18"/>
          <w:szCs w:val="18"/>
          <w:lang w:val="en-GB" w:eastAsia="en-US"/>
        </w:rPr>
        <w:t>d Testing Methods</w:t>
      </w:r>
      <w:r w:rsidR="008E41F0">
        <w:rPr>
          <w:rFonts w:cs="Arial"/>
          <w:sz w:val="18"/>
          <w:szCs w:val="18"/>
          <w:lang w:val="en-GB" w:eastAsia="en-US"/>
        </w:rPr>
        <w:t xml:space="preserve">, </w:t>
      </w:r>
      <w:r w:rsidRPr="00F772F5">
        <w:rPr>
          <w:rFonts w:cs="Arial"/>
          <w:sz w:val="18"/>
          <w:szCs w:val="18"/>
          <w:lang w:val="en-GB" w:eastAsia="en-US"/>
        </w:rPr>
        <w:t>Tensile properties of thin plastic sheeting. Annual Book of American Standard Testing Methods, American Society for Testing and Materials, Philadelphia, D 882-10, 2010.</w:t>
      </w:r>
    </w:p>
    <w:p w14:paraId="2CFD4261" w14:textId="77777777" w:rsidR="00F772F5" w:rsidRPr="0035679C" w:rsidRDefault="008E41F0" w:rsidP="0035679C">
      <w:pPr>
        <w:pStyle w:val="Referncias"/>
        <w:spacing w:after="0" w:line="240" w:lineRule="auto"/>
        <w:ind w:left="284" w:hanging="284"/>
        <w:rPr>
          <w:rFonts w:cs="Arial"/>
          <w:sz w:val="18"/>
          <w:szCs w:val="18"/>
          <w:lang w:val="en-GB" w:eastAsia="en-US"/>
        </w:rPr>
      </w:pPr>
      <w:r w:rsidRPr="00F772F5">
        <w:rPr>
          <w:rFonts w:cs="Arial"/>
          <w:sz w:val="18"/>
          <w:szCs w:val="18"/>
          <w:lang w:val="en-GB" w:eastAsia="en-US"/>
        </w:rPr>
        <w:t>ASTM</w:t>
      </w:r>
      <w:r>
        <w:rPr>
          <w:rFonts w:cs="Arial"/>
          <w:sz w:val="18"/>
          <w:szCs w:val="18"/>
          <w:lang w:val="en-GB" w:eastAsia="en-US"/>
        </w:rPr>
        <w:t xml:space="preserve">, </w:t>
      </w:r>
      <w:r w:rsidRPr="00F772F5">
        <w:rPr>
          <w:rFonts w:cs="Arial"/>
          <w:sz w:val="18"/>
          <w:szCs w:val="18"/>
          <w:lang w:val="en-GB" w:eastAsia="en-US"/>
        </w:rPr>
        <w:t>American Standard Testing Methods</w:t>
      </w:r>
      <w:r>
        <w:rPr>
          <w:rFonts w:cs="Arial"/>
          <w:sz w:val="18"/>
          <w:szCs w:val="18"/>
          <w:lang w:val="en-GB" w:eastAsia="en-US"/>
        </w:rPr>
        <w:t xml:space="preserve">, </w:t>
      </w:r>
      <w:r w:rsidR="00F772F5" w:rsidRPr="00F772F5">
        <w:rPr>
          <w:rFonts w:cs="Arial"/>
          <w:sz w:val="18"/>
          <w:szCs w:val="18"/>
          <w:lang w:val="en-GB" w:eastAsia="en-US"/>
        </w:rPr>
        <w:t>Standard test method for water vapor transmission of materials. Standard Designation: E96-95. In: ______. Annual Book of American Standard Testing Methods. Philadelphia: ASTM, p 785-792,1995.</w:t>
      </w:r>
    </w:p>
    <w:p w14:paraId="2CFD4262" w14:textId="77777777" w:rsidR="006065B7" w:rsidRDefault="006065B7" w:rsidP="003D0FE1">
      <w:pPr>
        <w:pStyle w:val="CETReferencetext"/>
        <w:rPr>
          <w:rFonts w:cs="Arial"/>
          <w:szCs w:val="18"/>
        </w:rPr>
      </w:pPr>
      <w:proofErr w:type="spellStart"/>
      <w:r w:rsidRPr="00581F3F">
        <w:rPr>
          <w:rFonts w:cs="Arial"/>
          <w:szCs w:val="18"/>
        </w:rPr>
        <w:t>Auclair</w:t>
      </w:r>
      <w:proofErr w:type="spellEnd"/>
      <w:r w:rsidRPr="00581F3F">
        <w:rPr>
          <w:rFonts w:cs="Arial"/>
          <w:szCs w:val="18"/>
        </w:rPr>
        <w:t xml:space="preserve"> J., </w:t>
      </w:r>
      <w:proofErr w:type="spellStart"/>
      <w:r w:rsidRPr="00581F3F">
        <w:rPr>
          <w:rFonts w:cs="Arial"/>
          <w:szCs w:val="18"/>
        </w:rPr>
        <w:t>Frappier</w:t>
      </w:r>
      <w:proofErr w:type="spellEnd"/>
      <w:r w:rsidRPr="00581F3F">
        <w:rPr>
          <w:rFonts w:cs="Arial"/>
          <w:szCs w:val="18"/>
        </w:rPr>
        <w:t xml:space="preserve"> M.,</w:t>
      </w:r>
      <w:r w:rsidR="002226EC" w:rsidRPr="00581F3F">
        <w:rPr>
          <w:rFonts w:cs="Arial"/>
          <w:szCs w:val="18"/>
        </w:rPr>
        <w:t xml:space="preserve"> </w:t>
      </w:r>
      <w:proofErr w:type="spellStart"/>
      <w:r w:rsidRPr="00581F3F">
        <w:rPr>
          <w:rFonts w:cs="Arial"/>
          <w:szCs w:val="18"/>
        </w:rPr>
        <w:t>Millette</w:t>
      </w:r>
      <w:proofErr w:type="spellEnd"/>
      <w:r w:rsidRPr="00581F3F">
        <w:rPr>
          <w:rFonts w:cs="Arial"/>
          <w:szCs w:val="18"/>
        </w:rPr>
        <w:t xml:space="preserve"> M.</w:t>
      </w:r>
      <w:r w:rsidR="002226EC" w:rsidRPr="00581F3F">
        <w:rPr>
          <w:rFonts w:cs="Arial"/>
          <w:szCs w:val="18"/>
        </w:rPr>
        <w:t xml:space="preserve">, </w:t>
      </w:r>
      <w:r w:rsidRPr="00581F3F">
        <w:rPr>
          <w:rFonts w:cs="Arial"/>
          <w:szCs w:val="18"/>
        </w:rPr>
        <w:t>2015</w:t>
      </w:r>
      <w:r w:rsidR="002226EC" w:rsidRPr="00581F3F">
        <w:rPr>
          <w:rFonts w:cs="Arial"/>
          <w:i/>
          <w:szCs w:val="18"/>
        </w:rPr>
        <w:t xml:space="preserve">, </w:t>
      </w:r>
      <w:r w:rsidRPr="00581F3F">
        <w:rPr>
          <w:rFonts w:cs="Arial"/>
          <w:i/>
          <w:szCs w:val="18"/>
        </w:rPr>
        <w:t>Lactobacillus acidophilus</w:t>
      </w:r>
      <w:r w:rsidRPr="00581F3F">
        <w:rPr>
          <w:rFonts w:cs="Arial"/>
          <w:szCs w:val="18"/>
        </w:rPr>
        <w:t xml:space="preserve"> C1285, </w:t>
      </w:r>
      <w:r w:rsidRPr="00581F3F">
        <w:rPr>
          <w:rFonts w:cs="Arial"/>
          <w:i/>
          <w:szCs w:val="18"/>
        </w:rPr>
        <w:t xml:space="preserve">L. </w:t>
      </w:r>
      <w:proofErr w:type="spellStart"/>
      <w:r w:rsidRPr="00581F3F">
        <w:rPr>
          <w:rFonts w:cs="Arial"/>
          <w:i/>
          <w:szCs w:val="18"/>
        </w:rPr>
        <w:t>casei</w:t>
      </w:r>
      <w:proofErr w:type="spellEnd"/>
      <w:r w:rsidRPr="00581F3F">
        <w:rPr>
          <w:rFonts w:cs="Arial"/>
          <w:szCs w:val="18"/>
        </w:rPr>
        <w:t xml:space="preserve"> LBC80R and </w:t>
      </w:r>
      <w:r w:rsidRPr="00581F3F">
        <w:rPr>
          <w:rFonts w:cs="Arial"/>
          <w:i/>
          <w:szCs w:val="18"/>
        </w:rPr>
        <w:t xml:space="preserve">L. </w:t>
      </w:r>
      <w:proofErr w:type="spellStart"/>
      <w:r w:rsidRPr="00581F3F">
        <w:rPr>
          <w:rFonts w:cs="Arial"/>
          <w:i/>
          <w:szCs w:val="18"/>
        </w:rPr>
        <w:t>rhamnosus</w:t>
      </w:r>
      <w:proofErr w:type="spellEnd"/>
      <w:r w:rsidRPr="00581F3F">
        <w:rPr>
          <w:rFonts w:cs="Arial"/>
          <w:szCs w:val="18"/>
        </w:rPr>
        <w:t xml:space="preserve"> CLR2 (Bio-K+): Characterization, manufacture, mechanisms of action and quality control of a specific probiotic combination for primary prevention of Clostridium difficile infections</w:t>
      </w:r>
      <w:r w:rsidR="00581F3F" w:rsidRPr="00581F3F">
        <w:rPr>
          <w:rFonts w:cs="Arial"/>
          <w:szCs w:val="18"/>
        </w:rPr>
        <w:t>, Clinical Infectious Diseases, 60, 135-143.</w:t>
      </w:r>
    </w:p>
    <w:p w14:paraId="2CFD4263" w14:textId="77777777" w:rsidR="001C18B4" w:rsidRPr="001C18B4" w:rsidRDefault="001C18B4" w:rsidP="003D0FE1">
      <w:pPr>
        <w:pStyle w:val="CETReferencetext"/>
        <w:rPr>
          <w:rFonts w:cs="Arial"/>
          <w:szCs w:val="18"/>
          <w:lang w:val="en-US"/>
        </w:rPr>
      </w:pPr>
      <w:proofErr w:type="spellStart"/>
      <w:r w:rsidRPr="001C18B4">
        <w:rPr>
          <w:rFonts w:cs="Arial"/>
          <w:szCs w:val="18"/>
        </w:rPr>
        <w:t>Aydogdu</w:t>
      </w:r>
      <w:proofErr w:type="spellEnd"/>
      <w:r w:rsidRPr="001C18B4">
        <w:rPr>
          <w:rFonts w:cs="Arial"/>
          <w:szCs w:val="18"/>
        </w:rPr>
        <w:t xml:space="preserve"> A., </w:t>
      </w:r>
      <w:proofErr w:type="spellStart"/>
      <w:r w:rsidRPr="001C18B4">
        <w:rPr>
          <w:rFonts w:cs="Arial"/>
          <w:szCs w:val="18"/>
        </w:rPr>
        <w:t>Kirtil</w:t>
      </w:r>
      <w:proofErr w:type="spellEnd"/>
      <w:r w:rsidRPr="001C18B4">
        <w:rPr>
          <w:rFonts w:cs="Arial"/>
          <w:szCs w:val="18"/>
        </w:rPr>
        <w:t xml:space="preserve"> E., </w:t>
      </w:r>
      <w:proofErr w:type="spellStart"/>
      <w:r w:rsidRPr="001C18B4">
        <w:rPr>
          <w:rFonts w:cs="Arial"/>
          <w:szCs w:val="18"/>
        </w:rPr>
        <w:t>Sumnu</w:t>
      </w:r>
      <w:proofErr w:type="spellEnd"/>
      <w:r w:rsidRPr="001C18B4">
        <w:rPr>
          <w:rFonts w:cs="Arial"/>
          <w:szCs w:val="18"/>
        </w:rPr>
        <w:t xml:space="preserve"> G., </w:t>
      </w:r>
      <w:proofErr w:type="spellStart"/>
      <w:r w:rsidRPr="001C18B4">
        <w:rPr>
          <w:rFonts w:cs="Arial"/>
          <w:szCs w:val="18"/>
        </w:rPr>
        <w:t>Oztop</w:t>
      </w:r>
      <w:proofErr w:type="spellEnd"/>
      <w:r w:rsidRPr="001C18B4">
        <w:rPr>
          <w:rFonts w:cs="Arial"/>
          <w:szCs w:val="18"/>
        </w:rPr>
        <w:t xml:space="preserve"> M.H., </w:t>
      </w:r>
      <w:proofErr w:type="spellStart"/>
      <w:r w:rsidRPr="001C18B4">
        <w:rPr>
          <w:rFonts w:cs="Arial"/>
          <w:szCs w:val="18"/>
        </w:rPr>
        <w:t>Aydogdu</w:t>
      </w:r>
      <w:proofErr w:type="spellEnd"/>
      <w:r w:rsidRPr="001C18B4">
        <w:rPr>
          <w:rFonts w:cs="Arial"/>
          <w:szCs w:val="18"/>
        </w:rPr>
        <w:t xml:space="preserve"> Y</w:t>
      </w:r>
      <w:r>
        <w:rPr>
          <w:rFonts w:cs="Arial"/>
          <w:szCs w:val="18"/>
        </w:rPr>
        <w:t>.,</w:t>
      </w:r>
      <w:r w:rsidRPr="001C18B4">
        <w:rPr>
          <w:rFonts w:cs="Arial"/>
          <w:szCs w:val="18"/>
        </w:rPr>
        <w:t xml:space="preserve"> 2018</w:t>
      </w:r>
      <w:r>
        <w:rPr>
          <w:rFonts w:cs="Arial"/>
          <w:szCs w:val="18"/>
        </w:rPr>
        <w:t>,</w:t>
      </w:r>
      <w:r w:rsidRPr="001C18B4">
        <w:rPr>
          <w:rFonts w:cs="Arial"/>
          <w:szCs w:val="18"/>
        </w:rPr>
        <w:t xml:space="preserve"> Utilization of lentil flour as a biopolymer source for the development of edible films</w:t>
      </w:r>
      <w:r>
        <w:rPr>
          <w:rFonts w:cs="Arial"/>
          <w:szCs w:val="18"/>
        </w:rPr>
        <w:t>,</w:t>
      </w:r>
      <w:r w:rsidRPr="001C18B4">
        <w:rPr>
          <w:rFonts w:cs="Arial"/>
          <w:szCs w:val="18"/>
        </w:rPr>
        <w:t xml:space="preserve"> </w:t>
      </w:r>
      <w:r w:rsidRPr="001C18B4">
        <w:rPr>
          <w:rFonts w:cs="Arial"/>
          <w:iCs/>
          <w:szCs w:val="18"/>
        </w:rPr>
        <w:t>Journal of Applied Polymer Science</w:t>
      </w:r>
      <w:r w:rsidRPr="001C18B4">
        <w:rPr>
          <w:rFonts w:cs="Arial"/>
          <w:szCs w:val="18"/>
        </w:rPr>
        <w:t xml:space="preserve">, </w:t>
      </w:r>
      <w:r w:rsidRPr="001C18B4">
        <w:rPr>
          <w:rFonts w:cs="Arial"/>
          <w:iCs/>
          <w:szCs w:val="18"/>
        </w:rPr>
        <w:t>135</w:t>
      </w:r>
      <w:r w:rsidRPr="001C18B4">
        <w:rPr>
          <w:rFonts w:cs="Arial"/>
          <w:szCs w:val="18"/>
        </w:rPr>
        <w:t>(23), 46356.</w:t>
      </w:r>
    </w:p>
    <w:p w14:paraId="2CFD4264" w14:textId="77777777" w:rsidR="003D0FE1" w:rsidRPr="003D0FE1" w:rsidRDefault="00C46C2C" w:rsidP="003D0FE1">
      <w:pPr>
        <w:pStyle w:val="CETReferencetext"/>
        <w:rPr>
          <w:szCs w:val="18"/>
        </w:rPr>
      </w:pPr>
      <w:proofErr w:type="spellStart"/>
      <w:r w:rsidRPr="003D0FE1">
        <w:rPr>
          <w:rFonts w:cs="Arial"/>
          <w:szCs w:val="18"/>
          <w:lang w:val="en-US"/>
        </w:rPr>
        <w:t>Espitia</w:t>
      </w:r>
      <w:proofErr w:type="spellEnd"/>
      <w:r w:rsidRPr="003D0FE1">
        <w:rPr>
          <w:rFonts w:cs="Arial"/>
          <w:szCs w:val="18"/>
          <w:lang w:val="en-US"/>
        </w:rPr>
        <w:t xml:space="preserve"> P.J., Batista R.A., </w:t>
      </w:r>
      <w:proofErr w:type="spellStart"/>
      <w:r w:rsidRPr="003D0FE1">
        <w:rPr>
          <w:rFonts w:cs="Arial"/>
          <w:szCs w:val="18"/>
          <w:lang w:val="en-US"/>
        </w:rPr>
        <w:t>Azeredo</w:t>
      </w:r>
      <w:proofErr w:type="spellEnd"/>
      <w:r w:rsidRPr="003D0FE1">
        <w:rPr>
          <w:rFonts w:cs="Arial"/>
          <w:szCs w:val="18"/>
          <w:lang w:val="en-US"/>
        </w:rPr>
        <w:t xml:space="preserve"> H.M.,</w:t>
      </w:r>
      <w:r w:rsidR="0031377C" w:rsidRPr="003D0FE1">
        <w:rPr>
          <w:rFonts w:cs="Arial"/>
          <w:szCs w:val="18"/>
          <w:lang w:val="en-US"/>
        </w:rPr>
        <w:t xml:space="preserve"> </w:t>
      </w:r>
      <w:proofErr w:type="spellStart"/>
      <w:r w:rsidRPr="003D0FE1">
        <w:rPr>
          <w:rFonts w:cs="Arial"/>
          <w:szCs w:val="18"/>
          <w:lang w:val="en-US"/>
        </w:rPr>
        <w:t>Otoni</w:t>
      </w:r>
      <w:proofErr w:type="spellEnd"/>
      <w:r w:rsidRPr="003D0FE1">
        <w:rPr>
          <w:rFonts w:cs="Arial"/>
          <w:szCs w:val="18"/>
          <w:lang w:val="en-US"/>
        </w:rPr>
        <w:t xml:space="preserve"> C. G.</w:t>
      </w:r>
      <w:r w:rsidR="0031377C" w:rsidRPr="003D0FE1">
        <w:rPr>
          <w:rFonts w:cs="Arial"/>
          <w:szCs w:val="18"/>
          <w:lang w:val="en-US"/>
        </w:rPr>
        <w:t xml:space="preserve">, </w:t>
      </w:r>
      <w:r w:rsidRPr="003D0FE1">
        <w:rPr>
          <w:rFonts w:cs="Arial"/>
          <w:szCs w:val="18"/>
          <w:lang w:val="en-US"/>
        </w:rPr>
        <w:t>2016</w:t>
      </w:r>
      <w:r w:rsidR="006F5C9D" w:rsidRPr="003D0FE1">
        <w:rPr>
          <w:rFonts w:cs="Arial"/>
          <w:szCs w:val="18"/>
          <w:lang w:val="en-US"/>
        </w:rPr>
        <w:t>,</w:t>
      </w:r>
      <w:r w:rsidRPr="003D0FE1">
        <w:rPr>
          <w:rFonts w:cs="Arial"/>
          <w:szCs w:val="18"/>
          <w:lang w:val="en-US"/>
        </w:rPr>
        <w:t xml:space="preserve"> </w:t>
      </w:r>
      <w:r w:rsidRPr="003D0FE1">
        <w:rPr>
          <w:rFonts w:cs="Arial"/>
          <w:szCs w:val="18"/>
        </w:rPr>
        <w:t>Probiotics and their potential applications in active edible films and coatings</w:t>
      </w:r>
      <w:r w:rsidR="006F5C9D" w:rsidRPr="003D0FE1">
        <w:rPr>
          <w:rFonts w:cs="Arial"/>
          <w:szCs w:val="18"/>
        </w:rPr>
        <w:t>,</w:t>
      </w:r>
      <w:r w:rsidRPr="003D0FE1">
        <w:rPr>
          <w:rFonts w:cs="Arial"/>
          <w:szCs w:val="18"/>
        </w:rPr>
        <w:t xml:space="preserve"> </w:t>
      </w:r>
      <w:r w:rsidRPr="003D0FE1">
        <w:rPr>
          <w:rFonts w:cs="Arial"/>
          <w:iCs/>
          <w:szCs w:val="18"/>
        </w:rPr>
        <w:t>Food Research International</w:t>
      </w:r>
      <w:r w:rsidRPr="003D0FE1">
        <w:rPr>
          <w:rFonts w:cs="Arial"/>
          <w:szCs w:val="18"/>
        </w:rPr>
        <w:t xml:space="preserve">, </w:t>
      </w:r>
      <w:r w:rsidRPr="003D0FE1">
        <w:rPr>
          <w:rFonts w:cs="Arial"/>
          <w:iCs/>
          <w:szCs w:val="18"/>
        </w:rPr>
        <w:t>90</w:t>
      </w:r>
      <w:r w:rsidRPr="003D0FE1">
        <w:rPr>
          <w:rFonts w:cs="Arial"/>
          <w:szCs w:val="18"/>
        </w:rPr>
        <w:t>, 42-52.</w:t>
      </w:r>
    </w:p>
    <w:p w14:paraId="2CFD4265" w14:textId="77777777" w:rsidR="00C7496D" w:rsidRPr="00C7496D" w:rsidRDefault="003D0FE1" w:rsidP="00C7496D">
      <w:pPr>
        <w:pStyle w:val="CETReferencetext"/>
        <w:rPr>
          <w:rFonts w:cs="Arial"/>
          <w:szCs w:val="18"/>
        </w:rPr>
      </w:pPr>
      <w:r w:rsidRPr="003D0FE1">
        <w:rPr>
          <w:rFonts w:cs="Arial"/>
          <w:szCs w:val="18"/>
        </w:rPr>
        <w:t xml:space="preserve">Feng Z., Wu G., Liu C., Li D., Jiang B., Zhang X., 2018, Edible coating based on whey protein isolate nanofibrils for antioxidation and inhibition of product browning, </w:t>
      </w:r>
      <w:r w:rsidRPr="003D0FE1">
        <w:rPr>
          <w:rFonts w:cs="Arial"/>
          <w:iCs/>
          <w:szCs w:val="18"/>
        </w:rPr>
        <w:t>Food Hydrocolloids</w:t>
      </w:r>
      <w:r w:rsidRPr="003D0FE1">
        <w:rPr>
          <w:rFonts w:cs="Arial"/>
          <w:szCs w:val="18"/>
        </w:rPr>
        <w:t xml:space="preserve">, </w:t>
      </w:r>
      <w:r w:rsidRPr="003D0FE1">
        <w:rPr>
          <w:rFonts w:cs="Arial"/>
          <w:iCs/>
          <w:szCs w:val="18"/>
        </w:rPr>
        <w:t>79</w:t>
      </w:r>
      <w:r w:rsidRPr="003D0FE1">
        <w:rPr>
          <w:rFonts w:cs="Arial"/>
          <w:szCs w:val="18"/>
        </w:rPr>
        <w:t>, 179-188.</w:t>
      </w:r>
    </w:p>
    <w:p w14:paraId="2CFD4266" w14:textId="77777777" w:rsidR="003C3966" w:rsidRDefault="00E8515C" w:rsidP="000332BD">
      <w:pPr>
        <w:pStyle w:val="CETReferencetext"/>
        <w:rPr>
          <w:rFonts w:cs="Arial"/>
          <w:szCs w:val="18"/>
        </w:rPr>
      </w:pPr>
      <w:proofErr w:type="spellStart"/>
      <w:r w:rsidRPr="00E8515C">
        <w:rPr>
          <w:rFonts w:cs="Arial"/>
          <w:szCs w:val="18"/>
        </w:rPr>
        <w:t>Galus</w:t>
      </w:r>
      <w:proofErr w:type="spellEnd"/>
      <w:r w:rsidRPr="00E8515C">
        <w:rPr>
          <w:rFonts w:cs="Arial"/>
          <w:szCs w:val="18"/>
        </w:rPr>
        <w:t xml:space="preserve"> S., </w:t>
      </w:r>
      <w:proofErr w:type="spellStart"/>
      <w:r w:rsidRPr="00E8515C">
        <w:rPr>
          <w:rFonts w:cs="Arial"/>
          <w:szCs w:val="18"/>
        </w:rPr>
        <w:t>Kadzińska</w:t>
      </w:r>
      <w:proofErr w:type="spellEnd"/>
      <w:r w:rsidRPr="00E8515C">
        <w:rPr>
          <w:rFonts w:cs="Arial"/>
          <w:szCs w:val="18"/>
        </w:rPr>
        <w:t xml:space="preserve"> J</w:t>
      </w:r>
      <w:r>
        <w:rPr>
          <w:rFonts w:cs="Arial"/>
          <w:szCs w:val="18"/>
        </w:rPr>
        <w:t>,</w:t>
      </w:r>
      <w:r w:rsidRPr="00E8515C">
        <w:rPr>
          <w:rFonts w:cs="Arial"/>
          <w:szCs w:val="18"/>
        </w:rPr>
        <w:t xml:space="preserve"> 2016</w:t>
      </w:r>
      <w:r>
        <w:rPr>
          <w:rFonts w:cs="Arial"/>
          <w:szCs w:val="18"/>
        </w:rPr>
        <w:t>,</w:t>
      </w:r>
      <w:r w:rsidRPr="00E8515C">
        <w:rPr>
          <w:rFonts w:cs="Arial"/>
          <w:szCs w:val="18"/>
        </w:rPr>
        <w:t xml:space="preserve"> Moisture sensitivity, optical, mechanical and structural properties of whey protein-based edible films incorporated with rapeseed oil</w:t>
      </w:r>
      <w:r>
        <w:rPr>
          <w:rFonts w:cs="Arial"/>
          <w:szCs w:val="18"/>
        </w:rPr>
        <w:t>,</w:t>
      </w:r>
      <w:r w:rsidRPr="00E8515C">
        <w:rPr>
          <w:rFonts w:cs="Arial"/>
          <w:szCs w:val="18"/>
        </w:rPr>
        <w:t xml:space="preserve"> </w:t>
      </w:r>
      <w:r w:rsidRPr="00E8515C">
        <w:rPr>
          <w:rFonts w:cs="Arial"/>
          <w:iCs/>
          <w:szCs w:val="18"/>
        </w:rPr>
        <w:t xml:space="preserve">Food Technology </w:t>
      </w:r>
      <w:r>
        <w:rPr>
          <w:rFonts w:cs="Arial"/>
          <w:iCs/>
          <w:szCs w:val="18"/>
        </w:rPr>
        <w:t>a</w:t>
      </w:r>
      <w:r w:rsidRPr="00E8515C">
        <w:rPr>
          <w:rFonts w:cs="Arial"/>
          <w:iCs/>
          <w:szCs w:val="18"/>
        </w:rPr>
        <w:t>nd Biotechnology</w:t>
      </w:r>
      <w:r w:rsidRPr="00E8515C">
        <w:rPr>
          <w:rFonts w:cs="Arial"/>
          <w:szCs w:val="18"/>
        </w:rPr>
        <w:t xml:space="preserve">, </w:t>
      </w:r>
      <w:r w:rsidRPr="00E8515C">
        <w:rPr>
          <w:rFonts w:cs="Arial"/>
          <w:iCs/>
          <w:szCs w:val="18"/>
        </w:rPr>
        <w:t>54</w:t>
      </w:r>
      <w:r w:rsidRPr="00E8515C">
        <w:rPr>
          <w:rFonts w:cs="Arial"/>
          <w:szCs w:val="18"/>
        </w:rPr>
        <w:t>(1), 78-89.</w:t>
      </w:r>
    </w:p>
    <w:p w14:paraId="2CFD4267" w14:textId="77777777" w:rsidR="00BB3860" w:rsidRDefault="00BB3860" w:rsidP="00BB3860">
      <w:pPr>
        <w:pStyle w:val="CETReferencetext"/>
        <w:rPr>
          <w:rFonts w:cs="Arial"/>
          <w:szCs w:val="18"/>
        </w:rPr>
      </w:pPr>
      <w:r w:rsidRPr="00BB3860">
        <w:rPr>
          <w:rFonts w:cs="Arial"/>
          <w:szCs w:val="18"/>
        </w:rPr>
        <w:t xml:space="preserve">Hajji S., Younes I., </w:t>
      </w:r>
      <w:proofErr w:type="spellStart"/>
      <w:r w:rsidRPr="00BB3860">
        <w:rPr>
          <w:rFonts w:cs="Arial"/>
          <w:szCs w:val="18"/>
        </w:rPr>
        <w:t>Affes</w:t>
      </w:r>
      <w:proofErr w:type="spellEnd"/>
      <w:r w:rsidRPr="00BB3860">
        <w:rPr>
          <w:rFonts w:cs="Arial"/>
          <w:szCs w:val="18"/>
        </w:rPr>
        <w:t xml:space="preserve"> S., </w:t>
      </w:r>
      <w:proofErr w:type="spellStart"/>
      <w:r w:rsidRPr="00BB3860">
        <w:rPr>
          <w:rFonts w:cs="Arial"/>
          <w:szCs w:val="18"/>
        </w:rPr>
        <w:t>Boufi</w:t>
      </w:r>
      <w:proofErr w:type="spellEnd"/>
      <w:r w:rsidRPr="00BB3860">
        <w:rPr>
          <w:rFonts w:cs="Arial"/>
          <w:szCs w:val="18"/>
        </w:rPr>
        <w:t xml:space="preserve"> S., </w:t>
      </w:r>
      <w:proofErr w:type="spellStart"/>
      <w:r w:rsidRPr="00BB3860">
        <w:rPr>
          <w:rFonts w:cs="Arial"/>
          <w:szCs w:val="18"/>
        </w:rPr>
        <w:t>Nasri</w:t>
      </w:r>
      <w:proofErr w:type="spellEnd"/>
      <w:r w:rsidRPr="00BB3860">
        <w:rPr>
          <w:rFonts w:cs="Arial"/>
          <w:szCs w:val="18"/>
        </w:rPr>
        <w:t xml:space="preserve"> M.</w:t>
      </w:r>
      <w:r>
        <w:rPr>
          <w:rFonts w:cs="Arial"/>
          <w:szCs w:val="18"/>
        </w:rPr>
        <w:t xml:space="preserve">, </w:t>
      </w:r>
      <w:r w:rsidRPr="00BB3860">
        <w:rPr>
          <w:rFonts w:cs="Arial"/>
          <w:szCs w:val="18"/>
        </w:rPr>
        <w:t>2018</w:t>
      </w:r>
      <w:r>
        <w:rPr>
          <w:rFonts w:cs="Arial"/>
          <w:szCs w:val="18"/>
        </w:rPr>
        <w:t>,</w:t>
      </w:r>
      <w:r w:rsidRPr="00BB3860">
        <w:rPr>
          <w:rFonts w:cs="Arial"/>
          <w:szCs w:val="18"/>
        </w:rPr>
        <w:t xml:space="preserve"> Optimization of the formulation of chitosan edible coatings supplemented with </w:t>
      </w:r>
      <w:proofErr w:type="spellStart"/>
      <w:r w:rsidRPr="00BB3860">
        <w:rPr>
          <w:rFonts w:cs="Arial"/>
          <w:szCs w:val="18"/>
        </w:rPr>
        <w:t>carotenoproteins</w:t>
      </w:r>
      <w:proofErr w:type="spellEnd"/>
      <w:r w:rsidRPr="00BB3860">
        <w:rPr>
          <w:rFonts w:cs="Arial"/>
          <w:szCs w:val="18"/>
        </w:rPr>
        <w:t xml:space="preserve"> and their use for extending strawberries postharvest life</w:t>
      </w:r>
      <w:r>
        <w:rPr>
          <w:rFonts w:cs="Arial"/>
          <w:szCs w:val="18"/>
        </w:rPr>
        <w:t>,</w:t>
      </w:r>
      <w:r w:rsidRPr="00BB3860">
        <w:rPr>
          <w:rFonts w:cs="Arial"/>
          <w:szCs w:val="18"/>
        </w:rPr>
        <w:t> Food Hydrocolloids, 83, 375-392.</w:t>
      </w:r>
    </w:p>
    <w:p w14:paraId="2CFD4268" w14:textId="77777777" w:rsidR="00C7496D" w:rsidRPr="0008180F" w:rsidRDefault="00C7496D" w:rsidP="0008180F">
      <w:pPr>
        <w:pStyle w:val="CETReferencetext"/>
        <w:rPr>
          <w:rFonts w:cs="Arial"/>
          <w:szCs w:val="18"/>
        </w:rPr>
      </w:pPr>
      <w:r w:rsidRPr="00C7496D">
        <w:rPr>
          <w:rFonts w:cs="Arial"/>
          <w:szCs w:val="18"/>
        </w:rPr>
        <w:t xml:space="preserve">Hill C., </w:t>
      </w:r>
      <w:proofErr w:type="spellStart"/>
      <w:r w:rsidRPr="00C7496D">
        <w:rPr>
          <w:rFonts w:cs="Arial"/>
          <w:szCs w:val="18"/>
        </w:rPr>
        <w:t>Guarner</w:t>
      </w:r>
      <w:proofErr w:type="spellEnd"/>
      <w:r w:rsidRPr="00C7496D">
        <w:rPr>
          <w:rFonts w:cs="Arial"/>
          <w:szCs w:val="18"/>
        </w:rPr>
        <w:t xml:space="preserve"> F., Reid G., Gibson G.R., </w:t>
      </w:r>
      <w:proofErr w:type="spellStart"/>
      <w:r w:rsidRPr="00C7496D">
        <w:rPr>
          <w:rFonts w:cs="Arial"/>
          <w:szCs w:val="18"/>
        </w:rPr>
        <w:t>Merenstein</w:t>
      </w:r>
      <w:proofErr w:type="spellEnd"/>
      <w:r w:rsidRPr="00C7496D">
        <w:rPr>
          <w:rFonts w:cs="Arial"/>
          <w:szCs w:val="18"/>
        </w:rPr>
        <w:t xml:space="preserve"> D.J., Pot B.,</w:t>
      </w:r>
      <w:r>
        <w:rPr>
          <w:rFonts w:cs="Arial"/>
          <w:szCs w:val="18"/>
        </w:rPr>
        <w:t xml:space="preserve"> </w:t>
      </w:r>
      <w:r w:rsidR="00236A3F">
        <w:rPr>
          <w:rFonts w:cs="Arial"/>
          <w:szCs w:val="18"/>
        </w:rPr>
        <w:t xml:space="preserve">Morelli L., </w:t>
      </w:r>
      <w:proofErr w:type="spellStart"/>
      <w:r w:rsidR="0008180F">
        <w:rPr>
          <w:rFonts w:cs="Arial"/>
          <w:szCs w:val="18"/>
        </w:rPr>
        <w:t>Canani</w:t>
      </w:r>
      <w:proofErr w:type="spellEnd"/>
      <w:r w:rsidR="0008180F">
        <w:rPr>
          <w:rFonts w:cs="Arial"/>
          <w:szCs w:val="18"/>
        </w:rPr>
        <w:t xml:space="preserve"> R.B., Flint H.J., </w:t>
      </w:r>
      <w:proofErr w:type="spellStart"/>
      <w:r w:rsidR="0008180F">
        <w:rPr>
          <w:rFonts w:cs="Arial"/>
          <w:szCs w:val="18"/>
        </w:rPr>
        <w:t>Salminen</w:t>
      </w:r>
      <w:proofErr w:type="spellEnd"/>
      <w:r w:rsidR="0008180F">
        <w:rPr>
          <w:rFonts w:cs="Arial"/>
          <w:szCs w:val="18"/>
        </w:rPr>
        <w:t xml:space="preserve"> S., </w:t>
      </w:r>
      <w:r w:rsidRPr="00C7496D">
        <w:rPr>
          <w:rFonts w:cs="Arial"/>
          <w:szCs w:val="18"/>
        </w:rPr>
        <w:t>Calder, P.C.</w:t>
      </w:r>
      <w:r w:rsidR="0008180F">
        <w:rPr>
          <w:rFonts w:cs="Arial"/>
          <w:szCs w:val="18"/>
        </w:rPr>
        <w:t xml:space="preserve">, </w:t>
      </w:r>
      <w:r w:rsidR="00580EBA">
        <w:rPr>
          <w:rFonts w:cs="Arial"/>
          <w:szCs w:val="18"/>
        </w:rPr>
        <w:t xml:space="preserve">Sanders M.E., </w:t>
      </w:r>
      <w:r w:rsidRPr="00C7496D">
        <w:rPr>
          <w:rFonts w:cs="Arial"/>
          <w:szCs w:val="18"/>
        </w:rPr>
        <w:t>2014</w:t>
      </w:r>
      <w:r w:rsidR="00580EBA">
        <w:rPr>
          <w:rFonts w:cs="Arial"/>
          <w:szCs w:val="18"/>
        </w:rPr>
        <w:t>,</w:t>
      </w:r>
      <w:r w:rsidRPr="00C7496D">
        <w:rPr>
          <w:rFonts w:cs="Arial"/>
          <w:szCs w:val="18"/>
        </w:rPr>
        <w:t xml:space="preserve"> Expert consensus document: The International Scientific Association for Probiotics and Prebiotics consensus statement on the scope and appropriate use of the term probiotic</w:t>
      </w:r>
      <w:r w:rsidR="00580EBA">
        <w:rPr>
          <w:rFonts w:cs="Arial"/>
          <w:szCs w:val="18"/>
        </w:rPr>
        <w:t>,</w:t>
      </w:r>
      <w:r w:rsidRPr="00C7496D">
        <w:rPr>
          <w:rFonts w:cs="Arial"/>
          <w:szCs w:val="18"/>
        </w:rPr>
        <w:t xml:space="preserve"> </w:t>
      </w:r>
      <w:r w:rsidRPr="00580EBA">
        <w:rPr>
          <w:rFonts w:cs="Arial"/>
          <w:iCs/>
          <w:szCs w:val="18"/>
        </w:rPr>
        <w:t>Nature Reviews Gastroenterology and Hepatology</w:t>
      </w:r>
      <w:r w:rsidRPr="00C7496D">
        <w:rPr>
          <w:rFonts w:cs="Arial"/>
          <w:szCs w:val="18"/>
        </w:rPr>
        <w:t xml:space="preserve">, </w:t>
      </w:r>
      <w:r w:rsidRPr="00580EBA">
        <w:rPr>
          <w:rFonts w:cs="Arial"/>
          <w:iCs/>
          <w:szCs w:val="18"/>
        </w:rPr>
        <w:t>11</w:t>
      </w:r>
      <w:r w:rsidRPr="00580EBA">
        <w:rPr>
          <w:rFonts w:cs="Arial"/>
          <w:szCs w:val="18"/>
        </w:rPr>
        <w:t>(8),</w:t>
      </w:r>
      <w:r w:rsidRPr="00C7496D">
        <w:rPr>
          <w:rFonts w:cs="Arial"/>
          <w:szCs w:val="18"/>
        </w:rPr>
        <w:t xml:space="preserve"> 506.</w:t>
      </w:r>
    </w:p>
    <w:p w14:paraId="2CFD4269" w14:textId="77777777" w:rsidR="003C3966" w:rsidRDefault="00BD1A86" w:rsidP="000332BD">
      <w:pPr>
        <w:pStyle w:val="CETReferencetext"/>
        <w:rPr>
          <w:rFonts w:cs="Arial"/>
          <w:szCs w:val="18"/>
        </w:rPr>
      </w:pPr>
      <w:proofErr w:type="spellStart"/>
      <w:r w:rsidRPr="00BD1A86">
        <w:rPr>
          <w:rFonts w:cs="Arial"/>
          <w:szCs w:val="18"/>
        </w:rPr>
        <w:t>Ket</w:t>
      </w:r>
      <w:proofErr w:type="spellEnd"/>
      <w:r w:rsidRPr="00BD1A86">
        <w:rPr>
          <w:rFonts w:cs="Arial"/>
          <w:szCs w:val="18"/>
        </w:rPr>
        <w:t xml:space="preserve">-on A., </w:t>
      </w:r>
      <w:proofErr w:type="spellStart"/>
      <w:r w:rsidRPr="00BD1A86">
        <w:rPr>
          <w:rFonts w:cs="Arial"/>
          <w:szCs w:val="18"/>
        </w:rPr>
        <w:t>Pongmongkol</w:t>
      </w:r>
      <w:proofErr w:type="spellEnd"/>
      <w:r w:rsidRPr="00BD1A86">
        <w:rPr>
          <w:rFonts w:cs="Arial"/>
          <w:szCs w:val="18"/>
        </w:rPr>
        <w:t xml:space="preserve"> N., </w:t>
      </w:r>
      <w:proofErr w:type="spellStart"/>
      <w:r w:rsidRPr="00BD1A86">
        <w:rPr>
          <w:rFonts w:cs="Arial"/>
          <w:szCs w:val="18"/>
        </w:rPr>
        <w:t>Somwangthanaroj</w:t>
      </w:r>
      <w:proofErr w:type="spellEnd"/>
      <w:r w:rsidRPr="00BD1A86">
        <w:rPr>
          <w:rFonts w:cs="Arial"/>
          <w:szCs w:val="18"/>
        </w:rPr>
        <w:t xml:space="preserve"> A., </w:t>
      </w:r>
      <w:proofErr w:type="spellStart"/>
      <w:r w:rsidRPr="00BD1A86">
        <w:rPr>
          <w:rFonts w:cs="Arial"/>
          <w:szCs w:val="18"/>
        </w:rPr>
        <w:t>Janjarasskul</w:t>
      </w:r>
      <w:proofErr w:type="spellEnd"/>
      <w:r w:rsidRPr="00BD1A86">
        <w:rPr>
          <w:rFonts w:cs="Arial"/>
          <w:szCs w:val="18"/>
        </w:rPr>
        <w:t xml:space="preserve"> T., </w:t>
      </w:r>
      <w:proofErr w:type="spellStart"/>
      <w:r w:rsidRPr="00BD1A86">
        <w:rPr>
          <w:rFonts w:cs="Arial"/>
          <w:szCs w:val="18"/>
        </w:rPr>
        <w:t>Tananuwong</w:t>
      </w:r>
      <w:proofErr w:type="spellEnd"/>
      <w:r w:rsidRPr="00BD1A86">
        <w:rPr>
          <w:rFonts w:cs="Arial"/>
          <w:szCs w:val="18"/>
        </w:rPr>
        <w:t xml:space="preserve"> K.</w:t>
      </w:r>
      <w:r w:rsidR="00DC0B6E">
        <w:rPr>
          <w:rFonts w:cs="Arial"/>
          <w:szCs w:val="18"/>
        </w:rPr>
        <w:t xml:space="preserve">, </w:t>
      </w:r>
      <w:r w:rsidRPr="00BD1A86">
        <w:rPr>
          <w:rFonts w:cs="Arial"/>
          <w:szCs w:val="18"/>
        </w:rPr>
        <w:t>2016</w:t>
      </w:r>
      <w:r w:rsidR="00DC0B6E">
        <w:rPr>
          <w:rFonts w:cs="Arial"/>
          <w:szCs w:val="18"/>
        </w:rPr>
        <w:t>,</w:t>
      </w:r>
      <w:r w:rsidRPr="00BD1A86">
        <w:rPr>
          <w:rFonts w:cs="Arial"/>
          <w:szCs w:val="18"/>
        </w:rPr>
        <w:t xml:space="preserve"> Properties and storage stability of whey protein edible film with spice powders</w:t>
      </w:r>
      <w:r w:rsidR="00DC0B6E">
        <w:rPr>
          <w:rFonts w:cs="Arial"/>
          <w:szCs w:val="18"/>
        </w:rPr>
        <w:t>,</w:t>
      </w:r>
      <w:r w:rsidRPr="00BD1A86">
        <w:rPr>
          <w:rFonts w:cs="Arial"/>
          <w:szCs w:val="18"/>
        </w:rPr>
        <w:t xml:space="preserve"> </w:t>
      </w:r>
      <w:r w:rsidRPr="00DC0B6E">
        <w:rPr>
          <w:rFonts w:cs="Arial"/>
          <w:iCs/>
          <w:szCs w:val="18"/>
        </w:rPr>
        <w:t xml:space="preserve">Journal </w:t>
      </w:r>
      <w:r w:rsidR="00DC0B6E">
        <w:rPr>
          <w:rFonts w:cs="Arial"/>
          <w:iCs/>
          <w:szCs w:val="18"/>
        </w:rPr>
        <w:t>o</w:t>
      </w:r>
      <w:r w:rsidR="00DC0B6E" w:rsidRPr="00DC0B6E">
        <w:rPr>
          <w:rFonts w:cs="Arial"/>
          <w:iCs/>
          <w:szCs w:val="18"/>
        </w:rPr>
        <w:t xml:space="preserve">f Food Science </w:t>
      </w:r>
      <w:r w:rsidR="00DC0B6E">
        <w:rPr>
          <w:rFonts w:cs="Arial"/>
          <w:iCs/>
          <w:szCs w:val="18"/>
        </w:rPr>
        <w:t>a</w:t>
      </w:r>
      <w:r w:rsidR="00DC0B6E" w:rsidRPr="00DC0B6E">
        <w:rPr>
          <w:rFonts w:cs="Arial"/>
          <w:iCs/>
          <w:szCs w:val="18"/>
        </w:rPr>
        <w:t>nd Technology</w:t>
      </w:r>
      <w:r w:rsidRPr="00BD1A86">
        <w:rPr>
          <w:rFonts w:cs="Arial"/>
          <w:szCs w:val="18"/>
        </w:rPr>
        <w:t xml:space="preserve">, </w:t>
      </w:r>
      <w:r w:rsidRPr="00DC0B6E">
        <w:rPr>
          <w:rFonts w:cs="Arial"/>
          <w:iCs/>
          <w:szCs w:val="18"/>
        </w:rPr>
        <w:t>53</w:t>
      </w:r>
      <w:r w:rsidRPr="00DC0B6E">
        <w:rPr>
          <w:rFonts w:cs="Arial"/>
          <w:szCs w:val="18"/>
        </w:rPr>
        <w:t>(7)</w:t>
      </w:r>
      <w:r w:rsidRPr="00BD1A86">
        <w:rPr>
          <w:rFonts w:cs="Arial"/>
          <w:szCs w:val="18"/>
        </w:rPr>
        <w:t>, 2933-2942.</w:t>
      </w:r>
    </w:p>
    <w:p w14:paraId="2CFD426A" w14:textId="77777777" w:rsidR="006F6B5F" w:rsidRDefault="006F6B5F" w:rsidP="000332BD">
      <w:pPr>
        <w:pStyle w:val="CETReferencetext"/>
        <w:rPr>
          <w:rFonts w:cs="Arial"/>
          <w:szCs w:val="18"/>
        </w:rPr>
      </w:pPr>
      <w:r w:rsidRPr="008404B6">
        <w:rPr>
          <w:rFonts w:cs="Arial"/>
          <w:szCs w:val="18"/>
        </w:rPr>
        <w:t>Liu C.T., Chu F</w:t>
      </w:r>
      <w:r w:rsidR="008404B6" w:rsidRPr="008404B6">
        <w:rPr>
          <w:rFonts w:cs="Arial"/>
          <w:szCs w:val="18"/>
        </w:rPr>
        <w:t>.</w:t>
      </w:r>
      <w:r w:rsidRPr="008404B6">
        <w:rPr>
          <w:rFonts w:cs="Arial"/>
          <w:szCs w:val="18"/>
        </w:rPr>
        <w:t>J., Chou C.C.,</w:t>
      </w:r>
      <w:r w:rsidR="008404B6">
        <w:rPr>
          <w:rFonts w:cs="Arial"/>
          <w:szCs w:val="18"/>
        </w:rPr>
        <w:t xml:space="preserve"> </w:t>
      </w:r>
      <w:r w:rsidRPr="008404B6">
        <w:rPr>
          <w:rFonts w:cs="Arial"/>
          <w:szCs w:val="18"/>
        </w:rPr>
        <w:t>Yu R.C.</w:t>
      </w:r>
      <w:r w:rsidR="008404B6">
        <w:rPr>
          <w:rFonts w:cs="Arial"/>
          <w:szCs w:val="18"/>
        </w:rPr>
        <w:t>,</w:t>
      </w:r>
      <w:r w:rsidRPr="008404B6">
        <w:rPr>
          <w:rFonts w:cs="Arial"/>
          <w:szCs w:val="18"/>
        </w:rPr>
        <w:t xml:space="preserve"> 2011</w:t>
      </w:r>
      <w:r w:rsidR="008404B6">
        <w:rPr>
          <w:rFonts w:cs="Arial"/>
          <w:szCs w:val="18"/>
        </w:rPr>
        <w:t>,</w:t>
      </w:r>
      <w:r w:rsidRPr="008404B6">
        <w:rPr>
          <w:rFonts w:cs="Arial"/>
          <w:szCs w:val="18"/>
        </w:rPr>
        <w:t xml:space="preserve"> </w:t>
      </w:r>
      <w:r w:rsidRPr="006F6B5F">
        <w:rPr>
          <w:rFonts w:cs="Arial"/>
          <w:szCs w:val="18"/>
        </w:rPr>
        <w:t xml:space="preserve">Antiproliferative and anticytotoxic effects of cell fractions and exopolysaccharides from Lactobacillus </w:t>
      </w:r>
      <w:proofErr w:type="spellStart"/>
      <w:r w:rsidRPr="006F6B5F">
        <w:rPr>
          <w:rFonts w:cs="Arial"/>
          <w:szCs w:val="18"/>
        </w:rPr>
        <w:t>casei</w:t>
      </w:r>
      <w:proofErr w:type="spellEnd"/>
      <w:r w:rsidRPr="006F6B5F">
        <w:rPr>
          <w:rFonts w:cs="Arial"/>
          <w:szCs w:val="18"/>
        </w:rPr>
        <w:t xml:space="preserve"> 01</w:t>
      </w:r>
      <w:r w:rsidR="008404B6">
        <w:rPr>
          <w:rFonts w:cs="Arial"/>
          <w:szCs w:val="18"/>
        </w:rPr>
        <w:t xml:space="preserve">, </w:t>
      </w:r>
      <w:r w:rsidRPr="008404B6">
        <w:rPr>
          <w:rFonts w:cs="Arial"/>
          <w:iCs/>
          <w:szCs w:val="18"/>
        </w:rPr>
        <w:t>Mutation Research/Genetic Toxicology and Environmental Mutagenesis</w:t>
      </w:r>
      <w:r w:rsidRPr="006F6B5F">
        <w:rPr>
          <w:rFonts w:cs="Arial"/>
          <w:szCs w:val="18"/>
        </w:rPr>
        <w:t xml:space="preserve">, </w:t>
      </w:r>
      <w:r w:rsidRPr="008404B6">
        <w:rPr>
          <w:rFonts w:cs="Arial"/>
          <w:iCs/>
          <w:szCs w:val="18"/>
        </w:rPr>
        <w:t>721</w:t>
      </w:r>
      <w:r w:rsidRPr="008404B6">
        <w:rPr>
          <w:rFonts w:cs="Arial"/>
          <w:szCs w:val="18"/>
        </w:rPr>
        <w:t>(2</w:t>
      </w:r>
      <w:r w:rsidRPr="006F6B5F">
        <w:rPr>
          <w:rFonts w:cs="Arial"/>
          <w:szCs w:val="18"/>
        </w:rPr>
        <w:t>), 157-162.</w:t>
      </w:r>
    </w:p>
    <w:p w14:paraId="2CFD426B" w14:textId="77777777" w:rsidR="00EF1522" w:rsidRDefault="00EF1522" w:rsidP="000332BD">
      <w:pPr>
        <w:pStyle w:val="CETReferencetext"/>
        <w:rPr>
          <w:rFonts w:cs="Arial"/>
          <w:szCs w:val="18"/>
        </w:rPr>
      </w:pPr>
      <w:proofErr w:type="spellStart"/>
      <w:r>
        <w:rPr>
          <w:rFonts w:cs="Arial"/>
          <w:szCs w:val="18"/>
        </w:rPr>
        <w:t>Saadan</w:t>
      </w:r>
      <w:proofErr w:type="spellEnd"/>
      <w:r>
        <w:rPr>
          <w:rFonts w:cs="Arial"/>
          <w:szCs w:val="18"/>
        </w:rPr>
        <w:t xml:space="preserve"> M.Z.H., Mohamad Z., </w:t>
      </w:r>
      <w:proofErr w:type="spellStart"/>
      <w:r>
        <w:rPr>
          <w:rFonts w:cs="Arial"/>
          <w:szCs w:val="18"/>
        </w:rPr>
        <w:t>Jusoh</w:t>
      </w:r>
      <w:proofErr w:type="spellEnd"/>
      <w:r>
        <w:rPr>
          <w:rFonts w:cs="Arial"/>
          <w:szCs w:val="18"/>
        </w:rPr>
        <w:t xml:space="preserve"> M., Majid R.A., </w:t>
      </w:r>
      <w:proofErr w:type="spellStart"/>
      <w:r>
        <w:rPr>
          <w:rFonts w:cs="Arial"/>
          <w:szCs w:val="18"/>
        </w:rPr>
        <w:t>Baharulrazi</w:t>
      </w:r>
      <w:proofErr w:type="spellEnd"/>
      <w:r>
        <w:rPr>
          <w:rFonts w:cs="Arial"/>
          <w:szCs w:val="18"/>
        </w:rPr>
        <w:t xml:space="preserve"> N., Man S.H.C., 2017, </w:t>
      </w:r>
      <w:r>
        <w:t xml:space="preserve">Degradable polyethylene/rice bran film: effect of glycerol, Chemical Engineering Transactions, 56, 49-54.  </w:t>
      </w:r>
    </w:p>
    <w:p w14:paraId="2CFD426C" w14:textId="77777777" w:rsidR="003F5D45" w:rsidRPr="003F5D45" w:rsidRDefault="003F5D45" w:rsidP="000332BD">
      <w:pPr>
        <w:pStyle w:val="CETReferencetext"/>
        <w:rPr>
          <w:rFonts w:cs="Arial"/>
          <w:szCs w:val="18"/>
          <w:lang w:val="en-US"/>
        </w:rPr>
      </w:pPr>
      <w:r w:rsidRPr="003F5D45">
        <w:rPr>
          <w:rFonts w:cs="Arial"/>
          <w:szCs w:val="18"/>
          <w:lang w:val="en-US"/>
        </w:rPr>
        <w:t xml:space="preserve">Sessa M., </w:t>
      </w:r>
      <w:proofErr w:type="spellStart"/>
      <w:r w:rsidRPr="003F5D45">
        <w:rPr>
          <w:rFonts w:cs="Arial"/>
          <w:szCs w:val="18"/>
          <w:lang w:val="en-US"/>
        </w:rPr>
        <w:t>Ferrar</w:t>
      </w:r>
      <w:proofErr w:type="spellEnd"/>
      <w:r w:rsidRPr="003F5D45">
        <w:rPr>
          <w:rFonts w:cs="Arial"/>
          <w:szCs w:val="18"/>
          <w:lang w:val="en-US"/>
        </w:rPr>
        <w:t xml:space="preserve"> G., </w:t>
      </w:r>
      <w:proofErr w:type="spellStart"/>
      <w:r w:rsidRPr="003F5D45">
        <w:rPr>
          <w:rFonts w:cs="Arial"/>
          <w:szCs w:val="18"/>
          <w:lang w:val="en-US"/>
        </w:rPr>
        <w:t>Donsi</w:t>
      </w:r>
      <w:proofErr w:type="spellEnd"/>
      <w:r w:rsidRPr="003F5D45">
        <w:rPr>
          <w:rFonts w:cs="Arial"/>
          <w:szCs w:val="18"/>
          <w:lang w:val="en-US"/>
        </w:rPr>
        <w:t xml:space="preserve"> F., 201</w:t>
      </w:r>
      <w:r w:rsidR="00CA59F2">
        <w:rPr>
          <w:rFonts w:cs="Arial"/>
          <w:szCs w:val="18"/>
          <w:lang w:val="en-US"/>
        </w:rPr>
        <w:t>5</w:t>
      </w:r>
      <w:r w:rsidRPr="003F5D45">
        <w:rPr>
          <w:rFonts w:cs="Arial"/>
          <w:szCs w:val="18"/>
          <w:lang w:val="en-US"/>
        </w:rPr>
        <w:t xml:space="preserve">, </w:t>
      </w:r>
      <w:r>
        <w:t xml:space="preserve">Novel edible coating containing essential oil </w:t>
      </w:r>
      <w:proofErr w:type="spellStart"/>
      <w:r>
        <w:t>nanoemulsions</w:t>
      </w:r>
      <w:proofErr w:type="spellEnd"/>
      <w:r>
        <w:t xml:space="preserve"> to prolong the shelf life of vegetable products, Chemical Engineering Transactions, 43, 55-60. </w:t>
      </w:r>
    </w:p>
    <w:p w14:paraId="2CFD426D" w14:textId="77777777" w:rsidR="00BD1A86" w:rsidRDefault="00EA04F5" w:rsidP="000332BD">
      <w:pPr>
        <w:pStyle w:val="CETReferencetext"/>
        <w:rPr>
          <w:rFonts w:cs="Arial"/>
          <w:szCs w:val="18"/>
        </w:rPr>
      </w:pPr>
      <w:proofErr w:type="spellStart"/>
      <w:r w:rsidRPr="009D6E25">
        <w:rPr>
          <w:rFonts w:cs="Arial"/>
          <w:szCs w:val="18"/>
        </w:rPr>
        <w:t>Soukoulis</w:t>
      </w:r>
      <w:proofErr w:type="spellEnd"/>
      <w:r w:rsidRPr="009D6E25">
        <w:rPr>
          <w:rFonts w:cs="Arial"/>
          <w:szCs w:val="18"/>
        </w:rPr>
        <w:t xml:space="preserve"> C., </w:t>
      </w:r>
      <w:proofErr w:type="spellStart"/>
      <w:r w:rsidRPr="009D6E25">
        <w:rPr>
          <w:rFonts w:cs="Arial"/>
          <w:szCs w:val="18"/>
        </w:rPr>
        <w:t>Yonekura</w:t>
      </w:r>
      <w:proofErr w:type="spellEnd"/>
      <w:r w:rsidRPr="009D6E25">
        <w:rPr>
          <w:rFonts w:cs="Arial"/>
          <w:szCs w:val="18"/>
        </w:rPr>
        <w:t xml:space="preserve"> L., Gan H.H., </w:t>
      </w:r>
      <w:proofErr w:type="spellStart"/>
      <w:r w:rsidRPr="009D6E25">
        <w:rPr>
          <w:rFonts w:cs="Arial"/>
          <w:szCs w:val="18"/>
        </w:rPr>
        <w:t>Behboudi-Jobbehdar</w:t>
      </w:r>
      <w:proofErr w:type="spellEnd"/>
      <w:r w:rsidRPr="009D6E25">
        <w:rPr>
          <w:rFonts w:cs="Arial"/>
          <w:szCs w:val="18"/>
        </w:rPr>
        <w:t xml:space="preserve"> S., Parmenter C., Fisk I., 2014, Probiotic edible films as a new strategy for developing functional bakery products: The case of pan bread, </w:t>
      </w:r>
      <w:r w:rsidRPr="009D6E25">
        <w:rPr>
          <w:rFonts w:cs="Arial"/>
          <w:iCs/>
          <w:szCs w:val="18"/>
        </w:rPr>
        <w:t>Food Hydrocolloids</w:t>
      </w:r>
      <w:r w:rsidRPr="009D6E25">
        <w:rPr>
          <w:rFonts w:cs="Arial"/>
          <w:szCs w:val="18"/>
        </w:rPr>
        <w:t xml:space="preserve">, </w:t>
      </w:r>
      <w:r w:rsidRPr="009D6E25">
        <w:rPr>
          <w:rFonts w:cs="Arial"/>
          <w:iCs/>
          <w:szCs w:val="18"/>
        </w:rPr>
        <w:t>39</w:t>
      </w:r>
      <w:r w:rsidRPr="009D6E25">
        <w:rPr>
          <w:rFonts w:cs="Arial"/>
          <w:szCs w:val="18"/>
        </w:rPr>
        <w:t>, 231-242.</w:t>
      </w:r>
    </w:p>
    <w:p w14:paraId="2CFD426E" w14:textId="77777777" w:rsidR="000A4CE4" w:rsidRDefault="00C063AF" w:rsidP="000A4CE4">
      <w:pPr>
        <w:pStyle w:val="CETReferencetext"/>
        <w:rPr>
          <w:rFonts w:cs="Arial"/>
          <w:szCs w:val="18"/>
        </w:rPr>
      </w:pPr>
      <w:r w:rsidRPr="00D346DF">
        <w:rPr>
          <w:rFonts w:cs="Arial"/>
          <w:szCs w:val="18"/>
        </w:rPr>
        <w:t xml:space="preserve">Sperry M.F., Silva H.L., Balthazar C.F., </w:t>
      </w:r>
      <w:proofErr w:type="spellStart"/>
      <w:r w:rsidRPr="00D346DF">
        <w:rPr>
          <w:rFonts w:cs="Arial"/>
          <w:szCs w:val="18"/>
        </w:rPr>
        <w:t>Esmerino</w:t>
      </w:r>
      <w:proofErr w:type="spellEnd"/>
      <w:r w:rsidRPr="00D346DF">
        <w:rPr>
          <w:rFonts w:cs="Arial"/>
          <w:szCs w:val="18"/>
        </w:rPr>
        <w:t xml:space="preserve"> E.A., </w:t>
      </w:r>
      <w:proofErr w:type="spellStart"/>
      <w:r w:rsidRPr="00D346DF">
        <w:rPr>
          <w:rFonts w:cs="Arial"/>
          <w:szCs w:val="18"/>
        </w:rPr>
        <w:t>Verruck</w:t>
      </w:r>
      <w:proofErr w:type="spellEnd"/>
      <w:r w:rsidRPr="00D346DF">
        <w:rPr>
          <w:rFonts w:cs="Arial"/>
          <w:szCs w:val="18"/>
        </w:rPr>
        <w:t xml:space="preserve"> S., </w:t>
      </w:r>
      <w:proofErr w:type="spellStart"/>
      <w:r w:rsidRPr="00D346DF">
        <w:rPr>
          <w:rFonts w:cs="Arial"/>
          <w:szCs w:val="18"/>
        </w:rPr>
        <w:t>Prudencio</w:t>
      </w:r>
      <w:proofErr w:type="spellEnd"/>
      <w:r w:rsidRPr="00D346DF">
        <w:rPr>
          <w:rFonts w:cs="Arial"/>
          <w:szCs w:val="18"/>
        </w:rPr>
        <w:t xml:space="preserve"> E. S., </w:t>
      </w:r>
      <w:r w:rsidR="000612E9" w:rsidRPr="00D346DF">
        <w:rPr>
          <w:rFonts w:cs="Arial"/>
          <w:szCs w:val="18"/>
        </w:rPr>
        <w:t xml:space="preserve">Roberto P.C.N., Tavares M.I.I., </w:t>
      </w:r>
      <w:r w:rsidR="00ED6F57" w:rsidRPr="00D346DF">
        <w:rPr>
          <w:rFonts w:cs="Arial"/>
          <w:szCs w:val="18"/>
        </w:rPr>
        <w:t xml:space="preserve">Peixoto J.C., </w:t>
      </w:r>
      <w:proofErr w:type="spellStart"/>
      <w:r w:rsidR="00ED6F57" w:rsidRPr="00D346DF">
        <w:rPr>
          <w:rFonts w:cs="Arial"/>
          <w:szCs w:val="18"/>
        </w:rPr>
        <w:t>Nazzaro</w:t>
      </w:r>
      <w:proofErr w:type="spellEnd"/>
      <w:r w:rsidR="00ED6F57" w:rsidRPr="00D346DF">
        <w:rPr>
          <w:rFonts w:cs="Arial"/>
          <w:szCs w:val="18"/>
        </w:rPr>
        <w:t xml:space="preserve"> F., Rocha R.S., </w:t>
      </w:r>
      <w:proofErr w:type="spellStart"/>
      <w:r w:rsidR="00ED6F57" w:rsidRPr="00D346DF">
        <w:rPr>
          <w:rFonts w:cs="Arial"/>
          <w:szCs w:val="18"/>
        </w:rPr>
        <w:t>Moraes</w:t>
      </w:r>
      <w:proofErr w:type="spellEnd"/>
      <w:r w:rsidR="00ED6F57" w:rsidRPr="00D346DF">
        <w:rPr>
          <w:rFonts w:cs="Arial"/>
          <w:szCs w:val="18"/>
        </w:rPr>
        <w:t xml:space="preserve"> J., Gomes, A.S.G., </w:t>
      </w:r>
      <w:proofErr w:type="spellStart"/>
      <w:r w:rsidR="00ED6F57" w:rsidRPr="00D346DF">
        <w:rPr>
          <w:rFonts w:cs="Arial"/>
          <w:szCs w:val="18"/>
        </w:rPr>
        <w:t>Raices</w:t>
      </w:r>
      <w:proofErr w:type="spellEnd"/>
      <w:r w:rsidR="00ED6F57" w:rsidRPr="00D346DF">
        <w:rPr>
          <w:rFonts w:cs="Arial"/>
          <w:szCs w:val="18"/>
        </w:rPr>
        <w:t xml:space="preserve"> R.S.L., </w:t>
      </w:r>
      <w:r w:rsidR="00D346DF" w:rsidRPr="00D346DF">
        <w:rPr>
          <w:rFonts w:cs="Arial"/>
          <w:szCs w:val="18"/>
        </w:rPr>
        <w:t xml:space="preserve">Silva M.C., </w:t>
      </w:r>
      <w:proofErr w:type="spellStart"/>
      <w:r w:rsidR="00D346DF" w:rsidRPr="00D346DF">
        <w:rPr>
          <w:rFonts w:cs="Arial"/>
          <w:szCs w:val="18"/>
        </w:rPr>
        <w:t>Granato</w:t>
      </w:r>
      <w:proofErr w:type="spellEnd"/>
      <w:r w:rsidR="00D346DF" w:rsidRPr="00D346DF">
        <w:rPr>
          <w:rFonts w:cs="Arial"/>
          <w:szCs w:val="18"/>
        </w:rPr>
        <w:t xml:space="preserve"> D., Pimentel T.C., Freitas M.Q., Cruz, A.G., </w:t>
      </w:r>
      <w:r w:rsidRPr="00D346DF">
        <w:rPr>
          <w:rFonts w:cs="Arial"/>
          <w:szCs w:val="18"/>
        </w:rPr>
        <w:t>2018</w:t>
      </w:r>
      <w:r w:rsidR="00D346DF" w:rsidRPr="00D346DF">
        <w:rPr>
          <w:rFonts w:cs="Arial"/>
          <w:szCs w:val="18"/>
        </w:rPr>
        <w:t>,</w:t>
      </w:r>
      <w:r w:rsidRPr="00D346DF">
        <w:rPr>
          <w:rFonts w:cs="Arial"/>
          <w:szCs w:val="18"/>
        </w:rPr>
        <w:t xml:space="preserve"> Probiotic Minas </w:t>
      </w:r>
      <w:proofErr w:type="spellStart"/>
      <w:r w:rsidRPr="00D346DF">
        <w:rPr>
          <w:rFonts w:cs="Arial"/>
          <w:szCs w:val="18"/>
        </w:rPr>
        <w:t>Frescal</w:t>
      </w:r>
      <w:proofErr w:type="spellEnd"/>
      <w:r w:rsidRPr="00D346DF">
        <w:rPr>
          <w:rFonts w:cs="Arial"/>
          <w:szCs w:val="18"/>
        </w:rPr>
        <w:t xml:space="preserve"> cheese added with L. </w:t>
      </w:r>
      <w:proofErr w:type="spellStart"/>
      <w:r w:rsidRPr="00D346DF">
        <w:rPr>
          <w:rFonts w:cs="Arial"/>
          <w:szCs w:val="18"/>
        </w:rPr>
        <w:t>casei</w:t>
      </w:r>
      <w:proofErr w:type="spellEnd"/>
      <w:r w:rsidRPr="00D346DF">
        <w:rPr>
          <w:rFonts w:cs="Arial"/>
          <w:szCs w:val="18"/>
        </w:rPr>
        <w:t xml:space="preserve"> 01: Physicochemical and bioactivity characterization and effects on </w:t>
      </w:r>
      <w:proofErr w:type="spellStart"/>
      <w:r w:rsidRPr="00D346DF">
        <w:rPr>
          <w:rFonts w:cs="Arial"/>
          <w:szCs w:val="18"/>
        </w:rPr>
        <w:t>hematological</w:t>
      </w:r>
      <w:proofErr w:type="spellEnd"/>
      <w:r w:rsidRPr="00D346DF">
        <w:rPr>
          <w:rFonts w:cs="Arial"/>
          <w:szCs w:val="18"/>
        </w:rPr>
        <w:t xml:space="preserve">/biochemical parameters of hypertensive </w:t>
      </w:r>
      <w:proofErr w:type="spellStart"/>
      <w:r w:rsidRPr="00D346DF">
        <w:rPr>
          <w:rFonts w:cs="Arial"/>
          <w:szCs w:val="18"/>
        </w:rPr>
        <w:t>overweighted</w:t>
      </w:r>
      <w:proofErr w:type="spellEnd"/>
      <w:r w:rsidRPr="00D346DF">
        <w:rPr>
          <w:rFonts w:cs="Arial"/>
          <w:szCs w:val="18"/>
        </w:rPr>
        <w:t xml:space="preserve"> women–A randomized double-blind pilot trial</w:t>
      </w:r>
      <w:r w:rsidR="00D346DF" w:rsidRPr="00D346DF">
        <w:rPr>
          <w:rFonts w:cs="Arial"/>
          <w:szCs w:val="18"/>
        </w:rPr>
        <w:t>,</w:t>
      </w:r>
      <w:r w:rsidRPr="00D346DF">
        <w:rPr>
          <w:rFonts w:cs="Arial"/>
          <w:szCs w:val="18"/>
        </w:rPr>
        <w:t xml:space="preserve"> </w:t>
      </w:r>
      <w:r w:rsidRPr="00D346DF">
        <w:rPr>
          <w:rFonts w:cs="Arial"/>
          <w:iCs/>
          <w:szCs w:val="18"/>
        </w:rPr>
        <w:t>Journal of Functional Foods</w:t>
      </w:r>
      <w:r w:rsidRPr="00D346DF">
        <w:rPr>
          <w:rFonts w:cs="Arial"/>
          <w:szCs w:val="18"/>
        </w:rPr>
        <w:t xml:space="preserve">, </w:t>
      </w:r>
      <w:r w:rsidRPr="00D346DF">
        <w:rPr>
          <w:rFonts w:cs="Arial"/>
          <w:iCs/>
          <w:szCs w:val="18"/>
        </w:rPr>
        <w:t>45</w:t>
      </w:r>
      <w:r w:rsidRPr="00D346DF">
        <w:rPr>
          <w:rFonts w:cs="Arial"/>
          <w:szCs w:val="18"/>
        </w:rPr>
        <w:t>, 435-443.</w:t>
      </w:r>
    </w:p>
    <w:p w14:paraId="2CFD426F" w14:textId="77777777" w:rsidR="000612E9" w:rsidRDefault="009D6E25" w:rsidP="000A4CE4">
      <w:pPr>
        <w:pStyle w:val="CETReferencetext"/>
        <w:rPr>
          <w:rFonts w:cs="Arial"/>
          <w:szCs w:val="18"/>
        </w:rPr>
      </w:pPr>
      <w:proofErr w:type="spellStart"/>
      <w:r w:rsidRPr="009D6E25">
        <w:rPr>
          <w:rFonts w:cs="Arial"/>
          <w:szCs w:val="18"/>
        </w:rPr>
        <w:t>Sukyai</w:t>
      </w:r>
      <w:proofErr w:type="spellEnd"/>
      <w:r w:rsidRPr="009D6E25">
        <w:rPr>
          <w:rFonts w:cs="Arial"/>
          <w:szCs w:val="18"/>
        </w:rPr>
        <w:t xml:space="preserve"> P., </w:t>
      </w:r>
      <w:proofErr w:type="spellStart"/>
      <w:r w:rsidRPr="009D6E25">
        <w:rPr>
          <w:rFonts w:cs="Arial"/>
          <w:szCs w:val="18"/>
        </w:rPr>
        <w:t>Anongjanya</w:t>
      </w:r>
      <w:proofErr w:type="spellEnd"/>
      <w:r w:rsidRPr="009D6E25">
        <w:rPr>
          <w:rFonts w:cs="Arial"/>
          <w:szCs w:val="18"/>
        </w:rPr>
        <w:t xml:space="preserve"> P., </w:t>
      </w:r>
      <w:proofErr w:type="spellStart"/>
      <w:r w:rsidRPr="009D6E25">
        <w:rPr>
          <w:rFonts w:cs="Arial"/>
          <w:szCs w:val="18"/>
        </w:rPr>
        <w:t>Bunyahwuthakul</w:t>
      </w:r>
      <w:proofErr w:type="spellEnd"/>
      <w:r w:rsidRPr="009D6E25">
        <w:rPr>
          <w:rFonts w:cs="Arial"/>
          <w:szCs w:val="18"/>
        </w:rPr>
        <w:t xml:space="preserve"> N., </w:t>
      </w:r>
      <w:proofErr w:type="spellStart"/>
      <w:r w:rsidRPr="009D6E25">
        <w:rPr>
          <w:rFonts w:cs="Arial"/>
          <w:szCs w:val="18"/>
        </w:rPr>
        <w:t>Kongsin</w:t>
      </w:r>
      <w:proofErr w:type="spellEnd"/>
      <w:r w:rsidRPr="009D6E25">
        <w:rPr>
          <w:rFonts w:cs="Arial"/>
          <w:szCs w:val="18"/>
        </w:rPr>
        <w:t xml:space="preserve"> K., </w:t>
      </w:r>
      <w:proofErr w:type="spellStart"/>
      <w:r w:rsidRPr="009D6E25">
        <w:rPr>
          <w:rFonts w:cs="Arial"/>
          <w:szCs w:val="18"/>
        </w:rPr>
        <w:t>Harnkarnsujarit</w:t>
      </w:r>
      <w:proofErr w:type="spellEnd"/>
      <w:r w:rsidRPr="009D6E25">
        <w:rPr>
          <w:rFonts w:cs="Arial"/>
          <w:szCs w:val="18"/>
        </w:rPr>
        <w:t xml:space="preserve"> N., </w:t>
      </w:r>
      <w:proofErr w:type="spellStart"/>
      <w:r w:rsidRPr="009D6E25">
        <w:rPr>
          <w:rFonts w:cs="Arial"/>
          <w:szCs w:val="18"/>
        </w:rPr>
        <w:t>Sukatta</w:t>
      </w:r>
      <w:proofErr w:type="spellEnd"/>
      <w:r w:rsidRPr="009D6E25">
        <w:rPr>
          <w:rFonts w:cs="Arial"/>
          <w:szCs w:val="18"/>
        </w:rPr>
        <w:t xml:space="preserve"> U.,</w:t>
      </w:r>
      <w:r>
        <w:rPr>
          <w:rFonts w:cs="Arial"/>
          <w:szCs w:val="18"/>
        </w:rPr>
        <w:t xml:space="preserve"> </w:t>
      </w:r>
      <w:proofErr w:type="spellStart"/>
      <w:r w:rsidR="00EE36D0" w:rsidRPr="00EE36D0">
        <w:rPr>
          <w:rFonts w:cs="Arial"/>
          <w:szCs w:val="18"/>
        </w:rPr>
        <w:t>Sothornvit</w:t>
      </w:r>
      <w:proofErr w:type="spellEnd"/>
      <w:r w:rsidR="00EE36D0">
        <w:rPr>
          <w:rFonts w:cs="Arial"/>
          <w:szCs w:val="18"/>
        </w:rPr>
        <w:t xml:space="preserve"> R.,</w:t>
      </w:r>
      <w:r w:rsidRPr="009D6E25">
        <w:rPr>
          <w:rFonts w:cs="Arial"/>
          <w:szCs w:val="18"/>
        </w:rPr>
        <w:t xml:space="preserve"> </w:t>
      </w:r>
      <w:proofErr w:type="spellStart"/>
      <w:r w:rsidRPr="009D6E25">
        <w:rPr>
          <w:rFonts w:cs="Arial"/>
          <w:szCs w:val="18"/>
        </w:rPr>
        <w:t>Chollakup</w:t>
      </w:r>
      <w:proofErr w:type="spellEnd"/>
      <w:r w:rsidRPr="009D6E25">
        <w:rPr>
          <w:rFonts w:cs="Arial"/>
          <w:szCs w:val="18"/>
        </w:rPr>
        <w:t xml:space="preserve"> R</w:t>
      </w:r>
      <w:r w:rsidR="00EE36D0">
        <w:rPr>
          <w:rFonts w:cs="Arial"/>
          <w:szCs w:val="18"/>
        </w:rPr>
        <w:t>.,</w:t>
      </w:r>
      <w:r w:rsidRPr="009D6E25">
        <w:rPr>
          <w:rFonts w:cs="Arial"/>
          <w:szCs w:val="18"/>
        </w:rPr>
        <w:t xml:space="preserve"> 2018</w:t>
      </w:r>
      <w:r w:rsidR="00EE36D0">
        <w:rPr>
          <w:rFonts w:cs="Arial"/>
          <w:szCs w:val="18"/>
        </w:rPr>
        <w:t>,</w:t>
      </w:r>
      <w:r w:rsidRPr="009D6E25">
        <w:rPr>
          <w:rFonts w:cs="Arial"/>
          <w:szCs w:val="18"/>
        </w:rPr>
        <w:t xml:space="preserve"> Effect of cellulose nanocrystals from sugarcane bagasse on whey protein isolate-based films</w:t>
      </w:r>
      <w:r w:rsidR="00EE36D0">
        <w:rPr>
          <w:rFonts w:cs="Arial"/>
          <w:szCs w:val="18"/>
        </w:rPr>
        <w:t>,</w:t>
      </w:r>
      <w:r w:rsidRPr="009D6E25">
        <w:rPr>
          <w:rFonts w:cs="Arial"/>
          <w:szCs w:val="18"/>
        </w:rPr>
        <w:t xml:space="preserve"> </w:t>
      </w:r>
      <w:r w:rsidRPr="009D6E25">
        <w:rPr>
          <w:rFonts w:cs="Arial"/>
          <w:iCs/>
          <w:szCs w:val="18"/>
        </w:rPr>
        <w:t>Food Research International</w:t>
      </w:r>
      <w:r w:rsidRPr="009D6E25">
        <w:rPr>
          <w:rFonts w:cs="Arial"/>
          <w:szCs w:val="18"/>
        </w:rPr>
        <w:t xml:space="preserve">, </w:t>
      </w:r>
      <w:r w:rsidRPr="009D6E25">
        <w:rPr>
          <w:rFonts w:cs="Arial"/>
          <w:iCs/>
          <w:szCs w:val="18"/>
        </w:rPr>
        <w:t>107</w:t>
      </w:r>
      <w:r w:rsidRPr="009D6E25">
        <w:rPr>
          <w:rFonts w:cs="Arial"/>
          <w:szCs w:val="18"/>
        </w:rPr>
        <w:t>, 528-535.</w:t>
      </w:r>
    </w:p>
    <w:sectPr w:rsidR="000612E9" w:rsidSect="0077098D">
      <w:type w:val="continuous"/>
      <w:pgSz w:w="11906" w:h="16838" w:code="9"/>
      <w:pgMar w:top="1701" w:right="1418" w:bottom="1701" w:left="1701" w:header="170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D4282" w14:textId="77777777" w:rsidR="00FD3DD6" w:rsidRDefault="00FD3DD6" w:rsidP="004F5E36">
      <w:r>
        <w:separator/>
      </w:r>
    </w:p>
  </w:endnote>
  <w:endnote w:type="continuationSeparator" w:id="0">
    <w:p w14:paraId="2CFD4283" w14:textId="77777777" w:rsidR="00FD3DD6" w:rsidRDefault="00FD3DD6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P696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D4280" w14:textId="77777777" w:rsidR="00FD3DD6" w:rsidRDefault="00FD3DD6" w:rsidP="004F5E36">
      <w:r>
        <w:separator/>
      </w:r>
    </w:p>
  </w:footnote>
  <w:footnote w:type="continuationSeparator" w:id="0">
    <w:p w14:paraId="2CFD4281" w14:textId="77777777" w:rsidR="00FD3DD6" w:rsidRDefault="00FD3DD6" w:rsidP="004F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38217E"/>
    <w:multiLevelType w:val="multilevel"/>
    <w:tmpl w:val="F17228D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elasimples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30B7370"/>
    <w:multiLevelType w:val="hybridMultilevel"/>
    <w:tmpl w:val="12E2A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E0394"/>
    <w:multiLevelType w:val="hybridMultilevel"/>
    <w:tmpl w:val="806658E2"/>
    <w:lvl w:ilvl="0" w:tplc="14B0F7A8">
      <w:start w:val="1"/>
      <w:numFmt w:val="bullet"/>
      <w:pStyle w:val="CETnumberingbullets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100E8"/>
    <w:multiLevelType w:val="hybridMultilevel"/>
    <w:tmpl w:val="6F34C07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3A2A"/>
    <w:multiLevelType w:val="hybridMultilevel"/>
    <w:tmpl w:val="802A3318"/>
    <w:lvl w:ilvl="0" w:tplc="0F407D04">
      <w:start w:val="1"/>
      <w:numFmt w:val="upperLetter"/>
      <w:lvlText w:val="(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0A87BA7"/>
    <w:multiLevelType w:val="hybridMultilevel"/>
    <w:tmpl w:val="1F6A8AD4"/>
    <w:lvl w:ilvl="0" w:tplc="14B0F7A8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17387"/>
    <w:multiLevelType w:val="hybridMultilevel"/>
    <w:tmpl w:val="C2AE185A"/>
    <w:lvl w:ilvl="0" w:tplc="14090011">
      <w:start w:val="1"/>
      <w:numFmt w:val="decimal"/>
      <w:lvlText w:val="%1)"/>
      <w:lvlJc w:val="left"/>
      <w:pPr>
        <w:ind w:left="340" w:hanging="22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E2050"/>
    <w:multiLevelType w:val="hybridMultilevel"/>
    <w:tmpl w:val="3E8CD4DA"/>
    <w:lvl w:ilvl="0" w:tplc="B888CCAA">
      <w:start w:val="1"/>
      <w:numFmt w:val="upperLetter"/>
      <w:lvlText w:val="(%1)"/>
      <w:lvlJc w:val="left"/>
      <w:pPr>
        <w:ind w:left="27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65" w:hanging="360"/>
      </w:pPr>
    </w:lvl>
    <w:lvl w:ilvl="2" w:tplc="0416001B" w:tentative="1">
      <w:start w:val="1"/>
      <w:numFmt w:val="lowerRoman"/>
      <w:lvlText w:val="%3."/>
      <w:lvlJc w:val="right"/>
      <w:pPr>
        <w:ind w:left="4185" w:hanging="180"/>
      </w:pPr>
    </w:lvl>
    <w:lvl w:ilvl="3" w:tplc="0416000F" w:tentative="1">
      <w:start w:val="1"/>
      <w:numFmt w:val="decimal"/>
      <w:lvlText w:val="%4."/>
      <w:lvlJc w:val="left"/>
      <w:pPr>
        <w:ind w:left="4905" w:hanging="360"/>
      </w:pPr>
    </w:lvl>
    <w:lvl w:ilvl="4" w:tplc="04160019" w:tentative="1">
      <w:start w:val="1"/>
      <w:numFmt w:val="lowerLetter"/>
      <w:lvlText w:val="%5."/>
      <w:lvlJc w:val="left"/>
      <w:pPr>
        <w:ind w:left="5625" w:hanging="360"/>
      </w:pPr>
    </w:lvl>
    <w:lvl w:ilvl="5" w:tplc="0416001B" w:tentative="1">
      <w:start w:val="1"/>
      <w:numFmt w:val="lowerRoman"/>
      <w:lvlText w:val="%6."/>
      <w:lvlJc w:val="right"/>
      <w:pPr>
        <w:ind w:left="6345" w:hanging="180"/>
      </w:pPr>
    </w:lvl>
    <w:lvl w:ilvl="6" w:tplc="0416000F" w:tentative="1">
      <w:start w:val="1"/>
      <w:numFmt w:val="decimal"/>
      <w:lvlText w:val="%7."/>
      <w:lvlJc w:val="left"/>
      <w:pPr>
        <w:ind w:left="7065" w:hanging="360"/>
      </w:pPr>
    </w:lvl>
    <w:lvl w:ilvl="7" w:tplc="04160019" w:tentative="1">
      <w:start w:val="1"/>
      <w:numFmt w:val="lowerLetter"/>
      <w:lvlText w:val="%8."/>
      <w:lvlJc w:val="left"/>
      <w:pPr>
        <w:ind w:left="7785" w:hanging="360"/>
      </w:pPr>
    </w:lvl>
    <w:lvl w:ilvl="8" w:tplc="0416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18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015B5"/>
    <w:multiLevelType w:val="hybridMultilevel"/>
    <w:tmpl w:val="CCDE09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5266D"/>
    <w:multiLevelType w:val="hybridMultilevel"/>
    <w:tmpl w:val="F5BE3C4A"/>
    <w:lvl w:ilvl="0" w:tplc="9FC4D28C">
      <w:start w:val="1"/>
      <w:numFmt w:val="lowerLetter"/>
      <w:pStyle w:val="CETnumberinga"/>
      <w:lvlText w:val="%1."/>
      <w:lvlJc w:val="left"/>
      <w:pPr>
        <w:ind w:left="340" w:hanging="22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86B0B"/>
    <w:multiLevelType w:val="hybridMultilevel"/>
    <w:tmpl w:val="802A3318"/>
    <w:lvl w:ilvl="0" w:tplc="0F407D04">
      <w:start w:val="1"/>
      <w:numFmt w:val="upperLetter"/>
      <w:lvlText w:val="(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8"/>
  </w:num>
  <w:num w:numId="13">
    <w:abstractNumId w:val="12"/>
  </w:num>
  <w:num w:numId="14">
    <w:abstractNumId w:val="19"/>
  </w:num>
  <w:num w:numId="15">
    <w:abstractNumId w:val="21"/>
  </w:num>
  <w:num w:numId="16">
    <w:abstractNumId w:val="20"/>
  </w:num>
  <w:num w:numId="17">
    <w:abstractNumId w:val="11"/>
  </w:num>
  <w:num w:numId="18">
    <w:abstractNumId w:val="12"/>
    <w:lvlOverride w:ilvl="0">
      <w:startOverride w:val="1"/>
    </w:lvlOverride>
  </w:num>
  <w:num w:numId="19">
    <w:abstractNumId w:val="16"/>
  </w:num>
  <w:num w:numId="20">
    <w:abstractNumId w:val="15"/>
  </w:num>
  <w:num w:numId="21">
    <w:abstractNumId w:val="13"/>
  </w:num>
  <w:num w:numId="22">
    <w:abstractNumId w:val="10"/>
  </w:num>
  <w:num w:numId="23">
    <w:abstractNumId w:val="10"/>
  </w:num>
  <w:num w:numId="24">
    <w:abstractNumId w:val="22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8"/>
  <w:hyphenationZone w:val="283"/>
  <w:clickAndTypeStyle w:val="CETBodytext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0NzezsDA3M7MwMTJW0lEKTi0uzszPAymwrAUAugS3IywAAAA="/>
  </w:docVars>
  <w:rsids>
    <w:rsidRoot w:val="000E414A"/>
    <w:rsid w:val="00000F64"/>
    <w:rsid w:val="00001156"/>
    <w:rsid w:val="000027C0"/>
    <w:rsid w:val="00004724"/>
    <w:rsid w:val="00004CFE"/>
    <w:rsid w:val="000052FB"/>
    <w:rsid w:val="00006B22"/>
    <w:rsid w:val="00007D24"/>
    <w:rsid w:val="00007D6B"/>
    <w:rsid w:val="00010F40"/>
    <w:rsid w:val="00011711"/>
    <w:rsid w:val="000117CB"/>
    <w:rsid w:val="00011D0A"/>
    <w:rsid w:val="000159E2"/>
    <w:rsid w:val="00015F5F"/>
    <w:rsid w:val="00017F81"/>
    <w:rsid w:val="00020E19"/>
    <w:rsid w:val="000235E3"/>
    <w:rsid w:val="00023CDF"/>
    <w:rsid w:val="0003148D"/>
    <w:rsid w:val="000332BD"/>
    <w:rsid w:val="00035592"/>
    <w:rsid w:val="000379D5"/>
    <w:rsid w:val="00044156"/>
    <w:rsid w:val="000468DC"/>
    <w:rsid w:val="00047D7F"/>
    <w:rsid w:val="00051566"/>
    <w:rsid w:val="0005163B"/>
    <w:rsid w:val="000521B5"/>
    <w:rsid w:val="0005232C"/>
    <w:rsid w:val="00053E4F"/>
    <w:rsid w:val="00055FD5"/>
    <w:rsid w:val="00056822"/>
    <w:rsid w:val="00057AB8"/>
    <w:rsid w:val="000612E9"/>
    <w:rsid w:val="000626AD"/>
    <w:rsid w:val="00062A9A"/>
    <w:rsid w:val="0006371D"/>
    <w:rsid w:val="00063D93"/>
    <w:rsid w:val="00065058"/>
    <w:rsid w:val="0006658E"/>
    <w:rsid w:val="00070BC5"/>
    <w:rsid w:val="0008180F"/>
    <w:rsid w:val="00084237"/>
    <w:rsid w:val="00085A82"/>
    <w:rsid w:val="00086067"/>
    <w:rsid w:val="00086C39"/>
    <w:rsid w:val="00091AA8"/>
    <w:rsid w:val="00092820"/>
    <w:rsid w:val="000941B2"/>
    <w:rsid w:val="00094EC8"/>
    <w:rsid w:val="00096407"/>
    <w:rsid w:val="000972FD"/>
    <w:rsid w:val="00097584"/>
    <w:rsid w:val="000A0378"/>
    <w:rsid w:val="000A03B2"/>
    <w:rsid w:val="000A0C92"/>
    <w:rsid w:val="000A33EB"/>
    <w:rsid w:val="000A3B79"/>
    <w:rsid w:val="000A4CE4"/>
    <w:rsid w:val="000A57E9"/>
    <w:rsid w:val="000A6188"/>
    <w:rsid w:val="000A78CE"/>
    <w:rsid w:val="000B0087"/>
    <w:rsid w:val="000B110A"/>
    <w:rsid w:val="000B6548"/>
    <w:rsid w:val="000C008E"/>
    <w:rsid w:val="000C2486"/>
    <w:rsid w:val="000C2662"/>
    <w:rsid w:val="000C677C"/>
    <w:rsid w:val="000D0A28"/>
    <w:rsid w:val="000D1CD9"/>
    <w:rsid w:val="000D34BE"/>
    <w:rsid w:val="000D6D9D"/>
    <w:rsid w:val="000E102F"/>
    <w:rsid w:val="000E2DDD"/>
    <w:rsid w:val="000E36F1"/>
    <w:rsid w:val="000E3A73"/>
    <w:rsid w:val="000E414A"/>
    <w:rsid w:val="000E70EF"/>
    <w:rsid w:val="000E7B7F"/>
    <w:rsid w:val="000F093C"/>
    <w:rsid w:val="000F0CA3"/>
    <w:rsid w:val="000F16BD"/>
    <w:rsid w:val="000F2A3C"/>
    <w:rsid w:val="000F40BD"/>
    <w:rsid w:val="000F787B"/>
    <w:rsid w:val="00100E4C"/>
    <w:rsid w:val="00100F55"/>
    <w:rsid w:val="00104961"/>
    <w:rsid w:val="00106749"/>
    <w:rsid w:val="00107435"/>
    <w:rsid w:val="001119A3"/>
    <w:rsid w:val="001128ED"/>
    <w:rsid w:val="00115E2A"/>
    <w:rsid w:val="00116534"/>
    <w:rsid w:val="00116B69"/>
    <w:rsid w:val="0012091F"/>
    <w:rsid w:val="001235AC"/>
    <w:rsid w:val="001262B1"/>
    <w:rsid w:val="00126BC2"/>
    <w:rsid w:val="0013018E"/>
    <w:rsid w:val="001308B6"/>
    <w:rsid w:val="0013121F"/>
    <w:rsid w:val="00131FAB"/>
    <w:rsid w:val="00131FE6"/>
    <w:rsid w:val="001320BA"/>
    <w:rsid w:val="0013263F"/>
    <w:rsid w:val="0013285D"/>
    <w:rsid w:val="00134DE4"/>
    <w:rsid w:val="0014034D"/>
    <w:rsid w:val="00141DFF"/>
    <w:rsid w:val="00143C17"/>
    <w:rsid w:val="001460A6"/>
    <w:rsid w:val="00146B45"/>
    <w:rsid w:val="00146BD8"/>
    <w:rsid w:val="00150E59"/>
    <w:rsid w:val="00152DE3"/>
    <w:rsid w:val="00154DC1"/>
    <w:rsid w:val="00157A3F"/>
    <w:rsid w:val="00157FDD"/>
    <w:rsid w:val="00160A58"/>
    <w:rsid w:val="00164CF9"/>
    <w:rsid w:val="00172220"/>
    <w:rsid w:val="001724B2"/>
    <w:rsid w:val="001741FC"/>
    <w:rsid w:val="0017492F"/>
    <w:rsid w:val="00176BD9"/>
    <w:rsid w:val="00180D5F"/>
    <w:rsid w:val="001814BB"/>
    <w:rsid w:val="00182D16"/>
    <w:rsid w:val="00184AD6"/>
    <w:rsid w:val="001860F1"/>
    <w:rsid w:val="001901E8"/>
    <w:rsid w:val="00191110"/>
    <w:rsid w:val="00193A4D"/>
    <w:rsid w:val="001A4940"/>
    <w:rsid w:val="001A6DD9"/>
    <w:rsid w:val="001A7D80"/>
    <w:rsid w:val="001B0349"/>
    <w:rsid w:val="001B44F9"/>
    <w:rsid w:val="001B4C25"/>
    <w:rsid w:val="001B65C1"/>
    <w:rsid w:val="001C0217"/>
    <w:rsid w:val="001C18B4"/>
    <w:rsid w:val="001C4A5F"/>
    <w:rsid w:val="001C592F"/>
    <w:rsid w:val="001C684B"/>
    <w:rsid w:val="001C6CEB"/>
    <w:rsid w:val="001D0468"/>
    <w:rsid w:val="001D4B47"/>
    <w:rsid w:val="001D5218"/>
    <w:rsid w:val="001D53FC"/>
    <w:rsid w:val="001D5FB2"/>
    <w:rsid w:val="001E18D8"/>
    <w:rsid w:val="001E2C88"/>
    <w:rsid w:val="001E4283"/>
    <w:rsid w:val="001F04BA"/>
    <w:rsid w:val="001F42A5"/>
    <w:rsid w:val="001F74C0"/>
    <w:rsid w:val="001F79C9"/>
    <w:rsid w:val="001F7B9D"/>
    <w:rsid w:val="00200A4D"/>
    <w:rsid w:val="00201CE7"/>
    <w:rsid w:val="002074E1"/>
    <w:rsid w:val="00212D4C"/>
    <w:rsid w:val="002142A9"/>
    <w:rsid w:val="00220F0C"/>
    <w:rsid w:val="00222314"/>
    <w:rsid w:val="00222457"/>
    <w:rsid w:val="002224B4"/>
    <w:rsid w:val="002226EC"/>
    <w:rsid w:val="002230F6"/>
    <w:rsid w:val="00223171"/>
    <w:rsid w:val="00226F89"/>
    <w:rsid w:val="002277A8"/>
    <w:rsid w:val="00227989"/>
    <w:rsid w:val="00227EB7"/>
    <w:rsid w:val="0023094B"/>
    <w:rsid w:val="0023442D"/>
    <w:rsid w:val="0023540A"/>
    <w:rsid w:val="00235EEF"/>
    <w:rsid w:val="00236A3F"/>
    <w:rsid w:val="002447EF"/>
    <w:rsid w:val="00244B61"/>
    <w:rsid w:val="0024509F"/>
    <w:rsid w:val="00251550"/>
    <w:rsid w:val="00252C1A"/>
    <w:rsid w:val="00252F5E"/>
    <w:rsid w:val="00262ACF"/>
    <w:rsid w:val="00263B05"/>
    <w:rsid w:val="00270F27"/>
    <w:rsid w:val="0027221A"/>
    <w:rsid w:val="00273E57"/>
    <w:rsid w:val="00274AD8"/>
    <w:rsid w:val="00275B61"/>
    <w:rsid w:val="00275E01"/>
    <w:rsid w:val="002779DA"/>
    <w:rsid w:val="002800F0"/>
    <w:rsid w:val="002805BD"/>
    <w:rsid w:val="002819BF"/>
    <w:rsid w:val="00282656"/>
    <w:rsid w:val="002829EA"/>
    <w:rsid w:val="002904C2"/>
    <w:rsid w:val="00294646"/>
    <w:rsid w:val="00294FE0"/>
    <w:rsid w:val="00295276"/>
    <w:rsid w:val="002958B2"/>
    <w:rsid w:val="00296B83"/>
    <w:rsid w:val="00297402"/>
    <w:rsid w:val="002A5273"/>
    <w:rsid w:val="002B4C35"/>
    <w:rsid w:val="002B67F7"/>
    <w:rsid w:val="002B78CE"/>
    <w:rsid w:val="002C1BD4"/>
    <w:rsid w:val="002C2272"/>
    <w:rsid w:val="002C2FB6"/>
    <w:rsid w:val="002C536A"/>
    <w:rsid w:val="002D01E5"/>
    <w:rsid w:val="002D1A0C"/>
    <w:rsid w:val="002D5BCD"/>
    <w:rsid w:val="002D5E28"/>
    <w:rsid w:val="002D6F99"/>
    <w:rsid w:val="002E0AD2"/>
    <w:rsid w:val="002E0F65"/>
    <w:rsid w:val="002E4026"/>
    <w:rsid w:val="002E44FB"/>
    <w:rsid w:val="002E5B53"/>
    <w:rsid w:val="002E5DAB"/>
    <w:rsid w:val="002F785E"/>
    <w:rsid w:val="003009B7"/>
    <w:rsid w:val="00300E56"/>
    <w:rsid w:val="00301764"/>
    <w:rsid w:val="0030469C"/>
    <w:rsid w:val="0030661F"/>
    <w:rsid w:val="00307680"/>
    <w:rsid w:val="00312660"/>
    <w:rsid w:val="0031377C"/>
    <w:rsid w:val="00314494"/>
    <w:rsid w:val="003158D6"/>
    <w:rsid w:val="00315EE8"/>
    <w:rsid w:val="00316F97"/>
    <w:rsid w:val="00317D3C"/>
    <w:rsid w:val="0032056A"/>
    <w:rsid w:val="00321CA6"/>
    <w:rsid w:val="00326D77"/>
    <w:rsid w:val="00334C09"/>
    <w:rsid w:val="003365E3"/>
    <w:rsid w:val="003408E4"/>
    <w:rsid w:val="00342CBB"/>
    <w:rsid w:val="0034422E"/>
    <w:rsid w:val="00347598"/>
    <w:rsid w:val="00350C13"/>
    <w:rsid w:val="003535F3"/>
    <w:rsid w:val="00353932"/>
    <w:rsid w:val="00354F34"/>
    <w:rsid w:val="003554E7"/>
    <w:rsid w:val="0035679C"/>
    <w:rsid w:val="0035783B"/>
    <w:rsid w:val="003624F1"/>
    <w:rsid w:val="0036363F"/>
    <w:rsid w:val="003649B8"/>
    <w:rsid w:val="00367F44"/>
    <w:rsid w:val="00371B42"/>
    <w:rsid w:val="003723D4"/>
    <w:rsid w:val="00376E42"/>
    <w:rsid w:val="00384CC8"/>
    <w:rsid w:val="003868BE"/>
    <w:rsid w:val="003871FD"/>
    <w:rsid w:val="00397269"/>
    <w:rsid w:val="003A1E30"/>
    <w:rsid w:val="003A2365"/>
    <w:rsid w:val="003A2CA7"/>
    <w:rsid w:val="003A4F2D"/>
    <w:rsid w:val="003A7D1C"/>
    <w:rsid w:val="003B0151"/>
    <w:rsid w:val="003B09E1"/>
    <w:rsid w:val="003B13E6"/>
    <w:rsid w:val="003B1CBD"/>
    <w:rsid w:val="003B2EF8"/>
    <w:rsid w:val="003B304B"/>
    <w:rsid w:val="003B3146"/>
    <w:rsid w:val="003B3AD6"/>
    <w:rsid w:val="003B5BF9"/>
    <w:rsid w:val="003B60F3"/>
    <w:rsid w:val="003B72F9"/>
    <w:rsid w:val="003B754F"/>
    <w:rsid w:val="003C0028"/>
    <w:rsid w:val="003C1913"/>
    <w:rsid w:val="003C3966"/>
    <w:rsid w:val="003C3D00"/>
    <w:rsid w:val="003C40A3"/>
    <w:rsid w:val="003D0FE1"/>
    <w:rsid w:val="003D14A3"/>
    <w:rsid w:val="003E0E07"/>
    <w:rsid w:val="003E1A17"/>
    <w:rsid w:val="003E2D7B"/>
    <w:rsid w:val="003E30EE"/>
    <w:rsid w:val="003E597D"/>
    <w:rsid w:val="003E5DE5"/>
    <w:rsid w:val="003E79CE"/>
    <w:rsid w:val="003E7D10"/>
    <w:rsid w:val="003F015E"/>
    <w:rsid w:val="003F0F5A"/>
    <w:rsid w:val="003F265A"/>
    <w:rsid w:val="003F3D33"/>
    <w:rsid w:val="003F5D45"/>
    <w:rsid w:val="003F6175"/>
    <w:rsid w:val="00400316"/>
    <w:rsid w:val="00400414"/>
    <w:rsid w:val="0040067E"/>
    <w:rsid w:val="004034EB"/>
    <w:rsid w:val="00403B07"/>
    <w:rsid w:val="004050A4"/>
    <w:rsid w:val="004071FD"/>
    <w:rsid w:val="00411301"/>
    <w:rsid w:val="0041446B"/>
    <w:rsid w:val="00420E1E"/>
    <w:rsid w:val="004219E2"/>
    <w:rsid w:val="0042440E"/>
    <w:rsid w:val="004250D5"/>
    <w:rsid w:val="00427F92"/>
    <w:rsid w:val="0043011F"/>
    <w:rsid w:val="004334FF"/>
    <w:rsid w:val="00433C57"/>
    <w:rsid w:val="00436289"/>
    <w:rsid w:val="004407A9"/>
    <w:rsid w:val="0044329C"/>
    <w:rsid w:val="004467C1"/>
    <w:rsid w:val="00451434"/>
    <w:rsid w:val="004535D3"/>
    <w:rsid w:val="004557B6"/>
    <w:rsid w:val="004577FE"/>
    <w:rsid w:val="00457B9C"/>
    <w:rsid w:val="00460449"/>
    <w:rsid w:val="0046164A"/>
    <w:rsid w:val="004628D2"/>
    <w:rsid w:val="00462DCD"/>
    <w:rsid w:val="004648AD"/>
    <w:rsid w:val="00465C48"/>
    <w:rsid w:val="00466507"/>
    <w:rsid w:val="004703A9"/>
    <w:rsid w:val="004725CB"/>
    <w:rsid w:val="00472BC0"/>
    <w:rsid w:val="00474309"/>
    <w:rsid w:val="004760DE"/>
    <w:rsid w:val="0047623C"/>
    <w:rsid w:val="004768E8"/>
    <w:rsid w:val="00487CD9"/>
    <w:rsid w:val="004933A7"/>
    <w:rsid w:val="00493898"/>
    <w:rsid w:val="00493DEC"/>
    <w:rsid w:val="004A004E"/>
    <w:rsid w:val="004A0AD9"/>
    <w:rsid w:val="004A24CF"/>
    <w:rsid w:val="004A4888"/>
    <w:rsid w:val="004A4C1A"/>
    <w:rsid w:val="004A52C8"/>
    <w:rsid w:val="004A5707"/>
    <w:rsid w:val="004A5E6D"/>
    <w:rsid w:val="004B12BF"/>
    <w:rsid w:val="004B17DF"/>
    <w:rsid w:val="004B5439"/>
    <w:rsid w:val="004B6721"/>
    <w:rsid w:val="004B78E5"/>
    <w:rsid w:val="004C3C85"/>
    <w:rsid w:val="004C3D1D"/>
    <w:rsid w:val="004C480F"/>
    <w:rsid w:val="004C4CE9"/>
    <w:rsid w:val="004C67C2"/>
    <w:rsid w:val="004C7913"/>
    <w:rsid w:val="004D2624"/>
    <w:rsid w:val="004D4750"/>
    <w:rsid w:val="004D5609"/>
    <w:rsid w:val="004D5E4A"/>
    <w:rsid w:val="004D6D16"/>
    <w:rsid w:val="004D71A9"/>
    <w:rsid w:val="004E0C5D"/>
    <w:rsid w:val="004E2612"/>
    <w:rsid w:val="004E4DD6"/>
    <w:rsid w:val="004E520F"/>
    <w:rsid w:val="004E5450"/>
    <w:rsid w:val="004E6161"/>
    <w:rsid w:val="004F0D04"/>
    <w:rsid w:val="004F59A5"/>
    <w:rsid w:val="004F5E36"/>
    <w:rsid w:val="004F6451"/>
    <w:rsid w:val="00502CF3"/>
    <w:rsid w:val="005031E6"/>
    <w:rsid w:val="005036A4"/>
    <w:rsid w:val="00503D4C"/>
    <w:rsid w:val="00507B47"/>
    <w:rsid w:val="00507CC9"/>
    <w:rsid w:val="005114FC"/>
    <w:rsid w:val="005119A5"/>
    <w:rsid w:val="00512876"/>
    <w:rsid w:val="00515942"/>
    <w:rsid w:val="00517225"/>
    <w:rsid w:val="005219D9"/>
    <w:rsid w:val="00522E08"/>
    <w:rsid w:val="00524C99"/>
    <w:rsid w:val="0052616E"/>
    <w:rsid w:val="0052691E"/>
    <w:rsid w:val="005278B7"/>
    <w:rsid w:val="0053146D"/>
    <w:rsid w:val="00532016"/>
    <w:rsid w:val="005346C8"/>
    <w:rsid w:val="00534E4A"/>
    <w:rsid w:val="0054118A"/>
    <w:rsid w:val="00541F7E"/>
    <w:rsid w:val="0054319D"/>
    <w:rsid w:val="005435FE"/>
    <w:rsid w:val="00543E7D"/>
    <w:rsid w:val="00544C12"/>
    <w:rsid w:val="00544F59"/>
    <w:rsid w:val="00546B05"/>
    <w:rsid w:val="00547A68"/>
    <w:rsid w:val="005531C9"/>
    <w:rsid w:val="005603BF"/>
    <w:rsid w:val="00561C08"/>
    <w:rsid w:val="005626D8"/>
    <w:rsid w:val="00563B1C"/>
    <w:rsid w:val="00567472"/>
    <w:rsid w:val="005721E2"/>
    <w:rsid w:val="0057609E"/>
    <w:rsid w:val="00580AE4"/>
    <w:rsid w:val="00580EBA"/>
    <w:rsid w:val="00581800"/>
    <w:rsid w:val="00581F3F"/>
    <w:rsid w:val="005836E9"/>
    <w:rsid w:val="005919E8"/>
    <w:rsid w:val="00592260"/>
    <w:rsid w:val="00592709"/>
    <w:rsid w:val="00594A6E"/>
    <w:rsid w:val="00596C99"/>
    <w:rsid w:val="005971F6"/>
    <w:rsid w:val="005A0BA2"/>
    <w:rsid w:val="005A51C1"/>
    <w:rsid w:val="005A65F6"/>
    <w:rsid w:val="005B16F5"/>
    <w:rsid w:val="005B2110"/>
    <w:rsid w:val="005B3980"/>
    <w:rsid w:val="005B54A7"/>
    <w:rsid w:val="005B61E6"/>
    <w:rsid w:val="005B6403"/>
    <w:rsid w:val="005B77CB"/>
    <w:rsid w:val="005B7845"/>
    <w:rsid w:val="005B7D90"/>
    <w:rsid w:val="005C77E1"/>
    <w:rsid w:val="005C7E7B"/>
    <w:rsid w:val="005C7F88"/>
    <w:rsid w:val="005D062A"/>
    <w:rsid w:val="005D0AD8"/>
    <w:rsid w:val="005D1B0A"/>
    <w:rsid w:val="005D6A2F"/>
    <w:rsid w:val="005E10B4"/>
    <w:rsid w:val="005E1A82"/>
    <w:rsid w:val="005E5656"/>
    <w:rsid w:val="005E794C"/>
    <w:rsid w:val="005F086C"/>
    <w:rsid w:val="005F0987"/>
    <w:rsid w:val="005F0A28"/>
    <w:rsid w:val="005F0E5E"/>
    <w:rsid w:val="005F0EE1"/>
    <w:rsid w:val="005F37E9"/>
    <w:rsid w:val="005F45AB"/>
    <w:rsid w:val="00600535"/>
    <w:rsid w:val="006023B5"/>
    <w:rsid w:val="006039CB"/>
    <w:rsid w:val="00604FB3"/>
    <w:rsid w:val="006065B7"/>
    <w:rsid w:val="00610CD6"/>
    <w:rsid w:val="006158EC"/>
    <w:rsid w:val="00620DEE"/>
    <w:rsid w:val="00621F92"/>
    <w:rsid w:val="00622AF8"/>
    <w:rsid w:val="00623295"/>
    <w:rsid w:val="00624D5A"/>
    <w:rsid w:val="00625433"/>
    <w:rsid w:val="00625639"/>
    <w:rsid w:val="00627EA4"/>
    <w:rsid w:val="00630421"/>
    <w:rsid w:val="00630BDB"/>
    <w:rsid w:val="0063103C"/>
    <w:rsid w:val="00631B33"/>
    <w:rsid w:val="0064184D"/>
    <w:rsid w:val="006418C9"/>
    <w:rsid w:val="006422CC"/>
    <w:rsid w:val="006439EC"/>
    <w:rsid w:val="006462E1"/>
    <w:rsid w:val="006468D4"/>
    <w:rsid w:val="00646BD4"/>
    <w:rsid w:val="00651B7F"/>
    <w:rsid w:val="006528AD"/>
    <w:rsid w:val="006577D6"/>
    <w:rsid w:val="00660E3E"/>
    <w:rsid w:val="0066252F"/>
    <w:rsid w:val="00662E74"/>
    <w:rsid w:val="00663687"/>
    <w:rsid w:val="00666184"/>
    <w:rsid w:val="006677F6"/>
    <w:rsid w:val="006703E3"/>
    <w:rsid w:val="00671957"/>
    <w:rsid w:val="006759D0"/>
    <w:rsid w:val="00680C23"/>
    <w:rsid w:val="006812F4"/>
    <w:rsid w:val="0068309A"/>
    <w:rsid w:val="006838EA"/>
    <w:rsid w:val="0068430B"/>
    <w:rsid w:val="00691A63"/>
    <w:rsid w:val="00693766"/>
    <w:rsid w:val="00693F2B"/>
    <w:rsid w:val="00693F45"/>
    <w:rsid w:val="006A013B"/>
    <w:rsid w:val="006A1283"/>
    <w:rsid w:val="006A2B48"/>
    <w:rsid w:val="006A30E9"/>
    <w:rsid w:val="006A3281"/>
    <w:rsid w:val="006A4FE1"/>
    <w:rsid w:val="006B054C"/>
    <w:rsid w:val="006B0B36"/>
    <w:rsid w:val="006B263B"/>
    <w:rsid w:val="006B3BDC"/>
    <w:rsid w:val="006B4888"/>
    <w:rsid w:val="006C054E"/>
    <w:rsid w:val="006C0F36"/>
    <w:rsid w:val="006C2E45"/>
    <w:rsid w:val="006C359C"/>
    <w:rsid w:val="006C483A"/>
    <w:rsid w:val="006C5579"/>
    <w:rsid w:val="006C6843"/>
    <w:rsid w:val="006D04F9"/>
    <w:rsid w:val="006D2D93"/>
    <w:rsid w:val="006D31B7"/>
    <w:rsid w:val="006D4C12"/>
    <w:rsid w:val="006D643A"/>
    <w:rsid w:val="006D6A5D"/>
    <w:rsid w:val="006D7BDA"/>
    <w:rsid w:val="006E1698"/>
    <w:rsid w:val="006E16F5"/>
    <w:rsid w:val="006E5F82"/>
    <w:rsid w:val="006E61B2"/>
    <w:rsid w:val="006E737D"/>
    <w:rsid w:val="006F03E5"/>
    <w:rsid w:val="006F2591"/>
    <w:rsid w:val="006F25C0"/>
    <w:rsid w:val="006F34BF"/>
    <w:rsid w:val="006F518D"/>
    <w:rsid w:val="006F5C9D"/>
    <w:rsid w:val="006F6920"/>
    <w:rsid w:val="006F6B5F"/>
    <w:rsid w:val="0070195D"/>
    <w:rsid w:val="00702E29"/>
    <w:rsid w:val="0070359A"/>
    <w:rsid w:val="0070389A"/>
    <w:rsid w:val="00707EBB"/>
    <w:rsid w:val="00711BE3"/>
    <w:rsid w:val="0071244E"/>
    <w:rsid w:val="0071515B"/>
    <w:rsid w:val="00715302"/>
    <w:rsid w:val="00720A24"/>
    <w:rsid w:val="007233DF"/>
    <w:rsid w:val="00724323"/>
    <w:rsid w:val="00727BD1"/>
    <w:rsid w:val="0073029B"/>
    <w:rsid w:val="00732386"/>
    <w:rsid w:val="00736E78"/>
    <w:rsid w:val="00742F3C"/>
    <w:rsid w:val="007447F3"/>
    <w:rsid w:val="00744998"/>
    <w:rsid w:val="00744DB3"/>
    <w:rsid w:val="0074588A"/>
    <w:rsid w:val="00746298"/>
    <w:rsid w:val="00752E30"/>
    <w:rsid w:val="0075499F"/>
    <w:rsid w:val="0075630F"/>
    <w:rsid w:val="0076451F"/>
    <w:rsid w:val="00765C93"/>
    <w:rsid w:val="007661C8"/>
    <w:rsid w:val="00766FDA"/>
    <w:rsid w:val="0077098D"/>
    <w:rsid w:val="007709A3"/>
    <w:rsid w:val="007801C9"/>
    <w:rsid w:val="00780223"/>
    <w:rsid w:val="00782ED4"/>
    <w:rsid w:val="00790EC7"/>
    <w:rsid w:val="00792591"/>
    <w:rsid w:val="007931FA"/>
    <w:rsid w:val="00797C2E"/>
    <w:rsid w:val="007A3BFC"/>
    <w:rsid w:val="007A4801"/>
    <w:rsid w:val="007A5CDA"/>
    <w:rsid w:val="007A7BBA"/>
    <w:rsid w:val="007B0C50"/>
    <w:rsid w:val="007B31D5"/>
    <w:rsid w:val="007B4A64"/>
    <w:rsid w:val="007B76EE"/>
    <w:rsid w:val="007C1A43"/>
    <w:rsid w:val="007C3648"/>
    <w:rsid w:val="007D7B24"/>
    <w:rsid w:val="007E0721"/>
    <w:rsid w:val="007E0E85"/>
    <w:rsid w:val="007E1DC6"/>
    <w:rsid w:val="007E295C"/>
    <w:rsid w:val="007E3CD2"/>
    <w:rsid w:val="007E77B4"/>
    <w:rsid w:val="007F1B7A"/>
    <w:rsid w:val="007F213F"/>
    <w:rsid w:val="00803F0C"/>
    <w:rsid w:val="008043E8"/>
    <w:rsid w:val="00813288"/>
    <w:rsid w:val="00814FB6"/>
    <w:rsid w:val="008168FC"/>
    <w:rsid w:val="00820DDE"/>
    <w:rsid w:val="00824120"/>
    <w:rsid w:val="00830996"/>
    <w:rsid w:val="00832D47"/>
    <w:rsid w:val="008345F1"/>
    <w:rsid w:val="00834FE1"/>
    <w:rsid w:val="008357FD"/>
    <w:rsid w:val="008404B6"/>
    <w:rsid w:val="00841EAF"/>
    <w:rsid w:val="008422D7"/>
    <w:rsid w:val="00845723"/>
    <w:rsid w:val="00850294"/>
    <w:rsid w:val="008524F6"/>
    <w:rsid w:val="00854446"/>
    <w:rsid w:val="008547CA"/>
    <w:rsid w:val="00857560"/>
    <w:rsid w:val="00862E79"/>
    <w:rsid w:val="00865182"/>
    <w:rsid w:val="00865278"/>
    <w:rsid w:val="00865B07"/>
    <w:rsid w:val="008660E6"/>
    <w:rsid w:val="008667EA"/>
    <w:rsid w:val="00867577"/>
    <w:rsid w:val="008701C2"/>
    <w:rsid w:val="0087247A"/>
    <w:rsid w:val="008728F3"/>
    <w:rsid w:val="00873D06"/>
    <w:rsid w:val="008750D6"/>
    <w:rsid w:val="0087637F"/>
    <w:rsid w:val="00876E32"/>
    <w:rsid w:val="00877911"/>
    <w:rsid w:val="008804E8"/>
    <w:rsid w:val="00880DF9"/>
    <w:rsid w:val="00882F81"/>
    <w:rsid w:val="00884C00"/>
    <w:rsid w:val="008856B5"/>
    <w:rsid w:val="00885CB9"/>
    <w:rsid w:val="00886B18"/>
    <w:rsid w:val="008904B9"/>
    <w:rsid w:val="00892AD5"/>
    <w:rsid w:val="00894C7E"/>
    <w:rsid w:val="008A0212"/>
    <w:rsid w:val="008A1512"/>
    <w:rsid w:val="008A2330"/>
    <w:rsid w:val="008A2477"/>
    <w:rsid w:val="008A31BC"/>
    <w:rsid w:val="008A360E"/>
    <w:rsid w:val="008A73CD"/>
    <w:rsid w:val="008A7FBB"/>
    <w:rsid w:val="008B1338"/>
    <w:rsid w:val="008B301B"/>
    <w:rsid w:val="008B5B08"/>
    <w:rsid w:val="008C1808"/>
    <w:rsid w:val="008C2D9F"/>
    <w:rsid w:val="008C2F8B"/>
    <w:rsid w:val="008C770D"/>
    <w:rsid w:val="008C78C1"/>
    <w:rsid w:val="008D17A4"/>
    <w:rsid w:val="008D1ADD"/>
    <w:rsid w:val="008D32B9"/>
    <w:rsid w:val="008D433B"/>
    <w:rsid w:val="008E03FC"/>
    <w:rsid w:val="008E41F0"/>
    <w:rsid w:val="008E566E"/>
    <w:rsid w:val="008F0D9A"/>
    <w:rsid w:val="008F3F14"/>
    <w:rsid w:val="0090161A"/>
    <w:rsid w:val="00901EB6"/>
    <w:rsid w:val="0090296B"/>
    <w:rsid w:val="00904303"/>
    <w:rsid w:val="009045CF"/>
    <w:rsid w:val="00904C62"/>
    <w:rsid w:val="0090533A"/>
    <w:rsid w:val="00905D7E"/>
    <w:rsid w:val="009110BC"/>
    <w:rsid w:val="00912BAD"/>
    <w:rsid w:val="0092103B"/>
    <w:rsid w:val="00921221"/>
    <w:rsid w:val="00924DAC"/>
    <w:rsid w:val="00924FD9"/>
    <w:rsid w:val="00927058"/>
    <w:rsid w:val="00927AC0"/>
    <w:rsid w:val="009369DF"/>
    <w:rsid w:val="009411C9"/>
    <w:rsid w:val="00943D8A"/>
    <w:rsid w:val="009450CE"/>
    <w:rsid w:val="00945597"/>
    <w:rsid w:val="00947179"/>
    <w:rsid w:val="00947D3A"/>
    <w:rsid w:val="009507CA"/>
    <w:rsid w:val="0095164B"/>
    <w:rsid w:val="00953D1E"/>
    <w:rsid w:val="00954062"/>
    <w:rsid w:val="00954090"/>
    <w:rsid w:val="009573E7"/>
    <w:rsid w:val="009627A8"/>
    <w:rsid w:val="00962E47"/>
    <w:rsid w:val="009635B9"/>
    <w:rsid w:val="00963D67"/>
    <w:rsid w:val="00963E05"/>
    <w:rsid w:val="00967644"/>
    <w:rsid w:val="009676F3"/>
    <w:rsid w:val="00967D54"/>
    <w:rsid w:val="00972775"/>
    <w:rsid w:val="00972CA8"/>
    <w:rsid w:val="009737AF"/>
    <w:rsid w:val="00975179"/>
    <w:rsid w:val="00977BAD"/>
    <w:rsid w:val="0098175F"/>
    <w:rsid w:val="00981E7D"/>
    <w:rsid w:val="00984B82"/>
    <w:rsid w:val="00985B3E"/>
    <w:rsid w:val="009860EA"/>
    <w:rsid w:val="009861C7"/>
    <w:rsid w:val="00987E1F"/>
    <w:rsid w:val="00991573"/>
    <w:rsid w:val="00991A79"/>
    <w:rsid w:val="009925CC"/>
    <w:rsid w:val="009947D4"/>
    <w:rsid w:val="009952D0"/>
    <w:rsid w:val="00996483"/>
    <w:rsid w:val="00996842"/>
    <w:rsid w:val="00996F5A"/>
    <w:rsid w:val="00997A4C"/>
    <w:rsid w:val="009A0A3E"/>
    <w:rsid w:val="009A1FCF"/>
    <w:rsid w:val="009A2AB3"/>
    <w:rsid w:val="009B0104"/>
    <w:rsid w:val="009B041A"/>
    <w:rsid w:val="009B490D"/>
    <w:rsid w:val="009B50B0"/>
    <w:rsid w:val="009C06A6"/>
    <w:rsid w:val="009C5184"/>
    <w:rsid w:val="009C7671"/>
    <w:rsid w:val="009C7C86"/>
    <w:rsid w:val="009D0FFF"/>
    <w:rsid w:val="009D1938"/>
    <w:rsid w:val="009D2FD2"/>
    <w:rsid w:val="009D2FF7"/>
    <w:rsid w:val="009D6750"/>
    <w:rsid w:val="009D6E25"/>
    <w:rsid w:val="009E02A9"/>
    <w:rsid w:val="009E229E"/>
    <w:rsid w:val="009E4AD1"/>
    <w:rsid w:val="009E7884"/>
    <w:rsid w:val="009E788A"/>
    <w:rsid w:val="009F0B78"/>
    <w:rsid w:val="009F0E08"/>
    <w:rsid w:val="009F1A72"/>
    <w:rsid w:val="00A021EF"/>
    <w:rsid w:val="00A060F1"/>
    <w:rsid w:val="00A067EA"/>
    <w:rsid w:val="00A10F04"/>
    <w:rsid w:val="00A11326"/>
    <w:rsid w:val="00A12061"/>
    <w:rsid w:val="00A12E8B"/>
    <w:rsid w:val="00A14B9D"/>
    <w:rsid w:val="00A1763D"/>
    <w:rsid w:val="00A17CEC"/>
    <w:rsid w:val="00A2055B"/>
    <w:rsid w:val="00A20DCE"/>
    <w:rsid w:val="00A22499"/>
    <w:rsid w:val="00A23119"/>
    <w:rsid w:val="00A27EF0"/>
    <w:rsid w:val="00A314EB"/>
    <w:rsid w:val="00A368E5"/>
    <w:rsid w:val="00A41AB6"/>
    <w:rsid w:val="00A41ABC"/>
    <w:rsid w:val="00A42127"/>
    <w:rsid w:val="00A50B20"/>
    <w:rsid w:val="00A51390"/>
    <w:rsid w:val="00A52681"/>
    <w:rsid w:val="00A53077"/>
    <w:rsid w:val="00A53521"/>
    <w:rsid w:val="00A556A3"/>
    <w:rsid w:val="00A575EF"/>
    <w:rsid w:val="00A60D13"/>
    <w:rsid w:val="00A633C5"/>
    <w:rsid w:val="00A63B13"/>
    <w:rsid w:val="00A649E6"/>
    <w:rsid w:val="00A6557A"/>
    <w:rsid w:val="00A7114D"/>
    <w:rsid w:val="00A716CC"/>
    <w:rsid w:val="00A72745"/>
    <w:rsid w:val="00A76EFC"/>
    <w:rsid w:val="00A83870"/>
    <w:rsid w:val="00A85E22"/>
    <w:rsid w:val="00A91010"/>
    <w:rsid w:val="00A91339"/>
    <w:rsid w:val="00A972EA"/>
    <w:rsid w:val="00A97F29"/>
    <w:rsid w:val="00AA1766"/>
    <w:rsid w:val="00AA592A"/>
    <w:rsid w:val="00AA702E"/>
    <w:rsid w:val="00AB0964"/>
    <w:rsid w:val="00AB0B8E"/>
    <w:rsid w:val="00AB125B"/>
    <w:rsid w:val="00AB28CB"/>
    <w:rsid w:val="00AB5011"/>
    <w:rsid w:val="00AB6AF0"/>
    <w:rsid w:val="00AC04B5"/>
    <w:rsid w:val="00AC2373"/>
    <w:rsid w:val="00AC45FD"/>
    <w:rsid w:val="00AC7368"/>
    <w:rsid w:val="00AD11BA"/>
    <w:rsid w:val="00AD16B9"/>
    <w:rsid w:val="00AE13F3"/>
    <w:rsid w:val="00AE27A7"/>
    <w:rsid w:val="00AE377D"/>
    <w:rsid w:val="00AE3EA6"/>
    <w:rsid w:val="00AE5B69"/>
    <w:rsid w:val="00AE78F9"/>
    <w:rsid w:val="00AF1B16"/>
    <w:rsid w:val="00AF2E39"/>
    <w:rsid w:val="00AF5140"/>
    <w:rsid w:val="00B114E9"/>
    <w:rsid w:val="00B14620"/>
    <w:rsid w:val="00B17959"/>
    <w:rsid w:val="00B17FBD"/>
    <w:rsid w:val="00B20819"/>
    <w:rsid w:val="00B237A4"/>
    <w:rsid w:val="00B255D9"/>
    <w:rsid w:val="00B315A6"/>
    <w:rsid w:val="00B31813"/>
    <w:rsid w:val="00B32FC5"/>
    <w:rsid w:val="00B33365"/>
    <w:rsid w:val="00B43085"/>
    <w:rsid w:val="00B46712"/>
    <w:rsid w:val="00B469E7"/>
    <w:rsid w:val="00B52792"/>
    <w:rsid w:val="00B54F90"/>
    <w:rsid w:val="00B57B36"/>
    <w:rsid w:val="00B61791"/>
    <w:rsid w:val="00B62AF7"/>
    <w:rsid w:val="00B67EE3"/>
    <w:rsid w:val="00B71572"/>
    <w:rsid w:val="00B73989"/>
    <w:rsid w:val="00B739F6"/>
    <w:rsid w:val="00B75FFA"/>
    <w:rsid w:val="00B76A65"/>
    <w:rsid w:val="00B76B02"/>
    <w:rsid w:val="00B76B94"/>
    <w:rsid w:val="00B81A00"/>
    <w:rsid w:val="00B82F41"/>
    <w:rsid w:val="00B8686D"/>
    <w:rsid w:val="00B90162"/>
    <w:rsid w:val="00B90FC2"/>
    <w:rsid w:val="00B91AF1"/>
    <w:rsid w:val="00B936E7"/>
    <w:rsid w:val="00B93A41"/>
    <w:rsid w:val="00B94478"/>
    <w:rsid w:val="00BA0014"/>
    <w:rsid w:val="00BA14C4"/>
    <w:rsid w:val="00BA25AC"/>
    <w:rsid w:val="00BB3095"/>
    <w:rsid w:val="00BB3448"/>
    <w:rsid w:val="00BB3860"/>
    <w:rsid w:val="00BB48AA"/>
    <w:rsid w:val="00BB673B"/>
    <w:rsid w:val="00BC277B"/>
    <w:rsid w:val="00BC30C9"/>
    <w:rsid w:val="00BC4042"/>
    <w:rsid w:val="00BC56E1"/>
    <w:rsid w:val="00BC66B1"/>
    <w:rsid w:val="00BD0AA9"/>
    <w:rsid w:val="00BD1A86"/>
    <w:rsid w:val="00BD1C9A"/>
    <w:rsid w:val="00BD3E8B"/>
    <w:rsid w:val="00BD6F9B"/>
    <w:rsid w:val="00BE3E58"/>
    <w:rsid w:val="00BE6464"/>
    <w:rsid w:val="00BF0471"/>
    <w:rsid w:val="00BF085C"/>
    <w:rsid w:val="00BF253B"/>
    <w:rsid w:val="00BF2614"/>
    <w:rsid w:val="00BF364C"/>
    <w:rsid w:val="00BF61B4"/>
    <w:rsid w:val="00BF6CFB"/>
    <w:rsid w:val="00BF7DD7"/>
    <w:rsid w:val="00C01616"/>
    <w:rsid w:val="00C0162B"/>
    <w:rsid w:val="00C0245D"/>
    <w:rsid w:val="00C03516"/>
    <w:rsid w:val="00C04572"/>
    <w:rsid w:val="00C04638"/>
    <w:rsid w:val="00C063AF"/>
    <w:rsid w:val="00C07988"/>
    <w:rsid w:val="00C11C13"/>
    <w:rsid w:val="00C11FAB"/>
    <w:rsid w:val="00C13F56"/>
    <w:rsid w:val="00C218CA"/>
    <w:rsid w:val="00C2368B"/>
    <w:rsid w:val="00C23D5A"/>
    <w:rsid w:val="00C26851"/>
    <w:rsid w:val="00C26914"/>
    <w:rsid w:val="00C309A0"/>
    <w:rsid w:val="00C345B1"/>
    <w:rsid w:val="00C34D9F"/>
    <w:rsid w:val="00C3787A"/>
    <w:rsid w:val="00C40142"/>
    <w:rsid w:val="00C4121C"/>
    <w:rsid w:val="00C43C8B"/>
    <w:rsid w:val="00C43E3D"/>
    <w:rsid w:val="00C46C2C"/>
    <w:rsid w:val="00C52D7B"/>
    <w:rsid w:val="00C54BC3"/>
    <w:rsid w:val="00C55343"/>
    <w:rsid w:val="00C57182"/>
    <w:rsid w:val="00C57863"/>
    <w:rsid w:val="00C624DE"/>
    <w:rsid w:val="00C649A8"/>
    <w:rsid w:val="00C655FD"/>
    <w:rsid w:val="00C65DA0"/>
    <w:rsid w:val="00C70523"/>
    <w:rsid w:val="00C7496D"/>
    <w:rsid w:val="00C76321"/>
    <w:rsid w:val="00C7719E"/>
    <w:rsid w:val="00C80815"/>
    <w:rsid w:val="00C82122"/>
    <w:rsid w:val="00C83196"/>
    <w:rsid w:val="00C86550"/>
    <w:rsid w:val="00C86FD9"/>
    <w:rsid w:val="00C870A8"/>
    <w:rsid w:val="00C90C72"/>
    <w:rsid w:val="00C916B4"/>
    <w:rsid w:val="00C94434"/>
    <w:rsid w:val="00C96E6D"/>
    <w:rsid w:val="00CA0D75"/>
    <w:rsid w:val="00CA1C95"/>
    <w:rsid w:val="00CA2993"/>
    <w:rsid w:val="00CA340D"/>
    <w:rsid w:val="00CA449E"/>
    <w:rsid w:val="00CA4731"/>
    <w:rsid w:val="00CA59F2"/>
    <w:rsid w:val="00CA5A9C"/>
    <w:rsid w:val="00CA6E97"/>
    <w:rsid w:val="00CB7E21"/>
    <w:rsid w:val="00CC166B"/>
    <w:rsid w:val="00CC2E76"/>
    <w:rsid w:val="00CC3FA1"/>
    <w:rsid w:val="00CC57DE"/>
    <w:rsid w:val="00CD0832"/>
    <w:rsid w:val="00CD24A6"/>
    <w:rsid w:val="00CD3517"/>
    <w:rsid w:val="00CD5283"/>
    <w:rsid w:val="00CD5A00"/>
    <w:rsid w:val="00CD5FE2"/>
    <w:rsid w:val="00CD7EC6"/>
    <w:rsid w:val="00CE7BA1"/>
    <w:rsid w:val="00CE7C68"/>
    <w:rsid w:val="00CF2518"/>
    <w:rsid w:val="00CF2664"/>
    <w:rsid w:val="00CF4698"/>
    <w:rsid w:val="00CF5FD2"/>
    <w:rsid w:val="00CF601E"/>
    <w:rsid w:val="00CF711F"/>
    <w:rsid w:val="00D01D3D"/>
    <w:rsid w:val="00D02B4C"/>
    <w:rsid w:val="00D040C4"/>
    <w:rsid w:val="00D0466D"/>
    <w:rsid w:val="00D11017"/>
    <w:rsid w:val="00D14310"/>
    <w:rsid w:val="00D1662C"/>
    <w:rsid w:val="00D17B13"/>
    <w:rsid w:val="00D231EC"/>
    <w:rsid w:val="00D25034"/>
    <w:rsid w:val="00D25785"/>
    <w:rsid w:val="00D346DF"/>
    <w:rsid w:val="00D37CD7"/>
    <w:rsid w:val="00D41F66"/>
    <w:rsid w:val="00D426CC"/>
    <w:rsid w:val="00D532D8"/>
    <w:rsid w:val="00D54FFB"/>
    <w:rsid w:val="00D57979"/>
    <w:rsid w:val="00D57C84"/>
    <w:rsid w:val="00D60124"/>
    <w:rsid w:val="00D6057D"/>
    <w:rsid w:val="00D63F78"/>
    <w:rsid w:val="00D6698D"/>
    <w:rsid w:val="00D66D13"/>
    <w:rsid w:val="00D67911"/>
    <w:rsid w:val="00D70730"/>
    <w:rsid w:val="00D73E34"/>
    <w:rsid w:val="00D84576"/>
    <w:rsid w:val="00D85CD0"/>
    <w:rsid w:val="00D9046C"/>
    <w:rsid w:val="00D92F5C"/>
    <w:rsid w:val="00D94F10"/>
    <w:rsid w:val="00D96BB3"/>
    <w:rsid w:val="00DA1399"/>
    <w:rsid w:val="00DA168B"/>
    <w:rsid w:val="00DA1F6B"/>
    <w:rsid w:val="00DA235E"/>
    <w:rsid w:val="00DA24C6"/>
    <w:rsid w:val="00DA4D7B"/>
    <w:rsid w:val="00DA6C63"/>
    <w:rsid w:val="00DB0E24"/>
    <w:rsid w:val="00DB2C83"/>
    <w:rsid w:val="00DB37D2"/>
    <w:rsid w:val="00DC0B6E"/>
    <w:rsid w:val="00DC25C8"/>
    <w:rsid w:val="00DD135C"/>
    <w:rsid w:val="00DD4D7E"/>
    <w:rsid w:val="00DD744A"/>
    <w:rsid w:val="00DE264A"/>
    <w:rsid w:val="00DE2AB8"/>
    <w:rsid w:val="00DE3F21"/>
    <w:rsid w:val="00DE4E70"/>
    <w:rsid w:val="00DE785B"/>
    <w:rsid w:val="00DF35FB"/>
    <w:rsid w:val="00DF625B"/>
    <w:rsid w:val="00DF6F0B"/>
    <w:rsid w:val="00DF6FFF"/>
    <w:rsid w:val="00E02A50"/>
    <w:rsid w:val="00E02D18"/>
    <w:rsid w:val="00E041E7"/>
    <w:rsid w:val="00E051CE"/>
    <w:rsid w:val="00E05633"/>
    <w:rsid w:val="00E07E25"/>
    <w:rsid w:val="00E10642"/>
    <w:rsid w:val="00E114C1"/>
    <w:rsid w:val="00E1292E"/>
    <w:rsid w:val="00E1600D"/>
    <w:rsid w:val="00E23CA1"/>
    <w:rsid w:val="00E25F8E"/>
    <w:rsid w:val="00E3174F"/>
    <w:rsid w:val="00E32DA0"/>
    <w:rsid w:val="00E409A8"/>
    <w:rsid w:val="00E42CE0"/>
    <w:rsid w:val="00E43F03"/>
    <w:rsid w:val="00E441E3"/>
    <w:rsid w:val="00E44A10"/>
    <w:rsid w:val="00E471E9"/>
    <w:rsid w:val="00E50C12"/>
    <w:rsid w:val="00E515DE"/>
    <w:rsid w:val="00E5357E"/>
    <w:rsid w:val="00E53B5D"/>
    <w:rsid w:val="00E53D9F"/>
    <w:rsid w:val="00E563BE"/>
    <w:rsid w:val="00E602F4"/>
    <w:rsid w:val="00E65B91"/>
    <w:rsid w:val="00E7209D"/>
    <w:rsid w:val="00E756B1"/>
    <w:rsid w:val="00E76C8F"/>
    <w:rsid w:val="00E77223"/>
    <w:rsid w:val="00E77A5E"/>
    <w:rsid w:val="00E84915"/>
    <w:rsid w:val="00E8515C"/>
    <w:rsid w:val="00E8528B"/>
    <w:rsid w:val="00E85B94"/>
    <w:rsid w:val="00E85D31"/>
    <w:rsid w:val="00E872E6"/>
    <w:rsid w:val="00E9110C"/>
    <w:rsid w:val="00E96854"/>
    <w:rsid w:val="00E978D0"/>
    <w:rsid w:val="00EA04F5"/>
    <w:rsid w:val="00EA405C"/>
    <w:rsid w:val="00EA4613"/>
    <w:rsid w:val="00EA5893"/>
    <w:rsid w:val="00EA5ABA"/>
    <w:rsid w:val="00EA7F91"/>
    <w:rsid w:val="00EB1523"/>
    <w:rsid w:val="00EB2C52"/>
    <w:rsid w:val="00EB7079"/>
    <w:rsid w:val="00EB7D45"/>
    <w:rsid w:val="00EC0E49"/>
    <w:rsid w:val="00EC0F44"/>
    <w:rsid w:val="00EC6D24"/>
    <w:rsid w:val="00ED06A1"/>
    <w:rsid w:val="00ED25F9"/>
    <w:rsid w:val="00ED65A6"/>
    <w:rsid w:val="00ED6D93"/>
    <w:rsid w:val="00ED6F57"/>
    <w:rsid w:val="00ED7086"/>
    <w:rsid w:val="00EE0131"/>
    <w:rsid w:val="00EE20C8"/>
    <w:rsid w:val="00EE36D0"/>
    <w:rsid w:val="00EE48A4"/>
    <w:rsid w:val="00EE78D6"/>
    <w:rsid w:val="00EF1522"/>
    <w:rsid w:val="00EF16B8"/>
    <w:rsid w:val="00EF1AE6"/>
    <w:rsid w:val="00EF555D"/>
    <w:rsid w:val="00EF6324"/>
    <w:rsid w:val="00F00864"/>
    <w:rsid w:val="00F01145"/>
    <w:rsid w:val="00F01626"/>
    <w:rsid w:val="00F021D4"/>
    <w:rsid w:val="00F04D58"/>
    <w:rsid w:val="00F06CC2"/>
    <w:rsid w:val="00F07B3F"/>
    <w:rsid w:val="00F13646"/>
    <w:rsid w:val="00F13BEC"/>
    <w:rsid w:val="00F151C4"/>
    <w:rsid w:val="00F155B2"/>
    <w:rsid w:val="00F2555C"/>
    <w:rsid w:val="00F26C4A"/>
    <w:rsid w:val="00F27955"/>
    <w:rsid w:val="00F30C64"/>
    <w:rsid w:val="00F32CDB"/>
    <w:rsid w:val="00F331DD"/>
    <w:rsid w:val="00F33769"/>
    <w:rsid w:val="00F33B6D"/>
    <w:rsid w:val="00F412B5"/>
    <w:rsid w:val="00F45AB3"/>
    <w:rsid w:val="00F62D16"/>
    <w:rsid w:val="00F63A70"/>
    <w:rsid w:val="00F64359"/>
    <w:rsid w:val="00F64FB9"/>
    <w:rsid w:val="00F65768"/>
    <w:rsid w:val="00F675EE"/>
    <w:rsid w:val="00F70122"/>
    <w:rsid w:val="00F722B9"/>
    <w:rsid w:val="00F757A5"/>
    <w:rsid w:val="00F772F5"/>
    <w:rsid w:val="00F8142E"/>
    <w:rsid w:val="00F822AB"/>
    <w:rsid w:val="00F83E70"/>
    <w:rsid w:val="00F84FA4"/>
    <w:rsid w:val="00F865DC"/>
    <w:rsid w:val="00F919B4"/>
    <w:rsid w:val="00F9300F"/>
    <w:rsid w:val="00F96C17"/>
    <w:rsid w:val="00F97737"/>
    <w:rsid w:val="00FA21D0"/>
    <w:rsid w:val="00FA5F5F"/>
    <w:rsid w:val="00FB118E"/>
    <w:rsid w:val="00FB1BC2"/>
    <w:rsid w:val="00FB3142"/>
    <w:rsid w:val="00FB730C"/>
    <w:rsid w:val="00FC2695"/>
    <w:rsid w:val="00FC3587"/>
    <w:rsid w:val="00FC3E03"/>
    <w:rsid w:val="00FC3FC1"/>
    <w:rsid w:val="00FD1FCF"/>
    <w:rsid w:val="00FD2513"/>
    <w:rsid w:val="00FD376C"/>
    <w:rsid w:val="00FD3DD6"/>
    <w:rsid w:val="00FE0A06"/>
    <w:rsid w:val="00FE114F"/>
    <w:rsid w:val="00FE5A95"/>
    <w:rsid w:val="00FE6BAD"/>
    <w:rsid w:val="00FF2F50"/>
    <w:rsid w:val="00FF4DD7"/>
    <w:rsid w:val="00FF4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;"/>
  <w14:docId w14:val="2CFD4199"/>
  <w15:docId w15:val="{36CC73D1-406E-4A12-B5D3-7407DF20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tulo1">
    <w:name w:val="heading 1"/>
    <w:basedOn w:val="CETHeading1"/>
    <w:next w:val="Normal"/>
    <w:link w:val="Ttulo1Char"/>
    <w:uiPriority w:val="9"/>
    <w:rsid w:val="004F5E36"/>
    <w:pPr>
      <w:tabs>
        <w:tab w:val="right" w:pos="7100"/>
      </w:tabs>
      <w:jc w:val="both"/>
      <w:outlineLvl w:val="0"/>
    </w:pPr>
    <w:rPr>
      <w:lang w:val="en-GB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qFormat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qFormat/>
    <w:rsid w:val="009E788A"/>
    <w:pPr>
      <w:keepNext/>
      <w:numPr>
        <w:ilvl w:val="1"/>
        <w:numId w:val="1"/>
      </w:numPr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qFormat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autoRedefine/>
    <w:qFormat/>
    <w:rsid w:val="00FA5F5F"/>
    <w:pPr>
      <w:keepNext/>
      <w:numPr>
        <w:ilvl w:val="2"/>
        <w:numId w:val="1"/>
      </w:numPr>
      <w:suppressAutoHyphens/>
      <w:spacing w:before="120" w:after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qFormat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elasimples1">
    <w:name w:val="Table Simple 1"/>
    <w:basedOn w:val="Tabelanormal"/>
    <w:semiHidden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qFormat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Caption">
    <w:name w:val="CET Caption"/>
    <w:link w:val="CETCaptionCarattere"/>
    <w:qFormat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character" w:customStyle="1" w:styleId="CETheadingxCarattere">
    <w:name w:val="CET headingx Carattere"/>
    <w:link w:val="CETheadingx"/>
    <w:rsid w:val="00FA5F5F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character" w:styleId="Refdecomentrio">
    <w:name w:val="annotation reference"/>
    <w:basedOn w:val="Fontepargpadro"/>
    <w:uiPriority w:val="99"/>
    <w:semiHidden/>
    <w:unhideWhenUsed/>
    <w:rsid w:val="004577F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fia">
    <w:name w:val="Bibliography"/>
    <w:basedOn w:val="CETReferencetext"/>
    <w:uiPriority w:val="37"/>
    <w:unhideWhenUsed/>
    <w:rsid w:val="00631B33"/>
    <w:pPr>
      <w:spacing w:line="240" w:lineRule="auto"/>
      <w:ind w:left="720" w:hanging="720"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0314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3148D"/>
  </w:style>
  <w:style w:type="paragraph" w:styleId="Corpodetexto3">
    <w:name w:val="Body Text 3"/>
    <w:basedOn w:val="Normal"/>
    <w:link w:val="Corpodetexto3Char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3148D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14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148D"/>
  </w:style>
  <w:style w:type="paragraph" w:styleId="Data">
    <w:name w:val="Date"/>
    <w:basedOn w:val="Normal"/>
    <w:next w:val="Normal"/>
    <w:link w:val="DataChar"/>
    <w:uiPriority w:val="99"/>
    <w:semiHidden/>
    <w:unhideWhenUsed/>
    <w:rsid w:val="0003148D"/>
  </w:style>
  <w:style w:type="character" w:customStyle="1" w:styleId="DataChar">
    <w:name w:val="Data Char"/>
    <w:basedOn w:val="Fontepargpadro"/>
    <w:link w:val="Data"/>
    <w:uiPriority w:val="99"/>
    <w:semiHidden/>
    <w:rsid w:val="0003148D"/>
  </w:style>
  <w:style w:type="paragraph" w:styleId="Legenda">
    <w:name w:val="caption"/>
    <w:basedOn w:val="Normal"/>
    <w:next w:val="Normal"/>
    <w:uiPriority w:val="35"/>
    <w:semiHidden/>
    <w:unhideWhenUsed/>
    <w:qFormat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Lista">
    <w:name w:val="List"/>
    <w:basedOn w:val="Normal"/>
    <w:uiPriority w:val="99"/>
    <w:semiHidden/>
    <w:unhideWhenUsed/>
    <w:rsid w:val="0003148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3148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3148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3148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3148D"/>
    <w:pPr>
      <w:ind w:left="1415" w:hanging="283"/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03148D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03148D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03148D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03148D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03148D"/>
    <w:pPr>
      <w:spacing w:after="120"/>
      <w:ind w:left="1415"/>
      <w:contextualSpacing/>
    </w:pPr>
  </w:style>
  <w:style w:type="paragraph" w:styleId="Assinatura">
    <w:name w:val="Signature"/>
    <w:basedOn w:val="Normal"/>
    <w:link w:val="AssinaturaChar"/>
    <w:uiPriority w:val="99"/>
    <w:semiHidden/>
    <w:unhideWhenUsed/>
    <w:rsid w:val="0003148D"/>
    <w:pPr>
      <w:spacing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03148D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03148D"/>
    <w:pPr>
      <w:spacing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03148D"/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03148D"/>
  </w:style>
  <w:style w:type="character" w:customStyle="1" w:styleId="SaudaoChar">
    <w:name w:val="Saudação Char"/>
    <w:basedOn w:val="Fontepargpadro"/>
    <w:link w:val="Saudao"/>
    <w:uiPriority w:val="99"/>
    <w:semiHidden/>
    <w:rsid w:val="0003148D"/>
  </w:style>
  <w:style w:type="paragraph" w:styleId="Encerramento">
    <w:name w:val="Closing"/>
    <w:basedOn w:val="Normal"/>
    <w:link w:val="EncerramentoChar"/>
    <w:uiPriority w:val="99"/>
    <w:semiHidden/>
    <w:unhideWhenUsed/>
    <w:rsid w:val="0003148D"/>
    <w:pPr>
      <w:spacing w:line="240" w:lineRule="auto"/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03148D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03148D"/>
    <w:pPr>
      <w:spacing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03148D"/>
    <w:pPr>
      <w:spacing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03148D"/>
    <w:pPr>
      <w:spacing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03148D"/>
    <w:pPr>
      <w:spacing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03148D"/>
    <w:pPr>
      <w:spacing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03148D"/>
    <w:pPr>
      <w:spacing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03148D"/>
    <w:pPr>
      <w:spacing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03148D"/>
    <w:pPr>
      <w:spacing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03148D"/>
    <w:pPr>
      <w:spacing w:line="240" w:lineRule="auto"/>
      <w:ind w:left="198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03148D"/>
  </w:style>
  <w:style w:type="paragraph" w:styleId="ndicedeautoridades">
    <w:name w:val="table of authorities"/>
    <w:basedOn w:val="Normal"/>
    <w:next w:val="Normal"/>
    <w:uiPriority w:val="99"/>
    <w:semiHidden/>
    <w:unhideWhenUsed/>
    <w:rsid w:val="0003148D"/>
    <w:pPr>
      <w:ind w:left="220" w:hanging="220"/>
    </w:pPr>
  </w:style>
  <w:style w:type="paragraph" w:styleId="Destinatrio">
    <w:name w:val="envelope address"/>
    <w:basedOn w:val="Normal"/>
    <w:uiPriority w:val="99"/>
    <w:semiHidden/>
    <w:unhideWhenUs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03148D"/>
    <w:pPr>
      <w:spacing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03148D"/>
    <w:rPr>
      <w:i/>
      <w:iCs/>
    </w:rPr>
  </w:style>
  <w:style w:type="paragraph" w:styleId="Remetente">
    <w:name w:val="envelope return"/>
    <w:basedOn w:val="Normal"/>
    <w:uiPriority w:val="99"/>
    <w:semiHidden/>
    <w:unhideWhenUs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03148D"/>
    <w:pPr>
      <w:spacing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03148D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3148D"/>
    <w:rPr>
      <w:sz w:val="24"/>
      <w:szCs w:val="24"/>
    </w:rPr>
  </w:style>
  <w:style w:type="paragraph" w:styleId="Numerada">
    <w:name w:val="List Number"/>
    <w:basedOn w:val="Normal"/>
    <w:uiPriority w:val="99"/>
    <w:semiHidden/>
    <w:unhideWhenUsed/>
    <w:rsid w:val="0003148D"/>
    <w:pPr>
      <w:numPr>
        <w:numId w:val="2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03148D"/>
    <w:pPr>
      <w:numPr>
        <w:numId w:val="3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03148D"/>
    <w:pPr>
      <w:numPr>
        <w:numId w:val="4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03148D"/>
    <w:pPr>
      <w:numPr>
        <w:numId w:val="5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03148D"/>
    <w:pPr>
      <w:numPr>
        <w:numId w:val="6"/>
      </w:numPr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03148D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03148D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314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3148D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03148D"/>
    <w:pPr>
      <w:spacing w:after="20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03148D"/>
  </w:style>
  <w:style w:type="paragraph" w:styleId="Commarcadores">
    <w:name w:val="List Bullet"/>
    <w:basedOn w:val="Normal"/>
    <w:uiPriority w:val="99"/>
    <w:semiHidden/>
    <w:unhideWhenUsed/>
    <w:rsid w:val="0003148D"/>
    <w:pPr>
      <w:numPr>
        <w:numId w:val="7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03148D"/>
    <w:pPr>
      <w:numPr>
        <w:numId w:val="8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03148D"/>
    <w:pPr>
      <w:numPr>
        <w:numId w:val="9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03148D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03148D"/>
    <w:pPr>
      <w:numPr>
        <w:numId w:val="11"/>
      </w:numPr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14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148D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314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3148D"/>
    <w:rPr>
      <w:sz w:val="16"/>
      <w:szCs w:val="16"/>
    </w:rPr>
  </w:style>
  <w:style w:type="paragraph" w:styleId="Recuonormal">
    <w:name w:val="Normal Indent"/>
    <w:basedOn w:val="Normal"/>
    <w:uiPriority w:val="99"/>
    <w:semiHidden/>
    <w:unhideWhenUsed/>
    <w:rsid w:val="0003148D"/>
    <w:pPr>
      <w:ind w:left="720"/>
    </w:pPr>
  </w:style>
  <w:style w:type="paragraph" w:styleId="Textodecomentrio">
    <w:name w:val="annotation text"/>
    <w:basedOn w:val="Normal"/>
    <w:link w:val="TextodecomentrioChar"/>
    <w:uiPriority w:val="99"/>
    <w:unhideWhenUsed/>
    <w:rsid w:val="0003148D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0314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14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148D"/>
    <w:rPr>
      <w:b/>
      <w:bCs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03148D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03148D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03148D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03148D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03148D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03148D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03148D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03148D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03148D"/>
    <w:pPr>
      <w:spacing w:after="100"/>
      <w:ind w:left="1760"/>
    </w:pPr>
  </w:style>
  <w:style w:type="paragraph" w:styleId="Textoembloco">
    <w:name w:val="Block Text"/>
    <w:basedOn w:val="Normal"/>
    <w:uiPriority w:val="99"/>
    <w:semiHidden/>
    <w:unhideWhenUs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demacro">
    <w:name w:val="macro"/>
    <w:link w:val="TextodemacroChar"/>
    <w:uiPriority w:val="99"/>
    <w:semiHidden/>
    <w:unhideWhenUs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148D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148D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3148D"/>
    <w:pPr>
      <w:spacing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3148D"/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03148D"/>
    <w:rPr>
      <w:rFonts w:asciiTheme="majorHAnsi" w:eastAsiaTheme="majorEastAsia" w:hAnsiTheme="majorHAnsi" w:cstheme="majorBidi"/>
      <w:b/>
      <w:bCs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Fontepargpadro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rsid w:val="00901EB6"/>
    <w:rPr>
      <w:b/>
    </w:rPr>
  </w:style>
  <w:style w:type="paragraph" w:customStyle="1" w:styleId="CETnumberingbullets">
    <w:name w:val="CET numbering (bullets)"/>
    <w:rsid w:val="008D433B"/>
    <w:pPr>
      <w:numPr>
        <w:numId w:val="13"/>
      </w:numPr>
      <w:spacing w:after="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B57B36"/>
    <w:pPr>
      <w:numPr>
        <w:numId w:val="14"/>
      </w:numPr>
      <w:spacing w:after="0" w:line="264" w:lineRule="auto"/>
      <w:ind w:left="340" w:hanging="22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B57B36"/>
    <w:pPr>
      <w:numPr>
        <w:numId w:val="15"/>
      </w:numPr>
      <w:spacing w:after="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Rodap">
    <w:name w:val="footer"/>
    <w:basedOn w:val="Normal"/>
    <w:link w:val="RodapChar"/>
    <w:uiPriority w:val="99"/>
    <w:unhideWhenUs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Tabelacomgrade">
    <w:name w:val="Table Grid"/>
    <w:basedOn w:val="Tabelanormal"/>
    <w:uiPriority w:val="59"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04C62"/>
    <w:rPr>
      <w:color w:val="0000FF" w:themeColor="hyperlink"/>
      <w:u w:val="single"/>
    </w:rPr>
  </w:style>
  <w:style w:type="character" w:customStyle="1" w:styleId="eudoraheader">
    <w:name w:val="eudoraheader"/>
    <w:basedOn w:val="Fontepargpadro"/>
    <w:rsid w:val="00904C62"/>
  </w:style>
  <w:style w:type="paragraph" w:customStyle="1" w:styleId="CETListbullets">
    <w:name w:val="CET List bullets"/>
    <w:qFormat/>
    <w:rsid w:val="004577FE"/>
    <w:pPr>
      <w:spacing w:after="0" w:line="264" w:lineRule="auto"/>
      <w:ind w:left="340" w:hanging="227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Referencetext">
    <w:name w:val="CET Reference text"/>
    <w:qFormat/>
    <w:rsid w:val="00600535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Tabletitle">
    <w:name w:val="CET Table title"/>
    <w:qFormat/>
    <w:rsid w:val="00600535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Acknowledgementstitle">
    <w:name w:val="CET Acknowledgements title"/>
    <w:next w:val="CETBodytext"/>
    <w:qFormat/>
    <w:rsid w:val="0060053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Equation">
    <w:name w:val="CET Equation"/>
    <w:basedOn w:val="CETBodytext"/>
    <w:next w:val="CETBodytext"/>
    <w:qFormat/>
    <w:rsid w:val="00600535"/>
    <w:pPr>
      <w:spacing w:before="120" w:after="120"/>
      <w:jc w:val="left"/>
    </w:pPr>
    <w:rPr>
      <w:lang w:val="en-GB"/>
    </w:rPr>
  </w:style>
  <w:style w:type="paragraph" w:customStyle="1" w:styleId="CETHeadingxx">
    <w:name w:val="CET Headingxx"/>
    <w:basedOn w:val="CETheadingx"/>
    <w:link w:val="CETHeadingxxChar"/>
    <w:qFormat/>
    <w:rsid w:val="00252C1A"/>
    <w:pPr>
      <w:numPr>
        <w:ilvl w:val="0"/>
        <w:numId w:val="0"/>
      </w:numPr>
      <w:spacing w:after="0"/>
    </w:pPr>
  </w:style>
  <w:style w:type="character" w:customStyle="1" w:styleId="CETHeadingxxChar">
    <w:name w:val="CET Headingxx Char"/>
    <w:basedOn w:val="CETheadingxCarattere"/>
    <w:link w:val="CETHeadingxx"/>
    <w:rsid w:val="00252C1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51B7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B110A"/>
    <w:pPr>
      <w:tabs>
        <w:tab w:val="clear" w:pos="7100"/>
      </w:tabs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691A63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724B2"/>
    <w:rPr>
      <w:color w:val="808080"/>
    </w:rPr>
  </w:style>
  <w:style w:type="paragraph" w:customStyle="1" w:styleId="Default">
    <w:name w:val="Default"/>
    <w:rsid w:val="00362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text">
    <w:name w:val="text"/>
    <w:basedOn w:val="Fontepargpadro"/>
    <w:rsid w:val="000612E9"/>
  </w:style>
  <w:style w:type="character" w:customStyle="1" w:styleId="author-ref">
    <w:name w:val="author-ref"/>
    <w:basedOn w:val="Fontepargpadro"/>
    <w:rsid w:val="000612E9"/>
  </w:style>
  <w:style w:type="paragraph" w:customStyle="1" w:styleId="Referncias">
    <w:name w:val="Referências"/>
    <w:basedOn w:val="Normal"/>
    <w:uiPriority w:val="99"/>
    <w:rsid w:val="00F772F5"/>
    <w:pPr>
      <w:tabs>
        <w:tab w:val="clear" w:pos="7100"/>
      </w:tabs>
      <w:spacing w:after="360" w:line="360" w:lineRule="auto"/>
      <w:ind w:firstLine="709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0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9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b3b1ea8c10eeeda0/IFPR/2018/Congresso/It&#225;lia/Material%20Dianin/Probi&#243;tic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EE-4EC7-866D-1BB973E985C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EE-4EC7-866D-1BB973E985CF}"/>
                </c:ext>
              </c:extLst>
            </c:dLbl>
            <c:dLbl>
              <c:idx val="2"/>
              <c:layout>
                <c:manualLayout>
                  <c:x val="-2.7777777777777809E-3"/>
                  <c:y val="-4.629629629629631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EE-4EC7-866D-1BB973E985C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EE-4EC7-866D-1BB973E985C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1EE-4EC7-866D-1BB973E985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[Probiótico.xlsx]Planilha2!$D$2:$D$6</c:f>
                <c:numCache>
                  <c:formatCode>General</c:formatCode>
                  <c:ptCount val="5"/>
                  <c:pt idx="0">
                    <c:v>0.05</c:v>
                  </c:pt>
                  <c:pt idx="1">
                    <c:v>4.0000000000000015E-2</c:v>
                  </c:pt>
                  <c:pt idx="2">
                    <c:v>0.05</c:v>
                  </c:pt>
                  <c:pt idx="3">
                    <c:v>4.0000000000000015E-2</c:v>
                  </c:pt>
                  <c:pt idx="4">
                    <c:v>3.0000000000000002E-2</c:v>
                  </c:pt>
                </c:numCache>
              </c:numRef>
            </c:plus>
            <c:minus>
              <c:numRef>
                <c:f>[Probiótico.xlsx]Planilha2!$D$2:$D$6</c:f>
                <c:numCache>
                  <c:formatCode>General</c:formatCode>
                  <c:ptCount val="5"/>
                  <c:pt idx="0">
                    <c:v>0.05</c:v>
                  </c:pt>
                  <c:pt idx="1">
                    <c:v>4.0000000000000015E-2</c:v>
                  </c:pt>
                  <c:pt idx="2">
                    <c:v>0.05</c:v>
                  </c:pt>
                  <c:pt idx="3">
                    <c:v>4.0000000000000015E-2</c:v>
                  </c:pt>
                  <c:pt idx="4">
                    <c:v>3.0000000000000002E-2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[Probiótico.xlsx]Planilha2!$B$2:$B$6</c:f>
              <c:numCache>
                <c:formatCode>General</c:formatCode>
                <c:ptCount val="5"/>
                <c:pt idx="0">
                  <c:v>1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  <c:pt idx="4">
                  <c:v>28</c:v>
                </c:pt>
              </c:numCache>
            </c:numRef>
          </c:cat>
          <c:val>
            <c:numRef>
              <c:f>[Probiótico.xlsx]Planilha2!$C$2:$C$6</c:f>
              <c:numCache>
                <c:formatCode>General</c:formatCode>
                <c:ptCount val="5"/>
                <c:pt idx="0">
                  <c:v>7.7700000000000014</c:v>
                </c:pt>
                <c:pt idx="1">
                  <c:v>7.7700000000000014</c:v>
                </c:pt>
                <c:pt idx="2">
                  <c:v>6</c:v>
                </c:pt>
                <c:pt idx="3">
                  <c:v>5.7</c:v>
                </c:pt>
                <c:pt idx="4">
                  <c:v>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1EE-4EC7-866D-1BB973E985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120384"/>
        <c:axId val="113122304"/>
      </c:barChart>
      <c:catAx>
        <c:axId val="1131203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>
                    <a:latin typeface="Arial" panose="020B0604020202020204" pitchFamily="34" charset="0"/>
                    <a:cs typeface="Arial" panose="020B0604020202020204" pitchFamily="34" charset="0"/>
                  </a:rPr>
                  <a:t>Storage time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3122304"/>
        <c:crosses val="autoZero"/>
        <c:auto val="1"/>
        <c:lblAlgn val="ctr"/>
        <c:lblOffset val="100"/>
        <c:noMultiLvlLbl val="0"/>
      </c:catAx>
      <c:valAx>
        <c:axId val="113122304"/>
        <c:scaling>
          <c:orientation val="minMax"/>
          <c:max val="8.5"/>
          <c:min val="4.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i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L.</a:t>
                </a:r>
                <a:r>
                  <a:rPr lang="pt-BR" i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casei </a:t>
                </a:r>
                <a:r>
                  <a:rPr lang="pt-BR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counts (log cfu/g)</a:t>
                </a:r>
                <a:endParaRPr lang="pt-BR">
                  <a:solidFill>
                    <a:sysClr val="windowText" lastClr="000000"/>
                  </a:solidFill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312038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999A-45DC-4634-A801-BCC3058E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6</Pages>
  <Words>3449</Words>
  <Characters>18625</Characters>
  <Application>Microsoft Office Word</Application>
  <DocSecurity>0</DocSecurity>
  <Lines>155</Lines>
  <Paragraphs>44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Dipartimento CMIC - Politecnico di Milano</Company>
  <LinksUpToDate>false</LinksUpToDate>
  <CharactersWithSpaces>22030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Reviewer</cp:lastModifiedBy>
  <cp:revision>33</cp:revision>
  <cp:lastPrinted>2015-05-12T18:31:00Z</cp:lastPrinted>
  <dcterms:created xsi:type="dcterms:W3CDTF">2019-01-19T18:41:00Z</dcterms:created>
  <dcterms:modified xsi:type="dcterms:W3CDTF">2019-04-02T01:18:00Z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zotero-version="4.0.29.17"&gt;&lt;session id="s8VwuD2U"/&gt;&lt;style id="http://www.zotero.org/styles/chemical-engineering-transactions" hasBibliography="1" bibliographyStyleHasBeenSet="1"/&gt;&lt;prefs&gt;&lt;pref name="fieldType" value="Field"/&gt;&lt;pref na</vt:lpwstr>
  </property>
  <property fmtid="{D5CDD505-2E9C-101B-9397-08002B2CF9AE}" pid="3" name="ZOTERO_PREF_2">
    <vt:lpwstr>me="storeReferences" value="true"/&gt;&lt;pref name="automaticJournalAbbreviations" value=""/&gt;&lt;pref name="noteType" value=""/&gt;&lt;/prefs&gt;&lt;/data&gt;</vt:lpwstr>
  </property>
</Properties>
</file>