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843"/>
      </w:tblGrid>
      <w:tr w:rsidR="000A03B2" w:rsidRPr="00B57B36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pt-BR" w:eastAsia="pt-BR"/>
              </w:rPr>
              <w:drawing>
                <wp:inline distT="0" distB="0" distL="0" distR="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pt-BR" w:eastAsia="pt-BR"/>
              </w:rPr>
              <w:drawing>
                <wp:inline distT="0" distB="0" distL="0" distR="0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>
        <w:trPr>
          <w:trHeight w:val="68"/>
          <w:jc w:val="center"/>
        </w:trPr>
        <w:tc>
          <w:tcPr>
            <w:tcW w:w="8789" w:type="dxa"/>
            <w:gridSpan w:val="2"/>
          </w:tcPr>
          <w:p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:rsidR="00E978D0" w:rsidRPr="00B57B36" w:rsidRDefault="00234D6D" w:rsidP="00590BAB">
      <w:pPr>
        <w:pStyle w:val="CETTitle"/>
        <w:tabs>
          <w:tab w:val="left" w:pos="3969"/>
        </w:tabs>
      </w:pPr>
      <w:r w:rsidRPr="00234D6D">
        <w:lastRenderedPageBreak/>
        <w:t xml:space="preserve">Bioactive and </w:t>
      </w:r>
      <w:r>
        <w:t>B</w:t>
      </w:r>
      <w:r w:rsidRPr="00234D6D">
        <w:t xml:space="preserve">iodegradable </w:t>
      </w:r>
      <w:r w:rsidR="003302F9">
        <w:t>Film</w:t>
      </w:r>
      <w:r w:rsidR="00FD2405">
        <w:t xml:space="preserve"> </w:t>
      </w:r>
      <w:r w:rsidR="003302F9">
        <w:t>Packaging</w:t>
      </w:r>
      <w:r>
        <w:t xml:space="preserve"> Incorporated </w:t>
      </w:r>
      <w:r w:rsidRPr="002A1A30">
        <w:t>with</w:t>
      </w:r>
      <w:r w:rsidRPr="00234D6D">
        <w:rPr>
          <w:i/>
        </w:rPr>
        <w:t xml:space="preserve"> </w:t>
      </w:r>
      <w:proofErr w:type="spellStart"/>
      <w:r w:rsidRPr="00234D6D">
        <w:rPr>
          <w:i/>
        </w:rPr>
        <w:t>Acca</w:t>
      </w:r>
      <w:proofErr w:type="spellEnd"/>
      <w:r w:rsidRPr="00234D6D">
        <w:rPr>
          <w:i/>
        </w:rPr>
        <w:t xml:space="preserve"> </w:t>
      </w:r>
      <w:proofErr w:type="spellStart"/>
      <w:r w:rsidRPr="00234D6D">
        <w:rPr>
          <w:i/>
        </w:rPr>
        <w:t>sellowiana</w:t>
      </w:r>
      <w:proofErr w:type="spellEnd"/>
      <w:r>
        <w:t xml:space="preserve"> E</w:t>
      </w:r>
      <w:r w:rsidRPr="00234D6D">
        <w:t xml:space="preserve">xtracts: </w:t>
      </w:r>
      <w:r w:rsidR="003302F9">
        <w:t>Physicochemical and Antioxidant Characterization</w:t>
      </w:r>
    </w:p>
    <w:p w:rsidR="00E978D0" w:rsidRPr="00234D6D" w:rsidRDefault="00234D6D" w:rsidP="00AB5011">
      <w:pPr>
        <w:pStyle w:val="CETAuthors"/>
        <w:rPr>
          <w:lang w:val="pt-BR"/>
        </w:rPr>
      </w:pPr>
      <w:r w:rsidRPr="00234D6D">
        <w:rPr>
          <w:lang w:val="pt-BR"/>
        </w:rPr>
        <w:t>William G. Sganzerla</w:t>
      </w:r>
      <w:r w:rsidR="00F6736D" w:rsidRPr="00F6736D">
        <w:rPr>
          <w:vertAlign w:val="superscript"/>
          <w:lang w:val="pt-BR"/>
        </w:rPr>
        <w:t>1</w:t>
      </w:r>
      <w:r w:rsidRPr="00234D6D">
        <w:rPr>
          <w:lang w:val="pt-BR"/>
        </w:rPr>
        <w:t>*</w:t>
      </w:r>
      <w:r w:rsidR="00600535" w:rsidRPr="00234D6D">
        <w:rPr>
          <w:lang w:val="pt-BR"/>
        </w:rPr>
        <w:t xml:space="preserve">, </w:t>
      </w:r>
      <w:r w:rsidRPr="00234D6D">
        <w:rPr>
          <w:lang w:val="pt-BR"/>
        </w:rPr>
        <w:t>Bruna B. Paes</w:t>
      </w:r>
      <w:r w:rsidR="00F6736D" w:rsidRPr="00F6736D">
        <w:rPr>
          <w:vertAlign w:val="superscript"/>
          <w:lang w:val="pt-BR"/>
        </w:rPr>
        <w:t>1</w:t>
      </w:r>
      <w:r w:rsidRPr="00234D6D">
        <w:rPr>
          <w:lang w:val="pt-BR"/>
        </w:rPr>
        <w:t>, Mônia S</w:t>
      </w:r>
      <w:r>
        <w:rPr>
          <w:lang w:val="pt-BR"/>
        </w:rPr>
        <w:t xml:space="preserve">. </w:t>
      </w:r>
      <w:r w:rsidRPr="00234D6D">
        <w:rPr>
          <w:lang w:val="pt-BR"/>
        </w:rPr>
        <w:t>Azevedo</w:t>
      </w:r>
      <w:r w:rsidR="00F6736D" w:rsidRPr="00F6736D">
        <w:rPr>
          <w:vertAlign w:val="superscript"/>
          <w:lang w:val="pt-BR"/>
        </w:rPr>
        <w:t>1</w:t>
      </w:r>
      <w:r w:rsidRPr="00234D6D">
        <w:rPr>
          <w:lang w:val="pt-BR"/>
        </w:rPr>
        <w:t>, Jocleita P</w:t>
      </w:r>
      <w:r>
        <w:rPr>
          <w:lang w:val="pt-BR"/>
        </w:rPr>
        <w:t xml:space="preserve">. </w:t>
      </w:r>
      <w:r w:rsidRPr="00234D6D">
        <w:rPr>
          <w:lang w:val="pt-BR"/>
        </w:rPr>
        <w:t>Ferrareze</w:t>
      </w:r>
      <w:r w:rsidR="00F6736D" w:rsidRPr="00F6736D">
        <w:rPr>
          <w:vertAlign w:val="superscript"/>
          <w:lang w:val="pt-BR"/>
        </w:rPr>
        <w:t>1</w:t>
      </w:r>
      <w:r w:rsidRPr="00234D6D">
        <w:rPr>
          <w:lang w:val="pt-BR"/>
        </w:rPr>
        <w:t xml:space="preserve">, </w:t>
      </w:r>
      <w:r w:rsidR="00F6736D">
        <w:rPr>
          <w:lang w:val="pt-BR"/>
        </w:rPr>
        <w:t>Cleonice G. da Rosa</w:t>
      </w:r>
      <w:r w:rsidR="00F6736D" w:rsidRPr="00F6736D">
        <w:rPr>
          <w:vertAlign w:val="superscript"/>
          <w:lang w:val="pt-BR"/>
        </w:rPr>
        <w:t>2</w:t>
      </w:r>
      <w:r w:rsidR="00F6736D">
        <w:rPr>
          <w:lang w:val="pt-BR"/>
        </w:rPr>
        <w:t xml:space="preserve">, </w:t>
      </w:r>
      <w:r w:rsidRPr="00234D6D">
        <w:rPr>
          <w:lang w:val="pt-BR"/>
        </w:rPr>
        <w:t>Michael R</w:t>
      </w:r>
      <w:r>
        <w:rPr>
          <w:lang w:val="pt-BR"/>
        </w:rPr>
        <w:t>.</w:t>
      </w:r>
      <w:r w:rsidRPr="00234D6D">
        <w:rPr>
          <w:lang w:val="pt-BR"/>
        </w:rPr>
        <w:t xml:space="preserve"> Nunes</w:t>
      </w:r>
      <w:r w:rsidR="00F6736D" w:rsidRPr="00F6736D">
        <w:rPr>
          <w:vertAlign w:val="superscript"/>
          <w:lang w:val="pt-BR"/>
        </w:rPr>
        <w:t>1</w:t>
      </w:r>
      <w:r w:rsidR="00350C48">
        <w:rPr>
          <w:lang w:val="pt-BR"/>
        </w:rPr>
        <w:t xml:space="preserve">, </w:t>
      </w:r>
      <w:r w:rsidRPr="00234D6D">
        <w:rPr>
          <w:lang w:val="pt-BR"/>
        </w:rPr>
        <w:t>Ana P</w:t>
      </w:r>
      <w:r>
        <w:rPr>
          <w:lang w:val="pt-BR"/>
        </w:rPr>
        <w:t xml:space="preserve">. </w:t>
      </w:r>
      <w:r w:rsidRPr="00234D6D">
        <w:rPr>
          <w:lang w:val="pt-BR"/>
        </w:rPr>
        <w:t>L</w:t>
      </w:r>
      <w:r>
        <w:rPr>
          <w:lang w:val="pt-BR"/>
        </w:rPr>
        <w:t xml:space="preserve">. </w:t>
      </w:r>
      <w:r w:rsidRPr="00234D6D">
        <w:rPr>
          <w:lang w:val="pt-BR"/>
        </w:rPr>
        <w:t>Veeck</w:t>
      </w:r>
      <w:r w:rsidR="00F6736D" w:rsidRPr="00F6736D">
        <w:rPr>
          <w:vertAlign w:val="superscript"/>
          <w:lang w:val="pt-BR"/>
        </w:rPr>
        <w:t>1</w:t>
      </w:r>
    </w:p>
    <w:p w:rsidR="00E978D0" w:rsidRDefault="00F6736D" w:rsidP="00E978D0">
      <w:pPr>
        <w:pStyle w:val="CETAddress"/>
      </w:pPr>
      <w:r w:rsidRPr="00F6736D">
        <w:rPr>
          <w:vertAlign w:val="superscript"/>
          <w:lang w:val="en-US"/>
        </w:rPr>
        <w:t xml:space="preserve">1 </w:t>
      </w:r>
      <w:r w:rsidR="00234D6D" w:rsidRPr="00234D6D">
        <w:t>Federal Institute of Education, Science a</w:t>
      </w:r>
      <w:r>
        <w:t>nd Technology of Santa Catarina – IFSC,</w:t>
      </w:r>
      <w:r w:rsidR="00234D6D" w:rsidRPr="00234D6D">
        <w:t xml:space="preserve"> </w:t>
      </w:r>
      <w:r w:rsidR="00234D6D">
        <w:t xml:space="preserve">Lages, </w:t>
      </w:r>
      <w:r w:rsidR="00234D6D" w:rsidRPr="00234D6D">
        <w:t>Brazil.</w:t>
      </w:r>
    </w:p>
    <w:p w:rsidR="00F6736D" w:rsidRDefault="00F6736D" w:rsidP="00F6736D">
      <w:pPr>
        <w:pStyle w:val="CETAddress"/>
      </w:pPr>
      <w:r>
        <w:rPr>
          <w:vertAlign w:val="superscript"/>
          <w:lang w:val="en-US"/>
        </w:rPr>
        <w:t>2</w:t>
      </w:r>
      <w:r w:rsidRPr="00F6736D">
        <w:rPr>
          <w:vertAlign w:val="superscript"/>
          <w:lang w:val="en-US"/>
        </w:rPr>
        <w:t xml:space="preserve"> </w:t>
      </w:r>
      <w:r>
        <w:t xml:space="preserve">University of Planalto Catarinense – UNIPLAC, Lages, </w:t>
      </w:r>
      <w:r w:rsidRPr="00234D6D">
        <w:t>Brazil.</w:t>
      </w:r>
    </w:p>
    <w:p w:rsidR="00E978D0" w:rsidRPr="00B57B36" w:rsidRDefault="00234D6D" w:rsidP="00E978D0">
      <w:pPr>
        <w:pStyle w:val="CETemail"/>
      </w:pPr>
      <w:r>
        <w:t xml:space="preserve">sganzerla.william@gmail.com </w:t>
      </w:r>
    </w:p>
    <w:p w:rsidR="003302F9" w:rsidRDefault="008E40DE" w:rsidP="003302F9">
      <w:pPr>
        <w:pStyle w:val="CETBodytext"/>
        <w:rPr>
          <w:lang w:val="en-GB"/>
        </w:rPr>
      </w:pPr>
      <w:r>
        <w:rPr>
          <w:lang w:val="en-GB"/>
        </w:rPr>
        <w:t xml:space="preserve">In this work a </w:t>
      </w:r>
      <w:r w:rsidRPr="008E40DE">
        <w:rPr>
          <w:lang w:val="en-GB"/>
        </w:rPr>
        <w:t xml:space="preserve">new biodegradable </w:t>
      </w:r>
      <w:r w:rsidR="003302F9">
        <w:rPr>
          <w:lang w:val="en-GB"/>
        </w:rPr>
        <w:t>film</w:t>
      </w:r>
      <w:r>
        <w:rPr>
          <w:lang w:val="en-GB"/>
        </w:rPr>
        <w:t xml:space="preserve"> was developed</w:t>
      </w:r>
      <w:r w:rsidR="004708C1">
        <w:rPr>
          <w:lang w:val="en-GB"/>
        </w:rPr>
        <w:t>,</w:t>
      </w:r>
      <w:r w:rsidRPr="008E40DE">
        <w:rPr>
          <w:lang w:val="en-GB"/>
        </w:rPr>
        <w:t xml:space="preserve"> </w:t>
      </w:r>
      <w:r w:rsidR="003F5665">
        <w:rPr>
          <w:lang w:val="en-GB"/>
        </w:rPr>
        <w:t>and</w:t>
      </w:r>
      <w:r w:rsidRPr="008E40DE">
        <w:rPr>
          <w:lang w:val="en-GB"/>
        </w:rPr>
        <w:t xml:space="preserve"> bioactive compounds </w:t>
      </w:r>
      <w:r w:rsidR="003F5665">
        <w:rPr>
          <w:lang w:val="en-GB"/>
        </w:rPr>
        <w:t xml:space="preserve">from </w:t>
      </w:r>
      <w:proofErr w:type="spellStart"/>
      <w:r w:rsidRPr="008E40DE">
        <w:rPr>
          <w:i/>
          <w:lang w:val="en-GB"/>
        </w:rPr>
        <w:t>Acca</w:t>
      </w:r>
      <w:proofErr w:type="spellEnd"/>
      <w:r w:rsidRPr="008E40DE">
        <w:rPr>
          <w:i/>
          <w:lang w:val="en-GB"/>
        </w:rPr>
        <w:t xml:space="preserve"> </w:t>
      </w:r>
      <w:proofErr w:type="spellStart"/>
      <w:r w:rsidRPr="008E40DE">
        <w:rPr>
          <w:i/>
          <w:lang w:val="en-GB"/>
        </w:rPr>
        <w:t>sellowiana</w:t>
      </w:r>
      <w:proofErr w:type="spellEnd"/>
      <w:r>
        <w:rPr>
          <w:i/>
          <w:lang w:val="en-GB"/>
        </w:rPr>
        <w:t xml:space="preserve"> </w:t>
      </w:r>
      <w:r w:rsidR="003F5665">
        <w:rPr>
          <w:lang w:val="en-GB"/>
        </w:rPr>
        <w:t>were incorporated</w:t>
      </w:r>
      <w:r w:rsidRPr="008E40DE">
        <w:rPr>
          <w:lang w:val="en-GB"/>
        </w:rPr>
        <w:t>.</w:t>
      </w:r>
      <w:r w:rsidR="004708C1">
        <w:rPr>
          <w:lang w:val="en-GB"/>
        </w:rPr>
        <w:t xml:space="preserve"> Film p</w:t>
      </w:r>
      <w:r w:rsidRPr="008E40DE">
        <w:rPr>
          <w:lang w:val="en-GB"/>
        </w:rPr>
        <w:t>ackaging production was carried out from an aqueous filmogenic solution, w</w:t>
      </w:r>
      <w:r w:rsidR="002945F2">
        <w:rPr>
          <w:lang w:val="en-GB"/>
        </w:rPr>
        <w:t xml:space="preserve">ith </w:t>
      </w:r>
      <w:r w:rsidR="003F5665">
        <w:rPr>
          <w:lang w:val="en-GB"/>
        </w:rPr>
        <w:t xml:space="preserve">a blend of </w:t>
      </w:r>
      <w:r w:rsidR="002945F2">
        <w:rPr>
          <w:lang w:val="en-GB"/>
        </w:rPr>
        <w:t>Brazilian pine seeds starch, citric pectin</w:t>
      </w:r>
      <w:r w:rsidR="003F5665">
        <w:rPr>
          <w:lang w:val="en-GB"/>
        </w:rPr>
        <w:t xml:space="preserve">, </w:t>
      </w:r>
      <w:r w:rsidRPr="008E40DE">
        <w:rPr>
          <w:lang w:val="en-GB"/>
        </w:rPr>
        <w:t>glycerol</w:t>
      </w:r>
      <w:r w:rsidR="003F5665">
        <w:rPr>
          <w:lang w:val="en-GB"/>
        </w:rPr>
        <w:t xml:space="preserve"> and a</w:t>
      </w:r>
      <w:r w:rsidR="007911BA">
        <w:rPr>
          <w:lang w:val="en-GB"/>
        </w:rPr>
        <w:t xml:space="preserve">queous extract </w:t>
      </w:r>
      <w:r w:rsidRPr="008E40DE">
        <w:rPr>
          <w:lang w:val="en-GB"/>
        </w:rPr>
        <w:t xml:space="preserve">from pulp and husk of </w:t>
      </w:r>
      <w:proofErr w:type="spellStart"/>
      <w:r w:rsidRPr="008E40DE">
        <w:rPr>
          <w:i/>
          <w:lang w:val="en-GB"/>
        </w:rPr>
        <w:t>Acca</w:t>
      </w:r>
      <w:proofErr w:type="spellEnd"/>
      <w:r w:rsidRPr="008E40DE">
        <w:rPr>
          <w:i/>
          <w:lang w:val="en-GB"/>
        </w:rPr>
        <w:t xml:space="preserve"> </w:t>
      </w:r>
      <w:proofErr w:type="spellStart"/>
      <w:r w:rsidRPr="008E40DE">
        <w:rPr>
          <w:i/>
          <w:lang w:val="en-GB"/>
        </w:rPr>
        <w:t>sellowiana</w:t>
      </w:r>
      <w:proofErr w:type="spellEnd"/>
      <w:r w:rsidR="007911BA">
        <w:rPr>
          <w:lang w:val="en-GB"/>
        </w:rPr>
        <w:t>.</w:t>
      </w:r>
      <w:r w:rsidRPr="008E40DE">
        <w:rPr>
          <w:lang w:val="en-GB"/>
        </w:rPr>
        <w:t xml:space="preserve"> In all the </w:t>
      </w:r>
      <w:r w:rsidR="005F671A">
        <w:rPr>
          <w:lang w:val="en-GB"/>
        </w:rPr>
        <w:t>films</w:t>
      </w:r>
      <w:r w:rsidR="001C741F">
        <w:rPr>
          <w:lang w:val="en-GB"/>
        </w:rPr>
        <w:t xml:space="preserve"> produced were evaluated the </w:t>
      </w:r>
      <w:r w:rsidR="005F671A">
        <w:rPr>
          <w:lang w:val="en-GB"/>
        </w:rPr>
        <w:t xml:space="preserve">physicochemical </w:t>
      </w:r>
      <w:r w:rsidRPr="008E40DE">
        <w:rPr>
          <w:lang w:val="en-GB"/>
        </w:rPr>
        <w:t xml:space="preserve">and antioxidant properties. </w:t>
      </w:r>
      <w:r>
        <w:rPr>
          <w:lang w:val="en-GB"/>
        </w:rPr>
        <w:t xml:space="preserve">The </w:t>
      </w:r>
      <w:r w:rsidR="003302F9">
        <w:rPr>
          <w:lang w:val="en-GB"/>
        </w:rPr>
        <w:t>films</w:t>
      </w:r>
      <w:r w:rsidRPr="008E40DE">
        <w:rPr>
          <w:lang w:val="en-GB"/>
        </w:rPr>
        <w:t xml:space="preserve"> produced </w:t>
      </w:r>
      <w:r w:rsidR="003F5665">
        <w:rPr>
          <w:lang w:val="en-GB"/>
        </w:rPr>
        <w:t>presented</w:t>
      </w:r>
      <w:r w:rsidR="007911BA">
        <w:rPr>
          <w:lang w:val="en-GB"/>
        </w:rPr>
        <w:t xml:space="preserve"> lower moisture content</w:t>
      </w:r>
      <w:r w:rsidRPr="008E40DE">
        <w:rPr>
          <w:lang w:val="en-GB"/>
        </w:rPr>
        <w:t>, and extracts from pulp and husk affect the</w:t>
      </w:r>
      <w:r w:rsidR="000C10CC">
        <w:rPr>
          <w:lang w:val="en-GB"/>
        </w:rPr>
        <w:t xml:space="preserve"> moisture content and the</w:t>
      </w:r>
      <w:r w:rsidRPr="008E40DE">
        <w:rPr>
          <w:lang w:val="en-GB"/>
        </w:rPr>
        <w:t xml:space="preserve"> water solubility of the film</w:t>
      </w:r>
      <w:r w:rsidR="005F671A">
        <w:rPr>
          <w:lang w:val="en-GB"/>
        </w:rPr>
        <w:t>s. Evaluating the l</w:t>
      </w:r>
      <w:r w:rsidR="005F671A" w:rsidRPr="005F671A">
        <w:rPr>
          <w:lang w:val="en-GB"/>
        </w:rPr>
        <w:t>ight transmittance</w:t>
      </w:r>
      <w:r w:rsidR="005F671A">
        <w:rPr>
          <w:lang w:val="en-GB"/>
        </w:rPr>
        <w:t xml:space="preserve">, films with husk extract addition </w:t>
      </w:r>
      <w:r w:rsidRPr="008E40DE">
        <w:rPr>
          <w:lang w:val="en-GB"/>
        </w:rPr>
        <w:t>pres</w:t>
      </w:r>
      <w:r w:rsidR="007911BA">
        <w:rPr>
          <w:lang w:val="en-GB"/>
        </w:rPr>
        <w:t xml:space="preserve">ented </w:t>
      </w:r>
      <w:r w:rsidR="005F671A">
        <w:rPr>
          <w:lang w:val="en-GB"/>
        </w:rPr>
        <w:t xml:space="preserve">(p&lt;0.05) </w:t>
      </w:r>
      <w:r w:rsidR="007911BA">
        <w:rPr>
          <w:lang w:val="en-GB"/>
        </w:rPr>
        <w:t>a reduction of luminosity</w:t>
      </w:r>
      <w:r w:rsidR="005F671A">
        <w:rPr>
          <w:lang w:val="en-GB"/>
        </w:rPr>
        <w:t xml:space="preserve"> and an increase of opacity</w:t>
      </w:r>
      <w:r w:rsidR="007911BA">
        <w:rPr>
          <w:lang w:val="en-GB"/>
        </w:rPr>
        <w:t>.</w:t>
      </w:r>
      <w:r>
        <w:rPr>
          <w:lang w:val="en-GB"/>
        </w:rPr>
        <w:t xml:space="preserve"> </w:t>
      </w:r>
      <w:r w:rsidRPr="008E40DE">
        <w:rPr>
          <w:lang w:val="en-GB"/>
        </w:rPr>
        <w:t>Films produced with husk extract presented a higher content of total p</w:t>
      </w:r>
      <w:r>
        <w:rPr>
          <w:lang w:val="en-GB"/>
        </w:rPr>
        <w:t>henolic and flavonoids compounds, and t</w:t>
      </w:r>
      <w:r w:rsidRPr="008E40DE">
        <w:rPr>
          <w:lang w:val="en-GB"/>
        </w:rPr>
        <w:t>his fact promot</w:t>
      </w:r>
      <w:r>
        <w:rPr>
          <w:lang w:val="en-GB"/>
        </w:rPr>
        <w:t>ed a high antioxidant activity</w:t>
      </w:r>
      <w:r w:rsidR="003302F9">
        <w:rPr>
          <w:lang w:val="en-GB"/>
        </w:rPr>
        <w:t xml:space="preserve"> by DPPH, ABTS and FRAP assay</w:t>
      </w:r>
      <w:r w:rsidRPr="008E40DE">
        <w:rPr>
          <w:lang w:val="en-GB"/>
        </w:rPr>
        <w:t>.</w:t>
      </w:r>
      <w:r>
        <w:rPr>
          <w:lang w:val="en-GB"/>
        </w:rPr>
        <w:t xml:space="preserve"> </w:t>
      </w:r>
      <w:r w:rsidRPr="008E40DE">
        <w:rPr>
          <w:lang w:val="en-GB"/>
        </w:rPr>
        <w:t xml:space="preserve">Bioactive and biodegradable </w:t>
      </w:r>
      <w:r w:rsidR="003302F9">
        <w:rPr>
          <w:lang w:val="en-GB"/>
        </w:rPr>
        <w:t>films</w:t>
      </w:r>
      <w:r w:rsidRPr="008E40DE">
        <w:rPr>
          <w:lang w:val="en-GB"/>
        </w:rPr>
        <w:t xml:space="preserve"> produced with Brazilian pine seed starch, citric pectin and </w:t>
      </w:r>
      <w:proofErr w:type="spellStart"/>
      <w:r w:rsidRPr="008E40DE">
        <w:rPr>
          <w:i/>
          <w:lang w:val="en-GB"/>
        </w:rPr>
        <w:t>Acca</w:t>
      </w:r>
      <w:proofErr w:type="spellEnd"/>
      <w:r w:rsidRPr="008E40DE">
        <w:rPr>
          <w:i/>
          <w:lang w:val="en-GB"/>
        </w:rPr>
        <w:t xml:space="preserve"> </w:t>
      </w:r>
      <w:proofErr w:type="spellStart"/>
      <w:r w:rsidRPr="008E40DE">
        <w:rPr>
          <w:i/>
          <w:lang w:val="en-GB"/>
        </w:rPr>
        <w:t>sellowiana</w:t>
      </w:r>
      <w:proofErr w:type="spellEnd"/>
      <w:r w:rsidRPr="008E40DE">
        <w:rPr>
          <w:lang w:val="en-GB"/>
        </w:rPr>
        <w:t xml:space="preserve"> extracts </w:t>
      </w:r>
      <w:r w:rsidR="003302F9">
        <w:rPr>
          <w:lang w:val="en-GB"/>
        </w:rPr>
        <w:t>presented</w:t>
      </w:r>
      <w:r w:rsidR="003302F9" w:rsidRPr="003302F9">
        <w:rPr>
          <w:lang w:val="en-GB"/>
        </w:rPr>
        <w:t xml:space="preserve"> </w:t>
      </w:r>
      <w:r w:rsidR="003302F9" w:rsidRPr="008E40DE">
        <w:rPr>
          <w:lang w:val="en-GB"/>
        </w:rPr>
        <w:t>good physicochemical and antioxidant parameter</w:t>
      </w:r>
      <w:r w:rsidR="003302F9">
        <w:rPr>
          <w:lang w:val="en-GB"/>
        </w:rPr>
        <w:t>s</w:t>
      </w:r>
      <w:r w:rsidR="003302F9" w:rsidRPr="008E40DE">
        <w:rPr>
          <w:lang w:val="en-GB"/>
        </w:rPr>
        <w:t>,</w:t>
      </w:r>
      <w:r w:rsidR="003302F9">
        <w:rPr>
          <w:lang w:val="en-GB"/>
        </w:rPr>
        <w:t xml:space="preserve"> and m</w:t>
      </w:r>
      <w:r w:rsidR="003302F9" w:rsidRPr="003302F9">
        <w:rPr>
          <w:lang w:val="en-GB"/>
        </w:rPr>
        <w:t>ay be an alternative to packaging in</w:t>
      </w:r>
      <w:r w:rsidR="003302F9">
        <w:rPr>
          <w:lang w:val="en-GB"/>
        </w:rPr>
        <w:t xml:space="preserve"> </w:t>
      </w:r>
      <w:r w:rsidR="003302F9" w:rsidRPr="003302F9">
        <w:rPr>
          <w:lang w:val="en-GB"/>
        </w:rPr>
        <w:t>food systems</w:t>
      </w:r>
      <w:r w:rsidR="003302F9">
        <w:rPr>
          <w:lang w:val="en-GB"/>
        </w:rPr>
        <w:t>.</w:t>
      </w:r>
    </w:p>
    <w:p w:rsidR="00600535" w:rsidRPr="00B57B36" w:rsidRDefault="00600535" w:rsidP="004C1C65">
      <w:pPr>
        <w:pStyle w:val="CETHeading1"/>
        <w:ind w:left="0"/>
        <w:rPr>
          <w:lang w:val="en-GB"/>
        </w:rPr>
      </w:pPr>
      <w:r w:rsidRPr="00B57B36">
        <w:rPr>
          <w:lang w:val="en-GB"/>
        </w:rPr>
        <w:t>Introduction</w:t>
      </w:r>
    </w:p>
    <w:p w:rsidR="0030518A" w:rsidRDefault="00AE41C3" w:rsidP="00600535">
      <w:pPr>
        <w:pStyle w:val="CETBodytext"/>
        <w:rPr>
          <w:lang w:val="en-GB"/>
        </w:rPr>
      </w:pPr>
      <w:r w:rsidRPr="008E40DE">
        <w:rPr>
          <w:lang w:val="en-GB"/>
        </w:rPr>
        <w:t xml:space="preserve">The food industry constant needs innovative </w:t>
      </w:r>
      <w:r>
        <w:rPr>
          <w:lang w:val="en-GB"/>
        </w:rPr>
        <w:t>packages to reduce the use of non-biodegradable plastics in the environment</w:t>
      </w:r>
      <w:r w:rsidR="002F3A9B">
        <w:rPr>
          <w:lang w:val="en-GB"/>
        </w:rPr>
        <w:t xml:space="preserve"> (</w:t>
      </w:r>
      <w:r w:rsidR="002F3A9B" w:rsidRPr="002F3A9B">
        <w:rPr>
          <w:lang w:val="en-GB"/>
        </w:rPr>
        <w:t xml:space="preserve">Allen </w:t>
      </w:r>
      <w:r w:rsidR="002F3A9B">
        <w:rPr>
          <w:lang w:val="en-GB"/>
        </w:rPr>
        <w:t xml:space="preserve">et al., 2004; </w:t>
      </w:r>
      <w:proofErr w:type="spellStart"/>
      <w:r w:rsidR="002F3A9B" w:rsidRPr="00C35624">
        <w:rPr>
          <w:rFonts w:cs="Arial"/>
          <w:szCs w:val="18"/>
        </w:rPr>
        <w:t>Arquelau</w:t>
      </w:r>
      <w:proofErr w:type="spellEnd"/>
      <w:r w:rsidR="002F3A9B">
        <w:rPr>
          <w:rFonts w:cs="Arial"/>
          <w:szCs w:val="18"/>
        </w:rPr>
        <w:t xml:space="preserve"> et al., 2019)</w:t>
      </w:r>
      <w:r>
        <w:rPr>
          <w:lang w:val="en-GB"/>
        </w:rPr>
        <w:t xml:space="preserve">. Although, to maintain the food quality, extensive researches have been developing to discover a new natural </w:t>
      </w:r>
      <w:r w:rsidR="00CA4C02">
        <w:rPr>
          <w:lang w:val="en-GB"/>
        </w:rPr>
        <w:t>antioxidant, which</w:t>
      </w:r>
      <w:r>
        <w:rPr>
          <w:lang w:val="en-GB"/>
        </w:rPr>
        <w:t xml:space="preserve"> promote </w:t>
      </w:r>
      <w:r w:rsidR="00CA4C02">
        <w:rPr>
          <w:lang w:val="en-GB"/>
        </w:rPr>
        <w:t xml:space="preserve">food </w:t>
      </w:r>
      <w:r>
        <w:rPr>
          <w:lang w:val="en-GB"/>
        </w:rPr>
        <w:t xml:space="preserve">benefits </w:t>
      </w:r>
      <w:r w:rsidR="003F5665">
        <w:rPr>
          <w:lang w:val="en-GB"/>
        </w:rPr>
        <w:t>(</w:t>
      </w:r>
      <w:proofErr w:type="spellStart"/>
      <w:r w:rsidR="003F5665">
        <w:rPr>
          <w:lang w:val="en-GB"/>
        </w:rPr>
        <w:t>Veeck</w:t>
      </w:r>
      <w:proofErr w:type="spellEnd"/>
      <w:r w:rsidR="003F5665">
        <w:rPr>
          <w:lang w:val="en-GB"/>
        </w:rPr>
        <w:t xml:space="preserve"> et al., 2013)</w:t>
      </w:r>
      <w:r>
        <w:rPr>
          <w:lang w:val="en-GB"/>
        </w:rPr>
        <w:t xml:space="preserve">. </w:t>
      </w:r>
      <w:r w:rsidR="0030518A">
        <w:rPr>
          <w:lang w:val="en-GB"/>
        </w:rPr>
        <w:t xml:space="preserve">An active food packaging maintains the food </w:t>
      </w:r>
      <w:r>
        <w:rPr>
          <w:lang w:val="en-GB"/>
        </w:rPr>
        <w:t>safety</w:t>
      </w:r>
      <w:r w:rsidR="0030518A">
        <w:rPr>
          <w:lang w:val="en-GB"/>
        </w:rPr>
        <w:t xml:space="preserve"> by the use of antioxidant compounds</w:t>
      </w:r>
      <w:r>
        <w:rPr>
          <w:lang w:val="en-GB"/>
        </w:rPr>
        <w:t xml:space="preserve">, because </w:t>
      </w:r>
      <w:r w:rsidR="0030518A">
        <w:rPr>
          <w:lang w:val="en-GB"/>
        </w:rPr>
        <w:t>phenolic compounds</w:t>
      </w:r>
      <w:r>
        <w:rPr>
          <w:lang w:val="en-GB"/>
        </w:rPr>
        <w:t>, flavonoids and carotenoids</w:t>
      </w:r>
      <w:r w:rsidR="0030518A">
        <w:rPr>
          <w:lang w:val="en-GB"/>
        </w:rPr>
        <w:t xml:space="preserve"> present a high applicability to increase the shelf life of </w:t>
      </w:r>
      <w:r>
        <w:rPr>
          <w:lang w:val="en-GB"/>
        </w:rPr>
        <w:t>perishable food</w:t>
      </w:r>
      <w:r w:rsidR="00B74D9C">
        <w:rPr>
          <w:lang w:val="en-GB"/>
        </w:rPr>
        <w:t>, as natural additives</w:t>
      </w:r>
      <w:r>
        <w:rPr>
          <w:lang w:val="en-GB"/>
        </w:rPr>
        <w:t>. In general, bioactive and biodegradable plastics are the future of the food industry to maintain the food quality.</w:t>
      </w:r>
    </w:p>
    <w:p w:rsidR="00EB6406" w:rsidRDefault="00DD612A" w:rsidP="00600535">
      <w:pPr>
        <w:pStyle w:val="CETBodytext"/>
        <w:rPr>
          <w:lang w:val="en-GB"/>
        </w:rPr>
      </w:pPr>
      <w:r>
        <w:rPr>
          <w:lang w:val="en-GB"/>
        </w:rPr>
        <w:tab/>
      </w:r>
      <w:r w:rsidR="00EB6406" w:rsidRPr="00EB6406">
        <w:rPr>
          <w:lang w:val="en-GB"/>
        </w:rPr>
        <w:t>Several materials</w:t>
      </w:r>
      <w:r w:rsidR="00EB6406">
        <w:rPr>
          <w:lang w:val="en-GB"/>
        </w:rPr>
        <w:t xml:space="preserve"> </w:t>
      </w:r>
      <w:r w:rsidR="00EB6406" w:rsidRPr="00AE41C3">
        <w:rPr>
          <w:lang w:val="en-GB"/>
        </w:rPr>
        <w:t>can be used to produce biodegradable polymers</w:t>
      </w:r>
      <w:r w:rsidR="00EB6406">
        <w:rPr>
          <w:lang w:val="en-GB"/>
        </w:rPr>
        <w:t>, such as n</w:t>
      </w:r>
      <w:r w:rsidR="00AE41C3">
        <w:rPr>
          <w:lang w:val="en-GB"/>
        </w:rPr>
        <w:t>atural polysaccharides</w:t>
      </w:r>
      <w:r w:rsidR="002F3A9B">
        <w:rPr>
          <w:lang w:val="en-GB"/>
        </w:rPr>
        <w:t xml:space="preserve"> (</w:t>
      </w:r>
      <w:proofErr w:type="spellStart"/>
      <w:r w:rsidR="002F3A9B">
        <w:rPr>
          <w:lang w:val="en-GB"/>
        </w:rPr>
        <w:t>Eça</w:t>
      </w:r>
      <w:proofErr w:type="spellEnd"/>
      <w:r w:rsidR="002F3A9B">
        <w:rPr>
          <w:lang w:val="en-GB"/>
        </w:rPr>
        <w:t xml:space="preserve"> et al., 2015)</w:t>
      </w:r>
      <w:r w:rsidR="00EB6406">
        <w:rPr>
          <w:lang w:val="en-GB"/>
        </w:rPr>
        <w:t>, starch</w:t>
      </w:r>
      <w:r w:rsidR="002F3A9B">
        <w:rPr>
          <w:lang w:val="en-GB"/>
        </w:rPr>
        <w:t xml:space="preserve"> (</w:t>
      </w:r>
      <w:r w:rsidR="005F671A" w:rsidRPr="005F671A">
        <w:rPr>
          <w:lang w:val="en-GB"/>
        </w:rPr>
        <w:t>Fidelis</w:t>
      </w:r>
      <w:r w:rsidR="005F671A">
        <w:rPr>
          <w:lang w:val="en-GB"/>
        </w:rPr>
        <w:t xml:space="preserve"> et al., 2017;</w:t>
      </w:r>
      <w:r w:rsidR="005F671A" w:rsidRPr="005F671A">
        <w:t xml:space="preserve"> </w:t>
      </w:r>
      <w:r w:rsidR="005F671A">
        <w:rPr>
          <w:lang w:val="en-GB"/>
        </w:rPr>
        <w:t xml:space="preserve">Takahashi et al., 2017; </w:t>
      </w:r>
      <w:proofErr w:type="spellStart"/>
      <w:r w:rsidR="002F3A9B" w:rsidRPr="00C35624">
        <w:rPr>
          <w:rFonts w:cs="Arial"/>
          <w:szCs w:val="18"/>
        </w:rPr>
        <w:t>Arquelau</w:t>
      </w:r>
      <w:proofErr w:type="spellEnd"/>
      <w:r w:rsidR="002F3A9B">
        <w:rPr>
          <w:rFonts w:cs="Arial"/>
          <w:szCs w:val="18"/>
        </w:rPr>
        <w:t xml:space="preserve"> et al., 2019)</w:t>
      </w:r>
      <w:r w:rsidR="00EB6406">
        <w:rPr>
          <w:lang w:val="en-GB"/>
        </w:rPr>
        <w:t xml:space="preserve">, </w:t>
      </w:r>
      <w:r w:rsidR="00AE41C3" w:rsidRPr="00AE41C3">
        <w:rPr>
          <w:lang w:val="en-GB"/>
        </w:rPr>
        <w:t>chitosan</w:t>
      </w:r>
      <w:r w:rsidR="002F3A9B">
        <w:rPr>
          <w:lang w:val="en-GB"/>
        </w:rPr>
        <w:t xml:space="preserve"> (</w:t>
      </w:r>
      <w:r w:rsidR="002F3A9B" w:rsidRPr="00C35624">
        <w:rPr>
          <w:rFonts w:cs="Arial"/>
          <w:szCs w:val="18"/>
        </w:rPr>
        <w:t>Yong</w:t>
      </w:r>
      <w:r w:rsidR="002F3A9B">
        <w:rPr>
          <w:rFonts w:cs="Arial"/>
          <w:szCs w:val="18"/>
        </w:rPr>
        <w:t xml:space="preserve"> et al., 2019)</w:t>
      </w:r>
      <w:r w:rsidR="00AE41C3" w:rsidRPr="00AE41C3">
        <w:rPr>
          <w:lang w:val="en-GB"/>
        </w:rPr>
        <w:t>, methylcellulose</w:t>
      </w:r>
      <w:r w:rsidR="002F3A9B">
        <w:rPr>
          <w:lang w:val="en-GB"/>
        </w:rPr>
        <w:t xml:space="preserve"> (</w:t>
      </w:r>
      <w:proofErr w:type="spellStart"/>
      <w:r w:rsidR="002F3A9B">
        <w:rPr>
          <w:lang w:val="en-GB"/>
        </w:rPr>
        <w:t>Nunes</w:t>
      </w:r>
      <w:proofErr w:type="spellEnd"/>
      <w:r w:rsidR="002F3A9B">
        <w:rPr>
          <w:lang w:val="en-GB"/>
        </w:rPr>
        <w:t xml:space="preserve"> et al., 2018) and </w:t>
      </w:r>
      <w:r w:rsidR="00EB6406">
        <w:rPr>
          <w:lang w:val="en-GB"/>
        </w:rPr>
        <w:t xml:space="preserve">others. </w:t>
      </w:r>
      <w:proofErr w:type="spellStart"/>
      <w:r w:rsidR="00EB6406">
        <w:rPr>
          <w:lang w:val="en-GB"/>
        </w:rPr>
        <w:t>Bioplastics</w:t>
      </w:r>
      <w:proofErr w:type="spellEnd"/>
      <w:r w:rsidR="00EB6406">
        <w:rPr>
          <w:lang w:val="en-GB"/>
        </w:rPr>
        <w:t xml:space="preserve"> properties </w:t>
      </w:r>
      <w:r w:rsidR="00EB6406" w:rsidRPr="0030518A">
        <w:rPr>
          <w:lang w:val="en-GB"/>
        </w:rPr>
        <w:t>are determined</w:t>
      </w:r>
      <w:r w:rsidR="00EB6406">
        <w:rPr>
          <w:lang w:val="en-GB"/>
        </w:rPr>
        <w:t xml:space="preserve"> mainly</w:t>
      </w:r>
      <w:r w:rsidR="00EB6406" w:rsidRPr="0030518A">
        <w:rPr>
          <w:lang w:val="en-GB"/>
        </w:rPr>
        <w:t xml:space="preserve"> by the type of </w:t>
      </w:r>
      <w:r w:rsidR="00B74D9C">
        <w:rPr>
          <w:lang w:val="en-GB"/>
        </w:rPr>
        <w:t xml:space="preserve">the </w:t>
      </w:r>
      <w:r w:rsidR="00EB6406" w:rsidRPr="0030518A">
        <w:rPr>
          <w:lang w:val="en-GB"/>
        </w:rPr>
        <w:t>material applied</w:t>
      </w:r>
      <w:r w:rsidR="00A55048">
        <w:rPr>
          <w:lang w:val="en-GB"/>
        </w:rPr>
        <w:t xml:space="preserve"> in the production</w:t>
      </w:r>
      <w:r w:rsidR="00EB6406">
        <w:rPr>
          <w:lang w:val="en-GB"/>
        </w:rPr>
        <w:t>, time of heating and the use of plasticizers</w:t>
      </w:r>
      <w:r w:rsidR="00731926" w:rsidRPr="00731926">
        <w:t xml:space="preserve"> </w:t>
      </w:r>
      <w:r w:rsidR="00731926">
        <w:t>(</w:t>
      </w:r>
      <w:r w:rsidR="00731926" w:rsidRPr="00C35624">
        <w:rPr>
          <w:lang w:val="en-GB"/>
        </w:rPr>
        <w:t>Yong et al., 2019</w:t>
      </w:r>
      <w:r w:rsidR="00731926">
        <w:rPr>
          <w:lang w:val="en-GB"/>
        </w:rPr>
        <w:t>)</w:t>
      </w:r>
      <w:r w:rsidR="00EB6406">
        <w:rPr>
          <w:lang w:val="en-GB"/>
        </w:rPr>
        <w:t xml:space="preserve">. However, the food industry needs a polymer that presents </w:t>
      </w:r>
      <w:r w:rsidR="00EB6406" w:rsidRPr="0030518A">
        <w:rPr>
          <w:lang w:val="en-GB"/>
        </w:rPr>
        <w:t>satisfactory</w:t>
      </w:r>
      <w:r w:rsidR="00EB6406">
        <w:rPr>
          <w:lang w:val="en-GB"/>
        </w:rPr>
        <w:t xml:space="preserve"> properties as</w:t>
      </w:r>
      <w:r w:rsidR="00A55048">
        <w:rPr>
          <w:lang w:val="en-GB"/>
        </w:rPr>
        <w:t xml:space="preserve"> a low</w:t>
      </w:r>
      <w:r w:rsidR="00EB6406">
        <w:rPr>
          <w:lang w:val="en-GB"/>
        </w:rPr>
        <w:t xml:space="preserve"> gas barrier, </w:t>
      </w:r>
      <w:r w:rsidR="00A55048">
        <w:rPr>
          <w:lang w:val="en-GB"/>
        </w:rPr>
        <w:t xml:space="preserve">suitable </w:t>
      </w:r>
      <w:proofErr w:type="spellStart"/>
      <w:r w:rsidR="00A55048">
        <w:rPr>
          <w:lang w:val="en-GB"/>
        </w:rPr>
        <w:t>color</w:t>
      </w:r>
      <w:proofErr w:type="spellEnd"/>
      <w:r w:rsidR="00A55048">
        <w:rPr>
          <w:lang w:val="en-GB"/>
        </w:rPr>
        <w:t xml:space="preserve">, good </w:t>
      </w:r>
      <w:r w:rsidR="00EB6406" w:rsidRPr="00EB6406">
        <w:rPr>
          <w:lang w:val="en-GB"/>
        </w:rPr>
        <w:t>appearance</w:t>
      </w:r>
      <w:r w:rsidR="00EB6406">
        <w:rPr>
          <w:lang w:val="en-GB"/>
        </w:rPr>
        <w:t>,</w:t>
      </w:r>
      <w:r w:rsidR="00A55048">
        <w:rPr>
          <w:lang w:val="en-GB"/>
        </w:rPr>
        <w:t xml:space="preserve"> high</w:t>
      </w:r>
      <w:r w:rsidR="00EB6406" w:rsidRPr="00EB6406">
        <w:rPr>
          <w:lang w:val="en-GB"/>
        </w:rPr>
        <w:t xml:space="preserve"> </w:t>
      </w:r>
      <w:r w:rsidR="00EB6406" w:rsidRPr="0030518A">
        <w:rPr>
          <w:lang w:val="en-GB"/>
        </w:rPr>
        <w:t>mechanical</w:t>
      </w:r>
      <w:r w:rsidR="00FB49FF">
        <w:rPr>
          <w:lang w:val="en-GB"/>
        </w:rPr>
        <w:t xml:space="preserve"> and antioxidant</w:t>
      </w:r>
      <w:r w:rsidR="00EB6406">
        <w:rPr>
          <w:lang w:val="en-GB"/>
        </w:rPr>
        <w:t xml:space="preserve"> properties</w:t>
      </w:r>
      <w:r w:rsidR="00A55048">
        <w:rPr>
          <w:lang w:val="en-GB"/>
        </w:rPr>
        <w:t xml:space="preserve">, because the </w:t>
      </w:r>
      <w:r w:rsidR="00CA4C02">
        <w:rPr>
          <w:lang w:val="en-GB"/>
        </w:rPr>
        <w:t xml:space="preserve">material applicability </w:t>
      </w:r>
      <w:r w:rsidR="00FB49FF">
        <w:rPr>
          <w:lang w:val="en-GB"/>
        </w:rPr>
        <w:t>i</w:t>
      </w:r>
      <w:r w:rsidR="00A55048">
        <w:rPr>
          <w:lang w:val="en-GB"/>
        </w:rPr>
        <w:t>n a food matrix depends directly by their properties</w:t>
      </w:r>
      <w:r w:rsidR="00731926">
        <w:rPr>
          <w:lang w:val="en-GB"/>
        </w:rPr>
        <w:t xml:space="preserve"> (</w:t>
      </w:r>
      <w:proofErr w:type="spellStart"/>
      <w:r w:rsidR="00731926" w:rsidRPr="00C35624">
        <w:rPr>
          <w:lang w:val="en-GB"/>
        </w:rPr>
        <w:t>Arquelau</w:t>
      </w:r>
      <w:proofErr w:type="spellEnd"/>
      <w:r w:rsidR="00731926" w:rsidRPr="00C35624">
        <w:rPr>
          <w:lang w:val="en-GB"/>
        </w:rPr>
        <w:t xml:space="preserve"> et al., 2019</w:t>
      </w:r>
      <w:r w:rsidR="00731926">
        <w:rPr>
          <w:lang w:val="en-GB"/>
        </w:rPr>
        <w:t>)</w:t>
      </w:r>
      <w:r w:rsidR="00A55048">
        <w:rPr>
          <w:lang w:val="en-GB"/>
        </w:rPr>
        <w:t xml:space="preserve">. </w:t>
      </w:r>
    </w:p>
    <w:p w:rsidR="0010600C" w:rsidRDefault="008E40DE" w:rsidP="00731926">
      <w:pPr>
        <w:pStyle w:val="CETBodytext"/>
        <w:rPr>
          <w:lang w:val="en-GB"/>
        </w:rPr>
      </w:pPr>
      <w:r w:rsidRPr="008E40DE">
        <w:rPr>
          <w:lang w:val="en-GB"/>
        </w:rPr>
        <w:t xml:space="preserve">Antioxidant compounds from plants are a new alternative to create bioactive food packaging. </w:t>
      </w:r>
      <w:proofErr w:type="spellStart"/>
      <w:r w:rsidR="00731926" w:rsidRPr="00731926">
        <w:rPr>
          <w:i/>
          <w:lang w:val="en-GB"/>
        </w:rPr>
        <w:t>Acca</w:t>
      </w:r>
      <w:proofErr w:type="spellEnd"/>
      <w:r w:rsidR="00731926" w:rsidRPr="00731926">
        <w:rPr>
          <w:i/>
          <w:lang w:val="en-GB"/>
        </w:rPr>
        <w:t xml:space="preserve"> </w:t>
      </w:r>
      <w:proofErr w:type="spellStart"/>
      <w:r w:rsidR="00731926" w:rsidRPr="00731926">
        <w:rPr>
          <w:i/>
          <w:lang w:val="en-GB"/>
        </w:rPr>
        <w:t>sellowiana</w:t>
      </w:r>
      <w:proofErr w:type="spellEnd"/>
      <w:r w:rsidR="00731926">
        <w:rPr>
          <w:lang w:val="en-GB"/>
        </w:rPr>
        <w:t xml:space="preserve"> </w:t>
      </w:r>
      <w:r w:rsidR="00731926" w:rsidRPr="00731926">
        <w:rPr>
          <w:lang w:val="en-GB"/>
        </w:rPr>
        <w:t xml:space="preserve">(O. Berg) </w:t>
      </w:r>
      <w:proofErr w:type="spellStart"/>
      <w:r w:rsidR="00B74D9C">
        <w:rPr>
          <w:lang w:val="en-GB"/>
        </w:rPr>
        <w:t>Burret</w:t>
      </w:r>
      <w:proofErr w:type="spellEnd"/>
      <w:r w:rsidR="00731926" w:rsidRPr="00731926">
        <w:rPr>
          <w:lang w:val="en-GB"/>
        </w:rPr>
        <w:t xml:space="preserve"> (synonym</w:t>
      </w:r>
      <w:r w:rsidR="00731926">
        <w:rPr>
          <w:lang w:val="en-GB"/>
        </w:rPr>
        <w:t>,</w:t>
      </w:r>
      <w:r w:rsidR="00731926" w:rsidRPr="00731926">
        <w:rPr>
          <w:lang w:val="en-GB"/>
        </w:rPr>
        <w:t xml:space="preserve"> </w:t>
      </w:r>
      <w:r w:rsidR="00731926" w:rsidRPr="00731926">
        <w:rPr>
          <w:i/>
          <w:lang w:val="en-GB"/>
        </w:rPr>
        <w:t xml:space="preserve">Feijoa </w:t>
      </w:r>
      <w:proofErr w:type="spellStart"/>
      <w:r w:rsidR="00731926" w:rsidRPr="00731926">
        <w:rPr>
          <w:i/>
          <w:lang w:val="en-GB"/>
        </w:rPr>
        <w:t>sellowiana</w:t>
      </w:r>
      <w:proofErr w:type="spellEnd"/>
      <w:r w:rsidR="00731926" w:rsidRPr="00731926">
        <w:rPr>
          <w:lang w:val="en-GB"/>
        </w:rPr>
        <w:t>),</w:t>
      </w:r>
      <w:r w:rsidR="00731926">
        <w:rPr>
          <w:lang w:val="en-GB"/>
        </w:rPr>
        <w:t xml:space="preserve"> </w:t>
      </w:r>
      <w:r w:rsidRPr="008E40DE">
        <w:rPr>
          <w:lang w:val="en-GB"/>
        </w:rPr>
        <w:t xml:space="preserve">is a native fruit from southern Brazil, </w:t>
      </w:r>
      <w:r w:rsidR="00731926">
        <w:rPr>
          <w:lang w:val="en-GB"/>
        </w:rPr>
        <w:t>and presents a high commercialization spread all over the world</w:t>
      </w:r>
      <w:r w:rsidR="006D51B3" w:rsidRPr="006D51B3">
        <w:t xml:space="preserve"> </w:t>
      </w:r>
      <w:r w:rsidR="006D51B3" w:rsidRPr="00C35624">
        <w:t>(</w:t>
      </w:r>
      <w:proofErr w:type="spellStart"/>
      <w:r w:rsidR="006D51B3" w:rsidRPr="00C35624">
        <w:rPr>
          <w:lang w:val="en-GB"/>
        </w:rPr>
        <w:t>Pasquariello</w:t>
      </w:r>
      <w:proofErr w:type="spellEnd"/>
      <w:r w:rsidR="006D51B3" w:rsidRPr="00C35624">
        <w:rPr>
          <w:lang w:val="en-GB"/>
        </w:rPr>
        <w:t xml:space="preserve"> et al., 2015</w:t>
      </w:r>
      <w:r w:rsidR="006D51B3">
        <w:rPr>
          <w:lang w:val="en-GB"/>
        </w:rPr>
        <w:t>)</w:t>
      </w:r>
      <w:r w:rsidR="00731926">
        <w:rPr>
          <w:lang w:val="en-GB"/>
        </w:rPr>
        <w:t>.</w:t>
      </w:r>
      <w:r w:rsidR="006D51B3">
        <w:rPr>
          <w:lang w:val="en-GB"/>
        </w:rPr>
        <w:t xml:space="preserve"> A genetic improvement was conducted to increase the production and </w:t>
      </w:r>
      <w:r w:rsidR="00B74D9C">
        <w:rPr>
          <w:lang w:val="en-GB"/>
        </w:rPr>
        <w:t>develop</w:t>
      </w:r>
      <w:r w:rsidR="006D51B3">
        <w:rPr>
          <w:lang w:val="en-GB"/>
        </w:rPr>
        <w:t xml:space="preserve"> </w:t>
      </w:r>
      <w:r w:rsidR="00B74D9C">
        <w:rPr>
          <w:lang w:val="en-GB"/>
        </w:rPr>
        <w:t>new</w:t>
      </w:r>
      <w:r w:rsidR="006D51B3">
        <w:rPr>
          <w:lang w:val="en-GB"/>
        </w:rPr>
        <w:t xml:space="preserve"> cultivars</w:t>
      </w:r>
      <w:r w:rsidR="002F3A9B">
        <w:rPr>
          <w:lang w:val="en-GB"/>
        </w:rPr>
        <w:t xml:space="preserve"> (</w:t>
      </w:r>
      <w:r w:rsidR="002F3A9B" w:rsidRPr="002F3A9B">
        <w:rPr>
          <w:rFonts w:cs="Arial"/>
          <w:szCs w:val="18"/>
        </w:rPr>
        <w:t>Santos</w:t>
      </w:r>
      <w:r w:rsidR="002F3A9B">
        <w:rPr>
          <w:rFonts w:cs="Arial"/>
          <w:szCs w:val="18"/>
        </w:rPr>
        <w:t xml:space="preserve"> et al., 2017)</w:t>
      </w:r>
      <w:r w:rsidR="006D51B3">
        <w:rPr>
          <w:lang w:val="en-GB"/>
        </w:rPr>
        <w:t>.</w:t>
      </w:r>
      <w:r w:rsidR="00731926">
        <w:rPr>
          <w:lang w:val="en-GB"/>
        </w:rPr>
        <w:t xml:space="preserve"> This fruit </w:t>
      </w:r>
      <w:r w:rsidR="00731926" w:rsidRPr="00731926">
        <w:rPr>
          <w:lang w:val="en-GB"/>
        </w:rPr>
        <w:t>has a smooth gr</w:t>
      </w:r>
      <w:r w:rsidR="00731926">
        <w:rPr>
          <w:lang w:val="en-GB"/>
        </w:rPr>
        <w:t xml:space="preserve">een skin and soft and white flesh. </w:t>
      </w:r>
      <w:r w:rsidR="00731926" w:rsidRPr="00731926">
        <w:rPr>
          <w:lang w:val="en-GB"/>
        </w:rPr>
        <w:t>The fruit</w:t>
      </w:r>
      <w:r w:rsidR="00731926">
        <w:rPr>
          <w:lang w:val="en-GB"/>
        </w:rPr>
        <w:t xml:space="preserve"> (feijoa)</w:t>
      </w:r>
      <w:r w:rsidR="00731926" w:rsidRPr="00731926">
        <w:rPr>
          <w:lang w:val="en-GB"/>
        </w:rPr>
        <w:t xml:space="preserve"> is sweet and the flavour</w:t>
      </w:r>
      <w:r w:rsidR="00731926">
        <w:rPr>
          <w:lang w:val="en-GB"/>
        </w:rPr>
        <w:t xml:space="preserve"> </w:t>
      </w:r>
      <w:r w:rsidR="00731926" w:rsidRPr="00731926">
        <w:rPr>
          <w:lang w:val="en-GB"/>
        </w:rPr>
        <w:t>is very aromatic. The skin is sour and bitter</w:t>
      </w:r>
      <w:r w:rsidR="00731926">
        <w:rPr>
          <w:lang w:val="en-GB"/>
        </w:rPr>
        <w:t xml:space="preserve"> </w:t>
      </w:r>
      <w:r w:rsidR="00731926" w:rsidRPr="00731926">
        <w:rPr>
          <w:lang w:val="en-GB"/>
        </w:rPr>
        <w:t>but the feijoa skin can be eaten with the pulp, as the skin balances</w:t>
      </w:r>
      <w:r w:rsidR="00731926">
        <w:rPr>
          <w:lang w:val="en-GB"/>
        </w:rPr>
        <w:t xml:space="preserve"> </w:t>
      </w:r>
      <w:r w:rsidR="00731926" w:rsidRPr="00731926">
        <w:rPr>
          <w:lang w:val="en-GB"/>
        </w:rPr>
        <w:t>the sweetness of the pulp</w:t>
      </w:r>
      <w:r w:rsidR="00731926">
        <w:rPr>
          <w:lang w:val="en-GB"/>
        </w:rPr>
        <w:t xml:space="preserve"> (</w:t>
      </w:r>
      <w:r w:rsidR="00731926" w:rsidRPr="00C35624">
        <w:rPr>
          <w:lang w:val="en-GB"/>
        </w:rPr>
        <w:t>Weston, 2010</w:t>
      </w:r>
      <w:r w:rsidR="002F3A9B">
        <w:rPr>
          <w:lang w:val="en-GB"/>
        </w:rPr>
        <w:t xml:space="preserve">; </w:t>
      </w:r>
      <w:r w:rsidR="002F3A9B" w:rsidRPr="002F3A9B">
        <w:rPr>
          <w:rFonts w:cs="Arial"/>
          <w:szCs w:val="18"/>
        </w:rPr>
        <w:t>Santos</w:t>
      </w:r>
      <w:r w:rsidR="002F3A9B">
        <w:rPr>
          <w:rFonts w:cs="Arial"/>
          <w:szCs w:val="18"/>
        </w:rPr>
        <w:t xml:space="preserve"> et al., 2017</w:t>
      </w:r>
      <w:r w:rsidR="00731926">
        <w:rPr>
          <w:lang w:val="en-GB"/>
        </w:rPr>
        <w:t>)</w:t>
      </w:r>
      <w:r w:rsidR="00731926" w:rsidRPr="00731926">
        <w:rPr>
          <w:lang w:val="en-GB"/>
        </w:rPr>
        <w:t>.</w:t>
      </w:r>
      <w:r w:rsidR="006D51B3">
        <w:rPr>
          <w:lang w:val="en-GB"/>
        </w:rPr>
        <w:t xml:space="preserve"> Studies demonstrate that this fruit presents</w:t>
      </w:r>
      <w:r w:rsidR="006D51B3" w:rsidRPr="006D51B3">
        <w:t xml:space="preserve"> </w:t>
      </w:r>
      <w:r w:rsidR="006D51B3">
        <w:rPr>
          <w:lang w:val="en-GB"/>
        </w:rPr>
        <w:t xml:space="preserve">antimicrobial, anticancer, </w:t>
      </w:r>
      <w:r w:rsidR="00FB49FF" w:rsidRPr="006D51B3">
        <w:rPr>
          <w:lang w:val="en-GB"/>
        </w:rPr>
        <w:t>anti</w:t>
      </w:r>
      <w:r w:rsidR="00FB49FF">
        <w:rPr>
          <w:lang w:val="en-GB"/>
        </w:rPr>
        <w:t>-i</w:t>
      </w:r>
      <w:r w:rsidR="00FB49FF" w:rsidRPr="006D51B3">
        <w:rPr>
          <w:lang w:val="en-GB"/>
        </w:rPr>
        <w:t>nflammatory</w:t>
      </w:r>
      <w:r w:rsidR="006D51B3" w:rsidRPr="006D51B3">
        <w:rPr>
          <w:lang w:val="en-GB"/>
        </w:rPr>
        <w:t xml:space="preserve"> </w:t>
      </w:r>
      <w:r w:rsidR="00B74D9C">
        <w:rPr>
          <w:lang w:val="en-GB"/>
        </w:rPr>
        <w:lastRenderedPageBreak/>
        <w:t>and antioxidant properties, but technological studies was not developed with this fruit</w:t>
      </w:r>
      <w:r w:rsidR="002F3A9B">
        <w:rPr>
          <w:lang w:val="en-GB"/>
        </w:rPr>
        <w:t xml:space="preserve"> (</w:t>
      </w:r>
      <w:r w:rsidR="002F3A9B" w:rsidRPr="00C35624">
        <w:rPr>
          <w:lang w:val="en-GB"/>
        </w:rPr>
        <w:t>Weston, 2010</w:t>
      </w:r>
      <w:r w:rsidR="002F3A9B">
        <w:rPr>
          <w:lang w:val="en-GB"/>
        </w:rPr>
        <w:t xml:space="preserve">; </w:t>
      </w:r>
      <w:proofErr w:type="spellStart"/>
      <w:r w:rsidR="002F3A9B" w:rsidRPr="00C35624">
        <w:rPr>
          <w:lang w:val="en-GB"/>
        </w:rPr>
        <w:t>Pasquariello</w:t>
      </w:r>
      <w:proofErr w:type="spellEnd"/>
      <w:r w:rsidR="002F3A9B" w:rsidRPr="00C35624">
        <w:rPr>
          <w:lang w:val="en-GB"/>
        </w:rPr>
        <w:t xml:space="preserve"> et al., 2015</w:t>
      </w:r>
      <w:r w:rsidR="00C21E0A">
        <w:rPr>
          <w:lang w:val="en-GB"/>
        </w:rPr>
        <w:t xml:space="preserve">; </w:t>
      </w:r>
      <w:proofErr w:type="spellStart"/>
      <w:r w:rsidR="00C21E0A">
        <w:rPr>
          <w:lang w:val="en-GB"/>
        </w:rPr>
        <w:t>Kessin</w:t>
      </w:r>
      <w:proofErr w:type="spellEnd"/>
      <w:r w:rsidR="00C21E0A">
        <w:rPr>
          <w:lang w:val="en-GB"/>
        </w:rPr>
        <w:t xml:space="preserve"> et al., 2018</w:t>
      </w:r>
      <w:r w:rsidR="002F3A9B">
        <w:rPr>
          <w:lang w:val="en-GB"/>
        </w:rPr>
        <w:t>).</w:t>
      </w:r>
    </w:p>
    <w:p w:rsidR="006D51B3" w:rsidRDefault="00C21E0A" w:rsidP="00731926">
      <w:pPr>
        <w:pStyle w:val="CETBodytext"/>
        <w:rPr>
          <w:lang w:val="en-GB"/>
        </w:rPr>
      </w:pPr>
      <w:r>
        <w:rPr>
          <w:lang w:val="en-GB"/>
        </w:rPr>
        <w:t>Thus, t</w:t>
      </w:r>
      <w:r w:rsidR="006D51B3">
        <w:rPr>
          <w:lang w:val="en-GB"/>
        </w:rPr>
        <w:t xml:space="preserve">he </w:t>
      </w:r>
      <w:r w:rsidR="003302F9">
        <w:rPr>
          <w:lang w:val="en-GB"/>
        </w:rPr>
        <w:t xml:space="preserve">aim of this work was to </w:t>
      </w:r>
      <w:r w:rsidR="003302F9" w:rsidRPr="006D51B3">
        <w:rPr>
          <w:lang w:val="en-GB"/>
        </w:rPr>
        <w:t xml:space="preserve">develop a new </w:t>
      </w:r>
      <w:r w:rsidR="003302F9">
        <w:rPr>
          <w:lang w:val="en-GB"/>
        </w:rPr>
        <w:t>bio</w:t>
      </w:r>
      <w:r w:rsidR="003302F9" w:rsidRPr="006D51B3">
        <w:rPr>
          <w:lang w:val="en-GB"/>
        </w:rPr>
        <w:t>active and biodegradable</w:t>
      </w:r>
      <w:r w:rsidR="003302F9">
        <w:rPr>
          <w:lang w:val="en-GB"/>
        </w:rPr>
        <w:t xml:space="preserve"> film packaging, using Brazilian pine seeds starch, citric pectin and antioxidant compounds from </w:t>
      </w:r>
      <w:proofErr w:type="spellStart"/>
      <w:r w:rsidR="003302F9" w:rsidRPr="00B74D9C">
        <w:rPr>
          <w:i/>
          <w:lang w:val="en-GB"/>
        </w:rPr>
        <w:t>Acca</w:t>
      </w:r>
      <w:proofErr w:type="spellEnd"/>
      <w:r w:rsidR="003302F9">
        <w:rPr>
          <w:lang w:val="en-GB"/>
        </w:rPr>
        <w:t xml:space="preserve"> </w:t>
      </w:r>
      <w:proofErr w:type="spellStart"/>
      <w:r w:rsidR="003302F9" w:rsidRPr="00B74D9C">
        <w:rPr>
          <w:i/>
          <w:lang w:val="en-GB"/>
        </w:rPr>
        <w:t>sellowiana</w:t>
      </w:r>
      <w:proofErr w:type="spellEnd"/>
      <w:r w:rsidR="003302F9">
        <w:rPr>
          <w:i/>
          <w:lang w:val="en-GB"/>
        </w:rPr>
        <w:t>,</w:t>
      </w:r>
      <w:r w:rsidR="003302F9">
        <w:rPr>
          <w:lang w:val="en-GB"/>
        </w:rPr>
        <w:t xml:space="preserve"> and evaluate</w:t>
      </w:r>
      <w:r w:rsidR="006D51B3">
        <w:rPr>
          <w:lang w:val="en-GB"/>
        </w:rPr>
        <w:t xml:space="preserve"> the physicochemical characteristics and antioxidant properties</w:t>
      </w:r>
      <w:r w:rsidR="003302F9">
        <w:rPr>
          <w:lang w:val="en-GB"/>
        </w:rPr>
        <w:t>.</w:t>
      </w:r>
      <w:r w:rsidR="006D51B3">
        <w:rPr>
          <w:lang w:val="en-GB"/>
        </w:rPr>
        <w:t xml:space="preserve"> </w:t>
      </w:r>
    </w:p>
    <w:p w:rsidR="00600535" w:rsidRPr="00B57B36" w:rsidRDefault="004B4CCE" w:rsidP="004C1C65">
      <w:pPr>
        <w:pStyle w:val="CETHeading1"/>
        <w:tabs>
          <w:tab w:val="clear" w:pos="360"/>
          <w:tab w:val="right" w:pos="7100"/>
        </w:tabs>
        <w:ind w:left="0"/>
        <w:jc w:val="both"/>
        <w:rPr>
          <w:lang w:val="en-GB"/>
        </w:rPr>
      </w:pPr>
      <w:r>
        <w:rPr>
          <w:lang w:val="en-GB"/>
        </w:rPr>
        <w:t>Materials and Methods</w:t>
      </w:r>
    </w:p>
    <w:p w:rsidR="00600535" w:rsidRDefault="00F141C5" w:rsidP="00FA5F5F">
      <w:pPr>
        <w:pStyle w:val="CETheadingx"/>
      </w:pPr>
      <w:r>
        <w:t xml:space="preserve">Plant </w:t>
      </w:r>
      <w:r w:rsidR="001B63B7">
        <w:t>M</w:t>
      </w:r>
      <w:r>
        <w:t>aterial</w:t>
      </w:r>
    </w:p>
    <w:p w:rsidR="00F141C5" w:rsidRDefault="00F141C5" w:rsidP="00F141C5">
      <w:pPr>
        <w:pStyle w:val="CETBodytext"/>
      </w:pPr>
      <w:r>
        <w:t xml:space="preserve">Samples of </w:t>
      </w:r>
      <w:proofErr w:type="spellStart"/>
      <w:r w:rsidRPr="00F141C5">
        <w:rPr>
          <w:i/>
        </w:rPr>
        <w:t>Acca</w:t>
      </w:r>
      <w:proofErr w:type="spellEnd"/>
      <w:r w:rsidRPr="00F141C5">
        <w:rPr>
          <w:i/>
        </w:rPr>
        <w:t xml:space="preserve"> </w:t>
      </w:r>
      <w:proofErr w:type="spellStart"/>
      <w:r w:rsidRPr="00F141C5">
        <w:rPr>
          <w:i/>
        </w:rPr>
        <w:t>sellowiana</w:t>
      </w:r>
      <w:proofErr w:type="spellEnd"/>
      <w:r>
        <w:t xml:space="preserve"> were collected at the species maturation point in Sa</w:t>
      </w:r>
      <w:r w:rsidR="003F5665">
        <w:t xml:space="preserve">nta </w:t>
      </w:r>
      <w:proofErr w:type="spellStart"/>
      <w:r w:rsidR="003F5665">
        <w:t>Catarina</w:t>
      </w:r>
      <w:proofErr w:type="spellEnd"/>
      <w:r w:rsidR="003F5665">
        <w:t xml:space="preserve"> State, Brazil (27°</w:t>
      </w:r>
      <w:r w:rsidR="00FB49FF">
        <w:t>37.</w:t>
      </w:r>
      <w:r w:rsidR="003F5665">
        <w:t>12</w:t>
      </w:r>
      <w:r w:rsidR="00FB49FF">
        <w:t>’</w:t>
      </w:r>
      <w:r>
        <w:t>S; 50°43</w:t>
      </w:r>
      <w:r w:rsidR="00FB49FF">
        <w:t>.</w:t>
      </w:r>
      <w:r>
        <w:t>12</w:t>
      </w:r>
      <w:r w:rsidR="00FB49FF">
        <w:t>’</w:t>
      </w:r>
      <w:r>
        <w:t>W; 838 meters of altitude). After the harvest</w:t>
      </w:r>
      <w:r w:rsidR="00C21E0A">
        <w:t xml:space="preserve">, </w:t>
      </w:r>
      <w:r>
        <w:t xml:space="preserve">samples were washed and sanitized using </w:t>
      </w:r>
      <w:proofErr w:type="spellStart"/>
      <w:r>
        <w:t>NaClO</w:t>
      </w:r>
      <w:proofErr w:type="spellEnd"/>
      <w:r>
        <w:t xml:space="preserve"> (2 </w:t>
      </w:r>
      <w:proofErr w:type="gramStart"/>
      <w:r>
        <w:t>ppm),</w:t>
      </w:r>
      <w:proofErr w:type="gramEnd"/>
      <w:r>
        <w:t xml:space="preserve"> and the pulp was manually separated from the </w:t>
      </w:r>
      <w:r w:rsidR="003F5665">
        <w:t>husk</w:t>
      </w:r>
      <w:r>
        <w:t>.</w:t>
      </w:r>
      <w:r w:rsidRPr="00F141C5">
        <w:t xml:space="preserve"> </w:t>
      </w:r>
      <w:r>
        <w:t>E</w:t>
      </w:r>
      <w:r w:rsidRPr="00F141C5">
        <w:t>xtracts</w:t>
      </w:r>
      <w:r w:rsidR="003F5665">
        <w:t xml:space="preserve"> from pulp and husk</w:t>
      </w:r>
      <w:r w:rsidRPr="00F141C5">
        <w:t xml:space="preserve"> were carried out </w:t>
      </w:r>
      <w:r>
        <w:t xml:space="preserve">using 1 g of </w:t>
      </w:r>
      <w:proofErr w:type="spellStart"/>
      <w:r w:rsidRPr="00F141C5">
        <w:rPr>
          <w:i/>
        </w:rPr>
        <w:t>Acca</w:t>
      </w:r>
      <w:proofErr w:type="spellEnd"/>
      <w:r w:rsidRPr="00F141C5">
        <w:rPr>
          <w:i/>
        </w:rPr>
        <w:t xml:space="preserve"> </w:t>
      </w:r>
      <w:proofErr w:type="spellStart"/>
      <w:r w:rsidRPr="00F141C5">
        <w:rPr>
          <w:i/>
        </w:rPr>
        <w:t>sellowiana</w:t>
      </w:r>
      <w:proofErr w:type="spellEnd"/>
      <w:r>
        <w:t xml:space="preserve"> and 10 mL of deionized water as solvent (1:10 w/v) (</w:t>
      </w:r>
      <w:r w:rsidRPr="002F2278">
        <w:t>Sganzerla et al., 2018</w:t>
      </w:r>
      <w:r w:rsidR="00C22F01" w:rsidRPr="002F2278">
        <w:t>a</w:t>
      </w:r>
      <w:r>
        <w:t>).</w:t>
      </w:r>
      <w:r w:rsidR="00C15A10">
        <w:t xml:space="preserve"> </w:t>
      </w:r>
      <w:r>
        <w:t xml:space="preserve">Brazilian pine seeds were collected in Santa </w:t>
      </w:r>
      <w:proofErr w:type="spellStart"/>
      <w:r>
        <w:t>Catarina</w:t>
      </w:r>
      <w:proofErr w:type="spellEnd"/>
      <w:r>
        <w:t xml:space="preserve"> State, Brazil (28°04</w:t>
      </w:r>
      <w:r w:rsidR="00FB49FF">
        <w:t>.</w:t>
      </w:r>
      <w:r>
        <w:t>34</w:t>
      </w:r>
      <w:r w:rsidR="00FB49FF">
        <w:t>’S; 49°59.</w:t>
      </w:r>
      <w:r>
        <w:t>77</w:t>
      </w:r>
      <w:r w:rsidR="00FB49FF">
        <w:t>’</w:t>
      </w:r>
      <w:r>
        <w:t>W; 1</w:t>
      </w:r>
      <w:r w:rsidR="003F5665">
        <w:t>,</w:t>
      </w:r>
      <w:r>
        <w:t xml:space="preserve">114 meters of altitude) of </w:t>
      </w:r>
      <w:r w:rsidRPr="00F141C5">
        <w:rPr>
          <w:i/>
        </w:rPr>
        <w:t xml:space="preserve">Araucaria </w:t>
      </w:r>
      <w:proofErr w:type="spellStart"/>
      <w:r w:rsidRPr="00F141C5">
        <w:rPr>
          <w:i/>
        </w:rPr>
        <w:t>angustifolia</w:t>
      </w:r>
      <w:proofErr w:type="spellEnd"/>
      <w:r>
        <w:t xml:space="preserve"> (synonym, </w:t>
      </w:r>
      <w:r w:rsidRPr="00F141C5">
        <w:rPr>
          <w:i/>
        </w:rPr>
        <w:t xml:space="preserve">Araucaria </w:t>
      </w:r>
      <w:proofErr w:type="spellStart"/>
      <w:r w:rsidRPr="00F141C5">
        <w:rPr>
          <w:i/>
        </w:rPr>
        <w:t>brasiliensis</w:t>
      </w:r>
      <w:proofErr w:type="spellEnd"/>
      <w:r>
        <w:t xml:space="preserve">), and the starch was extracted according to </w:t>
      </w:r>
      <w:r w:rsidRPr="002F2278">
        <w:t>Bello-Pérez et al. (2006</w:t>
      </w:r>
      <w:r>
        <w:t>).</w:t>
      </w:r>
      <w:r w:rsidR="00C15A10">
        <w:t xml:space="preserve"> </w:t>
      </w:r>
    </w:p>
    <w:p w:rsidR="00F141C5" w:rsidRDefault="003302F9" w:rsidP="00F141C5">
      <w:pPr>
        <w:pStyle w:val="CETheadingx"/>
      </w:pPr>
      <w:r>
        <w:t>Film</w:t>
      </w:r>
      <w:r w:rsidR="001B63B7">
        <w:t xml:space="preserve"> </w:t>
      </w:r>
      <w:r>
        <w:t xml:space="preserve">Packaging </w:t>
      </w:r>
      <w:r w:rsidR="001B63B7">
        <w:t>P</w:t>
      </w:r>
      <w:r w:rsidR="00F141C5">
        <w:t>roduction</w:t>
      </w:r>
    </w:p>
    <w:p w:rsidR="001B63B7" w:rsidRDefault="00F141C5" w:rsidP="00F141C5">
      <w:pPr>
        <w:pStyle w:val="CETBodytext"/>
        <w:rPr>
          <w:lang w:val="en-GB"/>
        </w:rPr>
      </w:pPr>
      <w:r>
        <w:t xml:space="preserve">The </w:t>
      </w:r>
      <w:r w:rsidR="003302F9">
        <w:rPr>
          <w:lang w:val="en-GB"/>
        </w:rPr>
        <w:t>films were</w:t>
      </w:r>
      <w:r w:rsidRPr="00F141C5">
        <w:rPr>
          <w:lang w:val="en-GB"/>
        </w:rPr>
        <w:t xml:space="preserve"> produced from </w:t>
      </w:r>
      <w:r>
        <w:rPr>
          <w:lang w:val="en-GB"/>
        </w:rPr>
        <w:t>an</w:t>
      </w:r>
      <w:r w:rsidRPr="00F141C5">
        <w:rPr>
          <w:lang w:val="en-GB"/>
        </w:rPr>
        <w:t xml:space="preserve"> aqueous filmogenic solution, with Brazilian pine seeds starch (2% w/w), citric pectin (3</w:t>
      </w:r>
      <w:r w:rsidR="003F5665">
        <w:rPr>
          <w:lang w:val="en-GB"/>
        </w:rPr>
        <w:t xml:space="preserve"> </w:t>
      </w:r>
      <w:r w:rsidRPr="00F141C5">
        <w:rPr>
          <w:lang w:val="en-GB"/>
        </w:rPr>
        <w:t>% w/w) and glycerol as plasticizer</w:t>
      </w:r>
      <w:r>
        <w:rPr>
          <w:lang w:val="en-GB"/>
        </w:rPr>
        <w:t xml:space="preserve"> (</w:t>
      </w:r>
      <w:r w:rsidRPr="00F141C5">
        <w:rPr>
          <w:lang w:val="en-GB"/>
        </w:rPr>
        <w:t>2</w:t>
      </w:r>
      <w:r w:rsidR="003F5665">
        <w:rPr>
          <w:lang w:val="en-GB"/>
        </w:rPr>
        <w:t xml:space="preserve"> </w:t>
      </w:r>
      <w:r w:rsidRPr="00F141C5">
        <w:rPr>
          <w:lang w:val="en-GB"/>
        </w:rPr>
        <w:t>%</w:t>
      </w:r>
      <w:r w:rsidR="00C21E0A">
        <w:rPr>
          <w:lang w:val="en-GB"/>
        </w:rPr>
        <w:t xml:space="preserve"> w/v</w:t>
      </w:r>
      <w:r>
        <w:rPr>
          <w:lang w:val="en-GB"/>
        </w:rPr>
        <w:t>)</w:t>
      </w:r>
      <w:r w:rsidRPr="00F141C5">
        <w:rPr>
          <w:lang w:val="en-GB"/>
        </w:rPr>
        <w:t>. All the components were heat (</w:t>
      </w:r>
      <w:r w:rsidR="00C15A10">
        <w:rPr>
          <w:lang w:val="en-GB"/>
        </w:rPr>
        <w:t xml:space="preserve">85 °C) under magnetic stirring </w:t>
      </w:r>
      <w:r w:rsidRPr="00F141C5">
        <w:rPr>
          <w:lang w:val="en-GB"/>
        </w:rPr>
        <w:t xml:space="preserve">until starch gelatinization and </w:t>
      </w:r>
      <w:r w:rsidR="00C44DB7">
        <w:rPr>
          <w:lang w:val="en-GB"/>
        </w:rPr>
        <w:t>subsequent</w:t>
      </w:r>
      <w:r w:rsidRPr="00F141C5">
        <w:rPr>
          <w:lang w:val="en-GB"/>
        </w:rPr>
        <w:t xml:space="preserve"> formation of </w:t>
      </w:r>
      <w:r w:rsidR="00C44DB7">
        <w:rPr>
          <w:lang w:val="en-GB"/>
        </w:rPr>
        <w:t xml:space="preserve">a </w:t>
      </w:r>
      <w:r w:rsidRPr="00F141C5">
        <w:rPr>
          <w:lang w:val="en-GB"/>
        </w:rPr>
        <w:t>film forming solution. After this,</w:t>
      </w:r>
      <w:r w:rsidR="00C44DB7">
        <w:rPr>
          <w:lang w:val="en-GB"/>
        </w:rPr>
        <w:t xml:space="preserve"> the</w:t>
      </w:r>
      <w:r w:rsidRPr="00F141C5">
        <w:rPr>
          <w:lang w:val="en-GB"/>
        </w:rPr>
        <w:t xml:space="preserve"> filmogenic solution was cooled and it was added </w:t>
      </w:r>
      <w:r w:rsidR="00C44DB7">
        <w:rPr>
          <w:lang w:val="en-GB"/>
        </w:rPr>
        <w:t xml:space="preserve">to a </w:t>
      </w:r>
      <w:r w:rsidR="00C44DB7" w:rsidRPr="00F141C5">
        <w:rPr>
          <w:lang w:val="en-GB"/>
        </w:rPr>
        <w:t xml:space="preserve">previously prepared </w:t>
      </w:r>
      <w:r w:rsidRPr="00F141C5">
        <w:rPr>
          <w:lang w:val="en-GB"/>
        </w:rPr>
        <w:t>aqueous extract (25</w:t>
      </w:r>
      <w:r w:rsidR="001C741F">
        <w:rPr>
          <w:lang w:val="en-GB"/>
        </w:rPr>
        <w:t xml:space="preserve"> </w:t>
      </w:r>
      <w:r w:rsidRPr="00F141C5">
        <w:rPr>
          <w:lang w:val="en-GB"/>
        </w:rPr>
        <w:t xml:space="preserve">% v/v) of </w:t>
      </w:r>
      <w:r w:rsidR="00244EF8">
        <w:rPr>
          <w:lang w:val="en-GB"/>
        </w:rPr>
        <w:t>pulp</w:t>
      </w:r>
      <w:r w:rsidRPr="00F141C5">
        <w:rPr>
          <w:lang w:val="en-GB"/>
        </w:rPr>
        <w:t xml:space="preserve"> and husk of </w:t>
      </w:r>
      <w:proofErr w:type="spellStart"/>
      <w:r w:rsidRPr="00F141C5">
        <w:rPr>
          <w:i/>
          <w:lang w:val="en-GB"/>
        </w:rPr>
        <w:t>Acca</w:t>
      </w:r>
      <w:proofErr w:type="spellEnd"/>
      <w:r w:rsidRPr="00F141C5">
        <w:rPr>
          <w:i/>
          <w:lang w:val="en-GB"/>
        </w:rPr>
        <w:t xml:space="preserve"> </w:t>
      </w:r>
      <w:proofErr w:type="spellStart"/>
      <w:r w:rsidRPr="00F141C5">
        <w:rPr>
          <w:i/>
          <w:lang w:val="en-GB"/>
        </w:rPr>
        <w:t>sellowiana</w:t>
      </w:r>
      <w:proofErr w:type="spellEnd"/>
      <w:r w:rsidRPr="00F141C5">
        <w:rPr>
          <w:lang w:val="en-GB"/>
        </w:rPr>
        <w:t xml:space="preserve">. In the control packaging </w:t>
      </w:r>
      <w:r w:rsidR="00C44DB7" w:rsidRPr="00F141C5">
        <w:rPr>
          <w:lang w:val="en-GB"/>
        </w:rPr>
        <w:t xml:space="preserve">deionized water </w:t>
      </w:r>
      <w:r w:rsidR="00C44DB7">
        <w:rPr>
          <w:lang w:val="en-GB"/>
        </w:rPr>
        <w:t>(</w:t>
      </w:r>
      <w:r w:rsidR="00C44DB7" w:rsidRPr="00F141C5">
        <w:rPr>
          <w:lang w:val="en-GB"/>
        </w:rPr>
        <w:t>25</w:t>
      </w:r>
      <w:r w:rsidR="00C44DB7">
        <w:rPr>
          <w:lang w:val="en-GB"/>
        </w:rPr>
        <w:t xml:space="preserve"> % v/v)</w:t>
      </w:r>
      <w:r w:rsidRPr="00F141C5">
        <w:rPr>
          <w:lang w:val="en-GB"/>
        </w:rPr>
        <w:t xml:space="preserve"> was added. </w:t>
      </w:r>
      <w:r w:rsidR="001B63B7">
        <w:rPr>
          <w:lang w:val="en-GB"/>
        </w:rPr>
        <w:t xml:space="preserve">Films </w:t>
      </w:r>
      <w:r w:rsidR="001B63B7" w:rsidRPr="00F141C5">
        <w:rPr>
          <w:lang w:val="en-GB"/>
        </w:rPr>
        <w:t xml:space="preserve">were transferred to petri dish and </w:t>
      </w:r>
      <w:r w:rsidR="00C44DB7">
        <w:rPr>
          <w:lang w:val="en-GB"/>
        </w:rPr>
        <w:t xml:space="preserve">then oven dried at </w:t>
      </w:r>
      <w:r w:rsidR="001B63B7" w:rsidRPr="00F141C5">
        <w:rPr>
          <w:lang w:val="en-GB"/>
        </w:rPr>
        <w:t xml:space="preserve">35 </w:t>
      </w:r>
      <w:r w:rsidR="001C741F">
        <w:rPr>
          <w:lang w:val="en-GB"/>
        </w:rPr>
        <w:t>°</w:t>
      </w:r>
      <w:r w:rsidR="00C44DB7">
        <w:rPr>
          <w:lang w:val="en-GB"/>
        </w:rPr>
        <w:t xml:space="preserve">C for </w:t>
      </w:r>
      <w:r w:rsidR="001B63B7" w:rsidRPr="00F141C5">
        <w:rPr>
          <w:lang w:val="en-GB"/>
        </w:rPr>
        <w:t xml:space="preserve">48 hours </w:t>
      </w:r>
      <w:r w:rsidR="00C44DB7">
        <w:rPr>
          <w:lang w:val="en-GB"/>
        </w:rPr>
        <w:t>to evaporate</w:t>
      </w:r>
      <w:r w:rsidR="001B63B7" w:rsidRPr="00F141C5">
        <w:rPr>
          <w:lang w:val="en-GB"/>
        </w:rPr>
        <w:t xml:space="preserve"> </w:t>
      </w:r>
      <w:r w:rsidR="00C44DB7">
        <w:rPr>
          <w:lang w:val="en-GB"/>
        </w:rPr>
        <w:t>water</w:t>
      </w:r>
      <w:r w:rsidR="001B63B7" w:rsidRPr="00F141C5">
        <w:rPr>
          <w:lang w:val="en-GB"/>
        </w:rPr>
        <w:t>, and</w:t>
      </w:r>
      <w:r w:rsidR="00C44DB7">
        <w:rPr>
          <w:lang w:val="en-GB"/>
        </w:rPr>
        <w:t xml:space="preserve"> were then </w:t>
      </w:r>
      <w:r w:rsidR="00C21E0A">
        <w:rPr>
          <w:lang w:val="en-GB"/>
        </w:rPr>
        <w:t>kept in desiccator for</w:t>
      </w:r>
      <w:r w:rsidR="00C44DB7">
        <w:rPr>
          <w:lang w:val="en-GB"/>
        </w:rPr>
        <w:t xml:space="preserve"> subsequent</w:t>
      </w:r>
      <w:r w:rsidR="00C21E0A">
        <w:rPr>
          <w:lang w:val="en-GB"/>
        </w:rPr>
        <w:t xml:space="preserve"> analyses. The films </w:t>
      </w:r>
      <w:r w:rsidR="001B63B7">
        <w:rPr>
          <w:lang w:val="en-GB"/>
        </w:rPr>
        <w:t xml:space="preserve">produced </w:t>
      </w:r>
      <w:r w:rsidR="00C21E0A">
        <w:rPr>
          <w:lang w:val="en-GB"/>
        </w:rPr>
        <w:t>were</w:t>
      </w:r>
      <w:r w:rsidR="00C44DB7">
        <w:rPr>
          <w:lang w:val="en-GB"/>
        </w:rPr>
        <w:t xml:space="preserve"> cod</w:t>
      </w:r>
      <w:r w:rsidR="001B63B7" w:rsidRPr="00F141C5">
        <w:rPr>
          <w:lang w:val="en-GB"/>
        </w:rPr>
        <w:t>ed as: Film Packaging Control (FPC); Film Packaging with Pulp extract (</w:t>
      </w:r>
      <w:proofErr w:type="spellStart"/>
      <w:r w:rsidR="001B63B7" w:rsidRPr="00F141C5">
        <w:rPr>
          <w:lang w:val="en-GB"/>
        </w:rPr>
        <w:t>FPPe</w:t>
      </w:r>
      <w:proofErr w:type="spellEnd"/>
      <w:r w:rsidR="001B63B7" w:rsidRPr="00F141C5">
        <w:rPr>
          <w:lang w:val="en-GB"/>
        </w:rPr>
        <w:t>); and Film Packaging with Husk extract (</w:t>
      </w:r>
      <w:proofErr w:type="spellStart"/>
      <w:r w:rsidR="001B63B7" w:rsidRPr="00F141C5">
        <w:rPr>
          <w:lang w:val="en-GB"/>
        </w:rPr>
        <w:t>FPHe</w:t>
      </w:r>
      <w:proofErr w:type="spellEnd"/>
      <w:r w:rsidR="001B63B7" w:rsidRPr="00F141C5">
        <w:rPr>
          <w:lang w:val="en-GB"/>
        </w:rPr>
        <w:t>)</w:t>
      </w:r>
      <w:r w:rsidR="00C44DB7">
        <w:rPr>
          <w:lang w:val="en-GB"/>
        </w:rPr>
        <w:t>.</w:t>
      </w:r>
    </w:p>
    <w:p w:rsidR="001B63B7" w:rsidRDefault="001B63B7" w:rsidP="001B63B7">
      <w:pPr>
        <w:pStyle w:val="CETheadingx"/>
      </w:pPr>
      <w:r>
        <w:t>Film Packaging Characterization</w:t>
      </w:r>
    </w:p>
    <w:p w:rsidR="00921E8F" w:rsidRDefault="00074143" w:rsidP="0010600C">
      <w:r w:rsidRPr="00F141C5">
        <w:t>FPC</w:t>
      </w:r>
      <w:r>
        <w:t xml:space="preserve">, </w:t>
      </w:r>
      <w:proofErr w:type="spellStart"/>
      <w:r>
        <w:t>FPPe</w:t>
      </w:r>
      <w:proofErr w:type="spellEnd"/>
      <w:r>
        <w:t xml:space="preserve"> and </w:t>
      </w:r>
      <w:proofErr w:type="spellStart"/>
      <w:r w:rsidRPr="00F141C5">
        <w:t>FPHe</w:t>
      </w:r>
      <w:proofErr w:type="spellEnd"/>
      <w:r>
        <w:t xml:space="preserve"> were characterized by physicochemical and antioxidant parameters. </w:t>
      </w:r>
      <w:r w:rsidR="004C1C65">
        <w:t xml:space="preserve">Films thickness (mm) was determined using an </w:t>
      </w:r>
      <w:r w:rsidR="004C1C65" w:rsidRPr="004C1C65">
        <w:t xml:space="preserve">electronic </w:t>
      </w:r>
      <w:proofErr w:type="spellStart"/>
      <w:r w:rsidR="004C1C65" w:rsidRPr="004C1C65">
        <w:t>paquimeter</w:t>
      </w:r>
      <w:proofErr w:type="spellEnd"/>
      <w:r w:rsidR="004C1C65" w:rsidRPr="004C1C65">
        <w:t xml:space="preserve"> (COSA 111.101 EB)</w:t>
      </w:r>
      <w:r w:rsidR="004C1C65">
        <w:t xml:space="preserve">, with 5 random sites in 10 different films. The moisture </w:t>
      </w:r>
      <w:r w:rsidR="00921E8F">
        <w:t xml:space="preserve">(%) </w:t>
      </w:r>
      <w:r w:rsidR="004C1C65">
        <w:t>and water solubility content (%)</w:t>
      </w:r>
      <w:r w:rsidR="00921E8F">
        <w:t xml:space="preserve"> of the films was determined according to the methodology described by </w:t>
      </w:r>
      <w:proofErr w:type="spellStart"/>
      <w:r w:rsidR="00921E8F" w:rsidRPr="002F2278">
        <w:t>Colla</w:t>
      </w:r>
      <w:proofErr w:type="spellEnd"/>
      <w:r w:rsidR="00921E8F" w:rsidRPr="002F2278">
        <w:t xml:space="preserve"> et al. (2016</w:t>
      </w:r>
      <w:r w:rsidR="00921E8F">
        <w:t>). Films color parameters L* (lightness/brightness), a* (redness/greenness), b* (yellowness/blueness), C* (</w:t>
      </w:r>
      <w:proofErr w:type="spellStart"/>
      <w:r w:rsidR="00921E8F">
        <w:t>chroma</w:t>
      </w:r>
      <w:proofErr w:type="spellEnd"/>
      <w:r w:rsidR="00921E8F">
        <w:t xml:space="preserve"> value) and H° (Hue) values were determined using a </w:t>
      </w:r>
      <w:r w:rsidR="00921E8F" w:rsidRPr="00921E8F">
        <w:rPr>
          <w:lang w:val="en-US"/>
        </w:rPr>
        <w:t xml:space="preserve">digital colorimeter (Delta Color 71421, Delta Vista, Brazil). </w:t>
      </w:r>
      <w:r w:rsidR="00921E8F">
        <w:t xml:space="preserve">The transmittance (%) of each film packaging was determined in a spectrophotometer (UV-Vis 752D, </w:t>
      </w:r>
      <w:proofErr w:type="spellStart"/>
      <w:r w:rsidR="00921E8F">
        <w:t>Labman</w:t>
      </w:r>
      <w:proofErr w:type="spellEnd"/>
      <w:r w:rsidR="00921E8F">
        <w:t>, China) using the wavelength in UV and Vis (</w:t>
      </w:r>
      <w:r w:rsidR="00921E8F" w:rsidRPr="00921E8F">
        <w:t>250</w:t>
      </w:r>
      <w:r w:rsidR="00921E8F">
        <w:t xml:space="preserve">, </w:t>
      </w:r>
      <w:r w:rsidR="00921E8F" w:rsidRPr="00921E8F">
        <w:t>280</w:t>
      </w:r>
      <w:r w:rsidR="00921E8F">
        <w:t xml:space="preserve">, </w:t>
      </w:r>
      <w:r w:rsidR="00921E8F" w:rsidRPr="00921E8F">
        <w:t>3</w:t>
      </w:r>
      <w:r w:rsidR="00B63CD4">
        <w:t>8</w:t>
      </w:r>
      <w:r w:rsidR="00921E8F" w:rsidRPr="00921E8F">
        <w:t>0</w:t>
      </w:r>
      <w:r w:rsidR="00921E8F">
        <w:t xml:space="preserve">, </w:t>
      </w:r>
      <w:r w:rsidR="00921E8F" w:rsidRPr="00921E8F">
        <w:t>450</w:t>
      </w:r>
      <w:r w:rsidR="00921E8F">
        <w:t xml:space="preserve">, 600 and </w:t>
      </w:r>
      <w:r w:rsidR="00B63CD4">
        <w:t>750</w:t>
      </w:r>
      <w:r w:rsidR="00921E8F" w:rsidRPr="00921E8F">
        <w:t xml:space="preserve"> nm</w:t>
      </w:r>
      <w:r w:rsidR="00921E8F">
        <w:t>). The opacity was calculated according to Wang et al. (2013) using a wavelength of 3</w:t>
      </w:r>
      <w:r w:rsidR="00C14CEB">
        <w:t>8</w:t>
      </w:r>
      <w:r w:rsidR="00921E8F">
        <w:t>0 nm, and expressed as Absorbance unit per millimeter (</w:t>
      </w:r>
      <w:proofErr w:type="gramStart"/>
      <w:r w:rsidR="00921E8F">
        <w:t>A</w:t>
      </w:r>
      <w:proofErr w:type="gramEnd"/>
      <w:r w:rsidR="00921E8F">
        <w:t xml:space="preserve"> mm</w:t>
      </w:r>
      <w:r w:rsidR="00921E8F" w:rsidRPr="00921E8F">
        <w:rPr>
          <w:vertAlign w:val="superscript"/>
        </w:rPr>
        <w:t>-1</w:t>
      </w:r>
      <w:r w:rsidR="00921E8F">
        <w:t xml:space="preserve">). </w:t>
      </w:r>
      <w:r>
        <w:t xml:space="preserve">Brazilian pine seeds starch, citric pectin and the </w:t>
      </w:r>
      <w:r w:rsidR="001C741F">
        <w:t>packaging</w:t>
      </w:r>
      <w:r>
        <w:t xml:space="preserve"> produced were evaluated by </w:t>
      </w:r>
      <w:r w:rsidR="00921E8F">
        <w:t>Fourier Transform Infrared Spectroscopy (FTIR)</w:t>
      </w:r>
      <w:r>
        <w:t xml:space="preserve"> (Perkin Elmer FTIR/NIR, Waltham, MA, USA) and </w:t>
      </w:r>
      <w:r w:rsidRPr="00074143">
        <w:t xml:space="preserve">Differential Scanning </w:t>
      </w:r>
      <w:proofErr w:type="spellStart"/>
      <w:r w:rsidRPr="00074143">
        <w:t>Calorimetry</w:t>
      </w:r>
      <w:proofErr w:type="spellEnd"/>
      <w:r w:rsidRPr="00074143">
        <w:t xml:space="preserve"> (DSC)</w:t>
      </w:r>
      <w:r>
        <w:t xml:space="preserve"> (</w:t>
      </w:r>
      <w:r w:rsidRPr="00074143">
        <w:t>Multi Cell DSC, TA Instrument</w:t>
      </w:r>
      <w:r>
        <w:t>).</w:t>
      </w:r>
      <w:r w:rsidR="00F54437">
        <w:t xml:space="preserve"> </w:t>
      </w:r>
      <w:r>
        <w:t xml:space="preserve">Films extracts were prepared according to </w:t>
      </w:r>
      <w:proofErr w:type="spellStart"/>
      <w:r w:rsidRPr="00077CA7">
        <w:t>Siripatrawan</w:t>
      </w:r>
      <w:proofErr w:type="spellEnd"/>
      <w:r w:rsidRPr="00077CA7">
        <w:t xml:space="preserve"> &amp; Harte (2010</w:t>
      </w:r>
      <w:r w:rsidRPr="00074143">
        <w:t>)</w:t>
      </w:r>
      <w:r>
        <w:t xml:space="preserve">, </w:t>
      </w:r>
      <w:r w:rsidR="00F54437">
        <w:t xml:space="preserve">to quantify the </w:t>
      </w:r>
      <w:r>
        <w:t>Total Phenolic Compounds (TPC) (</w:t>
      </w:r>
      <w:r w:rsidRPr="00077CA7">
        <w:t xml:space="preserve">Swain &amp; </w:t>
      </w:r>
      <w:proofErr w:type="spellStart"/>
      <w:r w:rsidRPr="00077CA7">
        <w:t>Hillis</w:t>
      </w:r>
      <w:proofErr w:type="spellEnd"/>
      <w:r w:rsidR="00F54437" w:rsidRPr="00077CA7">
        <w:t xml:space="preserve">, </w:t>
      </w:r>
      <w:r w:rsidRPr="00077CA7">
        <w:t>1959</w:t>
      </w:r>
      <w:r>
        <w:t>)</w:t>
      </w:r>
      <w:r w:rsidR="00F54437">
        <w:t xml:space="preserve">, </w:t>
      </w:r>
      <w:r>
        <w:t>Total Flavonoids Compounds (TFC)</w:t>
      </w:r>
      <w:r w:rsidR="00F54437">
        <w:t xml:space="preserve"> (</w:t>
      </w:r>
      <w:proofErr w:type="spellStart"/>
      <w:r w:rsidR="00F54437" w:rsidRPr="00077CA7">
        <w:t>Zhishen</w:t>
      </w:r>
      <w:proofErr w:type="spellEnd"/>
      <w:r w:rsidR="00F54437" w:rsidRPr="00077CA7">
        <w:t xml:space="preserve"> et al., 1999</w:t>
      </w:r>
      <w:r w:rsidR="00F54437">
        <w:t>)</w:t>
      </w:r>
      <w:r>
        <w:t>, and antioxidant activity by DPPH</w:t>
      </w:r>
      <w:r w:rsidR="00F54437">
        <w:t xml:space="preserve"> (</w:t>
      </w:r>
      <w:r w:rsidR="00F54437" w:rsidRPr="000E7FC0">
        <w:t>Brand-Williams et al., 1995</w:t>
      </w:r>
      <w:r w:rsidR="00F54437">
        <w:t>)</w:t>
      </w:r>
      <w:r>
        <w:t>, ABTS</w:t>
      </w:r>
      <w:r w:rsidR="00F54437">
        <w:t xml:space="preserve"> (</w:t>
      </w:r>
      <w:r w:rsidR="00F54437" w:rsidRPr="005C2D83">
        <w:t>Re et al., 1999</w:t>
      </w:r>
      <w:r w:rsidR="00F54437">
        <w:t>)</w:t>
      </w:r>
      <w:r>
        <w:t xml:space="preserve"> and FRAP assay</w:t>
      </w:r>
      <w:r w:rsidR="00F54437">
        <w:t xml:space="preserve"> (</w:t>
      </w:r>
      <w:proofErr w:type="spellStart"/>
      <w:r w:rsidR="006A322E">
        <w:t>Benzie</w:t>
      </w:r>
      <w:proofErr w:type="spellEnd"/>
      <w:r w:rsidR="006A322E">
        <w:t xml:space="preserve"> &amp; Strain, 1996</w:t>
      </w:r>
      <w:r w:rsidR="00F54437">
        <w:t>)</w:t>
      </w:r>
      <w:r>
        <w:t>.</w:t>
      </w:r>
      <w:r w:rsidR="00356FAF">
        <w:t xml:space="preserve"> All the methodologies of </w:t>
      </w:r>
      <w:r w:rsidR="00244EF8">
        <w:t xml:space="preserve">bioactive compounds and </w:t>
      </w:r>
      <w:r w:rsidR="00356FAF">
        <w:t>antioxidant activity quantification are described in a previously work published by authors (</w:t>
      </w:r>
      <w:r w:rsidR="00356FAF" w:rsidRPr="002F2278">
        <w:t>Sganzerla et al., 2018a</w:t>
      </w:r>
      <w:r w:rsidR="00356FAF">
        <w:t>).</w:t>
      </w:r>
    </w:p>
    <w:p w:rsidR="00F54437" w:rsidRDefault="00F54437" w:rsidP="00F54437">
      <w:pPr>
        <w:pStyle w:val="CETheadingx"/>
      </w:pPr>
      <w:r>
        <w:t>Statistical analysis</w:t>
      </w:r>
    </w:p>
    <w:p w:rsidR="00995DE9" w:rsidRDefault="00F54437" w:rsidP="00F54437">
      <w:pPr>
        <w:pStyle w:val="CETBodytext"/>
        <w:rPr>
          <w:lang w:val="en-GB"/>
        </w:rPr>
      </w:pPr>
      <w:r w:rsidRPr="00F54437">
        <w:rPr>
          <w:lang w:val="en-GB"/>
        </w:rPr>
        <w:t xml:space="preserve">All the data </w:t>
      </w:r>
      <w:r w:rsidR="000C10CC">
        <w:rPr>
          <w:lang w:val="en-GB"/>
        </w:rPr>
        <w:t>of film</w:t>
      </w:r>
      <w:r w:rsidR="00995DE9">
        <w:rPr>
          <w:lang w:val="en-GB"/>
        </w:rPr>
        <w:t xml:space="preserve"> packaging characterization </w:t>
      </w:r>
      <w:r w:rsidR="003302F9">
        <w:rPr>
          <w:lang w:val="en-GB"/>
        </w:rPr>
        <w:t xml:space="preserve">was </w:t>
      </w:r>
      <w:r w:rsidR="00244EF8">
        <w:rPr>
          <w:lang w:val="en-GB"/>
        </w:rPr>
        <w:t>analysed</w:t>
      </w:r>
      <w:r w:rsidR="003302F9">
        <w:rPr>
          <w:lang w:val="en-GB"/>
        </w:rPr>
        <w:t xml:space="preserve"> by one-way ANOVA</w:t>
      </w:r>
      <w:r w:rsidR="00995DE9">
        <w:t>, with T</w:t>
      </w:r>
      <w:proofErr w:type="spellStart"/>
      <w:r w:rsidR="00995DE9" w:rsidRPr="00F54437">
        <w:rPr>
          <w:lang w:val="en-GB"/>
        </w:rPr>
        <w:t>ukey’s</w:t>
      </w:r>
      <w:proofErr w:type="spellEnd"/>
      <w:r w:rsidR="00995DE9" w:rsidRPr="00F54437">
        <w:rPr>
          <w:lang w:val="en-GB"/>
        </w:rPr>
        <w:t xml:space="preserve"> multiple comparison</w:t>
      </w:r>
      <w:r w:rsidR="00995DE9">
        <w:rPr>
          <w:lang w:val="en-GB"/>
        </w:rPr>
        <w:t xml:space="preserve"> </w:t>
      </w:r>
      <w:r w:rsidR="00995DE9" w:rsidRPr="00F54437">
        <w:rPr>
          <w:lang w:val="en-GB"/>
        </w:rPr>
        <w:t xml:space="preserve">tests at </w:t>
      </w:r>
      <w:r w:rsidR="00995DE9">
        <w:rPr>
          <w:lang w:val="en-GB"/>
        </w:rPr>
        <w:t>95 % confidence level (p&lt;0.05).</w:t>
      </w:r>
    </w:p>
    <w:p w:rsidR="00600535" w:rsidRDefault="003B503D" w:rsidP="004C1C65">
      <w:pPr>
        <w:pStyle w:val="CETHeading1"/>
        <w:ind w:left="0"/>
        <w:rPr>
          <w:lang w:val="en-GB"/>
        </w:rPr>
      </w:pPr>
      <w:r>
        <w:rPr>
          <w:lang w:val="en-GB"/>
        </w:rPr>
        <w:t>Results and Discussion</w:t>
      </w:r>
    </w:p>
    <w:p w:rsidR="004708C1" w:rsidRDefault="00A9537A" w:rsidP="004708C1">
      <w:pPr>
        <w:pStyle w:val="CETBodytext"/>
        <w:spacing w:after="240"/>
        <w:rPr>
          <w:rFonts w:cs="Arial"/>
          <w:szCs w:val="18"/>
          <w:lang w:val="en-GB"/>
        </w:rPr>
      </w:pPr>
      <w:r>
        <w:rPr>
          <w:lang w:val="en-GB"/>
        </w:rPr>
        <w:t xml:space="preserve">Using a blend of Brazilian pine seeds starch and citric pectin was possible to produce a biodegradable polymer. Extracts from </w:t>
      </w:r>
      <w:proofErr w:type="spellStart"/>
      <w:r w:rsidRPr="00A9537A">
        <w:rPr>
          <w:i/>
          <w:lang w:val="en-GB"/>
        </w:rPr>
        <w:t>Acca</w:t>
      </w:r>
      <w:proofErr w:type="spellEnd"/>
      <w:r w:rsidRPr="00A9537A">
        <w:rPr>
          <w:i/>
          <w:lang w:val="en-GB"/>
        </w:rPr>
        <w:t xml:space="preserve"> </w:t>
      </w:r>
      <w:proofErr w:type="spellStart"/>
      <w:r w:rsidRPr="00A9537A">
        <w:rPr>
          <w:i/>
          <w:lang w:val="en-GB"/>
        </w:rPr>
        <w:t>sellowiana</w:t>
      </w:r>
      <w:proofErr w:type="spellEnd"/>
      <w:r>
        <w:rPr>
          <w:lang w:val="en-GB"/>
        </w:rPr>
        <w:t xml:space="preserve"> (pulp and husk) promoted antiox</w:t>
      </w:r>
      <w:r w:rsidR="002945F2">
        <w:rPr>
          <w:lang w:val="en-GB"/>
        </w:rPr>
        <w:t>idant properties to these films, and t</w:t>
      </w:r>
      <w:r>
        <w:rPr>
          <w:lang w:val="en-GB"/>
        </w:rPr>
        <w:t xml:space="preserve">he appearance of the biopolymer </w:t>
      </w:r>
      <w:r w:rsidR="00B2352E">
        <w:rPr>
          <w:lang w:val="en-GB"/>
        </w:rPr>
        <w:t>developed</w:t>
      </w:r>
      <w:r>
        <w:rPr>
          <w:lang w:val="en-GB"/>
        </w:rPr>
        <w:t xml:space="preserve"> in this study</w:t>
      </w:r>
      <w:r w:rsidR="002945F2">
        <w:rPr>
          <w:lang w:val="en-GB"/>
        </w:rPr>
        <w:t xml:space="preserve"> can be consider</w:t>
      </w:r>
      <w:r w:rsidR="001C741F">
        <w:rPr>
          <w:lang w:val="en-GB"/>
        </w:rPr>
        <w:t>ed</w:t>
      </w:r>
      <w:r w:rsidR="002945F2">
        <w:rPr>
          <w:lang w:val="en-GB"/>
        </w:rPr>
        <w:t xml:space="preserve"> as satisfactory (</w:t>
      </w:r>
      <w:r w:rsidR="00C21E0A">
        <w:rPr>
          <w:lang w:val="en-GB"/>
        </w:rPr>
        <w:t>Fig</w:t>
      </w:r>
      <w:r w:rsidR="000C10CC">
        <w:rPr>
          <w:lang w:val="en-GB"/>
        </w:rPr>
        <w:t xml:space="preserve">ure </w:t>
      </w:r>
      <w:r w:rsidR="002945F2">
        <w:rPr>
          <w:lang w:val="en-GB"/>
        </w:rPr>
        <w:t>1)</w:t>
      </w:r>
      <w:r>
        <w:rPr>
          <w:lang w:val="en-GB"/>
        </w:rPr>
        <w:t>.</w:t>
      </w:r>
      <w:r w:rsidR="002945F2">
        <w:rPr>
          <w:lang w:val="en-GB"/>
        </w:rPr>
        <w:t xml:space="preserve"> </w:t>
      </w:r>
      <w:r w:rsidR="00DF7293">
        <w:rPr>
          <w:lang w:val="en-GB"/>
        </w:rPr>
        <w:t xml:space="preserve">In general, a food packaging needs a lower thickness and water solubility content, to promote an efficacy on the gas migration. </w:t>
      </w:r>
      <w:proofErr w:type="spellStart"/>
      <w:r w:rsidR="00C21E0A" w:rsidRPr="00DF7293">
        <w:rPr>
          <w:i/>
          <w:lang w:val="en-GB"/>
        </w:rPr>
        <w:t>Acca</w:t>
      </w:r>
      <w:proofErr w:type="spellEnd"/>
      <w:r w:rsidR="00C21E0A" w:rsidRPr="00DF7293">
        <w:rPr>
          <w:i/>
          <w:lang w:val="en-GB"/>
        </w:rPr>
        <w:t xml:space="preserve"> </w:t>
      </w:r>
      <w:proofErr w:type="spellStart"/>
      <w:r w:rsidR="00C21E0A" w:rsidRPr="00DF7293">
        <w:rPr>
          <w:i/>
          <w:lang w:val="en-GB"/>
        </w:rPr>
        <w:t>sellowiana</w:t>
      </w:r>
      <w:proofErr w:type="spellEnd"/>
      <w:r w:rsidR="00C21E0A">
        <w:rPr>
          <w:lang w:val="en-GB"/>
        </w:rPr>
        <w:t xml:space="preserve"> extracts addition, </w:t>
      </w:r>
      <w:r w:rsidR="00C44DB7">
        <w:rPr>
          <w:lang w:val="en-GB"/>
        </w:rPr>
        <w:t>did not change</w:t>
      </w:r>
      <w:r w:rsidR="00133B0A">
        <w:rPr>
          <w:lang w:val="en-GB"/>
        </w:rPr>
        <w:t xml:space="preserve"> (p&gt;0.05)</w:t>
      </w:r>
      <w:r w:rsidR="00C44DB7">
        <w:rPr>
          <w:lang w:val="en-GB"/>
        </w:rPr>
        <w:t xml:space="preserve"> </w:t>
      </w:r>
      <w:r w:rsidR="00133B0A">
        <w:rPr>
          <w:lang w:val="en-GB"/>
        </w:rPr>
        <w:t>film thickness</w:t>
      </w:r>
      <w:r w:rsidR="00C21E0A">
        <w:rPr>
          <w:lang w:val="en-GB"/>
        </w:rPr>
        <w:t xml:space="preserve"> (Fig</w:t>
      </w:r>
      <w:r w:rsidR="000C10CC">
        <w:rPr>
          <w:lang w:val="en-GB"/>
        </w:rPr>
        <w:t>ure</w:t>
      </w:r>
      <w:r w:rsidR="00C21E0A">
        <w:rPr>
          <w:lang w:val="en-GB"/>
        </w:rPr>
        <w:t xml:space="preserve"> 2a)</w:t>
      </w:r>
      <w:r w:rsidR="000C10CC">
        <w:rPr>
          <w:lang w:val="en-GB"/>
        </w:rPr>
        <w:t xml:space="preserve">, but increased </w:t>
      </w:r>
      <w:r w:rsidR="00C21E0A">
        <w:rPr>
          <w:lang w:val="en-GB"/>
        </w:rPr>
        <w:t>moisture</w:t>
      </w:r>
      <w:r w:rsidR="00DF7293">
        <w:rPr>
          <w:lang w:val="en-GB"/>
        </w:rPr>
        <w:t xml:space="preserve"> content</w:t>
      </w:r>
      <w:r w:rsidR="00C21E0A">
        <w:rPr>
          <w:lang w:val="en-GB"/>
        </w:rPr>
        <w:t xml:space="preserve"> (Fig</w:t>
      </w:r>
      <w:r w:rsidR="000C10CC">
        <w:rPr>
          <w:lang w:val="en-GB"/>
        </w:rPr>
        <w:t>ure</w:t>
      </w:r>
      <w:r w:rsidR="00C21E0A">
        <w:rPr>
          <w:lang w:val="en-GB"/>
        </w:rPr>
        <w:t xml:space="preserve"> 2b)</w:t>
      </w:r>
      <w:r w:rsidR="000C10CC">
        <w:rPr>
          <w:lang w:val="en-GB"/>
        </w:rPr>
        <w:t xml:space="preserve"> and </w:t>
      </w:r>
      <w:r w:rsidR="00CF5CD2">
        <w:rPr>
          <w:lang w:val="en-GB"/>
        </w:rPr>
        <w:t>de</w:t>
      </w:r>
      <w:r w:rsidR="00DF7293">
        <w:rPr>
          <w:lang w:val="en-GB"/>
        </w:rPr>
        <w:t xml:space="preserve">creased (p&lt;0.05) </w:t>
      </w:r>
      <w:r w:rsidR="00C21E0A">
        <w:rPr>
          <w:lang w:val="en-GB"/>
        </w:rPr>
        <w:t>water</w:t>
      </w:r>
      <w:r w:rsidR="00DF7293">
        <w:rPr>
          <w:lang w:val="en-GB"/>
        </w:rPr>
        <w:t xml:space="preserve"> </w:t>
      </w:r>
      <w:r w:rsidR="00CF5CD2">
        <w:rPr>
          <w:lang w:val="en-GB"/>
        </w:rPr>
        <w:t>solubility</w:t>
      </w:r>
      <w:r w:rsidR="00DF7293">
        <w:rPr>
          <w:lang w:val="en-GB"/>
        </w:rPr>
        <w:t xml:space="preserve"> in </w:t>
      </w:r>
      <w:proofErr w:type="spellStart"/>
      <w:r w:rsidR="00DF7293" w:rsidRPr="00DF7293">
        <w:rPr>
          <w:lang w:val="en-GB"/>
        </w:rPr>
        <w:t>FPPe</w:t>
      </w:r>
      <w:proofErr w:type="spellEnd"/>
      <w:r w:rsidR="00DF7293">
        <w:rPr>
          <w:lang w:val="en-GB"/>
        </w:rPr>
        <w:t xml:space="preserve"> and </w:t>
      </w:r>
      <w:proofErr w:type="spellStart"/>
      <w:r w:rsidR="00DF7293">
        <w:rPr>
          <w:lang w:val="en-GB"/>
        </w:rPr>
        <w:t>F</w:t>
      </w:r>
      <w:r w:rsidR="00DF7293" w:rsidRPr="00DF7293">
        <w:rPr>
          <w:lang w:val="en-GB"/>
        </w:rPr>
        <w:t>PHe</w:t>
      </w:r>
      <w:proofErr w:type="spellEnd"/>
      <w:r w:rsidR="00DF7293">
        <w:rPr>
          <w:lang w:val="en-GB"/>
        </w:rPr>
        <w:t xml:space="preserve">. </w:t>
      </w:r>
      <w:r w:rsidR="00C44DB7">
        <w:rPr>
          <w:lang w:val="en-GB"/>
        </w:rPr>
        <w:t>The f</w:t>
      </w:r>
      <w:r w:rsidR="00B2352E">
        <w:rPr>
          <w:lang w:val="en-GB"/>
        </w:rPr>
        <w:t>ilm</w:t>
      </w:r>
      <w:r w:rsidR="00DF7293">
        <w:rPr>
          <w:lang w:val="en-GB"/>
        </w:rPr>
        <w:t xml:space="preserve"> </w:t>
      </w:r>
      <w:r w:rsidR="00133B0A">
        <w:rPr>
          <w:lang w:val="en-GB"/>
        </w:rPr>
        <w:t xml:space="preserve">thickness </w:t>
      </w:r>
      <w:r w:rsidR="00C44DB7">
        <w:rPr>
          <w:lang w:val="en-GB"/>
        </w:rPr>
        <w:t>obtained</w:t>
      </w:r>
      <w:r w:rsidR="00B2352E">
        <w:rPr>
          <w:lang w:val="en-GB"/>
        </w:rPr>
        <w:t xml:space="preserve"> in this work</w:t>
      </w:r>
      <w:r w:rsidR="00133B0A">
        <w:rPr>
          <w:lang w:val="en-GB"/>
        </w:rPr>
        <w:t xml:space="preserve"> is similar comparing </w:t>
      </w:r>
      <w:r w:rsidR="00C44DB7">
        <w:rPr>
          <w:lang w:val="en-GB"/>
        </w:rPr>
        <w:t xml:space="preserve">it </w:t>
      </w:r>
      <w:r w:rsidR="00133B0A">
        <w:rPr>
          <w:lang w:val="en-GB"/>
        </w:rPr>
        <w:t>to other</w:t>
      </w:r>
      <w:r w:rsidR="00B2352E">
        <w:rPr>
          <w:lang w:val="en-GB"/>
        </w:rPr>
        <w:t xml:space="preserve"> studies</w:t>
      </w:r>
      <w:r w:rsidR="001C741F">
        <w:rPr>
          <w:lang w:val="en-GB"/>
        </w:rPr>
        <w:t xml:space="preserve"> (</w:t>
      </w:r>
      <w:proofErr w:type="spellStart"/>
      <w:r w:rsidR="001C741F" w:rsidRPr="001C741F">
        <w:rPr>
          <w:lang w:val="en-GB"/>
        </w:rPr>
        <w:t>Colla</w:t>
      </w:r>
      <w:proofErr w:type="spellEnd"/>
      <w:r w:rsidR="001C741F" w:rsidRPr="001C741F">
        <w:rPr>
          <w:lang w:val="en-GB"/>
        </w:rPr>
        <w:t xml:space="preserve"> </w:t>
      </w:r>
      <w:r w:rsidR="001C741F">
        <w:rPr>
          <w:lang w:val="en-GB"/>
        </w:rPr>
        <w:t xml:space="preserve">et al., 2006; </w:t>
      </w:r>
      <w:proofErr w:type="spellStart"/>
      <w:r w:rsidR="001C741F" w:rsidRPr="001C741F">
        <w:rPr>
          <w:lang w:val="en-GB"/>
        </w:rPr>
        <w:t>Eça</w:t>
      </w:r>
      <w:proofErr w:type="spellEnd"/>
      <w:r w:rsidR="001C741F">
        <w:rPr>
          <w:lang w:val="en-GB"/>
        </w:rPr>
        <w:t xml:space="preserve"> et al., 2015)</w:t>
      </w:r>
      <w:r w:rsidR="00133B0A">
        <w:rPr>
          <w:lang w:val="en-GB"/>
        </w:rPr>
        <w:t xml:space="preserve">, and </w:t>
      </w:r>
      <w:r w:rsidR="00133B0A">
        <w:rPr>
          <w:lang w:val="en-GB"/>
        </w:rPr>
        <w:lastRenderedPageBreak/>
        <w:t xml:space="preserve">can be consider </w:t>
      </w:r>
      <w:r w:rsidR="00C44DB7">
        <w:rPr>
          <w:lang w:val="en-GB"/>
        </w:rPr>
        <w:t xml:space="preserve">to be as close as possible to the </w:t>
      </w:r>
      <w:r w:rsidR="00133B0A">
        <w:rPr>
          <w:lang w:val="en-GB"/>
        </w:rPr>
        <w:t>ideal</w:t>
      </w:r>
      <w:r w:rsidR="00C44DB7">
        <w:rPr>
          <w:lang w:val="en-GB"/>
        </w:rPr>
        <w:t xml:space="preserve"> value for</w:t>
      </w:r>
      <w:r w:rsidR="00133B0A">
        <w:rPr>
          <w:lang w:val="en-GB"/>
        </w:rPr>
        <w:t xml:space="preserve"> application. </w:t>
      </w:r>
      <w:r w:rsidR="00C44DB7">
        <w:rPr>
          <w:lang w:val="en-GB"/>
        </w:rPr>
        <w:t xml:space="preserve">A further favourable property for </w:t>
      </w:r>
      <w:r w:rsidR="00133B0A">
        <w:rPr>
          <w:lang w:val="en-GB"/>
        </w:rPr>
        <w:t xml:space="preserve">industrial application </w:t>
      </w:r>
      <w:r w:rsidR="00C44DB7">
        <w:rPr>
          <w:lang w:val="en-GB"/>
        </w:rPr>
        <w:t xml:space="preserve">of this packaging is the </w:t>
      </w:r>
      <w:r w:rsidR="00133B0A">
        <w:rPr>
          <w:lang w:val="en-GB"/>
        </w:rPr>
        <w:t>water solubility</w:t>
      </w:r>
      <w:r w:rsidR="00C44DB7">
        <w:rPr>
          <w:lang w:val="en-GB"/>
        </w:rPr>
        <w:t xml:space="preserve"> lowering effect</w:t>
      </w:r>
      <w:r w:rsidR="0063720E">
        <w:rPr>
          <w:lang w:val="en-GB"/>
        </w:rPr>
        <w:t xml:space="preserve">, especially </w:t>
      </w:r>
      <w:r w:rsidR="00C44DB7">
        <w:rPr>
          <w:lang w:val="en-GB"/>
        </w:rPr>
        <w:t xml:space="preserve">when </w:t>
      </w:r>
      <w:r w:rsidR="0063720E">
        <w:rPr>
          <w:lang w:val="en-GB"/>
        </w:rPr>
        <w:t xml:space="preserve">using feijoa extracts. The solubility decreased from </w:t>
      </w:r>
      <w:r w:rsidR="0063720E">
        <w:rPr>
          <w:rFonts w:cs="Arial"/>
          <w:szCs w:val="18"/>
        </w:rPr>
        <w:t xml:space="preserve">7.97 % in the </w:t>
      </w:r>
      <w:r w:rsidR="0063720E">
        <w:rPr>
          <w:lang w:val="en-GB"/>
        </w:rPr>
        <w:t xml:space="preserve">FPC, to </w:t>
      </w:r>
      <w:r w:rsidR="0063720E" w:rsidRPr="0063720E">
        <w:rPr>
          <w:lang w:val="en-GB"/>
        </w:rPr>
        <w:t>4.03</w:t>
      </w:r>
      <w:r w:rsidR="0063720E">
        <w:rPr>
          <w:lang w:val="en-GB"/>
        </w:rPr>
        <w:t xml:space="preserve"> % and </w:t>
      </w:r>
      <w:r w:rsidR="0063720E" w:rsidRPr="0063720E">
        <w:rPr>
          <w:lang w:val="en-GB"/>
        </w:rPr>
        <w:t>3.55</w:t>
      </w:r>
      <w:r w:rsidR="0063720E">
        <w:rPr>
          <w:lang w:val="en-GB"/>
        </w:rPr>
        <w:t xml:space="preserve"> %, respectively to </w:t>
      </w:r>
      <w:proofErr w:type="spellStart"/>
      <w:r w:rsidR="0063720E" w:rsidRPr="0063720E">
        <w:rPr>
          <w:lang w:val="en-GB"/>
        </w:rPr>
        <w:t>FPPe</w:t>
      </w:r>
      <w:proofErr w:type="spellEnd"/>
      <w:r w:rsidR="0063720E">
        <w:rPr>
          <w:lang w:val="en-GB"/>
        </w:rPr>
        <w:t xml:space="preserve"> and </w:t>
      </w:r>
      <w:proofErr w:type="spellStart"/>
      <w:r w:rsidR="0063720E">
        <w:rPr>
          <w:lang w:val="en-GB"/>
        </w:rPr>
        <w:t>F</w:t>
      </w:r>
      <w:r w:rsidR="0063720E" w:rsidRPr="0063720E">
        <w:rPr>
          <w:lang w:val="en-GB"/>
        </w:rPr>
        <w:t>PHe</w:t>
      </w:r>
      <w:proofErr w:type="spellEnd"/>
      <w:r w:rsidR="000C10CC">
        <w:rPr>
          <w:lang w:val="en-GB"/>
        </w:rPr>
        <w:t xml:space="preserve"> (Figure 2c)</w:t>
      </w:r>
      <w:r w:rsidR="0063720E">
        <w:rPr>
          <w:lang w:val="en-GB"/>
        </w:rPr>
        <w:t>. This fact can be explained because some antioxidant compounds present an interaction with the polymer (blend of starch</w:t>
      </w:r>
      <w:r w:rsidR="001C741F">
        <w:rPr>
          <w:lang w:val="en-GB"/>
        </w:rPr>
        <w:t xml:space="preserve"> </w:t>
      </w:r>
      <w:r w:rsidR="0063720E">
        <w:rPr>
          <w:lang w:val="en-GB"/>
        </w:rPr>
        <w:t xml:space="preserve">and pectin), </w:t>
      </w:r>
      <w:r w:rsidR="00C44DB7">
        <w:rPr>
          <w:lang w:val="en-GB"/>
        </w:rPr>
        <w:t>preventing their solubilisation</w:t>
      </w:r>
      <w:r w:rsidR="0063720E">
        <w:rPr>
          <w:lang w:val="en-GB"/>
        </w:rPr>
        <w:t xml:space="preserve"> in water, </w:t>
      </w:r>
      <w:r w:rsidR="00244EF8">
        <w:rPr>
          <w:lang w:val="en-GB"/>
        </w:rPr>
        <w:t>and thu</w:t>
      </w:r>
      <w:r w:rsidR="00C44DB7">
        <w:rPr>
          <w:lang w:val="en-GB"/>
        </w:rPr>
        <w:t xml:space="preserve">s </w:t>
      </w:r>
      <w:r w:rsidR="0063720E">
        <w:rPr>
          <w:lang w:val="en-GB"/>
        </w:rPr>
        <w:t>promoting a decreasing in the water solubility.</w:t>
      </w:r>
      <w:r w:rsidR="00133B0A">
        <w:rPr>
          <w:lang w:val="en-GB"/>
        </w:rPr>
        <w:t xml:space="preserve"> </w:t>
      </w:r>
      <w:r w:rsidR="00CF5CD2">
        <w:rPr>
          <w:lang w:val="en-GB"/>
        </w:rPr>
        <w:t xml:space="preserve">However, </w:t>
      </w:r>
      <w:r w:rsidR="00C44DB7">
        <w:rPr>
          <w:lang w:val="en-GB"/>
        </w:rPr>
        <w:t xml:space="preserve">the addition of the extracts to </w:t>
      </w:r>
      <w:r w:rsidR="006105FD">
        <w:rPr>
          <w:lang w:val="en-GB"/>
        </w:rPr>
        <w:t>the blends caused a statistically significant increase of film opacity</w:t>
      </w:r>
      <w:r w:rsidR="00B2352E">
        <w:rPr>
          <w:lang w:val="en-GB"/>
        </w:rPr>
        <w:t xml:space="preserve">: </w:t>
      </w:r>
      <w:r w:rsidR="00133B0A">
        <w:rPr>
          <w:lang w:val="en-GB"/>
        </w:rPr>
        <w:t>FPC presented a lower opacity</w:t>
      </w:r>
      <w:r w:rsidR="00A00D81">
        <w:rPr>
          <w:lang w:val="en-GB"/>
        </w:rPr>
        <w:t xml:space="preserve"> (</w:t>
      </w:r>
      <w:r w:rsidR="00A00D81" w:rsidRPr="00A00D81">
        <w:rPr>
          <w:lang w:val="en-GB"/>
        </w:rPr>
        <w:t>6.15 ± 0.67</w:t>
      </w:r>
      <w:r w:rsidR="00A00D81">
        <w:rPr>
          <w:lang w:val="en-GB"/>
        </w:rPr>
        <w:t xml:space="preserve"> </w:t>
      </w:r>
      <w:proofErr w:type="gramStart"/>
      <w:r w:rsidR="00A00D81">
        <w:rPr>
          <w:lang w:val="en-GB"/>
        </w:rPr>
        <w:t>A</w:t>
      </w:r>
      <w:proofErr w:type="gramEnd"/>
      <w:r w:rsidR="00A00D81">
        <w:rPr>
          <w:lang w:val="en-GB"/>
        </w:rPr>
        <w:t xml:space="preserve"> mm</w:t>
      </w:r>
      <w:r w:rsidR="00A00D81" w:rsidRPr="00A00D81">
        <w:rPr>
          <w:vertAlign w:val="superscript"/>
          <w:lang w:val="en-GB"/>
        </w:rPr>
        <w:t>-1</w:t>
      </w:r>
      <w:r w:rsidR="00A00D81">
        <w:rPr>
          <w:lang w:val="en-GB"/>
        </w:rPr>
        <w:t>)</w:t>
      </w:r>
      <w:r w:rsidR="00133B0A">
        <w:rPr>
          <w:lang w:val="en-GB"/>
        </w:rPr>
        <w:t xml:space="preserve">, and </w:t>
      </w:r>
      <w:r w:rsidR="001C741F">
        <w:rPr>
          <w:lang w:val="en-GB"/>
        </w:rPr>
        <w:t xml:space="preserve">has </w:t>
      </w:r>
      <w:r w:rsidR="00133B0A">
        <w:rPr>
          <w:lang w:val="en-GB"/>
        </w:rPr>
        <w:t>increas</w:t>
      </w:r>
      <w:r w:rsidR="001C741F">
        <w:rPr>
          <w:lang w:val="en-GB"/>
        </w:rPr>
        <w:t>ing</w:t>
      </w:r>
      <w:r w:rsidR="00133B0A">
        <w:rPr>
          <w:lang w:val="en-GB"/>
        </w:rPr>
        <w:t xml:space="preserve"> using pulp (</w:t>
      </w:r>
      <w:proofErr w:type="spellStart"/>
      <w:r w:rsidR="00133B0A">
        <w:rPr>
          <w:lang w:val="en-GB"/>
        </w:rPr>
        <w:t>FPPe</w:t>
      </w:r>
      <w:proofErr w:type="spellEnd"/>
      <w:r w:rsidR="00A00D81">
        <w:rPr>
          <w:lang w:val="en-GB"/>
        </w:rPr>
        <w:t>,</w:t>
      </w:r>
      <w:r w:rsidR="00A00D81" w:rsidRPr="00A00D81">
        <w:t xml:space="preserve"> </w:t>
      </w:r>
      <w:r w:rsidR="00A00D81" w:rsidRPr="00A00D81">
        <w:rPr>
          <w:lang w:val="en-GB"/>
        </w:rPr>
        <w:t>11.31 ± 2.22</w:t>
      </w:r>
      <w:r w:rsidR="00A00D81">
        <w:rPr>
          <w:lang w:val="en-GB"/>
        </w:rPr>
        <w:t xml:space="preserve"> A mm</w:t>
      </w:r>
      <w:r w:rsidR="00A00D81" w:rsidRPr="00A00D81">
        <w:rPr>
          <w:vertAlign w:val="superscript"/>
          <w:lang w:val="en-GB"/>
        </w:rPr>
        <w:t>-1</w:t>
      </w:r>
      <w:r w:rsidR="00133B0A">
        <w:rPr>
          <w:lang w:val="en-GB"/>
        </w:rPr>
        <w:t>) and husk extract (</w:t>
      </w:r>
      <w:proofErr w:type="spellStart"/>
      <w:r w:rsidR="00133B0A">
        <w:rPr>
          <w:rFonts w:cs="Arial"/>
          <w:szCs w:val="18"/>
          <w:lang w:val="en-GB"/>
        </w:rPr>
        <w:t>FPHe</w:t>
      </w:r>
      <w:proofErr w:type="spellEnd"/>
      <w:r w:rsidR="00A00D81">
        <w:rPr>
          <w:rFonts w:cs="Arial"/>
          <w:szCs w:val="18"/>
          <w:lang w:val="en-GB"/>
        </w:rPr>
        <w:t xml:space="preserve">, </w:t>
      </w:r>
      <w:r w:rsidR="00A00D81">
        <w:rPr>
          <w:rFonts w:cs="Arial"/>
          <w:szCs w:val="18"/>
        </w:rPr>
        <w:t>27.16 ± 4.11 A mm</w:t>
      </w:r>
      <w:r w:rsidR="00A00D81" w:rsidRPr="00A00D81">
        <w:rPr>
          <w:rFonts w:cs="Arial"/>
          <w:szCs w:val="18"/>
          <w:vertAlign w:val="superscript"/>
        </w:rPr>
        <w:t>-1</w:t>
      </w:r>
      <w:r w:rsidR="00133B0A">
        <w:rPr>
          <w:rFonts w:cs="Arial"/>
          <w:szCs w:val="18"/>
          <w:lang w:val="en-GB"/>
        </w:rPr>
        <w:t>)</w:t>
      </w:r>
      <w:r w:rsidR="000C10CC">
        <w:rPr>
          <w:rFonts w:cs="Arial"/>
          <w:szCs w:val="18"/>
          <w:lang w:val="en-GB"/>
        </w:rPr>
        <w:t xml:space="preserve"> (Figure 2d)</w:t>
      </w:r>
      <w:r w:rsidR="00133B0A">
        <w:rPr>
          <w:rFonts w:cs="Arial"/>
          <w:szCs w:val="18"/>
          <w:lang w:val="en-GB"/>
        </w:rPr>
        <w:t xml:space="preserve">. </w:t>
      </w:r>
    </w:p>
    <w:p w:rsidR="006E479E" w:rsidRDefault="006E479E" w:rsidP="00356FAF">
      <w:pPr>
        <w:pStyle w:val="CETBodytext"/>
        <w:jc w:val="center"/>
        <w:rPr>
          <w:rFonts w:cs="Arial"/>
          <w:szCs w:val="18"/>
          <w:lang w:val="en-GB"/>
        </w:rPr>
      </w:pPr>
      <w:r>
        <w:rPr>
          <w:rFonts w:cs="Arial"/>
          <w:noProof/>
          <w:szCs w:val="18"/>
          <w:lang w:val="pt-BR" w:eastAsia="pt-BR"/>
        </w:rPr>
        <w:drawing>
          <wp:inline distT="0" distB="0" distL="0" distR="0" wp14:anchorId="2108B7F3" wp14:editId="6685B41A">
            <wp:extent cx="4851400" cy="1165099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083"/>
                    <a:stretch/>
                  </pic:blipFill>
                  <pic:spPr bwMode="auto">
                    <a:xfrm>
                      <a:off x="0" y="0"/>
                      <a:ext cx="4868670" cy="11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8C1" w:rsidRDefault="004708C1" w:rsidP="004708C1">
      <w:pPr>
        <w:pStyle w:val="CETBodytext"/>
        <w:spacing w:after="240"/>
        <w:jc w:val="left"/>
        <w:rPr>
          <w:i/>
        </w:rPr>
      </w:pPr>
      <w:r>
        <w:rPr>
          <w:i/>
          <w:lang w:val="en-GB"/>
        </w:rPr>
        <w:t xml:space="preserve">Figure 1: </w:t>
      </w:r>
      <w:r w:rsidR="00597B34">
        <w:rPr>
          <w:i/>
          <w:lang w:val="en-GB"/>
        </w:rPr>
        <w:t>Film packaging</w:t>
      </w:r>
      <w:r>
        <w:rPr>
          <w:i/>
          <w:lang w:val="en-GB"/>
        </w:rPr>
        <w:t xml:space="preserve"> appearance </w:t>
      </w:r>
      <w:r w:rsidRPr="00B01C50">
        <w:rPr>
          <w:i/>
        </w:rPr>
        <w:t xml:space="preserve">produced with </w:t>
      </w:r>
      <w:r w:rsidR="00597B34">
        <w:rPr>
          <w:i/>
        </w:rPr>
        <w:t xml:space="preserve">Brazilian pine seeds </w:t>
      </w:r>
      <w:r>
        <w:rPr>
          <w:i/>
        </w:rPr>
        <w:t>starch,</w:t>
      </w:r>
      <w:r w:rsidR="00597B34">
        <w:rPr>
          <w:i/>
        </w:rPr>
        <w:t xml:space="preserve"> citric</w:t>
      </w:r>
      <w:r>
        <w:rPr>
          <w:i/>
        </w:rPr>
        <w:t xml:space="preserve"> pectin and </w:t>
      </w:r>
      <w:proofErr w:type="spellStart"/>
      <w:r w:rsidRPr="00B01C50">
        <w:rPr>
          <w:i/>
        </w:rPr>
        <w:t>Acca</w:t>
      </w:r>
      <w:proofErr w:type="spellEnd"/>
      <w:r w:rsidRPr="00B01C50">
        <w:rPr>
          <w:i/>
        </w:rPr>
        <w:t xml:space="preserve"> </w:t>
      </w:r>
      <w:proofErr w:type="spellStart"/>
      <w:r w:rsidRPr="00B01C50">
        <w:rPr>
          <w:i/>
        </w:rPr>
        <w:t>sellowiana</w:t>
      </w:r>
      <w:proofErr w:type="spellEnd"/>
      <w:r w:rsidRPr="00B01C50">
        <w:rPr>
          <w:i/>
        </w:rPr>
        <w:t xml:space="preserve"> extracts</w:t>
      </w:r>
      <w:r w:rsidR="00597B34">
        <w:rPr>
          <w:i/>
        </w:rPr>
        <w:t>; (a) FPC; (b</w:t>
      </w:r>
      <w:proofErr w:type="gramStart"/>
      <w:r w:rsidR="00597B34">
        <w:rPr>
          <w:i/>
        </w:rPr>
        <w:t>)</w:t>
      </w:r>
      <w:proofErr w:type="spellStart"/>
      <w:r w:rsidR="00597B34">
        <w:rPr>
          <w:i/>
        </w:rPr>
        <w:t>FPPe</w:t>
      </w:r>
      <w:proofErr w:type="spellEnd"/>
      <w:proofErr w:type="gramEnd"/>
      <w:r w:rsidR="00597B34">
        <w:rPr>
          <w:i/>
        </w:rPr>
        <w:t xml:space="preserve">; (c) </w:t>
      </w:r>
      <w:proofErr w:type="spellStart"/>
      <w:r w:rsidR="00597B34">
        <w:rPr>
          <w:i/>
        </w:rPr>
        <w:t>FPHe</w:t>
      </w:r>
      <w:proofErr w:type="spellEnd"/>
      <w:r w:rsidR="00597B34">
        <w:rPr>
          <w:i/>
        </w:rPr>
        <w:t>.</w:t>
      </w:r>
    </w:p>
    <w:p w:rsidR="00DC2297" w:rsidRDefault="00DC2297" w:rsidP="00356FAF">
      <w:pPr>
        <w:pStyle w:val="CETBodytext"/>
        <w:jc w:val="center"/>
        <w:rPr>
          <w:rFonts w:cs="Arial"/>
          <w:szCs w:val="18"/>
          <w:lang w:val="en-GB"/>
        </w:rPr>
      </w:pPr>
      <w:r>
        <w:rPr>
          <w:rFonts w:cs="Arial"/>
          <w:noProof/>
          <w:szCs w:val="18"/>
          <w:lang w:val="pt-BR" w:eastAsia="pt-BR"/>
        </w:rPr>
        <w:drawing>
          <wp:inline distT="0" distB="0" distL="0" distR="0" wp14:anchorId="42456270">
            <wp:extent cx="5171204" cy="328930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" b="1"/>
                    <a:stretch/>
                  </pic:blipFill>
                  <pic:spPr bwMode="auto">
                    <a:xfrm>
                      <a:off x="0" y="0"/>
                      <a:ext cx="5194933" cy="330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8C1" w:rsidRPr="00DF7293" w:rsidRDefault="004708C1" w:rsidP="004708C1">
      <w:pPr>
        <w:pStyle w:val="CETTabletitle"/>
        <w:spacing w:before="0"/>
      </w:pPr>
      <w:r>
        <w:t xml:space="preserve">Figure </w:t>
      </w:r>
      <w:r>
        <w:rPr>
          <w:i w:val="0"/>
        </w:rPr>
        <w:t>2</w:t>
      </w:r>
      <w:r>
        <w:t xml:space="preserve">: Physicochemical properties of the film packaging produced with </w:t>
      </w:r>
      <w:proofErr w:type="spellStart"/>
      <w:r>
        <w:t>Acca</w:t>
      </w:r>
      <w:proofErr w:type="spellEnd"/>
      <w:r>
        <w:t xml:space="preserve"> </w:t>
      </w:r>
      <w:proofErr w:type="spellStart"/>
      <w:r>
        <w:t>sellowiana</w:t>
      </w:r>
      <w:proofErr w:type="spellEnd"/>
      <w:r>
        <w:t xml:space="preserve"> extracts</w:t>
      </w:r>
      <w:r w:rsidR="00244EF8">
        <w:t>; (a) Film thickness; (b)Moisture content; (c) Water solubility; (d) Opacity</w:t>
      </w:r>
      <w:r>
        <w:t>.</w:t>
      </w:r>
      <w:r w:rsidRPr="00DF7293">
        <w:t xml:space="preserve"> </w:t>
      </w:r>
    </w:p>
    <w:p w:rsidR="004708C1" w:rsidRDefault="004708C1" w:rsidP="00C14CEB"/>
    <w:p w:rsidR="006105FD" w:rsidRDefault="006105FD" w:rsidP="00C14CEB">
      <w:pPr>
        <w:rPr>
          <w:lang w:val="en-US"/>
        </w:rPr>
      </w:pPr>
      <w:r>
        <w:t>Ano</w:t>
      </w:r>
      <w:r w:rsidR="00B63CD4">
        <w:t xml:space="preserve">ther </w:t>
      </w:r>
      <w:r>
        <w:t>property that imparts pleasant</w:t>
      </w:r>
      <w:r w:rsidR="00B63CD4">
        <w:t xml:space="preserve"> visual aspect to a food packaging</w:t>
      </w:r>
      <w:r>
        <w:t xml:space="preserve"> material</w:t>
      </w:r>
      <w:r w:rsidR="00B63CD4">
        <w:t xml:space="preserve"> is light transmittance (Table </w:t>
      </w:r>
      <w:r w:rsidR="00CF5CD2">
        <w:t>1</w:t>
      </w:r>
      <w:r w:rsidR="00B63CD4">
        <w:t xml:space="preserve">) and </w:t>
      </w:r>
      <w:r>
        <w:t>its</w:t>
      </w:r>
      <w:r w:rsidR="00B63CD4">
        <w:t xml:space="preserve"> </w:t>
      </w:r>
      <w:proofErr w:type="spellStart"/>
      <w:r w:rsidR="00B63CD4">
        <w:t>color</w:t>
      </w:r>
      <w:proofErr w:type="spellEnd"/>
      <w:r w:rsidR="00B63CD4">
        <w:t xml:space="preserve"> parameters (Table </w:t>
      </w:r>
      <w:r w:rsidR="00CF5CD2">
        <w:t>2</w:t>
      </w:r>
      <w:r w:rsidR="00B63CD4">
        <w:t>).</w:t>
      </w:r>
      <w:r w:rsidR="00FC7CA4">
        <w:t xml:space="preserve"> </w:t>
      </w:r>
      <w:r w:rsidR="00FC7CA4">
        <w:rPr>
          <w:lang w:val="en-US"/>
        </w:rPr>
        <w:t xml:space="preserve">A statistical difference (p&lt;0.05) was obtained to all </w:t>
      </w:r>
      <w:r>
        <w:rPr>
          <w:lang w:val="en-US"/>
        </w:rPr>
        <w:t xml:space="preserve">analyzed </w:t>
      </w:r>
      <w:r w:rsidR="00FC7CA4">
        <w:rPr>
          <w:lang w:val="en-US"/>
        </w:rPr>
        <w:t>spectra</w:t>
      </w:r>
      <w:r>
        <w:rPr>
          <w:lang w:val="en-US"/>
        </w:rPr>
        <w:t>l</w:t>
      </w:r>
      <w:r w:rsidR="00FC7CA4">
        <w:rPr>
          <w:lang w:val="en-US"/>
        </w:rPr>
        <w:t xml:space="preserve"> wavenumber</w:t>
      </w:r>
      <w:r>
        <w:rPr>
          <w:lang w:val="en-US"/>
        </w:rPr>
        <w:t>s</w:t>
      </w:r>
      <w:r w:rsidR="00FC7CA4">
        <w:rPr>
          <w:lang w:val="en-US"/>
        </w:rPr>
        <w:t xml:space="preserve">. </w:t>
      </w:r>
      <w:r>
        <w:rPr>
          <w:lang w:val="en-US"/>
        </w:rPr>
        <w:t>In</w:t>
      </w:r>
      <w:r w:rsidR="00FC7CA4">
        <w:rPr>
          <w:lang w:val="en-US"/>
        </w:rPr>
        <w:t xml:space="preserve"> the UV region, t</w:t>
      </w:r>
      <w:r w:rsidR="00FC7CA4">
        <w:t xml:space="preserve">he bio-polymers produced are able to </w:t>
      </w:r>
      <w:r w:rsidR="00FC7CA4" w:rsidRPr="00FC7CA4">
        <w:rPr>
          <w:lang w:val="en-US"/>
        </w:rPr>
        <w:t xml:space="preserve">absorb </w:t>
      </w:r>
      <w:r w:rsidR="00FC7CA4">
        <w:rPr>
          <w:lang w:val="en-US"/>
        </w:rPr>
        <w:t>the energy. An absorbance</w:t>
      </w:r>
      <w:r w:rsidR="00FD31D3">
        <w:rPr>
          <w:lang w:val="en-US"/>
        </w:rPr>
        <w:t xml:space="preserve"> </w:t>
      </w:r>
      <w:r>
        <w:rPr>
          <w:lang w:val="en-US"/>
        </w:rPr>
        <w:t xml:space="preserve">increase </w:t>
      </w:r>
      <w:r w:rsidR="00FC7CA4">
        <w:rPr>
          <w:lang w:val="en-US"/>
        </w:rPr>
        <w:t xml:space="preserve">was obtained </w:t>
      </w:r>
      <w:r>
        <w:rPr>
          <w:lang w:val="en-US"/>
        </w:rPr>
        <w:t>with</w:t>
      </w:r>
      <w:r w:rsidR="00FC7CA4">
        <w:rPr>
          <w:lang w:val="en-US"/>
        </w:rPr>
        <w:t xml:space="preserve"> </w:t>
      </w:r>
      <w:proofErr w:type="spellStart"/>
      <w:r w:rsidR="00FC7CA4" w:rsidRPr="00FC7CA4">
        <w:rPr>
          <w:lang w:val="en-US"/>
        </w:rPr>
        <w:t>FPPe</w:t>
      </w:r>
      <w:proofErr w:type="spellEnd"/>
      <w:r w:rsidR="00FC7CA4">
        <w:rPr>
          <w:lang w:val="en-US"/>
        </w:rPr>
        <w:t xml:space="preserve"> and </w:t>
      </w:r>
      <w:proofErr w:type="spellStart"/>
      <w:r w:rsidR="00FD31D3">
        <w:rPr>
          <w:lang w:val="en-US"/>
        </w:rPr>
        <w:t>FPHe</w:t>
      </w:r>
      <w:proofErr w:type="spellEnd"/>
      <w:r w:rsidR="00FD31D3">
        <w:rPr>
          <w:lang w:val="en-US"/>
        </w:rPr>
        <w:t xml:space="preserve">, because the </w:t>
      </w:r>
      <w:r w:rsidR="00FD31D3" w:rsidRPr="00FD31D3">
        <w:rPr>
          <w:lang w:val="en-US"/>
        </w:rPr>
        <w:t>presence of double</w:t>
      </w:r>
      <w:r w:rsidR="00FD31D3">
        <w:rPr>
          <w:lang w:val="en-US"/>
        </w:rPr>
        <w:t xml:space="preserve"> </w:t>
      </w:r>
      <w:r w:rsidR="00FD31D3" w:rsidRPr="00FD31D3">
        <w:rPr>
          <w:lang w:val="en-US"/>
        </w:rPr>
        <w:t>bonds and the cyclic structur</w:t>
      </w:r>
      <w:r w:rsidR="00FD31D3">
        <w:rPr>
          <w:lang w:val="en-US"/>
        </w:rPr>
        <w:t xml:space="preserve">es of phenolic compounds </w:t>
      </w:r>
      <w:r w:rsidR="00FD31D3" w:rsidRPr="00FD31D3">
        <w:rPr>
          <w:lang w:val="en-US"/>
        </w:rPr>
        <w:t>act as UV light absorbers</w:t>
      </w:r>
      <w:r w:rsidR="00FD31D3">
        <w:rPr>
          <w:lang w:val="en-US"/>
        </w:rPr>
        <w:t xml:space="preserve"> (</w:t>
      </w:r>
      <w:proofErr w:type="spellStart"/>
      <w:r w:rsidR="00FD31D3" w:rsidRPr="002F2278">
        <w:rPr>
          <w:lang w:val="en-US"/>
        </w:rPr>
        <w:t>Eça</w:t>
      </w:r>
      <w:proofErr w:type="spellEnd"/>
      <w:r w:rsidR="00FD31D3" w:rsidRPr="002F2278">
        <w:rPr>
          <w:lang w:val="en-US"/>
        </w:rPr>
        <w:t xml:space="preserve"> et al., 2015</w:t>
      </w:r>
      <w:r w:rsidR="00FD31D3">
        <w:rPr>
          <w:lang w:val="en-US"/>
        </w:rPr>
        <w:t xml:space="preserve">). A food packaging that </w:t>
      </w:r>
      <w:r w:rsidR="00FD31D3" w:rsidRPr="00FD31D3">
        <w:rPr>
          <w:lang w:val="en-US"/>
        </w:rPr>
        <w:t>absorb UV light</w:t>
      </w:r>
      <w:r>
        <w:rPr>
          <w:lang w:val="en-US"/>
        </w:rPr>
        <w:t xml:space="preserve"> presents a high potential in p</w:t>
      </w:r>
      <w:bookmarkStart w:id="0" w:name="_GoBack"/>
      <w:bookmarkEnd w:id="0"/>
      <w:r>
        <w:rPr>
          <w:lang w:val="en-US"/>
        </w:rPr>
        <w:t>reservation</w:t>
      </w:r>
      <w:r w:rsidR="00FD31D3">
        <w:rPr>
          <w:lang w:val="en-US"/>
        </w:rPr>
        <w:t>, because the compounds that promote this characteristic</w:t>
      </w:r>
      <w:r>
        <w:rPr>
          <w:lang w:val="en-US"/>
        </w:rPr>
        <w:t xml:space="preserve"> have the </w:t>
      </w:r>
      <w:r w:rsidR="00FD31D3">
        <w:rPr>
          <w:lang w:val="en-US"/>
        </w:rPr>
        <w:t xml:space="preserve">potential to </w:t>
      </w:r>
      <w:r w:rsidR="00FD31D3" w:rsidRPr="00FD31D3">
        <w:rPr>
          <w:lang w:val="en-US"/>
        </w:rPr>
        <w:t>protect both the packaging material</w:t>
      </w:r>
      <w:r w:rsidR="00FD31D3">
        <w:rPr>
          <w:lang w:val="en-US"/>
        </w:rPr>
        <w:t xml:space="preserve"> </w:t>
      </w:r>
      <w:r w:rsidR="00FD31D3" w:rsidRPr="00FD31D3">
        <w:rPr>
          <w:lang w:val="en-US"/>
        </w:rPr>
        <w:t>and its content against photo</w:t>
      </w:r>
      <w:r w:rsidR="00C14CEB">
        <w:rPr>
          <w:lang w:val="en-US"/>
        </w:rPr>
        <w:t>-</w:t>
      </w:r>
      <w:r w:rsidR="00FD31D3" w:rsidRPr="00FD31D3">
        <w:rPr>
          <w:lang w:val="en-US"/>
        </w:rPr>
        <w:t>oxidation</w:t>
      </w:r>
      <w:r w:rsidR="00FD31D3">
        <w:rPr>
          <w:lang w:val="en-US"/>
        </w:rPr>
        <w:t xml:space="preserve"> (</w:t>
      </w:r>
      <w:r w:rsidR="00FD31D3" w:rsidRPr="002F2278">
        <w:rPr>
          <w:lang w:val="en-US"/>
        </w:rPr>
        <w:t>Allen et al, 2004</w:t>
      </w:r>
      <w:r w:rsidR="00C14CEB" w:rsidRPr="002F2278">
        <w:rPr>
          <w:lang w:val="en-US"/>
        </w:rPr>
        <w:t xml:space="preserve">; </w:t>
      </w:r>
      <w:proofErr w:type="spellStart"/>
      <w:r w:rsidR="00C14CEB" w:rsidRPr="002F2278">
        <w:rPr>
          <w:lang w:val="en-US"/>
        </w:rPr>
        <w:t>Norajit</w:t>
      </w:r>
      <w:proofErr w:type="spellEnd"/>
      <w:r w:rsidR="00C14CEB" w:rsidRPr="002F2278">
        <w:rPr>
          <w:lang w:val="en-US"/>
        </w:rPr>
        <w:t xml:space="preserve"> et al., 2010</w:t>
      </w:r>
      <w:r w:rsidR="00C14CEB">
        <w:rPr>
          <w:lang w:val="en-US"/>
        </w:rPr>
        <w:t>). In the visible</w:t>
      </w:r>
      <w:r>
        <w:rPr>
          <w:lang w:val="en-US"/>
        </w:rPr>
        <w:t xml:space="preserve"> region,</w:t>
      </w:r>
      <w:r w:rsidR="00C14CEB">
        <w:rPr>
          <w:lang w:val="en-US"/>
        </w:rPr>
        <w:t xml:space="preserve"> </w:t>
      </w:r>
      <w:r>
        <w:rPr>
          <w:lang w:val="en-US"/>
        </w:rPr>
        <w:t xml:space="preserve">similar evidence </w:t>
      </w:r>
      <w:r w:rsidR="00C14CEB">
        <w:rPr>
          <w:lang w:val="en-US"/>
        </w:rPr>
        <w:t xml:space="preserve">was obtained </w:t>
      </w:r>
      <w:r>
        <w:rPr>
          <w:lang w:val="en-US"/>
        </w:rPr>
        <w:t xml:space="preserve">with regard </w:t>
      </w:r>
      <w:r w:rsidR="00C14CEB">
        <w:rPr>
          <w:lang w:val="en-US"/>
        </w:rPr>
        <w:t>to UV</w:t>
      </w:r>
      <w:r>
        <w:rPr>
          <w:lang w:val="en-US"/>
        </w:rPr>
        <w:t xml:space="preserve"> radiation: packaging </w:t>
      </w:r>
      <w:r w:rsidR="00C14CEB">
        <w:rPr>
          <w:lang w:val="en-US"/>
        </w:rPr>
        <w:t xml:space="preserve">transmittance decreased </w:t>
      </w:r>
      <w:r>
        <w:rPr>
          <w:lang w:val="en-US"/>
        </w:rPr>
        <w:t xml:space="preserve">upon </w:t>
      </w:r>
      <w:r w:rsidR="00C14CEB">
        <w:rPr>
          <w:lang w:val="en-US"/>
        </w:rPr>
        <w:t xml:space="preserve">addition of feijoa extracts. This </w:t>
      </w:r>
      <w:r>
        <w:rPr>
          <w:lang w:val="en-US"/>
        </w:rPr>
        <w:t xml:space="preserve">finding confirms </w:t>
      </w:r>
      <w:r w:rsidR="00244EF8">
        <w:rPr>
          <w:lang w:val="en-US"/>
        </w:rPr>
        <w:t>many earlier reports</w:t>
      </w:r>
      <w:r>
        <w:rPr>
          <w:lang w:val="en-US"/>
        </w:rPr>
        <w:t xml:space="preserve"> that evaluated the properties of films with fruits extracts </w:t>
      </w:r>
      <w:r w:rsidR="00C14CEB">
        <w:rPr>
          <w:lang w:val="en-US"/>
        </w:rPr>
        <w:t>(</w:t>
      </w:r>
      <w:proofErr w:type="spellStart"/>
      <w:r w:rsidR="00C14CEB" w:rsidRPr="002F2278">
        <w:rPr>
          <w:lang w:val="en-US"/>
        </w:rPr>
        <w:t>Eça</w:t>
      </w:r>
      <w:proofErr w:type="spellEnd"/>
      <w:r w:rsidR="00C14CEB" w:rsidRPr="002F2278">
        <w:rPr>
          <w:lang w:val="en-US"/>
        </w:rPr>
        <w:t xml:space="preserve"> et al., 2015</w:t>
      </w:r>
      <w:r>
        <w:rPr>
          <w:lang w:val="en-US"/>
        </w:rPr>
        <w:t>). Indeed, the clearer appearance of the control packaging (FPC) compared to the packaging with feijoa extract addition (</w:t>
      </w:r>
      <w:proofErr w:type="spellStart"/>
      <w:r w:rsidRPr="00FC7CA4">
        <w:rPr>
          <w:lang w:val="en-US"/>
        </w:rPr>
        <w:t>FPPe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FPHe</w:t>
      </w:r>
      <w:proofErr w:type="spellEnd"/>
      <w:r>
        <w:rPr>
          <w:lang w:val="en-US"/>
        </w:rPr>
        <w:t>) is easily notice (Figure 1).</w:t>
      </w:r>
    </w:p>
    <w:p w:rsidR="00B2352E" w:rsidRPr="00DF7293" w:rsidRDefault="00B2352E" w:rsidP="00B2352E">
      <w:pPr>
        <w:pStyle w:val="CETTabletitle"/>
      </w:pPr>
      <w:r w:rsidRPr="00B57B36">
        <w:lastRenderedPageBreak/>
        <w:t xml:space="preserve">Table </w:t>
      </w:r>
      <w:r w:rsidR="00CF5CD2">
        <w:t>1</w:t>
      </w:r>
      <w:r w:rsidRPr="00B57B36">
        <w:t xml:space="preserve">: </w:t>
      </w:r>
      <w:r>
        <w:t>Light transmittance of</w:t>
      </w:r>
      <w:r w:rsidR="00A00D81">
        <w:t xml:space="preserve"> the</w:t>
      </w:r>
      <w:r>
        <w:t xml:space="preserve"> </w:t>
      </w:r>
      <w:r w:rsidR="004708C1">
        <w:t>film</w:t>
      </w:r>
      <w:r>
        <w:t xml:space="preserve"> packaging produced with </w:t>
      </w:r>
      <w:proofErr w:type="spellStart"/>
      <w:r>
        <w:t>Acca</w:t>
      </w:r>
      <w:proofErr w:type="spellEnd"/>
      <w:r>
        <w:t xml:space="preserve"> </w:t>
      </w:r>
      <w:proofErr w:type="spellStart"/>
      <w:r>
        <w:t>sellowiana</w:t>
      </w:r>
      <w:proofErr w:type="spellEnd"/>
      <w:r>
        <w:t xml:space="preserve"> extracts.</w:t>
      </w:r>
      <w:r w:rsidRPr="00DF7293">
        <w:t xml:space="preserve"> </w:t>
      </w:r>
    </w:p>
    <w:tbl>
      <w:tblPr>
        <w:tblW w:w="8063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67"/>
        <w:gridCol w:w="1101"/>
        <w:gridCol w:w="1134"/>
        <w:gridCol w:w="1267"/>
        <w:gridCol w:w="1267"/>
      </w:tblGrid>
      <w:tr w:rsidR="004708C1" w:rsidRPr="00FC7CA4" w:rsidTr="00910CDF">
        <w:tc>
          <w:tcPr>
            <w:tcW w:w="993" w:type="dxa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7B5005">
              <w:rPr>
                <w:rFonts w:cs="Arial"/>
                <w:szCs w:val="18"/>
                <w:lang w:val="en-GB"/>
              </w:rPr>
              <w:t xml:space="preserve">Parameters </w:t>
            </w:r>
          </w:p>
        </w:tc>
        <w:tc>
          <w:tcPr>
            <w:tcW w:w="7070" w:type="dxa"/>
            <w:gridSpan w:val="6"/>
            <w:tcBorders>
              <w:top w:val="single" w:sz="12" w:space="0" w:color="008000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Light Transmittance (%)</w:t>
            </w:r>
          </w:p>
        </w:tc>
      </w:tr>
      <w:tr w:rsidR="004708C1" w:rsidRPr="007B5005" w:rsidTr="00910CDF">
        <w:tc>
          <w:tcPr>
            <w:tcW w:w="993" w:type="dxa"/>
            <w:vMerge/>
            <w:shd w:val="clear" w:color="auto" w:fill="FFFFFF"/>
            <w:vAlign w:val="center"/>
          </w:tcPr>
          <w:p w:rsidR="004708C1" w:rsidRPr="007B5005" w:rsidRDefault="004708C1" w:rsidP="00DF7293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250 nm</w:t>
            </w:r>
          </w:p>
        </w:tc>
        <w:tc>
          <w:tcPr>
            <w:tcW w:w="1167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280 nm</w:t>
            </w:r>
          </w:p>
        </w:tc>
        <w:tc>
          <w:tcPr>
            <w:tcW w:w="1101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38</w:t>
            </w:r>
            <w:r w:rsidRPr="007B5005">
              <w:rPr>
                <w:rFonts w:cs="Arial"/>
                <w:szCs w:val="18"/>
              </w:rPr>
              <w:t>0 nm</w:t>
            </w:r>
          </w:p>
        </w:tc>
        <w:tc>
          <w:tcPr>
            <w:tcW w:w="1134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450 nm</w:t>
            </w:r>
          </w:p>
        </w:tc>
        <w:tc>
          <w:tcPr>
            <w:tcW w:w="1267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600 nm</w:t>
            </w:r>
          </w:p>
        </w:tc>
        <w:tc>
          <w:tcPr>
            <w:tcW w:w="1267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4708C1" w:rsidRPr="007B5005" w:rsidRDefault="004708C1" w:rsidP="00DF7293">
            <w:pPr>
              <w:widowControl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75</w:t>
            </w:r>
            <w:r w:rsidRPr="007B5005">
              <w:rPr>
                <w:rFonts w:cs="Arial"/>
                <w:szCs w:val="18"/>
              </w:rPr>
              <w:t>0 nm</w:t>
            </w:r>
          </w:p>
        </w:tc>
      </w:tr>
      <w:tr w:rsidR="00BD5806" w:rsidRPr="007B5005" w:rsidTr="00910CDF">
        <w:tc>
          <w:tcPr>
            <w:tcW w:w="993" w:type="dxa"/>
            <w:tcBorders>
              <w:top w:val="single" w:sz="6" w:space="0" w:color="76923C" w:themeColor="accent3" w:themeShade="BF"/>
            </w:tcBorders>
            <w:shd w:val="clear" w:color="auto" w:fill="FFFFFF"/>
            <w:vAlign w:val="center"/>
          </w:tcPr>
          <w:p w:rsidR="00BD5806" w:rsidRPr="007B5005" w:rsidRDefault="00BD5806" w:rsidP="00DF7293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7B5005">
              <w:rPr>
                <w:rFonts w:cs="Arial"/>
                <w:szCs w:val="18"/>
                <w:lang w:val="en-GB"/>
              </w:rPr>
              <w:t>FPC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55.88 ± 5.16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34.41 ± 3.67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18.85 ± 5.45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50.92 ± 6.77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62.81 ± 6.16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70.30 ± 5.39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</w:tr>
      <w:tr w:rsidR="00BD5806" w:rsidRPr="007B5005" w:rsidTr="00BD5806">
        <w:tc>
          <w:tcPr>
            <w:tcW w:w="993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proofErr w:type="spellStart"/>
            <w:r w:rsidRPr="007B5005">
              <w:rPr>
                <w:rFonts w:cs="Arial"/>
                <w:szCs w:val="18"/>
                <w:lang w:val="en-GB"/>
              </w:rPr>
              <w:t>FPPe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37.36 ± 8.67</w:t>
            </w:r>
            <w:r w:rsidRPr="007B5005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22.50 ± 5.30</w:t>
            </w:r>
            <w:r w:rsidRPr="007B5005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1.16 ± 1.07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23.47 ± 9.47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43.26 ± 10.51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52.12 ± 10.98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</w:tr>
      <w:tr w:rsidR="00BD5806" w:rsidRPr="007B5005" w:rsidTr="00BD5806">
        <w:tc>
          <w:tcPr>
            <w:tcW w:w="993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proofErr w:type="spellStart"/>
            <w:r w:rsidRPr="007B5005">
              <w:rPr>
                <w:rFonts w:cs="Arial"/>
                <w:szCs w:val="18"/>
                <w:lang w:val="en-GB"/>
              </w:rPr>
              <w:t>FPHe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46.23 ± 3.49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28.13 ± 2.01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0.10 ± 0.11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20.22 ± 6.79</w:t>
            </w:r>
            <w:r w:rsidRPr="007B5005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54.46 ± 4.94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BD5806" w:rsidRPr="007B5005" w:rsidRDefault="00BD5806" w:rsidP="00DF7293">
            <w:pPr>
              <w:widowControl w:val="0"/>
              <w:jc w:val="left"/>
              <w:rPr>
                <w:rFonts w:cs="Arial"/>
                <w:szCs w:val="18"/>
              </w:rPr>
            </w:pPr>
            <w:r w:rsidRPr="007B5005">
              <w:rPr>
                <w:rFonts w:cs="Arial"/>
                <w:szCs w:val="18"/>
              </w:rPr>
              <w:t>65.48 ± 3.16</w:t>
            </w:r>
            <w:r w:rsidRPr="007B5005">
              <w:rPr>
                <w:rFonts w:cs="Arial"/>
                <w:szCs w:val="18"/>
                <w:vertAlign w:val="superscript"/>
              </w:rPr>
              <w:t>a</w:t>
            </w:r>
          </w:p>
        </w:tc>
      </w:tr>
    </w:tbl>
    <w:p w:rsidR="00F0291C" w:rsidRDefault="00F0291C" w:rsidP="00F0291C">
      <w:pPr>
        <w:pStyle w:val="CETTabletitle"/>
        <w:spacing w:before="0" w:line="240" w:lineRule="auto"/>
      </w:pPr>
      <w:r w:rsidRPr="00F0291C">
        <w:rPr>
          <w:i w:val="0"/>
          <w:sz w:val="16"/>
        </w:rPr>
        <w:t>The results are expressed as mean ± standard deviation</w:t>
      </w:r>
      <w:r>
        <w:rPr>
          <w:i w:val="0"/>
          <w:sz w:val="16"/>
        </w:rPr>
        <w:t xml:space="preserve"> (n=10</w:t>
      </w:r>
      <w:r w:rsidRPr="00F0291C">
        <w:rPr>
          <w:i w:val="0"/>
          <w:sz w:val="16"/>
        </w:rPr>
        <w:t xml:space="preserve">). Different letters in each column after standard deviation represent a significant difference by </w:t>
      </w:r>
      <w:proofErr w:type="spellStart"/>
      <w:r w:rsidRPr="00F0291C">
        <w:rPr>
          <w:i w:val="0"/>
          <w:sz w:val="16"/>
        </w:rPr>
        <w:t>Tukey’s</w:t>
      </w:r>
      <w:proofErr w:type="spellEnd"/>
      <w:r w:rsidRPr="00F0291C">
        <w:rPr>
          <w:i w:val="0"/>
          <w:sz w:val="16"/>
        </w:rPr>
        <w:t xml:space="preserve"> test (p&lt;0.05</w:t>
      </w:r>
      <w:r w:rsidRPr="00753057">
        <w:rPr>
          <w:sz w:val="16"/>
        </w:rPr>
        <w:t>).</w:t>
      </w:r>
    </w:p>
    <w:p w:rsidR="00925282" w:rsidRDefault="00925282" w:rsidP="00925282">
      <w:pPr>
        <w:rPr>
          <w:lang w:val="en-US"/>
        </w:rPr>
      </w:pPr>
    </w:p>
    <w:p w:rsidR="00925282" w:rsidRDefault="00925282" w:rsidP="00925282">
      <w:pPr>
        <w:rPr>
          <w:lang w:val="en-US"/>
        </w:rPr>
      </w:pPr>
      <w:r>
        <w:rPr>
          <w:lang w:val="en-US"/>
        </w:rPr>
        <w:t>In the CIELAB system the L</w:t>
      </w:r>
      <w:r w:rsidR="00402D78">
        <w:rPr>
          <w:lang w:val="en-US"/>
        </w:rPr>
        <w:t xml:space="preserve"> </w:t>
      </w:r>
      <w:r w:rsidRPr="000C6321">
        <w:rPr>
          <w:lang w:val="en-US"/>
        </w:rPr>
        <w:t>* parameter is reported as the sample brightness and ranges from 0 (black) to 100 (white); a</w:t>
      </w:r>
      <w:r w:rsidR="00A00D81">
        <w:rPr>
          <w:lang w:val="en-US"/>
        </w:rPr>
        <w:t xml:space="preserve"> </w:t>
      </w:r>
      <w:r w:rsidRPr="000C6321">
        <w:rPr>
          <w:lang w:val="en-US"/>
        </w:rPr>
        <w:t>* represents the color variations betwe</w:t>
      </w:r>
      <w:r>
        <w:rPr>
          <w:lang w:val="en-US"/>
        </w:rPr>
        <w:t>en the green (-) and red (+); b</w:t>
      </w:r>
      <w:r w:rsidR="00A00D81">
        <w:rPr>
          <w:lang w:val="en-US"/>
        </w:rPr>
        <w:t xml:space="preserve"> </w:t>
      </w:r>
      <w:r w:rsidRPr="000C6321">
        <w:rPr>
          <w:lang w:val="en-US"/>
        </w:rPr>
        <w:t>* represents the color variations bet</w:t>
      </w:r>
      <w:r>
        <w:rPr>
          <w:lang w:val="en-US"/>
        </w:rPr>
        <w:t xml:space="preserve">ween (-) blue and (+) yellow; </w:t>
      </w:r>
      <w:r w:rsidRPr="000C6321">
        <w:rPr>
          <w:lang w:val="en-US"/>
        </w:rPr>
        <w:t>C * is reported as saturation and represents the gray difference</w:t>
      </w:r>
      <w:r>
        <w:rPr>
          <w:lang w:val="en-US"/>
        </w:rPr>
        <w:t>;</w:t>
      </w:r>
      <w:r w:rsidRPr="000C6321">
        <w:rPr>
          <w:lang w:val="en-US"/>
        </w:rPr>
        <w:t xml:space="preserve"> </w:t>
      </w:r>
      <w:r>
        <w:rPr>
          <w:lang w:val="en-US"/>
        </w:rPr>
        <w:t>and H</w:t>
      </w:r>
      <w:r w:rsidR="00A00D81">
        <w:rPr>
          <w:lang w:val="en-US"/>
        </w:rPr>
        <w:t xml:space="preserve"> </w:t>
      </w:r>
      <w:r w:rsidRPr="000C6321">
        <w:rPr>
          <w:lang w:val="en-US"/>
        </w:rPr>
        <w:t>° (hue angle) represents the color variations bet</w:t>
      </w:r>
      <w:r>
        <w:rPr>
          <w:lang w:val="en-US"/>
        </w:rPr>
        <w:t>ween red (0</w:t>
      </w:r>
      <w:r w:rsidR="00A00D81">
        <w:rPr>
          <w:lang w:val="en-US"/>
        </w:rPr>
        <w:t xml:space="preserve"> </w:t>
      </w:r>
      <w:r>
        <w:rPr>
          <w:lang w:val="en-US"/>
        </w:rPr>
        <w:t>°), yellow (90</w:t>
      </w:r>
      <w:r w:rsidR="00A00D81">
        <w:rPr>
          <w:lang w:val="en-US"/>
        </w:rPr>
        <w:t xml:space="preserve"> </w:t>
      </w:r>
      <w:r>
        <w:rPr>
          <w:lang w:val="en-US"/>
        </w:rPr>
        <w:t>°), green (180</w:t>
      </w:r>
      <w:r w:rsidR="00A00D81">
        <w:rPr>
          <w:lang w:val="en-US"/>
        </w:rPr>
        <w:t xml:space="preserve"> </w:t>
      </w:r>
      <w:r w:rsidRPr="000C6321">
        <w:rPr>
          <w:lang w:val="en-US"/>
        </w:rPr>
        <w:t>°) and blue (360</w:t>
      </w:r>
      <w:r w:rsidR="00A00D81">
        <w:rPr>
          <w:lang w:val="en-US"/>
        </w:rPr>
        <w:t xml:space="preserve"> </w:t>
      </w:r>
      <w:r>
        <w:rPr>
          <w:lang w:val="en-US"/>
        </w:rPr>
        <w:t xml:space="preserve">°) </w:t>
      </w:r>
      <w:r w:rsidRPr="002F2278">
        <w:rPr>
          <w:lang w:val="en-US"/>
        </w:rPr>
        <w:t>(H</w:t>
      </w:r>
      <w:r w:rsidR="00A00D81">
        <w:rPr>
          <w:lang w:val="en-US"/>
        </w:rPr>
        <w:t>unter Lab</w:t>
      </w:r>
      <w:r w:rsidRPr="002F2278">
        <w:rPr>
          <w:lang w:val="en-US"/>
        </w:rPr>
        <w:t>, 201</w:t>
      </w:r>
      <w:r w:rsidRPr="000C6321">
        <w:rPr>
          <w:lang w:val="en-US"/>
        </w:rPr>
        <w:t>2)</w:t>
      </w:r>
      <w:r>
        <w:rPr>
          <w:lang w:val="en-US"/>
        </w:rPr>
        <w:t xml:space="preserve">. The </w:t>
      </w:r>
      <w:r w:rsidR="00CF5CD2">
        <w:rPr>
          <w:lang w:val="en-US"/>
        </w:rPr>
        <w:t xml:space="preserve">film </w:t>
      </w:r>
      <w:r>
        <w:rPr>
          <w:lang w:val="en-US"/>
        </w:rPr>
        <w:t xml:space="preserve">packaging produced in this work presented (p&lt;0.05) a </w:t>
      </w:r>
      <w:r w:rsidRPr="00925282">
        <w:rPr>
          <w:lang w:val="en-US"/>
        </w:rPr>
        <w:t>reduction in luminosity</w:t>
      </w:r>
      <w:r>
        <w:rPr>
          <w:lang w:val="en-US"/>
        </w:rPr>
        <w:t xml:space="preserve"> using extracts (</w:t>
      </w:r>
      <w:proofErr w:type="spellStart"/>
      <w:r w:rsidRPr="00925282">
        <w:rPr>
          <w:lang w:val="en-US"/>
        </w:rPr>
        <w:t>FPPe</w:t>
      </w:r>
      <w:proofErr w:type="spellEnd"/>
      <w:r>
        <w:rPr>
          <w:lang w:val="en-US"/>
        </w:rPr>
        <w:t xml:space="preserve"> and </w:t>
      </w:r>
      <w:proofErr w:type="spellStart"/>
      <w:r w:rsidRPr="00925282">
        <w:rPr>
          <w:lang w:val="en-US"/>
        </w:rPr>
        <w:t>FPHe</w:t>
      </w:r>
      <w:proofErr w:type="spellEnd"/>
      <w:r>
        <w:rPr>
          <w:lang w:val="en-US"/>
        </w:rPr>
        <w:t xml:space="preserve">) (Table </w:t>
      </w:r>
      <w:r w:rsidR="00CF5CD2">
        <w:rPr>
          <w:lang w:val="en-US"/>
        </w:rPr>
        <w:t>2</w:t>
      </w:r>
      <w:r>
        <w:rPr>
          <w:lang w:val="en-US"/>
        </w:rPr>
        <w:t xml:space="preserve">). </w:t>
      </w:r>
      <w:r w:rsidRPr="000E7FC0">
        <w:rPr>
          <w:lang w:val="en-US"/>
        </w:rPr>
        <w:t>Analyzing a</w:t>
      </w:r>
      <w:r w:rsidR="00A00D81">
        <w:rPr>
          <w:lang w:val="en-US"/>
        </w:rPr>
        <w:t xml:space="preserve"> </w:t>
      </w:r>
      <w:r w:rsidRPr="000E7FC0">
        <w:rPr>
          <w:lang w:val="en-US"/>
        </w:rPr>
        <w:t>* and b</w:t>
      </w:r>
      <w:r w:rsidR="00A00D81">
        <w:rPr>
          <w:lang w:val="en-US"/>
        </w:rPr>
        <w:t xml:space="preserve"> </w:t>
      </w:r>
      <w:r w:rsidRPr="000E7FC0">
        <w:rPr>
          <w:lang w:val="en-US"/>
        </w:rPr>
        <w:t>* parameters, it was observed</w:t>
      </w:r>
      <w:r w:rsidR="00A00D81">
        <w:rPr>
          <w:lang w:val="en-US"/>
        </w:rPr>
        <w:t xml:space="preserve"> an</w:t>
      </w:r>
      <w:r w:rsidRPr="000E7FC0">
        <w:rPr>
          <w:lang w:val="en-US"/>
        </w:rPr>
        <w:t xml:space="preserve"> increasing</w:t>
      </w:r>
      <w:r w:rsidR="00A00D81">
        <w:rPr>
          <w:lang w:val="en-US"/>
        </w:rPr>
        <w:t xml:space="preserve"> of the</w:t>
      </w:r>
      <w:r w:rsidRPr="000E7FC0">
        <w:rPr>
          <w:lang w:val="en-US"/>
        </w:rPr>
        <w:t xml:space="preserve"> values when incorporated </w:t>
      </w:r>
      <w:r>
        <w:rPr>
          <w:lang w:val="en-US"/>
        </w:rPr>
        <w:t>feijoa extracts</w:t>
      </w:r>
      <w:r w:rsidRPr="000E7FC0">
        <w:rPr>
          <w:lang w:val="en-US"/>
        </w:rPr>
        <w:t xml:space="preserve">, showing a tendency to </w:t>
      </w:r>
      <w:r>
        <w:rPr>
          <w:lang w:val="en-US"/>
        </w:rPr>
        <w:t>green</w:t>
      </w:r>
      <w:r w:rsidRPr="000E7FC0">
        <w:rPr>
          <w:lang w:val="en-US"/>
        </w:rPr>
        <w:t xml:space="preserve"> and yellow coloration</w:t>
      </w:r>
      <w:r>
        <w:rPr>
          <w:lang w:val="en-US"/>
        </w:rPr>
        <w:t>. The H</w:t>
      </w:r>
      <w:r w:rsidR="00A00D81">
        <w:rPr>
          <w:lang w:val="en-US"/>
        </w:rPr>
        <w:t xml:space="preserve"> </w:t>
      </w:r>
      <w:r w:rsidRPr="00925282">
        <w:rPr>
          <w:lang w:val="en-US"/>
        </w:rPr>
        <w:t>°</w:t>
      </w:r>
      <w:r>
        <w:rPr>
          <w:lang w:val="en-US"/>
        </w:rPr>
        <w:t xml:space="preserve"> presented</w:t>
      </w:r>
      <w:r w:rsidRPr="00925282">
        <w:rPr>
          <w:lang w:val="en-US"/>
        </w:rPr>
        <w:t xml:space="preserve"> values lower </w:t>
      </w:r>
      <w:r>
        <w:rPr>
          <w:lang w:val="en-US"/>
        </w:rPr>
        <w:t>around 90</w:t>
      </w:r>
      <w:r w:rsidR="00A00D81">
        <w:rPr>
          <w:lang w:val="en-US"/>
        </w:rPr>
        <w:t xml:space="preserve"> </w:t>
      </w:r>
      <w:r w:rsidRPr="00925282">
        <w:rPr>
          <w:lang w:val="en-US"/>
        </w:rPr>
        <w:t>°,</w:t>
      </w:r>
      <w:r>
        <w:rPr>
          <w:lang w:val="en-US"/>
        </w:rPr>
        <w:t xml:space="preserve"> characterizing the films as </w:t>
      </w:r>
      <w:r w:rsidRPr="00925282">
        <w:rPr>
          <w:lang w:val="en-US"/>
        </w:rPr>
        <w:t>yellow</w:t>
      </w:r>
      <w:r>
        <w:rPr>
          <w:lang w:val="en-US"/>
        </w:rPr>
        <w:t xml:space="preserve"> tonality.</w:t>
      </w:r>
    </w:p>
    <w:p w:rsidR="000C6321" w:rsidRPr="00DF7293" w:rsidRDefault="000C6321" w:rsidP="000C6321">
      <w:pPr>
        <w:pStyle w:val="CETTabletitle"/>
      </w:pPr>
      <w:r w:rsidRPr="00B57B36">
        <w:t xml:space="preserve">Table </w:t>
      </w:r>
      <w:r w:rsidR="00CF5CD2">
        <w:t>2</w:t>
      </w:r>
      <w:r w:rsidRPr="00B57B36">
        <w:t xml:space="preserve">: </w:t>
      </w:r>
      <w:proofErr w:type="spellStart"/>
      <w:r>
        <w:t>Color</w:t>
      </w:r>
      <w:proofErr w:type="spellEnd"/>
      <w:r>
        <w:t xml:space="preserve"> parameters of </w:t>
      </w:r>
      <w:r w:rsidR="00A00D81">
        <w:t xml:space="preserve">the </w:t>
      </w:r>
      <w:r w:rsidR="004708C1">
        <w:t>film</w:t>
      </w:r>
      <w:r>
        <w:t xml:space="preserve"> packaging produced with </w:t>
      </w:r>
      <w:proofErr w:type="spellStart"/>
      <w:r>
        <w:t>Acca</w:t>
      </w:r>
      <w:proofErr w:type="spellEnd"/>
      <w:r>
        <w:t xml:space="preserve"> </w:t>
      </w:r>
      <w:proofErr w:type="spellStart"/>
      <w:r>
        <w:t>sellowiana</w:t>
      </w:r>
      <w:proofErr w:type="spellEnd"/>
      <w:r>
        <w:t xml:space="preserve"> extracts.</w:t>
      </w:r>
      <w:r w:rsidRPr="00DF7293">
        <w:t xml:space="preserve">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1201"/>
        <w:gridCol w:w="1198"/>
        <w:gridCol w:w="1201"/>
        <w:gridCol w:w="1201"/>
        <w:gridCol w:w="1201"/>
      </w:tblGrid>
      <w:tr w:rsidR="00FD2405" w:rsidRPr="00B57B36" w:rsidTr="00A55FF9">
        <w:tc>
          <w:tcPr>
            <w:tcW w:w="1620" w:type="dxa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pStyle w:val="CETBodytex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Parameters</w:t>
            </w:r>
          </w:p>
        </w:tc>
        <w:tc>
          <w:tcPr>
            <w:tcW w:w="6002" w:type="dxa"/>
            <w:gridSpan w:val="5"/>
            <w:tcBorders>
              <w:top w:val="single" w:sz="12" w:space="0" w:color="008000"/>
              <w:bottom w:val="single" w:sz="6" w:space="0" w:color="76923C" w:themeColor="accent3" w:themeShade="BF"/>
            </w:tcBorders>
            <w:shd w:val="clear" w:color="auto" w:fill="FFFFFF"/>
            <w:vAlign w:val="center"/>
          </w:tcPr>
          <w:p w:rsidR="00FD2405" w:rsidRPr="00B57B36" w:rsidRDefault="00FD2405" w:rsidP="00DF729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D36B9">
              <w:rPr>
                <w:rFonts w:cs="Arial"/>
                <w:szCs w:val="18"/>
              </w:rPr>
              <w:t>Color Values</w:t>
            </w:r>
          </w:p>
        </w:tc>
      </w:tr>
      <w:tr w:rsidR="00FD2405" w:rsidRPr="00B57B36" w:rsidTr="00A55FF9">
        <w:tc>
          <w:tcPr>
            <w:tcW w:w="1620" w:type="dxa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pStyle w:val="CETBodytex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01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L</w:t>
            </w:r>
            <w:r>
              <w:rPr>
                <w:rFonts w:cs="Arial"/>
                <w:szCs w:val="18"/>
              </w:rPr>
              <w:t xml:space="preserve"> </w:t>
            </w:r>
            <w:r w:rsidRPr="001D36B9">
              <w:rPr>
                <w:rFonts w:cs="Arial"/>
                <w:szCs w:val="18"/>
              </w:rPr>
              <w:t>*</w:t>
            </w:r>
          </w:p>
        </w:tc>
        <w:tc>
          <w:tcPr>
            <w:tcW w:w="1198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a</w:t>
            </w:r>
            <w:r>
              <w:rPr>
                <w:rFonts w:cs="Arial"/>
                <w:szCs w:val="18"/>
              </w:rPr>
              <w:t xml:space="preserve"> </w:t>
            </w:r>
            <w:r w:rsidRPr="001D36B9">
              <w:rPr>
                <w:rFonts w:cs="Arial"/>
                <w:szCs w:val="18"/>
              </w:rPr>
              <w:t>*</w:t>
            </w:r>
          </w:p>
        </w:tc>
        <w:tc>
          <w:tcPr>
            <w:tcW w:w="1201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b</w:t>
            </w:r>
            <w:r>
              <w:rPr>
                <w:rFonts w:cs="Arial"/>
                <w:szCs w:val="18"/>
              </w:rPr>
              <w:t xml:space="preserve"> </w:t>
            </w:r>
            <w:r w:rsidRPr="001D36B9">
              <w:rPr>
                <w:rFonts w:cs="Arial"/>
                <w:szCs w:val="18"/>
              </w:rPr>
              <w:t>*</w:t>
            </w:r>
          </w:p>
        </w:tc>
        <w:tc>
          <w:tcPr>
            <w:tcW w:w="1201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C</w:t>
            </w:r>
            <w:r>
              <w:rPr>
                <w:rFonts w:cs="Arial"/>
                <w:szCs w:val="18"/>
              </w:rPr>
              <w:t xml:space="preserve"> </w:t>
            </w:r>
            <w:r w:rsidRPr="001D36B9">
              <w:rPr>
                <w:rFonts w:cs="Arial"/>
                <w:szCs w:val="18"/>
              </w:rPr>
              <w:t>*</w:t>
            </w:r>
          </w:p>
        </w:tc>
        <w:tc>
          <w:tcPr>
            <w:tcW w:w="1201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H</w:t>
            </w:r>
            <w:r>
              <w:rPr>
                <w:rFonts w:cs="Arial"/>
                <w:szCs w:val="18"/>
              </w:rPr>
              <w:t xml:space="preserve"> </w:t>
            </w:r>
            <w:r w:rsidRPr="001D36B9">
              <w:rPr>
                <w:rFonts w:cs="Arial"/>
                <w:szCs w:val="18"/>
              </w:rPr>
              <w:t>°</w:t>
            </w:r>
          </w:p>
        </w:tc>
      </w:tr>
      <w:tr w:rsidR="00FD2405" w:rsidRPr="007B5005" w:rsidTr="004708C1">
        <w:tc>
          <w:tcPr>
            <w:tcW w:w="1620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pStyle w:val="CETBodytext"/>
              <w:rPr>
                <w:rFonts w:cs="Arial"/>
                <w:szCs w:val="18"/>
                <w:lang w:val="en-GB"/>
              </w:rPr>
            </w:pPr>
            <w:r w:rsidRPr="001D36B9">
              <w:rPr>
                <w:rFonts w:cs="Arial"/>
                <w:szCs w:val="18"/>
                <w:lang w:val="en-GB"/>
              </w:rPr>
              <w:t>FPC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86.88 ± 0.53</w:t>
            </w:r>
            <w:r>
              <w:rPr>
                <w:szCs w:val="18"/>
                <w:vertAlign w:val="superscript"/>
              </w:rPr>
              <w:t>a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0.15 ± 0.06</w:t>
            </w:r>
            <w:r w:rsidRPr="001D36B9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6.77 ± 0.88</w:t>
            </w:r>
            <w:r w:rsidRPr="001D36B9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6.77 ± 0.88</w:t>
            </w:r>
            <w:r w:rsidRPr="001D36B9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88.74 ± 0.47</w:t>
            </w:r>
            <w:r w:rsidRPr="001D36B9">
              <w:rPr>
                <w:rFonts w:cs="Arial"/>
                <w:szCs w:val="18"/>
                <w:vertAlign w:val="superscript"/>
              </w:rPr>
              <w:t>b</w:t>
            </w:r>
          </w:p>
        </w:tc>
      </w:tr>
      <w:tr w:rsidR="00FD2405" w:rsidRPr="007B5005" w:rsidTr="004708C1">
        <w:tc>
          <w:tcPr>
            <w:tcW w:w="1620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pStyle w:val="CETBodytext"/>
              <w:rPr>
                <w:rFonts w:cs="Arial"/>
                <w:szCs w:val="18"/>
                <w:lang w:val="en-GB"/>
              </w:rPr>
            </w:pPr>
            <w:proofErr w:type="spellStart"/>
            <w:r w:rsidRPr="001D36B9">
              <w:rPr>
                <w:rFonts w:cs="Arial"/>
                <w:szCs w:val="18"/>
                <w:lang w:val="en-GB"/>
              </w:rPr>
              <w:t>FPPe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79.31 ± 1.45</w:t>
            </w:r>
            <w:r>
              <w:rPr>
                <w:szCs w:val="18"/>
                <w:vertAlign w:val="superscript"/>
              </w:rPr>
              <w:t>b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-0.45 ± 0.49</w:t>
            </w:r>
            <w:r w:rsidRPr="001D36B9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34.92 ± 3.22</w:t>
            </w:r>
            <w:r w:rsidRPr="001D36B9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34.92 ± 3.22</w:t>
            </w:r>
            <w:r w:rsidRPr="001D36B9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90.79 ± 0.92</w:t>
            </w:r>
            <w:r w:rsidRPr="001D36B9">
              <w:rPr>
                <w:rFonts w:cs="Arial"/>
                <w:szCs w:val="18"/>
                <w:vertAlign w:val="superscript"/>
              </w:rPr>
              <w:t>a</w:t>
            </w:r>
          </w:p>
        </w:tc>
      </w:tr>
      <w:tr w:rsidR="00FD2405" w:rsidRPr="007B5005" w:rsidTr="004708C1">
        <w:tc>
          <w:tcPr>
            <w:tcW w:w="1620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r w:rsidRPr="001D36B9">
              <w:rPr>
                <w:rFonts w:cs="Arial"/>
                <w:szCs w:val="18"/>
                <w:lang w:val="en-GB"/>
              </w:rPr>
              <w:t>FPHe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74.96 ± 0.99</w:t>
            </w:r>
            <w:r>
              <w:rPr>
                <w:szCs w:val="18"/>
                <w:vertAlign w:val="superscript"/>
              </w:rPr>
              <w:t>c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2.68 ± 0.68</w:t>
            </w:r>
            <w:r w:rsidRPr="001D36B9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60.14 ± 0.67</w:t>
            </w:r>
            <w:r w:rsidRPr="001D36B9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60.21 ± 0.69</w:t>
            </w:r>
            <w:r w:rsidRPr="001D36B9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D2405" w:rsidRPr="001D36B9" w:rsidRDefault="00FD2405" w:rsidP="00DF7293">
            <w:pPr>
              <w:widowControl w:val="0"/>
              <w:rPr>
                <w:rFonts w:cs="Arial"/>
                <w:szCs w:val="18"/>
              </w:rPr>
            </w:pPr>
            <w:r w:rsidRPr="001D36B9">
              <w:rPr>
                <w:rFonts w:cs="Arial"/>
                <w:szCs w:val="18"/>
              </w:rPr>
              <w:t>87.44 ± 0.63</w:t>
            </w:r>
            <w:r w:rsidRPr="001D36B9">
              <w:rPr>
                <w:rFonts w:cs="Arial"/>
                <w:szCs w:val="18"/>
                <w:vertAlign w:val="superscript"/>
              </w:rPr>
              <w:t>b</w:t>
            </w:r>
          </w:p>
        </w:tc>
      </w:tr>
    </w:tbl>
    <w:p w:rsidR="00C15A10" w:rsidRDefault="00C15A10" w:rsidP="00C15A10">
      <w:pPr>
        <w:pStyle w:val="CETTabletitle"/>
        <w:spacing w:before="0" w:line="240" w:lineRule="auto"/>
      </w:pPr>
      <w:r w:rsidRPr="00F0291C">
        <w:rPr>
          <w:i w:val="0"/>
          <w:sz w:val="16"/>
        </w:rPr>
        <w:t>The results are expressed as mean ± standard deviation</w:t>
      </w:r>
      <w:r>
        <w:rPr>
          <w:i w:val="0"/>
          <w:sz w:val="16"/>
        </w:rPr>
        <w:t xml:space="preserve"> (n=5</w:t>
      </w:r>
      <w:r w:rsidRPr="00F0291C">
        <w:rPr>
          <w:i w:val="0"/>
          <w:sz w:val="16"/>
        </w:rPr>
        <w:t xml:space="preserve">). Different letters in each column after standard deviation represent a significant difference by </w:t>
      </w:r>
      <w:proofErr w:type="spellStart"/>
      <w:r w:rsidRPr="00F0291C">
        <w:rPr>
          <w:i w:val="0"/>
          <w:sz w:val="16"/>
        </w:rPr>
        <w:t>Tukey’s</w:t>
      </w:r>
      <w:proofErr w:type="spellEnd"/>
      <w:r w:rsidRPr="00F0291C">
        <w:rPr>
          <w:i w:val="0"/>
          <w:sz w:val="16"/>
        </w:rPr>
        <w:t xml:space="preserve"> test (p</w:t>
      </w:r>
      <w:r w:rsidRPr="00C15A10">
        <w:rPr>
          <w:i w:val="0"/>
          <w:sz w:val="16"/>
        </w:rPr>
        <w:t>&lt;0.05).</w:t>
      </w:r>
    </w:p>
    <w:p w:rsidR="00980CD5" w:rsidRDefault="00980CD5" w:rsidP="00477C2B">
      <w:pPr>
        <w:pStyle w:val="CETBodytext"/>
        <w:rPr>
          <w:lang w:val="en-GB"/>
        </w:rPr>
      </w:pPr>
    </w:p>
    <w:p w:rsidR="003B503D" w:rsidRDefault="00980CD5" w:rsidP="00980CD5">
      <w:pPr>
        <w:pStyle w:val="CETBodytext"/>
      </w:pPr>
      <w:r w:rsidRPr="00980CD5">
        <w:rPr>
          <w:lang w:val="en-GB"/>
        </w:rPr>
        <w:t>FPC</w:t>
      </w:r>
      <w:r>
        <w:rPr>
          <w:lang w:val="en-GB"/>
        </w:rPr>
        <w:t xml:space="preserve">, </w:t>
      </w:r>
      <w:proofErr w:type="spellStart"/>
      <w:r w:rsidRPr="00980CD5">
        <w:rPr>
          <w:lang w:val="en-GB"/>
        </w:rPr>
        <w:t>FPPe</w:t>
      </w:r>
      <w:proofErr w:type="spellEnd"/>
      <w:r>
        <w:rPr>
          <w:lang w:val="en-GB"/>
        </w:rPr>
        <w:t xml:space="preserve">, </w:t>
      </w:r>
      <w:proofErr w:type="spellStart"/>
      <w:r w:rsidRPr="00980CD5">
        <w:rPr>
          <w:lang w:val="en-GB"/>
        </w:rPr>
        <w:t>FPHe</w:t>
      </w:r>
      <w:proofErr w:type="spellEnd"/>
      <w:r>
        <w:rPr>
          <w:lang w:val="en-GB"/>
        </w:rPr>
        <w:t xml:space="preserve">, Brazilian pine seeds starch and citric pectin were evaluated by </w:t>
      </w:r>
      <w:r w:rsidRPr="00980CD5">
        <w:rPr>
          <w:lang w:val="en-GB"/>
        </w:rPr>
        <w:t>Fourier Transform Infrared</w:t>
      </w:r>
      <w:r>
        <w:rPr>
          <w:lang w:val="en-GB"/>
        </w:rPr>
        <w:t xml:space="preserve"> </w:t>
      </w:r>
      <w:r w:rsidR="00A00D81">
        <w:rPr>
          <w:lang w:val="en-GB"/>
        </w:rPr>
        <w:t xml:space="preserve">Spectra </w:t>
      </w:r>
      <w:r>
        <w:rPr>
          <w:lang w:val="en-GB"/>
        </w:rPr>
        <w:t xml:space="preserve">(FTIR) (Figure </w:t>
      </w:r>
      <w:r w:rsidR="00CF5CD2">
        <w:rPr>
          <w:lang w:val="en-GB"/>
        </w:rPr>
        <w:t>3</w:t>
      </w:r>
      <w:r>
        <w:rPr>
          <w:lang w:val="en-GB"/>
        </w:rPr>
        <w:t>a) and D</w:t>
      </w:r>
      <w:proofErr w:type="spellStart"/>
      <w:r w:rsidRPr="00074143">
        <w:t>ifferential</w:t>
      </w:r>
      <w:proofErr w:type="spellEnd"/>
      <w:r w:rsidRPr="00074143">
        <w:t xml:space="preserve"> Scanning </w:t>
      </w:r>
      <w:proofErr w:type="spellStart"/>
      <w:r w:rsidRPr="00074143">
        <w:t>Calorimetry</w:t>
      </w:r>
      <w:proofErr w:type="spellEnd"/>
      <w:r>
        <w:t xml:space="preserve"> (Figure </w:t>
      </w:r>
      <w:r w:rsidR="00CF5CD2">
        <w:t>3</w:t>
      </w:r>
      <w:r>
        <w:t>b).</w:t>
      </w:r>
      <w:r w:rsidRPr="00980CD5">
        <w:t xml:space="preserve"> </w:t>
      </w:r>
      <w:r>
        <w:t>In general, t</w:t>
      </w:r>
      <w:r w:rsidRPr="00980CD5">
        <w:t xml:space="preserve">here was no difference between </w:t>
      </w:r>
      <w:r w:rsidR="00A00D81">
        <w:t>packaging</w:t>
      </w:r>
      <w:r w:rsidRPr="00980CD5">
        <w:t xml:space="preserve"> FTIR spectra</w:t>
      </w:r>
      <w:r>
        <w:t>, and the starch and pectin presented a standard spectrum, reported by other authors</w:t>
      </w:r>
      <w:r w:rsidR="00A00D81">
        <w:t xml:space="preserve"> (</w:t>
      </w:r>
      <w:proofErr w:type="spellStart"/>
      <w:r w:rsidR="00CF5CD2" w:rsidRPr="00CF5CD2">
        <w:rPr>
          <w:rFonts w:cs="Arial"/>
          <w:szCs w:val="18"/>
        </w:rPr>
        <w:t>Daudt</w:t>
      </w:r>
      <w:proofErr w:type="spellEnd"/>
      <w:r w:rsidR="00CF5CD2">
        <w:rPr>
          <w:rFonts w:cs="Arial"/>
          <w:szCs w:val="18"/>
        </w:rPr>
        <w:t xml:space="preserve"> et al., 2016</w:t>
      </w:r>
      <w:r w:rsidR="00A00D81">
        <w:t>)</w:t>
      </w:r>
      <w:r>
        <w:t xml:space="preserve">. </w:t>
      </w:r>
      <w:r w:rsidRPr="00980CD5">
        <w:t xml:space="preserve">There were no chemical structural changes between </w:t>
      </w:r>
      <w:r>
        <w:t>packaging</w:t>
      </w:r>
      <w:r w:rsidRPr="00980CD5">
        <w:t xml:space="preserve"> </w:t>
      </w:r>
      <w:r>
        <w:t xml:space="preserve">with </w:t>
      </w:r>
      <w:proofErr w:type="spellStart"/>
      <w:r w:rsidRPr="00980CD5">
        <w:rPr>
          <w:i/>
        </w:rPr>
        <w:t>Acca</w:t>
      </w:r>
      <w:proofErr w:type="spellEnd"/>
      <w:r w:rsidRPr="00980CD5">
        <w:rPr>
          <w:i/>
        </w:rPr>
        <w:t xml:space="preserve"> </w:t>
      </w:r>
      <w:proofErr w:type="spellStart"/>
      <w:r w:rsidRPr="00980CD5">
        <w:rPr>
          <w:i/>
        </w:rPr>
        <w:t>sellowiana</w:t>
      </w:r>
      <w:proofErr w:type="spellEnd"/>
      <w:r>
        <w:t xml:space="preserve"> extracts addition. In the analyses of DCS, an </w:t>
      </w:r>
      <w:r w:rsidR="00B01C50">
        <w:t>endothermic</w:t>
      </w:r>
      <w:r>
        <w:t xml:space="preserve"> pe</w:t>
      </w:r>
      <w:r w:rsidR="00B01C50">
        <w:t>ak was noted (</w:t>
      </w:r>
      <w:r w:rsidR="00B01C50" w:rsidRPr="00B01C50">
        <w:t>-18 ± 1°C</w:t>
      </w:r>
      <w:r w:rsidR="00244EF8">
        <w:t>), and it i</w:t>
      </w:r>
      <w:r w:rsidR="00B01C50">
        <w:t>s related to the use of glycerol in the formulation of the blends</w:t>
      </w:r>
      <w:r w:rsidR="00B01C50" w:rsidRPr="00B01C50">
        <w:t xml:space="preserve"> (</w:t>
      </w:r>
      <w:proofErr w:type="spellStart"/>
      <w:r w:rsidR="00B01C50" w:rsidRPr="00B01C50">
        <w:t>Nunes</w:t>
      </w:r>
      <w:proofErr w:type="spellEnd"/>
      <w:r w:rsidR="00B01C50" w:rsidRPr="00B01C50">
        <w:t xml:space="preserve"> et al., 2018</w:t>
      </w:r>
      <w:r w:rsidR="00B01C50">
        <w:t xml:space="preserve">). FPC presented an endothermic peak at 60 </w:t>
      </w:r>
      <w:r w:rsidR="00B01C50" w:rsidRPr="00B01C50">
        <w:t>± 1°C</w:t>
      </w:r>
      <w:r w:rsidR="00B01C50">
        <w:t>,</w:t>
      </w:r>
      <w:r w:rsidR="00CF5CD2">
        <w:t xml:space="preserve"> and none explanations were found to this fact. </w:t>
      </w:r>
      <w:r w:rsidR="00B01C50">
        <w:t xml:space="preserve">However, </w:t>
      </w:r>
      <w:proofErr w:type="spellStart"/>
      <w:r w:rsidR="00B01C50">
        <w:t>FPPe</w:t>
      </w:r>
      <w:proofErr w:type="spellEnd"/>
      <w:r w:rsidR="00B01C50">
        <w:t xml:space="preserve"> and </w:t>
      </w:r>
      <w:proofErr w:type="spellStart"/>
      <w:r w:rsidR="00B01C50">
        <w:t>FPHe</w:t>
      </w:r>
      <w:proofErr w:type="spellEnd"/>
      <w:r w:rsidR="00B01C50">
        <w:t xml:space="preserve"> did not present this peak, and a possible </w:t>
      </w:r>
      <w:r w:rsidR="006105FD">
        <w:t>explanation</w:t>
      </w:r>
      <w:r w:rsidR="00B01C50">
        <w:t xml:space="preserve"> to this fact is </w:t>
      </w:r>
      <w:r w:rsidR="006105FD">
        <w:t xml:space="preserve">might  be found in the promotion of resistance against packaging degradation imported by </w:t>
      </w:r>
      <w:r w:rsidR="00B01C50">
        <w:t>the bioactive compounds on feijoa extract</w:t>
      </w:r>
      <w:r w:rsidR="00356FAF">
        <w:t xml:space="preserve">, </w:t>
      </w:r>
      <w:r w:rsidR="00B01C50" w:rsidRPr="00B01C50">
        <w:t>since there are no additional degradation peaks</w:t>
      </w:r>
      <w:r w:rsidR="00B01C50">
        <w:t>.</w:t>
      </w:r>
    </w:p>
    <w:p w:rsidR="00597B34" w:rsidRDefault="00597B34" w:rsidP="00980CD5">
      <w:pPr>
        <w:pStyle w:val="CETBodytext"/>
      </w:pPr>
    </w:p>
    <w:p w:rsidR="00402D78" w:rsidRDefault="00402D78" w:rsidP="00192022">
      <w:pPr>
        <w:pStyle w:val="CETBodytext"/>
        <w:jc w:val="left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5B8AF8CE">
            <wp:extent cx="5556250" cy="2070100"/>
            <wp:effectExtent l="0" t="0" r="635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" t="3704" b="3414"/>
                    <a:stretch/>
                  </pic:blipFill>
                  <pic:spPr bwMode="auto">
                    <a:xfrm>
                      <a:off x="0" y="0"/>
                      <a:ext cx="5558288" cy="20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297" w:rsidRDefault="00B01C50" w:rsidP="00DC2297">
      <w:pPr>
        <w:pStyle w:val="CETBodytext"/>
        <w:jc w:val="left"/>
        <w:rPr>
          <w:i/>
        </w:rPr>
      </w:pPr>
      <w:r>
        <w:rPr>
          <w:i/>
          <w:lang w:val="en-GB"/>
        </w:rPr>
        <w:t xml:space="preserve">Figure </w:t>
      </w:r>
      <w:r w:rsidR="00CF5CD2">
        <w:rPr>
          <w:i/>
          <w:lang w:val="en-GB"/>
        </w:rPr>
        <w:t>3</w:t>
      </w:r>
      <w:r>
        <w:rPr>
          <w:i/>
          <w:lang w:val="en-GB"/>
        </w:rPr>
        <w:t xml:space="preserve">: </w:t>
      </w:r>
      <w:r w:rsidR="00402D78">
        <w:rPr>
          <w:i/>
          <w:lang w:val="en-GB"/>
        </w:rPr>
        <w:t xml:space="preserve">(a) </w:t>
      </w:r>
      <w:r>
        <w:rPr>
          <w:i/>
          <w:lang w:val="en-GB"/>
        </w:rPr>
        <w:t xml:space="preserve">FTIR and </w:t>
      </w:r>
      <w:r w:rsidR="00402D78">
        <w:rPr>
          <w:i/>
          <w:lang w:val="en-GB"/>
        </w:rPr>
        <w:t xml:space="preserve">(b) </w:t>
      </w:r>
      <w:r w:rsidRPr="00B01C50">
        <w:rPr>
          <w:i/>
          <w:lang w:val="en-GB"/>
        </w:rPr>
        <w:t>DSC analyses o</w:t>
      </w:r>
      <w:proofErr w:type="spellStart"/>
      <w:r w:rsidRPr="00B01C50">
        <w:rPr>
          <w:i/>
        </w:rPr>
        <w:t>f</w:t>
      </w:r>
      <w:proofErr w:type="spellEnd"/>
      <w:r w:rsidR="00A00D81">
        <w:rPr>
          <w:i/>
        </w:rPr>
        <w:t xml:space="preserve"> the</w:t>
      </w:r>
      <w:r w:rsidRPr="00B01C50">
        <w:rPr>
          <w:i/>
        </w:rPr>
        <w:t xml:space="preserve"> food packaging produced with </w:t>
      </w:r>
      <w:proofErr w:type="spellStart"/>
      <w:r w:rsidRPr="00B01C50">
        <w:rPr>
          <w:i/>
        </w:rPr>
        <w:t>Acca</w:t>
      </w:r>
      <w:proofErr w:type="spellEnd"/>
      <w:r w:rsidRPr="00B01C50">
        <w:rPr>
          <w:i/>
        </w:rPr>
        <w:t xml:space="preserve"> </w:t>
      </w:r>
      <w:proofErr w:type="spellStart"/>
      <w:r w:rsidRPr="00B01C50">
        <w:rPr>
          <w:i/>
        </w:rPr>
        <w:t>sellowiana</w:t>
      </w:r>
      <w:proofErr w:type="spellEnd"/>
      <w:r w:rsidRPr="00B01C50">
        <w:rPr>
          <w:i/>
        </w:rPr>
        <w:t xml:space="preserve"> extracts</w:t>
      </w:r>
      <w:r>
        <w:rPr>
          <w:i/>
        </w:rPr>
        <w:t>.</w:t>
      </w:r>
    </w:p>
    <w:p w:rsidR="00DC2297" w:rsidRDefault="00DC2297" w:rsidP="00DC2297">
      <w:pPr>
        <w:pStyle w:val="CETBodytext"/>
        <w:jc w:val="left"/>
        <w:rPr>
          <w:i/>
        </w:rPr>
      </w:pPr>
    </w:p>
    <w:p w:rsidR="000B0244" w:rsidRDefault="00363030" w:rsidP="00DC2297">
      <w:pPr>
        <w:pStyle w:val="CETBodytext"/>
        <w:rPr>
          <w:rFonts w:cs="Arial"/>
          <w:i/>
          <w:szCs w:val="18"/>
        </w:rPr>
      </w:pPr>
      <w:r>
        <w:t xml:space="preserve">The presence of </w:t>
      </w:r>
      <w:r w:rsidR="00AC0EDA">
        <w:t>plant secondary metabolites</w:t>
      </w:r>
      <w:r>
        <w:t xml:space="preserve"> in a biofilm </w:t>
      </w:r>
      <w:r w:rsidR="00356FAF">
        <w:t xml:space="preserve">suggests its </w:t>
      </w:r>
      <w:r>
        <w:t xml:space="preserve">classification into a new </w:t>
      </w:r>
      <w:r w:rsidR="00356FAF">
        <w:t>category of packaging materials, which is ‘</w:t>
      </w:r>
      <w:r>
        <w:t>bioactive food packaging</w:t>
      </w:r>
      <w:r w:rsidR="00356FAF">
        <w:t>’</w:t>
      </w:r>
      <w:r>
        <w:t>. These compounds present a biological importance to the human health, promoting the inhibition of reactive species in the metabolism (</w:t>
      </w:r>
      <w:r w:rsidRPr="004C4593">
        <w:t>Liu, 2004</w:t>
      </w:r>
      <w:r>
        <w:t>).</w:t>
      </w:r>
      <w:r w:rsidR="00AC0EDA">
        <w:t xml:space="preserve"> However, </w:t>
      </w:r>
      <w:r w:rsidR="00356FAF">
        <w:t xml:space="preserve">once </w:t>
      </w:r>
      <w:r w:rsidR="00AC0EDA">
        <w:lastRenderedPageBreak/>
        <w:t>incorporated i</w:t>
      </w:r>
      <w:r>
        <w:t xml:space="preserve">n a bio-polymer these natural compounds can acts as </w:t>
      </w:r>
      <w:r w:rsidR="00A00D81">
        <w:t>potential</w:t>
      </w:r>
      <w:r>
        <w:t xml:space="preserve"> </w:t>
      </w:r>
      <w:r w:rsidRPr="00363030">
        <w:t xml:space="preserve">food </w:t>
      </w:r>
      <w:r w:rsidR="00356FAF">
        <w:t>preservative</w:t>
      </w:r>
      <w:r w:rsidRPr="00363030">
        <w:t xml:space="preserve">. In this study, </w:t>
      </w:r>
      <w:proofErr w:type="spellStart"/>
      <w:r w:rsidRPr="00363030">
        <w:rPr>
          <w:rFonts w:cs="Arial"/>
          <w:szCs w:val="18"/>
        </w:rPr>
        <w:t>FPHe</w:t>
      </w:r>
      <w:proofErr w:type="spellEnd"/>
      <w:r w:rsidRPr="00363030">
        <w:t xml:space="preserve"> presented a higher content of total phenolic (</w:t>
      </w:r>
      <w:r w:rsidRPr="00363030">
        <w:rPr>
          <w:rFonts w:cs="Arial"/>
          <w:szCs w:val="18"/>
        </w:rPr>
        <w:t>10.92 ± 0.29 mg GAE g</w:t>
      </w:r>
      <w:r w:rsidRPr="00363030">
        <w:rPr>
          <w:rFonts w:cs="Arial"/>
          <w:szCs w:val="18"/>
          <w:vertAlign w:val="superscript"/>
        </w:rPr>
        <w:t>-1</w:t>
      </w:r>
      <w:r w:rsidRPr="00363030">
        <w:t>)</w:t>
      </w:r>
      <w:r>
        <w:t xml:space="preserve"> and </w:t>
      </w:r>
      <w:r w:rsidRPr="00363030">
        <w:t>total flavonoid compounds (</w:t>
      </w:r>
      <w:r w:rsidRPr="00363030">
        <w:rPr>
          <w:rFonts w:cs="Arial"/>
          <w:szCs w:val="18"/>
        </w:rPr>
        <w:t>9.73 ± 0.21 mg QE g</w:t>
      </w:r>
      <w:r w:rsidRPr="00363030">
        <w:rPr>
          <w:rFonts w:cs="Arial"/>
          <w:szCs w:val="18"/>
          <w:vertAlign w:val="superscript"/>
        </w:rPr>
        <w:t>-1</w:t>
      </w:r>
      <w:r w:rsidRPr="00363030">
        <w:t>)</w:t>
      </w:r>
      <w:r>
        <w:t xml:space="preserve"> comparing to the control film and to the film with pulp extract addition</w:t>
      </w:r>
      <w:r w:rsidR="002707E0">
        <w:t xml:space="preserve"> (Table 3)</w:t>
      </w:r>
      <w:r>
        <w:t>.</w:t>
      </w:r>
      <w:r w:rsidR="006C16B8">
        <w:t xml:space="preserve"> In general, this fact can be explained because the aqueous extract of feijoa husk presented higher content of phenolic compounds (0.87 ± 0.02</w:t>
      </w:r>
      <w:r w:rsidR="006C16B8" w:rsidRPr="006C16B8">
        <w:t xml:space="preserve"> mg</w:t>
      </w:r>
      <w:r w:rsidR="006C16B8">
        <w:t xml:space="preserve"> GAE</w:t>
      </w:r>
      <w:r w:rsidR="006C16B8" w:rsidRPr="006C16B8">
        <w:t xml:space="preserve"> mL</w:t>
      </w:r>
      <w:r w:rsidR="006C16B8" w:rsidRPr="006C16B8">
        <w:rPr>
          <w:vertAlign w:val="superscript"/>
        </w:rPr>
        <w:t>-1</w:t>
      </w:r>
      <w:r w:rsidR="006C16B8" w:rsidRPr="006C16B8">
        <w:t>)</w:t>
      </w:r>
      <w:r w:rsidR="006C16B8">
        <w:t xml:space="preserve"> and flavonoids (0.78 ± 0.02</w:t>
      </w:r>
      <w:r w:rsidR="006C16B8" w:rsidRPr="006C16B8">
        <w:t xml:space="preserve"> mg</w:t>
      </w:r>
      <w:r w:rsidR="006C16B8">
        <w:t xml:space="preserve"> QE</w:t>
      </w:r>
      <w:r w:rsidR="006C16B8" w:rsidRPr="006C16B8">
        <w:t xml:space="preserve"> mL</w:t>
      </w:r>
      <w:r w:rsidR="006C16B8" w:rsidRPr="006C16B8">
        <w:rPr>
          <w:vertAlign w:val="superscript"/>
        </w:rPr>
        <w:t>-1</w:t>
      </w:r>
      <w:r w:rsidR="006C16B8">
        <w:t>).</w:t>
      </w:r>
      <w:r w:rsidR="00AC0EDA">
        <w:t xml:space="preserve"> In general, </w:t>
      </w:r>
      <w:r w:rsidR="00356FAF">
        <w:t xml:space="preserve">the </w:t>
      </w:r>
      <w:r w:rsidR="00AC0EDA">
        <w:t xml:space="preserve">fruit husk </w:t>
      </w:r>
      <w:r w:rsidR="00356FAF">
        <w:t>contains</w:t>
      </w:r>
      <w:r w:rsidR="00AC0EDA">
        <w:t xml:space="preserve"> more metabolites comparing to the edible part, because the plant needs a protection against </w:t>
      </w:r>
      <w:r w:rsidR="00AC0EDA" w:rsidRPr="00AC0EDA">
        <w:t>ultraviolet radiations, bacteria, insects and viruses (</w:t>
      </w:r>
      <w:proofErr w:type="spellStart"/>
      <w:r w:rsidR="00AC0EDA" w:rsidRPr="004C4593">
        <w:t>Thilakarathna</w:t>
      </w:r>
      <w:proofErr w:type="spellEnd"/>
      <w:r w:rsidR="00AC0EDA" w:rsidRPr="004C4593">
        <w:t xml:space="preserve"> </w:t>
      </w:r>
      <w:r w:rsidR="00C22F01" w:rsidRPr="004C4593">
        <w:t>&amp;</w:t>
      </w:r>
      <w:r w:rsidR="00AC0EDA" w:rsidRPr="004C4593">
        <w:t xml:space="preserve"> </w:t>
      </w:r>
      <w:proofErr w:type="spellStart"/>
      <w:r w:rsidR="00AC0EDA" w:rsidRPr="004C4593">
        <w:t>Rupasinghe</w:t>
      </w:r>
      <w:proofErr w:type="spellEnd"/>
      <w:r w:rsidR="00C22F01" w:rsidRPr="004C4593">
        <w:t>,</w:t>
      </w:r>
      <w:r w:rsidR="00AC0EDA" w:rsidRPr="004C4593">
        <w:t xml:space="preserve"> 2012</w:t>
      </w:r>
      <w:r w:rsidR="00AC0EDA">
        <w:t>;</w:t>
      </w:r>
      <w:r w:rsidR="00AC0EDA" w:rsidRPr="00AC0EDA">
        <w:t xml:space="preserve"> </w:t>
      </w:r>
      <w:proofErr w:type="spellStart"/>
      <w:r w:rsidR="00AC0EDA" w:rsidRPr="004C4593">
        <w:t>Heleno</w:t>
      </w:r>
      <w:proofErr w:type="spellEnd"/>
      <w:r w:rsidR="00AC0EDA" w:rsidRPr="004C4593">
        <w:t xml:space="preserve"> et al.</w:t>
      </w:r>
      <w:r w:rsidR="00C22F01" w:rsidRPr="004C4593">
        <w:t>,</w:t>
      </w:r>
      <w:r w:rsidR="00AC0EDA" w:rsidRPr="004C4593">
        <w:t xml:space="preserve"> 2015</w:t>
      </w:r>
      <w:r w:rsidR="00AC0EDA">
        <w:t xml:space="preserve">; </w:t>
      </w:r>
      <w:r w:rsidR="00AC0EDA" w:rsidRPr="004C4593">
        <w:t>Sganzerla et al., 2018</w:t>
      </w:r>
      <w:r w:rsidR="00C22F01" w:rsidRPr="004C4593">
        <w:t>b</w:t>
      </w:r>
      <w:r w:rsidR="00C22F01">
        <w:t xml:space="preserve">). </w:t>
      </w:r>
      <w:r w:rsidR="00356FAF">
        <w:t>The p</w:t>
      </w:r>
      <w:r w:rsidR="00C22F01">
        <w:t>resence of p</w:t>
      </w:r>
      <w:r w:rsidR="00C22F01" w:rsidRPr="00C22F01">
        <w:t xml:space="preserve">olyphenol </w:t>
      </w:r>
      <w:r w:rsidR="00C22F01">
        <w:t>is correlated with a</w:t>
      </w:r>
      <w:r w:rsidR="00C22F01" w:rsidRPr="00C22F01">
        <w:t xml:space="preserve"> high antioxidant action, being effective </w:t>
      </w:r>
      <w:r w:rsidR="00C22F01">
        <w:t xml:space="preserve">against reactive oxygen species, and </w:t>
      </w:r>
      <w:r w:rsidR="00C22F01" w:rsidRPr="00C22F01">
        <w:t>control the damage caused by free radical</w:t>
      </w:r>
      <w:r w:rsidR="00C22F01">
        <w:t>s.</w:t>
      </w:r>
      <w:r w:rsidR="00C22F01" w:rsidRPr="00C22F01">
        <w:t xml:space="preserve"> Besides, many </w:t>
      </w:r>
      <w:r w:rsidR="00C22F01">
        <w:t>studies</w:t>
      </w:r>
      <w:r w:rsidR="00C22F01" w:rsidRPr="00C22F01">
        <w:t xml:space="preserve"> have</w:t>
      </w:r>
      <w:r w:rsidR="00C22F01">
        <w:t xml:space="preserve"> been</w:t>
      </w:r>
      <w:r w:rsidR="00C22F01" w:rsidRPr="00C22F01">
        <w:t xml:space="preserve"> isolated and </w:t>
      </w:r>
      <w:r w:rsidR="00C22F01">
        <w:t>quantified</w:t>
      </w:r>
      <w:r w:rsidR="00C22F01" w:rsidRPr="00C22F01">
        <w:t xml:space="preserve"> these compounds and related with antifungal, ant</w:t>
      </w:r>
      <w:r w:rsidR="006A322E">
        <w:t>iviral and</w:t>
      </w:r>
      <w:r w:rsidR="00C22F01">
        <w:t xml:space="preserve"> antibacterial activity (</w:t>
      </w:r>
      <w:proofErr w:type="spellStart"/>
      <w:r w:rsidR="00C22F01" w:rsidRPr="004C4593">
        <w:t>Thilakarathna</w:t>
      </w:r>
      <w:proofErr w:type="spellEnd"/>
      <w:r w:rsidR="00C22F01" w:rsidRPr="004C4593">
        <w:t xml:space="preserve"> &amp; </w:t>
      </w:r>
      <w:proofErr w:type="spellStart"/>
      <w:r w:rsidR="00C22F01" w:rsidRPr="004C4593">
        <w:t>Rupasinghe</w:t>
      </w:r>
      <w:proofErr w:type="spellEnd"/>
      <w:r w:rsidR="00C22F01" w:rsidRPr="004C4593">
        <w:t>, 2012</w:t>
      </w:r>
      <w:r w:rsidR="00C22F01">
        <w:t xml:space="preserve">; </w:t>
      </w:r>
      <w:proofErr w:type="spellStart"/>
      <w:r w:rsidR="00C22F01" w:rsidRPr="004C4593">
        <w:t>Oladeji</w:t>
      </w:r>
      <w:proofErr w:type="spellEnd"/>
      <w:r w:rsidR="00C22F01" w:rsidRPr="004C4593">
        <w:t xml:space="preserve"> and </w:t>
      </w:r>
      <w:proofErr w:type="spellStart"/>
      <w:r w:rsidR="00C22F01" w:rsidRPr="004C4593">
        <w:t>Adelowo</w:t>
      </w:r>
      <w:proofErr w:type="spellEnd"/>
      <w:r w:rsidR="00C22F01" w:rsidRPr="004C4593">
        <w:t>, 2017</w:t>
      </w:r>
      <w:r w:rsidR="00C22F01">
        <w:t xml:space="preserve">). In the current work, the bioactive food packaging produced presented a high antioxidant activity, tested by DPPH, ABTS and FRAP assay. </w:t>
      </w:r>
      <w:r w:rsidR="000B0244">
        <w:t>The packaging with h</w:t>
      </w:r>
      <w:r w:rsidR="000B0244" w:rsidRPr="000B0244">
        <w:t>usk extracts (</w:t>
      </w:r>
      <w:proofErr w:type="spellStart"/>
      <w:r w:rsidR="000B0244" w:rsidRPr="000B0244">
        <w:rPr>
          <w:rFonts w:cs="Arial"/>
          <w:szCs w:val="18"/>
        </w:rPr>
        <w:t>FPHe</w:t>
      </w:r>
      <w:proofErr w:type="spellEnd"/>
      <w:r w:rsidR="000B0244" w:rsidRPr="000B0244">
        <w:rPr>
          <w:rFonts w:cs="Arial"/>
          <w:szCs w:val="18"/>
        </w:rPr>
        <w:t>) pr</w:t>
      </w:r>
      <w:r w:rsidR="000B0244">
        <w:rPr>
          <w:rFonts w:cs="Arial"/>
          <w:szCs w:val="18"/>
        </w:rPr>
        <w:t>esented more antioxidant activity in both methods, and the Ferric Reduction Antioxidant Power (FRAP) was the method that better expressed the antioxidant activity.</w:t>
      </w:r>
    </w:p>
    <w:p w:rsidR="000C6321" w:rsidRPr="00DF7293" w:rsidRDefault="000C6321" w:rsidP="000B0244">
      <w:pPr>
        <w:pStyle w:val="CETTabletitle"/>
        <w:jc w:val="both"/>
      </w:pPr>
      <w:r w:rsidRPr="00B57B36">
        <w:t xml:space="preserve">Table </w:t>
      </w:r>
      <w:r w:rsidR="002707E0">
        <w:t>3</w:t>
      </w:r>
      <w:r w:rsidRPr="00B57B36">
        <w:t xml:space="preserve">: </w:t>
      </w:r>
      <w:r>
        <w:t>Bioactive compounds (TPC and TFC) and antioxidant activity (DPPH, ABTS and FRAP) of</w:t>
      </w:r>
      <w:r w:rsidR="006A322E">
        <w:t xml:space="preserve"> the</w:t>
      </w:r>
      <w:r>
        <w:t xml:space="preserve"> food packaging produced with </w:t>
      </w:r>
      <w:proofErr w:type="spellStart"/>
      <w:r>
        <w:t>Acca</w:t>
      </w:r>
      <w:proofErr w:type="spellEnd"/>
      <w:r>
        <w:t xml:space="preserve"> </w:t>
      </w:r>
      <w:proofErr w:type="spellStart"/>
      <w:r>
        <w:t>sellowiana</w:t>
      </w:r>
      <w:proofErr w:type="spellEnd"/>
      <w:r>
        <w:t xml:space="preserve"> extracts.</w:t>
      </w:r>
      <w:r w:rsidRPr="00DF7293">
        <w:t xml:space="preserve">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3"/>
        <w:gridCol w:w="1164"/>
        <w:gridCol w:w="1104"/>
        <w:gridCol w:w="1134"/>
        <w:gridCol w:w="1134"/>
        <w:gridCol w:w="1418"/>
      </w:tblGrid>
      <w:tr w:rsidR="001B63B7" w:rsidRPr="001B63B7" w:rsidTr="00910CDF">
        <w:tc>
          <w:tcPr>
            <w:tcW w:w="2833" w:type="dxa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:rsidR="001B63B7" w:rsidRPr="001B63B7" w:rsidRDefault="001B63B7" w:rsidP="001B63B7">
            <w:pPr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Parameters</w:t>
            </w:r>
          </w:p>
        </w:tc>
        <w:tc>
          <w:tcPr>
            <w:tcW w:w="2268" w:type="dxa"/>
            <w:gridSpan w:val="2"/>
            <w:tcBorders>
              <w:top w:val="single" w:sz="12" w:space="0" w:color="008000"/>
              <w:bottom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4C1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100"/>
                <w:tab w:val="right" w:pos="2431"/>
              </w:tabs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Bioactive Compounds</w:t>
            </w:r>
            <w:r w:rsidR="004C1C65">
              <w:rPr>
                <w:rFonts w:cs="Arial"/>
                <w:szCs w:val="18"/>
              </w:rPr>
              <w:tab/>
            </w:r>
          </w:p>
        </w:tc>
        <w:tc>
          <w:tcPr>
            <w:tcW w:w="3686" w:type="dxa"/>
            <w:gridSpan w:val="3"/>
            <w:tcBorders>
              <w:top w:val="single" w:sz="12" w:space="0" w:color="008000"/>
              <w:bottom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B63B7">
              <w:rPr>
                <w:rFonts w:cs="Arial"/>
                <w:szCs w:val="18"/>
              </w:rPr>
              <w:t>Antioxidant Activity</w:t>
            </w:r>
          </w:p>
        </w:tc>
      </w:tr>
      <w:tr w:rsidR="001B63B7" w:rsidRPr="001B63B7" w:rsidTr="00910CDF">
        <w:tc>
          <w:tcPr>
            <w:tcW w:w="2833" w:type="dxa"/>
            <w:vMerge/>
            <w:tcBorders>
              <w:bottom w:val="single" w:sz="6" w:space="0" w:color="008000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TPC</w:t>
            </w:r>
            <w:r w:rsidR="000C6321" w:rsidRPr="000C6321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TFC</w:t>
            </w:r>
            <w:r w:rsidR="000C6321" w:rsidRPr="000C6321"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DPPH</w:t>
            </w:r>
            <w:r w:rsidR="000C6321" w:rsidRPr="000C6321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ABTS</w:t>
            </w:r>
            <w:r w:rsidR="000C6321" w:rsidRPr="000C6321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6" w:space="0" w:color="76923C" w:themeColor="accent3" w:themeShade="BF"/>
              <w:bottom w:val="single" w:sz="6" w:space="0" w:color="008000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FRAP</w:t>
            </w:r>
            <w:r w:rsidR="000C6321" w:rsidRPr="000C6321">
              <w:rPr>
                <w:rFonts w:cs="Arial"/>
                <w:szCs w:val="18"/>
                <w:vertAlign w:val="superscript"/>
              </w:rPr>
              <w:t>3</w:t>
            </w:r>
          </w:p>
        </w:tc>
      </w:tr>
      <w:tr w:rsidR="001B63B7" w:rsidRPr="001B63B7" w:rsidTr="00910CDF">
        <w:tc>
          <w:tcPr>
            <w:tcW w:w="2833" w:type="dxa"/>
            <w:tcBorders>
              <w:top w:val="single" w:sz="6" w:space="0" w:color="76923C" w:themeColor="accent3" w:themeShade="BF"/>
            </w:tcBorders>
            <w:shd w:val="clear" w:color="auto" w:fill="FFFFFF"/>
            <w:vAlign w:val="center"/>
          </w:tcPr>
          <w:p w:rsidR="001B63B7" w:rsidRPr="001D36B9" w:rsidRDefault="001B63B7" w:rsidP="00DF7293">
            <w:pPr>
              <w:pStyle w:val="CETBodytext"/>
              <w:rPr>
                <w:rFonts w:cs="Arial"/>
                <w:szCs w:val="18"/>
                <w:lang w:val="en-GB"/>
              </w:rPr>
            </w:pPr>
            <w:r w:rsidRPr="001D36B9">
              <w:rPr>
                <w:rFonts w:cs="Arial"/>
                <w:szCs w:val="18"/>
                <w:lang w:val="en-GB"/>
              </w:rPr>
              <w:t>FPC</w:t>
            </w:r>
            <w:r w:rsidR="00753057">
              <w:rPr>
                <w:rFonts w:cs="Arial"/>
                <w:szCs w:val="18"/>
                <w:lang w:val="en-GB"/>
              </w:rPr>
              <w:t xml:space="preserve"> (mg g</w:t>
            </w:r>
            <w:r w:rsidR="00753057" w:rsidRPr="00753057">
              <w:rPr>
                <w:rFonts w:cs="Arial"/>
                <w:szCs w:val="18"/>
                <w:vertAlign w:val="superscript"/>
                <w:lang w:val="en-GB"/>
              </w:rPr>
              <w:t>-1</w:t>
            </w:r>
            <w:r w:rsidR="00753057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164" w:type="dxa"/>
            <w:tcBorders>
              <w:top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2.24 ± 0.29</w:t>
            </w:r>
            <w:r w:rsidRPr="001B63B7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104" w:type="dxa"/>
            <w:tcBorders>
              <w:top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0.82 ± 0.16</w:t>
            </w:r>
            <w:r w:rsidRPr="001B63B7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0.72 ± 0.52</w:t>
            </w:r>
            <w:r w:rsidRPr="001B63B7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3.26 ± 0.34</w:t>
            </w:r>
            <w:r w:rsidRPr="001B63B7"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single" w:sz="6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12.38 ± 6.30</w:t>
            </w:r>
            <w:r w:rsidRPr="001B63B7">
              <w:rPr>
                <w:rFonts w:cs="Arial"/>
                <w:szCs w:val="18"/>
                <w:vertAlign w:val="superscript"/>
              </w:rPr>
              <w:t>c</w:t>
            </w:r>
          </w:p>
        </w:tc>
      </w:tr>
      <w:tr w:rsidR="001B63B7" w:rsidRPr="001B63B7" w:rsidTr="00753057">
        <w:tc>
          <w:tcPr>
            <w:tcW w:w="2833" w:type="dxa"/>
            <w:tcBorders>
              <w:bottom w:val="nil"/>
            </w:tcBorders>
            <w:shd w:val="clear" w:color="auto" w:fill="FFFFFF"/>
            <w:vAlign w:val="center"/>
          </w:tcPr>
          <w:p w:rsidR="001B63B7" w:rsidRPr="001D36B9" w:rsidRDefault="001B63B7" w:rsidP="00DF7293">
            <w:pPr>
              <w:pStyle w:val="CETBodytext"/>
              <w:rPr>
                <w:rFonts w:cs="Arial"/>
                <w:szCs w:val="18"/>
                <w:lang w:val="en-GB"/>
              </w:rPr>
            </w:pPr>
            <w:proofErr w:type="spellStart"/>
            <w:r w:rsidRPr="001D36B9">
              <w:rPr>
                <w:rFonts w:cs="Arial"/>
                <w:szCs w:val="18"/>
                <w:lang w:val="en-GB"/>
              </w:rPr>
              <w:t>FPPe</w:t>
            </w:r>
            <w:proofErr w:type="spellEnd"/>
            <w:r w:rsidR="00753057">
              <w:rPr>
                <w:rFonts w:cs="Arial"/>
                <w:szCs w:val="18"/>
                <w:lang w:val="en-GB"/>
              </w:rPr>
              <w:t xml:space="preserve"> (mg g</w:t>
            </w:r>
            <w:r w:rsidR="00753057" w:rsidRPr="00753057">
              <w:rPr>
                <w:rFonts w:cs="Arial"/>
                <w:szCs w:val="18"/>
                <w:vertAlign w:val="superscript"/>
                <w:lang w:val="en-GB"/>
              </w:rPr>
              <w:t>-1</w:t>
            </w:r>
            <w:r w:rsidR="00753057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4.91 ± 0.36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04" w:type="dxa"/>
            <w:tcBorders>
              <w:bottom w:val="nil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2.57 ± 0.14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8.14 ± 0.62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14.46 ± 2.76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49.25 ± 11.60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</w:tr>
      <w:tr w:rsidR="001B63B7" w:rsidRPr="001B63B7" w:rsidTr="00753057">
        <w:tc>
          <w:tcPr>
            <w:tcW w:w="2833" w:type="dxa"/>
            <w:tcBorders>
              <w:top w:val="nil"/>
              <w:bottom w:val="single" w:sz="4" w:space="0" w:color="76923C" w:themeColor="accent3" w:themeShade="BF"/>
            </w:tcBorders>
            <w:shd w:val="clear" w:color="auto" w:fill="FFFFFF"/>
            <w:vAlign w:val="center"/>
          </w:tcPr>
          <w:p w:rsidR="001B63B7" w:rsidRPr="001D36B9" w:rsidRDefault="001B63B7" w:rsidP="00DF729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r w:rsidRPr="001D36B9">
              <w:rPr>
                <w:rFonts w:cs="Arial"/>
                <w:szCs w:val="18"/>
                <w:lang w:val="en-GB"/>
              </w:rPr>
              <w:t>FPHe</w:t>
            </w:r>
            <w:proofErr w:type="spellEnd"/>
            <w:r w:rsidR="00753057">
              <w:rPr>
                <w:rFonts w:cs="Arial"/>
                <w:szCs w:val="18"/>
                <w:lang w:val="en-GB"/>
              </w:rPr>
              <w:t xml:space="preserve"> (mg g</w:t>
            </w:r>
            <w:r w:rsidR="00753057" w:rsidRPr="00753057">
              <w:rPr>
                <w:rFonts w:cs="Arial"/>
                <w:szCs w:val="18"/>
                <w:vertAlign w:val="superscript"/>
                <w:lang w:val="en-GB"/>
              </w:rPr>
              <w:t>-1</w:t>
            </w:r>
            <w:r w:rsidR="00753057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164" w:type="dxa"/>
            <w:tcBorders>
              <w:top w:val="nil"/>
              <w:bottom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10.92 ± 0.29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04" w:type="dxa"/>
            <w:tcBorders>
              <w:top w:val="nil"/>
              <w:bottom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9.73 ± 0.21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bottom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30.55 ± 2.63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bottom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53.61 ± 2.40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bottom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274.29 ± 21.09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</w:tr>
      <w:tr w:rsidR="001B63B7" w:rsidRPr="001B63B7" w:rsidTr="00753057">
        <w:tc>
          <w:tcPr>
            <w:tcW w:w="2833" w:type="dxa"/>
            <w:tcBorders>
              <w:top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753057" w:rsidP="00753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Fejoa</w:t>
            </w:r>
            <w:proofErr w:type="spellEnd"/>
            <w:r>
              <w:rPr>
                <w:rFonts w:cs="Arial"/>
                <w:szCs w:val="18"/>
              </w:rPr>
              <w:t xml:space="preserve"> pulp extract 1:10 (mg mL</w:t>
            </w:r>
            <w:r w:rsidRPr="00753057">
              <w:rPr>
                <w:rFonts w:cs="Arial"/>
                <w:szCs w:val="18"/>
                <w:vertAlign w:val="superscript"/>
              </w:rPr>
              <w:t>-1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164" w:type="dxa"/>
            <w:tcBorders>
              <w:top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0.38 ± 0.01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04" w:type="dxa"/>
            <w:tcBorders>
              <w:top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0.25 ± 0.01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1.08 ± 0.03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3.04 ± 0.02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76923C" w:themeColor="accent3" w:themeShade="BF"/>
            </w:tcBorders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6.32 ± 1.43</w:t>
            </w:r>
            <w:r w:rsidRPr="001B63B7">
              <w:rPr>
                <w:rFonts w:cs="Arial"/>
                <w:szCs w:val="18"/>
                <w:vertAlign w:val="superscript"/>
              </w:rPr>
              <w:t>B</w:t>
            </w:r>
          </w:p>
        </w:tc>
      </w:tr>
      <w:tr w:rsidR="001B63B7" w:rsidRPr="001B63B7" w:rsidTr="00753057">
        <w:tc>
          <w:tcPr>
            <w:tcW w:w="2833" w:type="dxa"/>
            <w:shd w:val="clear" w:color="auto" w:fill="FFFFFF"/>
          </w:tcPr>
          <w:p w:rsidR="001B63B7" w:rsidRPr="001B63B7" w:rsidRDefault="00753057" w:rsidP="00753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Feijoa husk extract 1:10 (mg mL</w:t>
            </w:r>
            <w:r w:rsidRPr="00753057">
              <w:rPr>
                <w:rFonts w:cs="Arial"/>
                <w:szCs w:val="18"/>
                <w:vertAlign w:val="superscript"/>
              </w:rPr>
              <w:t>-1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164" w:type="dxa"/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0.87 ± 0.02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04" w:type="dxa"/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0.78 ± 0.02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3.42 ± 0.20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6.15 ± 0.21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FFFFFF"/>
          </w:tcPr>
          <w:p w:rsidR="001B63B7" w:rsidRPr="001B63B7" w:rsidRDefault="001B63B7" w:rsidP="001B6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18"/>
              </w:rPr>
            </w:pPr>
            <w:r w:rsidRPr="001B63B7">
              <w:rPr>
                <w:rFonts w:cs="Arial"/>
                <w:szCs w:val="18"/>
              </w:rPr>
              <w:t>22.29 ± 0.92</w:t>
            </w:r>
            <w:r w:rsidRPr="001B63B7">
              <w:rPr>
                <w:rFonts w:cs="Arial"/>
                <w:szCs w:val="18"/>
                <w:vertAlign w:val="superscript"/>
              </w:rPr>
              <w:t>A</w:t>
            </w:r>
          </w:p>
        </w:tc>
      </w:tr>
    </w:tbl>
    <w:p w:rsidR="001B63B7" w:rsidRDefault="00753057" w:rsidP="00F0291C">
      <w:pPr>
        <w:pStyle w:val="CETBodytext"/>
        <w:spacing w:line="240" w:lineRule="auto"/>
        <w:rPr>
          <w:sz w:val="16"/>
          <w:lang w:val="en-GB"/>
        </w:rPr>
      </w:pPr>
      <w:r w:rsidRPr="00753057">
        <w:rPr>
          <w:sz w:val="16"/>
          <w:lang w:val="en-GB"/>
        </w:rPr>
        <w:t>The results are expressed as mean ± standard deviation</w:t>
      </w:r>
      <w:r>
        <w:rPr>
          <w:sz w:val="16"/>
          <w:lang w:val="en-GB"/>
        </w:rPr>
        <w:t xml:space="preserve"> (n=3)</w:t>
      </w:r>
      <w:r w:rsidRPr="00753057">
        <w:rPr>
          <w:sz w:val="16"/>
          <w:lang w:val="en-GB"/>
        </w:rPr>
        <w:t xml:space="preserve">. Different letters in each column after standard deviation represent a significant difference by </w:t>
      </w:r>
      <w:proofErr w:type="spellStart"/>
      <w:r w:rsidRPr="00753057">
        <w:rPr>
          <w:sz w:val="16"/>
          <w:lang w:val="en-GB"/>
        </w:rPr>
        <w:t>Tukey’s</w:t>
      </w:r>
      <w:proofErr w:type="spellEnd"/>
      <w:r w:rsidRPr="00753057">
        <w:rPr>
          <w:sz w:val="16"/>
          <w:lang w:val="en-GB"/>
        </w:rPr>
        <w:t xml:space="preserve"> test (p&lt;0.05).</w:t>
      </w:r>
      <w:r>
        <w:rPr>
          <w:sz w:val="16"/>
          <w:lang w:val="en-GB"/>
        </w:rPr>
        <w:t xml:space="preserve"> Lowercase compare the </w:t>
      </w:r>
      <w:r w:rsidR="006A322E">
        <w:rPr>
          <w:sz w:val="16"/>
          <w:lang w:val="en-GB"/>
        </w:rPr>
        <w:t>packaging</w:t>
      </w:r>
      <w:r>
        <w:rPr>
          <w:sz w:val="16"/>
          <w:lang w:val="en-GB"/>
        </w:rPr>
        <w:t xml:space="preserve"> and capital letter compare the extracts.</w:t>
      </w:r>
      <w:r w:rsidR="006A322E">
        <w:rPr>
          <w:sz w:val="16"/>
          <w:lang w:val="en-GB"/>
        </w:rPr>
        <w:t xml:space="preserve"> </w:t>
      </w:r>
      <w:r w:rsidRPr="00753057">
        <w:rPr>
          <w:sz w:val="16"/>
          <w:vertAlign w:val="superscript"/>
          <w:lang w:val="en-GB"/>
        </w:rPr>
        <w:t>1</w:t>
      </w:r>
      <w:r w:rsidRPr="00753057">
        <w:rPr>
          <w:sz w:val="16"/>
          <w:lang w:val="en-GB"/>
        </w:rPr>
        <w:t xml:space="preserve"> mg </w:t>
      </w:r>
      <w:proofErr w:type="spellStart"/>
      <w:r>
        <w:rPr>
          <w:sz w:val="16"/>
          <w:lang w:val="en-GB"/>
        </w:rPr>
        <w:t>Galic</w:t>
      </w:r>
      <w:proofErr w:type="spellEnd"/>
      <w:r w:rsidRPr="00753057">
        <w:rPr>
          <w:sz w:val="16"/>
          <w:lang w:val="en-GB"/>
        </w:rPr>
        <w:t xml:space="preserve"> Acid Equivalent (</w:t>
      </w:r>
      <w:r>
        <w:rPr>
          <w:sz w:val="16"/>
          <w:lang w:val="en-GB"/>
        </w:rPr>
        <w:t>GAE) g</w:t>
      </w:r>
      <w:r w:rsidRPr="00753057">
        <w:rPr>
          <w:sz w:val="16"/>
          <w:vertAlign w:val="superscript"/>
          <w:lang w:val="en-GB"/>
        </w:rPr>
        <w:t xml:space="preserve">-1 </w:t>
      </w:r>
      <w:r>
        <w:rPr>
          <w:sz w:val="16"/>
          <w:lang w:val="en-GB"/>
        </w:rPr>
        <w:t>film or mL</w:t>
      </w:r>
      <w:r w:rsidRPr="00753057">
        <w:rPr>
          <w:sz w:val="16"/>
          <w:vertAlign w:val="superscript"/>
          <w:lang w:val="en-GB"/>
        </w:rPr>
        <w:t>-1</w:t>
      </w:r>
      <w:r>
        <w:rPr>
          <w:sz w:val="16"/>
          <w:lang w:val="en-GB"/>
        </w:rPr>
        <w:t xml:space="preserve"> extract; </w:t>
      </w:r>
      <w:r w:rsidRPr="00753057">
        <w:rPr>
          <w:sz w:val="16"/>
          <w:vertAlign w:val="superscript"/>
          <w:lang w:val="en-GB"/>
        </w:rPr>
        <w:t>2</w:t>
      </w:r>
      <w:r w:rsidRPr="00753057">
        <w:rPr>
          <w:sz w:val="16"/>
          <w:lang w:val="en-GB"/>
        </w:rPr>
        <w:t xml:space="preserve"> mg </w:t>
      </w:r>
      <w:proofErr w:type="spellStart"/>
      <w:r w:rsidRPr="00753057">
        <w:rPr>
          <w:sz w:val="16"/>
          <w:lang w:val="en-GB"/>
        </w:rPr>
        <w:t>Quer</w:t>
      </w:r>
      <w:r>
        <w:rPr>
          <w:sz w:val="16"/>
          <w:lang w:val="en-GB"/>
        </w:rPr>
        <w:t>cetin</w:t>
      </w:r>
      <w:proofErr w:type="spellEnd"/>
      <w:r>
        <w:rPr>
          <w:sz w:val="16"/>
          <w:lang w:val="en-GB"/>
        </w:rPr>
        <w:t xml:space="preserve"> Equivalent (QE) g</w:t>
      </w:r>
      <w:r w:rsidRPr="00753057">
        <w:rPr>
          <w:sz w:val="16"/>
          <w:vertAlign w:val="superscript"/>
          <w:lang w:val="en-GB"/>
        </w:rPr>
        <w:t xml:space="preserve">-1 </w:t>
      </w:r>
      <w:r>
        <w:rPr>
          <w:sz w:val="16"/>
          <w:lang w:val="en-GB"/>
        </w:rPr>
        <w:t>film</w:t>
      </w:r>
      <w:r w:rsidRPr="00753057">
        <w:rPr>
          <w:sz w:val="16"/>
          <w:lang w:val="en-GB"/>
        </w:rPr>
        <w:t xml:space="preserve"> </w:t>
      </w:r>
      <w:r>
        <w:rPr>
          <w:sz w:val="16"/>
          <w:lang w:val="en-GB"/>
        </w:rPr>
        <w:t>or mL</w:t>
      </w:r>
      <w:r w:rsidRPr="00753057">
        <w:rPr>
          <w:sz w:val="16"/>
          <w:vertAlign w:val="superscript"/>
          <w:lang w:val="en-GB"/>
        </w:rPr>
        <w:t>-1</w:t>
      </w:r>
      <w:r>
        <w:rPr>
          <w:sz w:val="16"/>
          <w:lang w:val="en-GB"/>
        </w:rPr>
        <w:t xml:space="preserve"> extract; </w:t>
      </w:r>
      <w:r w:rsidRPr="00753057">
        <w:rPr>
          <w:sz w:val="16"/>
          <w:vertAlign w:val="superscript"/>
          <w:lang w:val="en-GB"/>
        </w:rPr>
        <w:t xml:space="preserve">3 </w:t>
      </w:r>
      <w:r w:rsidRPr="00753057">
        <w:rPr>
          <w:sz w:val="16"/>
          <w:lang w:val="en-GB"/>
        </w:rPr>
        <w:t xml:space="preserve">mg </w:t>
      </w:r>
      <w:proofErr w:type="spellStart"/>
      <w:r w:rsidRPr="00753057">
        <w:rPr>
          <w:sz w:val="16"/>
          <w:lang w:val="en-GB"/>
        </w:rPr>
        <w:t>Trolox</w:t>
      </w:r>
      <w:proofErr w:type="spellEnd"/>
      <w:r w:rsidRPr="00753057">
        <w:rPr>
          <w:sz w:val="16"/>
          <w:lang w:val="en-GB"/>
        </w:rPr>
        <w:t xml:space="preserve"> Equivalent Antioxidant Capacity (TEAC) g</w:t>
      </w:r>
      <w:r w:rsidRPr="00753057">
        <w:rPr>
          <w:sz w:val="16"/>
          <w:vertAlign w:val="superscript"/>
          <w:lang w:val="en-GB"/>
        </w:rPr>
        <w:t>-1</w:t>
      </w:r>
      <w:r w:rsidRPr="00753057">
        <w:rPr>
          <w:sz w:val="16"/>
          <w:lang w:val="en-GB"/>
        </w:rPr>
        <w:t xml:space="preserve"> film </w:t>
      </w:r>
      <w:r>
        <w:rPr>
          <w:sz w:val="16"/>
          <w:lang w:val="en-GB"/>
        </w:rPr>
        <w:t>or mL</w:t>
      </w:r>
      <w:r w:rsidRPr="00753057">
        <w:rPr>
          <w:sz w:val="16"/>
          <w:vertAlign w:val="superscript"/>
          <w:lang w:val="en-GB"/>
        </w:rPr>
        <w:t>-1</w:t>
      </w:r>
      <w:r>
        <w:rPr>
          <w:sz w:val="16"/>
          <w:lang w:val="en-GB"/>
        </w:rPr>
        <w:t xml:space="preserve"> extract.</w:t>
      </w:r>
    </w:p>
    <w:p w:rsidR="007911BA" w:rsidRDefault="007911BA" w:rsidP="00753057">
      <w:pPr>
        <w:pStyle w:val="CETBodytext"/>
      </w:pPr>
    </w:p>
    <w:p w:rsidR="003B503D" w:rsidRPr="00AA67D8" w:rsidRDefault="006A322E" w:rsidP="004C1C65">
      <w:pPr>
        <w:pStyle w:val="CETHeading1"/>
        <w:ind w:left="0"/>
        <w:rPr>
          <w:lang w:val="pt-BR"/>
        </w:rPr>
      </w:pPr>
      <w:proofErr w:type="spellStart"/>
      <w:r>
        <w:rPr>
          <w:lang w:val="pt-BR"/>
        </w:rPr>
        <w:t>Conclusion</w:t>
      </w:r>
      <w:proofErr w:type="spellEnd"/>
    </w:p>
    <w:p w:rsidR="00F0291C" w:rsidRDefault="00F0291C" w:rsidP="00F0291C">
      <w:pPr>
        <w:pStyle w:val="CETAcknowledgementstitle"/>
        <w:jc w:val="both"/>
        <w:rPr>
          <w:b w:val="0"/>
          <w:lang w:val="en-US"/>
        </w:rPr>
      </w:pPr>
      <w:r w:rsidRPr="00F0291C">
        <w:rPr>
          <w:b w:val="0"/>
          <w:lang w:val="en-US"/>
        </w:rPr>
        <w:t>A new bioactive and biodegradable food packa</w:t>
      </w:r>
      <w:r>
        <w:rPr>
          <w:b w:val="0"/>
          <w:lang w:val="en-US"/>
        </w:rPr>
        <w:t xml:space="preserve">ging was developed in this work, using a blend of Brazilian pine seeds starch, citric pectin and </w:t>
      </w:r>
      <w:proofErr w:type="spellStart"/>
      <w:r w:rsidRPr="00F0291C">
        <w:rPr>
          <w:b w:val="0"/>
          <w:i/>
          <w:lang w:val="en-US"/>
        </w:rPr>
        <w:t>Acca</w:t>
      </w:r>
      <w:proofErr w:type="spellEnd"/>
      <w:r w:rsidRPr="00F0291C">
        <w:rPr>
          <w:b w:val="0"/>
          <w:i/>
          <w:lang w:val="en-US"/>
        </w:rPr>
        <w:t xml:space="preserve"> </w:t>
      </w:r>
      <w:proofErr w:type="spellStart"/>
      <w:r w:rsidRPr="00F0291C">
        <w:rPr>
          <w:b w:val="0"/>
          <w:i/>
          <w:lang w:val="en-US"/>
        </w:rPr>
        <w:t>sellowiana</w:t>
      </w:r>
      <w:proofErr w:type="spellEnd"/>
      <w:r>
        <w:rPr>
          <w:b w:val="0"/>
          <w:lang w:val="en-US"/>
        </w:rPr>
        <w:t xml:space="preserve"> extracts. The food packaging produced presented satisfactory appearance, thin thickness, lower water solubility, UV protection, good color parameters, presence of bioactive compounds and high antioxidant activity. </w:t>
      </w:r>
      <w:r w:rsidR="00402D78">
        <w:rPr>
          <w:b w:val="0"/>
          <w:lang w:val="en-US"/>
        </w:rPr>
        <w:t xml:space="preserve">Based on these </w:t>
      </w:r>
      <w:r w:rsidR="00356FAF">
        <w:rPr>
          <w:b w:val="0"/>
          <w:lang w:val="en-US"/>
        </w:rPr>
        <w:t>evidences</w:t>
      </w:r>
      <w:r w:rsidR="00402D78">
        <w:rPr>
          <w:b w:val="0"/>
          <w:lang w:val="en-US"/>
        </w:rPr>
        <w:t xml:space="preserve">, </w:t>
      </w:r>
      <w:r w:rsidR="00356FAF">
        <w:rPr>
          <w:b w:val="0"/>
          <w:lang w:val="en-US"/>
        </w:rPr>
        <w:t xml:space="preserve">this novel </w:t>
      </w:r>
      <w:r w:rsidR="00402D78">
        <w:rPr>
          <w:b w:val="0"/>
          <w:lang w:val="en-US"/>
        </w:rPr>
        <w:t xml:space="preserve">film </w:t>
      </w:r>
      <w:r>
        <w:rPr>
          <w:b w:val="0"/>
          <w:lang w:val="en-US"/>
        </w:rPr>
        <w:t>packaging</w:t>
      </w:r>
      <w:r w:rsidR="00356FAF">
        <w:rPr>
          <w:b w:val="0"/>
          <w:lang w:val="en-US"/>
        </w:rPr>
        <w:t xml:space="preserve"> material can be proposed as a</w:t>
      </w:r>
      <w:r w:rsidR="002369D1" w:rsidRPr="002369D1">
        <w:rPr>
          <w:b w:val="0"/>
          <w:lang w:val="en-US"/>
        </w:rPr>
        <w:t xml:space="preserve">n </w:t>
      </w:r>
      <w:r w:rsidR="00356FAF">
        <w:rPr>
          <w:b w:val="0"/>
          <w:lang w:val="en-US"/>
        </w:rPr>
        <w:t>effective a</w:t>
      </w:r>
      <w:r w:rsidR="002369D1" w:rsidRPr="002369D1">
        <w:rPr>
          <w:b w:val="0"/>
          <w:lang w:val="en-US"/>
        </w:rPr>
        <w:t>lternati</w:t>
      </w:r>
      <w:r w:rsidR="002369D1">
        <w:rPr>
          <w:b w:val="0"/>
          <w:lang w:val="en-US"/>
        </w:rPr>
        <w:t xml:space="preserve">ve to packaging </w:t>
      </w:r>
      <w:r w:rsidR="00356FAF">
        <w:rPr>
          <w:b w:val="0"/>
          <w:lang w:val="en-US"/>
        </w:rPr>
        <w:t xml:space="preserve">materials </w:t>
      </w:r>
      <w:r w:rsidR="002369D1">
        <w:rPr>
          <w:b w:val="0"/>
          <w:lang w:val="en-US"/>
        </w:rPr>
        <w:t>in</w:t>
      </w:r>
      <w:r w:rsidR="00356FAF">
        <w:rPr>
          <w:b w:val="0"/>
          <w:lang w:val="en-US"/>
        </w:rPr>
        <w:t xml:space="preserve"> common use in </w:t>
      </w:r>
      <w:r w:rsidR="002369D1">
        <w:rPr>
          <w:b w:val="0"/>
          <w:lang w:val="en-US"/>
        </w:rPr>
        <w:t>food</w:t>
      </w:r>
      <w:r w:rsidR="00356FAF">
        <w:rPr>
          <w:b w:val="0"/>
          <w:lang w:val="en-US"/>
        </w:rPr>
        <w:t xml:space="preserve"> processing </w:t>
      </w:r>
      <w:r w:rsidR="002369D1">
        <w:rPr>
          <w:b w:val="0"/>
          <w:lang w:val="en-US"/>
        </w:rPr>
        <w:t>systems.</w:t>
      </w:r>
    </w:p>
    <w:p w:rsidR="00600535" w:rsidRPr="002F3A9B" w:rsidRDefault="00600535" w:rsidP="00600535">
      <w:pPr>
        <w:pStyle w:val="CETAcknowledgementstitle"/>
        <w:rPr>
          <w:lang w:val="en-US"/>
        </w:rPr>
      </w:pPr>
      <w:r w:rsidRPr="002F3A9B">
        <w:rPr>
          <w:lang w:val="en-US"/>
        </w:rPr>
        <w:t>Acknowledgments</w:t>
      </w:r>
    </w:p>
    <w:p w:rsidR="00C15A10" w:rsidRPr="00C15A10" w:rsidRDefault="00477C2B" w:rsidP="00477C2B">
      <w:pPr>
        <w:pStyle w:val="CETReference"/>
        <w:jc w:val="both"/>
        <w:rPr>
          <w:b w:val="0"/>
          <w:lang w:val="en-US"/>
        </w:rPr>
      </w:pPr>
      <w:r w:rsidRPr="00C15A10">
        <w:rPr>
          <w:b w:val="0"/>
          <w:lang w:val="en-US"/>
        </w:rPr>
        <w:t xml:space="preserve">The authors acknowledge the </w:t>
      </w:r>
      <w:r w:rsidR="00E30934">
        <w:rPr>
          <w:b w:val="0"/>
          <w:lang w:val="en-US"/>
        </w:rPr>
        <w:t xml:space="preserve">Federal Institute of Education </w:t>
      </w:r>
      <w:r w:rsidR="00C15A10" w:rsidRPr="00C15A10">
        <w:rPr>
          <w:b w:val="0"/>
          <w:lang w:val="en-US"/>
        </w:rPr>
        <w:t xml:space="preserve">of Santa </w:t>
      </w:r>
      <w:proofErr w:type="spellStart"/>
      <w:r w:rsidR="00C15A10" w:rsidRPr="00C15A10">
        <w:rPr>
          <w:b w:val="0"/>
          <w:lang w:val="en-US"/>
        </w:rPr>
        <w:t>Catarina</w:t>
      </w:r>
      <w:proofErr w:type="spellEnd"/>
      <w:r w:rsidR="00C15A10" w:rsidRPr="00C15A10">
        <w:rPr>
          <w:b w:val="0"/>
          <w:lang w:val="en-US"/>
        </w:rPr>
        <w:t xml:space="preserve"> (IFSC</w:t>
      </w:r>
      <w:r w:rsidR="00C15A10">
        <w:rPr>
          <w:b w:val="0"/>
          <w:lang w:val="en-US"/>
        </w:rPr>
        <w:t xml:space="preserve">, Campus </w:t>
      </w:r>
      <w:proofErr w:type="spellStart"/>
      <w:r w:rsidR="00C15A10">
        <w:rPr>
          <w:b w:val="0"/>
          <w:lang w:val="en-US"/>
        </w:rPr>
        <w:t>Lages</w:t>
      </w:r>
      <w:proofErr w:type="spellEnd"/>
      <w:r w:rsidR="006A322E">
        <w:rPr>
          <w:b w:val="0"/>
          <w:lang w:val="en-US"/>
        </w:rPr>
        <w:t xml:space="preserve">, </w:t>
      </w:r>
      <w:proofErr w:type="gramStart"/>
      <w:r w:rsidR="006A322E">
        <w:rPr>
          <w:b w:val="0"/>
          <w:lang w:val="en-US"/>
        </w:rPr>
        <w:t>Brazil</w:t>
      </w:r>
      <w:proofErr w:type="gramEnd"/>
      <w:r w:rsidR="00C15A10" w:rsidRPr="00C15A10">
        <w:rPr>
          <w:b w:val="0"/>
          <w:lang w:val="en-US"/>
        </w:rPr>
        <w:t>) and National Council for Scientific and Technological Development (</w:t>
      </w:r>
      <w:proofErr w:type="spellStart"/>
      <w:r w:rsidR="00C15A10" w:rsidRPr="00C15A10">
        <w:rPr>
          <w:b w:val="0"/>
          <w:lang w:val="en-US"/>
        </w:rPr>
        <w:t>CNPq</w:t>
      </w:r>
      <w:proofErr w:type="spellEnd"/>
      <w:r w:rsidR="00C15A10">
        <w:rPr>
          <w:b w:val="0"/>
          <w:lang w:val="en-US"/>
        </w:rPr>
        <w:t xml:space="preserve">, Brazil) </w:t>
      </w:r>
      <w:r w:rsidR="00C15A10" w:rsidRPr="00C15A10">
        <w:rPr>
          <w:b w:val="0"/>
          <w:lang w:val="en-US"/>
        </w:rPr>
        <w:t>to financial support</w:t>
      </w:r>
      <w:r w:rsidR="00C15A10">
        <w:rPr>
          <w:b w:val="0"/>
          <w:lang w:val="en-US"/>
        </w:rPr>
        <w:t>.</w:t>
      </w:r>
    </w:p>
    <w:p w:rsidR="00600535" w:rsidRPr="00477C2B" w:rsidRDefault="00600535" w:rsidP="00477C2B">
      <w:pPr>
        <w:pStyle w:val="CETReference"/>
        <w:jc w:val="both"/>
        <w:rPr>
          <w:lang w:val="en-US"/>
        </w:rPr>
      </w:pPr>
      <w:r w:rsidRPr="00477C2B">
        <w:rPr>
          <w:lang w:val="en-US"/>
        </w:rPr>
        <w:t>References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2F2278">
        <w:rPr>
          <w:rFonts w:cs="Arial"/>
          <w:b w:val="0"/>
          <w:szCs w:val="18"/>
        </w:rPr>
        <w:t>Allen N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S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, Edge M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, Ortega A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, Sandoval G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 xml:space="preserve">, </w:t>
      </w:r>
      <w:proofErr w:type="spellStart"/>
      <w:r w:rsidRPr="002F2278">
        <w:rPr>
          <w:rFonts w:cs="Arial"/>
          <w:b w:val="0"/>
          <w:szCs w:val="18"/>
        </w:rPr>
        <w:t>Liauw</w:t>
      </w:r>
      <w:proofErr w:type="spellEnd"/>
      <w:r w:rsidRPr="002F2278">
        <w:rPr>
          <w:rFonts w:cs="Arial"/>
          <w:b w:val="0"/>
          <w:szCs w:val="18"/>
        </w:rPr>
        <w:t xml:space="preserve"> C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M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 xml:space="preserve">, </w:t>
      </w:r>
      <w:proofErr w:type="spellStart"/>
      <w:r w:rsidRPr="002F2278">
        <w:rPr>
          <w:rFonts w:cs="Arial"/>
          <w:b w:val="0"/>
          <w:szCs w:val="18"/>
        </w:rPr>
        <w:t>Verran</w:t>
      </w:r>
      <w:proofErr w:type="spellEnd"/>
      <w:r w:rsidRPr="002F2278">
        <w:rPr>
          <w:rFonts w:cs="Arial"/>
          <w:b w:val="0"/>
          <w:szCs w:val="18"/>
        </w:rPr>
        <w:t xml:space="preserve"> J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, Stratton J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 xml:space="preserve">, </w:t>
      </w:r>
      <w:proofErr w:type="spellStart"/>
      <w:r w:rsidRPr="002F2278">
        <w:rPr>
          <w:rFonts w:cs="Arial"/>
          <w:b w:val="0"/>
          <w:szCs w:val="18"/>
        </w:rPr>
        <w:t>Mcintyre</w:t>
      </w:r>
      <w:proofErr w:type="spellEnd"/>
      <w:r w:rsidRPr="002F2278">
        <w:rPr>
          <w:rFonts w:cs="Arial"/>
          <w:b w:val="0"/>
          <w:szCs w:val="18"/>
        </w:rPr>
        <w:t xml:space="preserve"> R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B</w:t>
      </w:r>
      <w:r>
        <w:rPr>
          <w:rFonts w:cs="Arial"/>
          <w:b w:val="0"/>
          <w:szCs w:val="18"/>
        </w:rPr>
        <w:t xml:space="preserve">., 2004, </w:t>
      </w:r>
      <w:r w:rsidRPr="002F2278">
        <w:rPr>
          <w:rFonts w:cs="Arial"/>
          <w:b w:val="0"/>
          <w:szCs w:val="18"/>
        </w:rPr>
        <w:t xml:space="preserve">Degradation and stabilisation of polymers and coatings: </w:t>
      </w:r>
      <w:proofErr w:type="spellStart"/>
      <w:r w:rsidRPr="002F2278">
        <w:rPr>
          <w:rFonts w:cs="Arial"/>
          <w:b w:val="0"/>
          <w:szCs w:val="18"/>
        </w:rPr>
        <w:t>nano</w:t>
      </w:r>
      <w:proofErr w:type="spellEnd"/>
      <w:r w:rsidRPr="002F2278">
        <w:rPr>
          <w:rFonts w:cs="Arial"/>
          <w:b w:val="0"/>
          <w:szCs w:val="18"/>
        </w:rPr>
        <w:t xml:space="preserve"> versus </w:t>
      </w:r>
      <w:proofErr w:type="spellStart"/>
      <w:r w:rsidRPr="002F2278">
        <w:rPr>
          <w:rFonts w:cs="Arial"/>
          <w:b w:val="0"/>
          <w:szCs w:val="18"/>
        </w:rPr>
        <w:t>pigmentarytitania</w:t>
      </w:r>
      <w:proofErr w:type="spellEnd"/>
      <w:r w:rsidRPr="002F2278">
        <w:rPr>
          <w:rFonts w:cs="Arial"/>
          <w:b w:val="0"/>
          <w:szCs w:val="18"/>
        </w:rPr>
        <w:t xml:space="preserve"> particles</w:t>
      </w:r>
      <w:r>
        <w:rPr>
          <w:rFonts w:cs="Arial"/>
          <w:b w:val="0"/>
          <w:szCs w:val="18"/>
        </w:rPr>
        <w:t xml:space="preserve">, </w:t>
      </w:r>
      <w:proofErr w:type="spellStart"/>
      <w:r w:rsidRPr="002F2278">
        <w:rPr>
          <w:rFonts w:cs="Arial"/>
          <w:b w:val="0"/>
          <w:szCs w:val="18"/>
        </w:rPr>
        <w:t>PolymDegrad</w:t>
      </w:r>
      <w:proofErr w:type="spellEnd"/>
      <w:r w:rsidRPr="002F2278">
        <w:rPr>
          <w:rFonts w:cs="Arial"/>
          <w:b w:val="0"/>
          <w:szCs w:val="18"/>
        </w:rPr>
        <w:t xml:space="preserve"> Stab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85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3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927–</w:t>
      </w:r>
      <w:r>
        <w:rPr>
          <w:rFonts w:cs="Arial"/>
          <w:b w:val="0"/>
          <w:szCs w:val="18"/>
        </w:rPr>
        <w:t>9</w:t>
      </w:r>
      <w:r w:rsidRPr="002F2278">
        <w:rPr>
          <w:rFonts w:cs="Arial"/>
          <w:b w:val="0"/>
          <w:szCs w:val="18"/>
        </w:rPr>
        <w:t>46.</w:t>
      </w:r>
    </w:p>
    <w:p w:rsidR="002707E0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C35624">
        <w:rPr>
          <w:rFonts w:cs="Arial"/>
          <w:b w:val="0"/>
          <w:szCs w:val="18"/>
        </w:rPr>
        <w:t>Arquelau</w:t>
      </w:r>
      <w:proofErr w:type="spellEnd"/>
      <w:r w:rsidRPr="00C35624">
        <w:rPr>
          <w:rFonts w:cs="Arial"/>
          <w:b w:val="0"/>
          <w:szCs w:val="18"/>
        </w:rPr>
        <w:t xml:space="preserve"> P.B.</w:t>
      </w:r>
      <w:r>
        <w:rPr>
          <w:rFonts w:cs="Arial"/>
          <w:b w:val="0"/>
          <w:szCs w:val="18"/>
        </w:rPr>
        <w:t xml:space="preserve">F., Silva V.D.M., Garcia M.A.V.T., de </w:t>
      </w:r>
      <w:proofErr w:type="spellStart"/>
      <w:r>
        <w:rPr>
          <w:rFonts w:cs="Arial"/>
          <w:b w:val="0"/>
          <w:szCs w:val="18"/>
        </w:rPr>
        <w:t>Araújo</w:t>
      </w:r>
      <w:proofErr w:type="spellEnd"/>
      <w:r w:rsidRPr="00C35624">
        <w:rPr>
          <w:rFonts w:cs="Arial"/>
          <w:b w:val="0"/>
          <w:szCs w:val="18"/>
        </w:rPr>
        <w:t xml:space="preserve"> R.L.B., </w:t>
      </w:r>
      <w:proofErr w:type="spellStart"/>
      <w:r w:rsidRPr="00C35624">
        <w:rPr>
          <w:rFonts w:cs="Arial"/>
          <w:b w:val="0"/>
          <w:szCs w:val="18"/>
        </w:rPr>
        <w:t>Fante</w:t>
      </w:r>
      <w:proofErr w:type="spellEnd"/>
      <w:r w:rsidRPr="00C35624">
        <w:rPr>
          <w:rFonts w:cs="Arial"/>
          <w:b w:val="0"/>
          <w:szCs w:val="18"/>
        </w:rPr>
        <w:t xml:space="preserve"> C.A., </w:t>
      </w:r>
      <w:r>
        <w:rPr>
          <w:rFonts w:cs="Arial"/>
          <w:b w:val="0"/>
          <w:szCs w:val="18"/>
        </w:rPr>
        <w:t xml:space="preserve">2019, </w:t>
      </w:r>
      <w:r w:rsidRPr="00C35624">
        <w:rPr>
          <w:rFonts w:cs="Arial"/>
          <w:b w:val="0"/>
          <w:szCs w:val="18"/>
        </w:rPr>
        <w:t>Characterization of edible coatings based on ripe “</w:t>
      </w:r>
      <w:proofErr w:type="spellStart"/>
      <w:r w:rsidRPr="00C35624">
        <w:rPr>
          <w:rFonts w:cs="Arial"/>
          <w:b w:val="0"/>
          <w:szCs w:val="18"/>
        </w:rPr>
        <w:t>Prata</w:t>
      </w:r>
      <w:proofErr w:type="spellEnd"/>
      <w:r w:rsidRPr="00C35624">
        <w:rPr>
          <w:rFonts w:cs="Arial"/>
          <w:b w:val="0"/>
          <w:szCs w:val="18"/>
        </w:rPr>
        <w:t>” banana peel flour, Food</w:t>
      </w:r>
      <w:r>
        <w:rPr>
          <w:rFonts w:cs="Arial"/>
          <w:b w:val="0"/>
          <w:szCs w:val="18"/>
        </w:rPr>
        <w:t xml:space="preserve"> </w:t>
      </w:r>
      <w:r w:rsidR="002707E0">
        <w:rPr>
          <w:rFonts w:cs="Arial"/>
          <w:b w:val="0"/>
          <w:szCs w:val="18"/>
        </w:rPr>
        <w:t xml:space="preserve">Hydrocolloids, </w:t>
      </w:r>
      <w:r w:rsidR="002707E0" w:rsidRPr="002707E0">
        <w:rPr>
          <w:rFonts w:cs="Arial"/>
          <w:b w:val="0"/>
          <w:szCs w:val="18"/>
        </w:rPr>
        <w:t>89,</w:t>
      </w:r>
      <w:r w:rsidR="002707E0">
        <w:rPr>
          <w:rFonts w:cs="Arial"/>
          <w:b w:val="0"/>
          <w:szCs w:val="18"/>
        </w:rPr>
        <w:t xml:space="preserve"> </w:t>
      </w:r>
      <w:r w:rsidR="002707E0" w:rsidRPr="002707E0">
        <w:rPr>
          <w:rFonts w:cs="Arial"/>
          <w:b w:val="0"/>
          <w:szCs w:val="18"/>
        </w:rPr>
        <w:t>570-578</w:t>
      </w:r>
      <w:r w:rsidR="002707E0">
        <w:rPr>
          <w:rFonts w:cs="Arial"/>
          <w:b w:val="0"/>
          <w:szCs w:val="18"/>
        </w:rPr>
        <w:t>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2F2278">
        <w:rPr>
          <w:rFonts w:cs="Arial"/>
          <w:b w:val="0"/>
          <w:szCs w:val="18"/>
          <w:lang w:val="en-US"/>
        </w:rPr>
        <w:t xml:space="preserve">Bello-Perez L.A., </w:t>
      </w:r>
      <w:proofErr w:type="spellStart"/>
      <w:r w:rsidRPr="002F2278">
        <w:rPr>
          <w:rFonts w:cs="Arial"/>
          <w:b w:val="0"/>
          <w:szCs w:val="18"/>
          <w:lang w:val="en-US"/>
        </w:rPr>
        <w:t>García-Soarez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F.J., Mendez-</w:t>
      </w:r>
      <w:proofErr w:type="spellStart"/>
      <w:r w:rsidRPr="002F2278">
        <w:rPr>
          <w:rFonts w:cs="Arial"/>
          <w:b w:val="0"/>
          <w:szCs w:val="18"/>
          <w:lang w:val="en-US"/>
        </w:rPr>
        <w:t>Montealvo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G., </w:t>
      </w:r>
      <w:proofErr w:type="spellStart"/>
      <w:r w:rsidRPr="002F2278">
        <w:rPr>
          <w:rFonts w:cs="Arial"/>
          <w:b w:val="0"/>
          <w:szCs w:val="18"/>
          <w:lang w:val="en-US"/>
        </w:rPr>
        <w:t>Nascimento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J.R.O., </w:t>
      </w:r>
      <w:proofErr w:type="spellStart"/>
      <w:r w:rsidRPr="002F2278">
        <w:rPr>
          <w:rFonts w:cs="Arial"/>
          <w:b w:val="0"/>
          <w:szCs w:val="18"/>
          <w:lang w:val="en-US"/>
        </w:rPr>
        <w:t>Cordenusi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B.R., 2006, </w:t>
      </w:r>
      <w:r w:rsidRPr="002F2278">
        <w:rPr>
          <w:rFonts w:cs="Arial"/>
          <w:b w:val="0"/>
          <w:szCs w:val="18"/>
        </w:rPr>
        <w:t xml:space="preserve">Isolation and characterization of starch from seeds of </w:t>
      </w:r>
      <w:r w:rsidRPr="006E479E">
        <w:rPr>
          <w:rFonts w:cs="Arial"/>
          <w:b w:val="0"/>
          <w:i/>
          <w:szCs w:val="18"/>
        </w:rPr>
        <w:t xml:space="preserve">Araucaria </w:t>
      </w:r>
      <w:proofErr w:type="spellStart"/>
      <w:r w:rsidRPr="006E479E">
        <w:rPr>
          <w:rFonts w:cs="Arial"/>
          <w:b w:val="0"/>
          <w:i/>
          <w:szCs w:val="18"/>
        </w:rPr>
        <w:t>brasiliensis</w:t>
      </w:r>
      <w:proofErr w:type="spellEnd"/>
      <w:r w:rsidRPr="002F2278">
        <w:rPr>
          <w:rFonts w:cs="Arial"/>
          <w:b w:val="0"/>
          <w:szCs w:val="18"/>
        </w:rPr>
        <w:t>: A novel starch f</w:t>
      </w:r>
      <w:r>
        <w:rPr>
          <w:rFonts w:cs="Arial"/>
          <w:b w:val="0"/>
          <w:szCs w:val="18"/>
        </w:rPr>
        <w:t>or application in food industry,</w:t>
      </w:r>
      <w:r w:rsidRPr="002F2278">
        <w:rPr>
          <w:rFonts w:cs="Arial"/>
          <w:b w:val="0"/>
          <w:szCs w:val="18"/>
        </w:rPr>
        <w:t xml:space="preserve"> Starch/Starke, 58, 283-291</w:t>
      </w:r>
      <w:r>
        <w:rPr>
          <w:rFonts w:cs="Arial"/>
          <w:b w:val="0"/>
          <w:szCs w:val="18"/>
        </w:rPr>
        <w:t>.</w:t>
      </w:r>
    </w:p>
    <w:p w:rsidR="000E7FC0" w:rsidRDefault="000E7FC0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>
        <w:rPr>
          <w:rFonts w:cs="Arial"/>
          <w:b w:val="0"/>
          <w:szCs w:val="18"/>
        </w:rPr>
        <w:t>Benzie</w:t>
      </w:r>
      <w:proofErr w:type="spellEnd"/>
      <w:r w:rsidRPr="000E7FC0">
        <w:rPr>
          <w:rFonts w:cs="Arial"/>
          <w:b w:val="0"/>
          <w:szCs w:val="18"/>
        </w:rPr>
        <w:t xml:space="preserve"> I., Strain J.</w:t>
      </w:r>
      <w:r>
        <w:rPr>
          <w:rFonts w:cs="Arial"/>
          <w:b w:val="0"/>
          <w:szCs w:val="18"/>
        </w:rPr>
        <w:t xml:space="preserve">, </w:t>
      </w:r>
      <w:r w:rsidRPr="000E7FC0">
        <w:rPr>
          <w:rFonts w:cs="Arial"/>
          <w:b w:val="0"/>
          <w:szCs w:val="18"/>
        </w:rPr>
        <w:t>1996</w:t>
      </w:r>
      <w:r>
        <w:rPr>
          <w:rFonts w:cs="Arial"/>
          <w:b w:val="0"/>
          <w:szCs w:val="18"/>
        </w:rPr>
        <w:t xml:space="preserve">, </w:t>
      </w:r>
      <w:proofErr w:type="gramStart"/>
      <w:r w:rsidRPr="000E7FC0">
        <w:rPr>
          <w:rFonts w:cs="Arial"/>
          <w:b w:val="0"/>
          <w:szCs w:val="18"/>
        </w:rPr>
        <w:t>The</w:t>
      </w:r>
      <w:proofErr w:type="gramEnd"/>
      <w:r w:rsidRPr="000E7FC0">
        <w:rPr>
          <w:rFonts w:cs="Arial"/>
          <w:b w:val="0"/>
          <w:szCs w:val="18"/>
        </w:rPr>
        <w:t xml:space="preserve"> Ferric Reducing Ability of Plasma (FRAP) as a Measure of “Antioxidant Power”: The FRAP Assay</w:t>
      </w:r>
      <w:r>
        <w:rPr>
          <w:rFonts w:cs="Arial"/>
          <w:b w:val="0"/>
          <w:szCs w:val="18"/>
        </w:rPr>
        <w:t>, Analytical Biochemistry, 239</w:t>
      </w:r>
      <w:r w:rsidRPr="000E7FC0">
        <w:rPr>
          <w:rFonts w:cs="Arial"/>
          <w:b w:val="0"/>
          <w:szCs w:val="18"/>
        </w:rPr>
        <w:t>, 70-76.</w:t>
      </w:r>
    </w:p>
    <w:p w:rsidR="000E7FC0" w:rsidRDefault="000E7FC0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Brand-Williams</w:t>
      </w:r>
      <w:r w:rsidRPr="000E7FC0">
        <w:rPr>
          <w:rFonts w:cs="Arial"/>
          <w:b w:val="0"/>
          <w:szCs w:val="18"/>
        </w:rPr>
        <w:t xml:space="preserve"> W., </w:t>
      </w:r>
      <w:proofErr w:type="spellStart"/>
      <w:r w:rsidRPr="000E7FC0">
        <w:rPr>
          <w:rFonts w:cs="Arial"/>
          <w:b w:val="0"/>
          <w:szCs w:val="18"/>
        </w:rPr>
        <w:t>Cuvelier</w:t>
      </w:r>
      <w:proofErr w:type="spellEnd"/>
      <w:r>
        <w:rPr>
          <w:rFonts w:cs="Arial"/>
          <w:b w:val="0"/>
          <w:szCs w:val="18"/>
        </w:rPr>
        <w:t xml:space="preserve"> M., </w:t>
      </w:r>
      <w:proofErr w:type="spellStart"/>
      <w:r w:rsidRPr="000E7FC0">
        <w:rPr>
          <w:rFonts w:cs="Arial"/>
          <w:b w:val="0"/>
          <w:szCs w:val="18"/>
        </w:rPr>
        <w:t>Berset</w:t>
      </w:r>
      <w:proofErr w:type="spellEnd"/>
      <w:r w:rsidRPr="000E7FC0">
        <w:rPr>
          <w:rFonts w:cs="Arial"/>
          <w:b w:val="0"/>
          <w:szCs w:val="18"/>
        </w:rPr>
        <w:t xml:space="preserve"> C.</w:t>
      </w:r>
      <w:r>
        <w:rPr>
          <w:rFonts w:cs="Arial"/>
          <w:b w:val="0"/>
          <w:szCs w:val="18"/>
        </w:rPr>
        <w:t xml:space="preserve">, </w:t>
      </w:r>
      <w:r w:rsidRPr="000E7FC0">
        <w:rPr>
          <w:rFonts w:cs="Arial"/>
          <w:b w:val="0"/>
          <w:szCs w:val="18"/>
        </w:rPr>
        <w:t>1995</w:t>
      </w:r>
      <w:r>
        <w:rPr>
          <w:rFonts w:cs="Arial"/>
          <w:b w:val="0"/>
          <w:szCs w:val="18"/>
        </w:rPr>
        <w:t>,</w:t>
      </w:r>
      <w:r w:rsidRPr="000E7FC0">
        <w:rPr>
          <w:rFonts w:cs="Arial"/>
          <w:b w:val="0"/>
          <w:szCs w:val="18"/>
        </w:rPr>
        <w:t xml:space="preserve"> Use of a free radical method to</w:t>
      </w:r>
      <w:r>
        <w:rPr>
          <w:rFonts w:cs="Arial"/>
          <w:b w:val="0"/>
          <w:szCs w:val="18"/>
        </w:rPr>
        <w:t xml:space="preserve"> evaluate antioxidant activity, </w:t>
      </w:r>
      <w:r w:rsidRPr="000E7FC0">
        <w:rPr>
          <w:rFonts w:cs="Arial"/>
          <w:b w:val="0"/>
          <w:szCs w:val="18"/>
        </w:rPr>
        <w:t>LWT - F</w:t>
      </w:r>
      <w:r>
        <w:rPr>
          <w:rFonts w:cs="Arial"/>
          <w:b w:val="0"/>
          <w:szCs w:val="18"/>
        </w:rPr>
        <w:t>ood Science and Technology, 28</w:t>
      </w:r>
      <w:r w:rsidRPr="000E7FC0">
        <w:rPr>
          <w:rFonts w:cs="Arial"/>
          <w:b w:val="0"/>
          <w:szCs w:val="18"/>
        </w:rPr>
        <w:t>, 25-30.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2F2278">
        <w:rPr>
          <w:rFonts w:cs="Arial"/>
          <w:b w:val="0"/>
          <w:szCs w:val="18"/>
          <w:lang w:val="en-US"/>
        </w:rPr>
        <w:t>Colla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E., </w:t>
      </w:r>
      <w:proofErr w:type="spellStart"/>
      <w:r w:rsidRPr="002F2278">
        <w:rPr>
          <w:rFonts w:cs="Arial"/>
          <w:b w:val="0"/>
          <w:szCs w:val="18"/>
          <w:lang w:val="en-US"/>
        </w:rPr>
        <w:t>Sobral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P.J.A., </w:t>
      </w:r>
      <w:proofErr w:type="spellStart"/>
      <w:r w:rsidRPr="002F2278">
        <w:rPr>
          <w:rFonts w:cs="Arial"/>
          <w:b w:val="0"/>
          <w:szCs w:val="18"/>
          <w:lang w:val="en-US"/>
        </w:rPr>
        <w:t>Menegalli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F.C., 2006, </w:t>
      </w:r>
      <w:proofErr w:type="spellStart"/>
      <w:r w:rsidRPr="006E479E">
        <w:rPr>
          <w:rFonts w:cs="Arial"/>
          <w:b w:val="0"/>
          <w:i/>
          <w:szCs w:val="18"/>
        </w:rPr>
        <w:t>Amaranthus</w:t>
      </w:r>
      <w:proofErr w:type="spellEnd"/>
      <w:r w:rsidRPr="006E479E">
        <w:rPr>
          <w:rFonts w:cs="Arial"/>
          <w:b w:val="0"/>
          <w:i/>
          <w:szCs w:val="18"/>
        </w:rPr>
        <w:t xml:space="preserve"> </w:t>
      </w:r>
      <w:proofErr w:type="spellStart"/>
      <w:r w:rsidRPr="006E479E">
        <w:rPr>
          <w:rFonts w:cs="Arial"/>
          <w:b w:val="0"/>
          <w:i/>
          <w:szCs w:val="18"/>
        </w:rPr>
        <w:t>cruentus</w:t>
      </w:r>
      <w:proofErr w:type="spellEnd"/>
      <w:r w:rsidRPr="002F2278">
        <w:rPr>
          <w:rFonts w:cs="Arial"/>
          <w:b w:val="0"/>
          <w:szCs w:val="18"/>
        </w:rPr>
        <w:t xml:space="preserve"> flour edible films, influence of stearic acid addition, emulsification stirring speed and plasticizer concentration in amaranth flour based film forming </w:t>
      </w:r>
      <w:r w:rsidRPr="002F2278">
        <w:rPr>
          <w:rFonts w:cs="Arial"/>
          <w:b w:val="0"/>
          <w:szCs w:val="18"/>
        </w:rPr>
        <w:lastRenderedPageBreak/>
        <w:t>solutions on barrier and mechanical properties of its films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Journal of Agric</w:t>
      </w:r>
      <w:r>
        <w:rPr>
          <w:rFonts w:cs="Arial"/>
          <w:b w:val="0"/>
          <w:szCs w:val="18"/>
        </w:rPr>
        <w:t xml:space="preserve">ultural and Food Chemistry, 54, </w:t>
      </w:r>
      <w:r w:rsidRPr="002F2278">
        <w:rPr>
          <w:rFonts w:cs="Arial"/>
          <w:b w:val="0"/>
          <w:szCs w:val="18"/>
        </w:rPr>
        <w:t>6645-6653.</w:t>
      </w:r>
    </w:p>
    <w:p w:rsidR="00CF5CD2" w:rsidRDefault="00CF5CD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CF5CD2">
        <w:rPr>
          <w:rFonts w:cs="Arial"/>
          <w:b w:val="0"/>
          <w:szCs w:val="18"/>
        </w:rPr>
        <w:t>Daudt</w:t>
      </w:r>
      <w:proofErr w:type="spellEnd"/>
      <w:r w:rsidRPr="00CF5CD2">
        <w:rPr>
          <w:rFonts w:cs="Arial"/>
          <w:b w:val="0"/>
          <w:szCs w:val="18"/>
        </w:rPr>
        <w:t xml:space="preserve"> R., </w:t>
      </w:r>
      <w:proofErr w:type="spellStart"/>
      <w:r w:rsidRPr="00CF5CD2">
        <w:rPr>
          <w:rFonts w:cs="Arial"/>
          <w:b w:val="0"/>
          <w:szCs w:val="18"/>
        </w:rPr>
        <w:t>Avena-Bustillos</w:t>
      </w:r>
      <w:proofErr w:type="spellEnd"/>
      <w:r w:rsidRPr="00CF5CD2">
        <w:rPr>
          <w:rFonts w:cs="Arial"/>
          <w:b w:val="0"/>
          <w:szCs w:val="18"/>
        </w:rPr>
        <w:t xml:space="preserve"> R., Williams T., Wood D., </w:t>
      </w:r>
      <w:proofErr w:type="spellStart"/>
      <w:r w:rsidRPr="00CF5CD2">
        <w:rPr>
          <w:rFonts w:cs="Arial"/>
          <w:b w:val="0"/>
          <w:szCs w:val="18"/>
        </w:rPr>
        <w:t>Külkamp-Guerreiro</w:t>
      </w:r>
      <w:proofErr w:type="spellEnd"/>
      <w:r w:rsidRPr="00CF5CD2">
        <w:rPr>
          <w:rFonts w:cs="Arial"/>
          <w:b w:val="0"/>
          <w:szCs w:val="18"/>
        </w:rPr>
        <w:t xml:space="preserve"> I., </w:t>
      </w:r>
      <w:proofErr w:type="spellStart"/>
      <w:r w:rsidRPr="00CF5CD2">
        <w:rPr>
          <w:rFonts w:cs="Arial"/>
          <w:b w:val="0"/>
          <w:szCs w:val="18"/>
        </w:rPr>
        <w:t>Marczak</w:t>
      </w:r>
      <w:proofErr w:type="spellEnd"/>
      <w:r w:rsidR="002707E0">
        <w:rPr>
          <w:rFonts w:cs="Arial"/>
          <w:b w:val="0"/>
          <w:szCs w:val="18"/>
        </w:rPr>
        <w:t xml:space="preserve"> L., </w:t>
      </w:r>
      <w:r w:rsidRPr="00CF5CD2">
        <w:rPr>
          <w:rFonts w:cs="Arial"/>
          <w:b w:val="0"/>
          <w:szCs w:val="18"/>
        </w:rPr>
        <w:t>McHugh T.</w:t>
      </w:r>
      <w:r w:rsidR="002707E0">
        <w:rPr>
          <w:rFonts w:cs="Arial"/>
          <w:b w:val="0"/>
          <w:szCs w:val="18"/>
        </w:rPr>
        <w:t xml:space="preserve">, </w:t>
      </w:r>
      <w:r w:rsidRPr="00CF5CD2">
        <w:rPr>
          <w:rFonts w:cs="Arial"/>
          <w:b w:val="0"/>
          <w:szCs w:val="18"/>
        </w:rPr>
        <w:t>2016</w:t>
      </w:r>
      <w:r w:rsidR="002707E0">
        <w:rPr>
          <w:rFonts w:cs="Arial"/>
          <w:b w:val="0"/>
          <w:szCs w:val="18"/>
        </w:rPr>
        <w:t xml:space="preserve">, </w:t>
      </w:r>
      <w:r w:rsidRPr="00CF5CD2">
        <w:rPr>
          <w:rFonts w:cs="Arial"/>
          <w:b w:val="0"/>
          <w:szCs w:val="18"/>
        </w:rPr>
        <w:t xml:space="preserve">Comparative study on properties of edible films based on </w:t>
      </w:r>
      <w:proofErr w:type="spellStart"/>
      <w:r w:rsidRPr="00CF5CD2">
        <w:rPr>
          <w:rFonts w:cs="Arial"/>
          <w:b w:val="0"/>
          <w:szCs w:val="18"/>
        </w:rPr>
        <w:t>pinhão</w:t>
      </w:r>
      <w:proofErr w:type="spellEnd"/>
      <w:r w:rsidRPr="00CF5CD2">
        <w:rPr>
          <w:rFonts w:cs="Arial"/>
          <w:b w:val="0"/>
          <w:szCs w:val="18"/>
        </w:rPr>
        <w:t xml:space="preserve"> (</w:t>
      </w:r>
      <w:r w:rsidRPr="002707E0">
        <w:rPr>
          <w:rFonts w:cs="Arial"/>
          <w:b w:val="0"/>
          <w:i/>
          <w:szCs w:val="18"/>
        </w:rPr>
        <w:t xml:space="preserve">Araucaria </w:t>
      </w:r>
      <w:proofErr w:type="spellStart"/>
      <w:r w:rsidRPr="002707E0">
        <w:rPr>
          <w:rFonts w:cs="Arial"/>
          <w:b w:val="0"/>
          <w:i/>
          <w:szCs w:val="18"/>
        </w:rPr>
        <w:t>angustifolia</w:t>
      </w:r>
      <w:proofErr w:type="spellEnd"/>
      <w:r w:rsidRPr="00CF5CD2">
        <w:rPr>
          <w:rFonts w:cs="Arial"/>
          <w:b w:val="0"/>
          <w:szCs w:val="18"/>
        </w:rPr>
        <w:t>) starch and flour. Food Hydrocolloids, 60, 279-287.</w:t>
      </w:r>
    </w:p>
    <w:p w:rsidR="002707E0" w:rsidRDefault="002945F2" w:rsidP="002707E0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2F2278">
        <w:rPr>
          <w:rFonts w:cs="Arial"/>
          <w:b w:val="0"/>
          <w:szCs w:val="18"/>
          <w:lang w:val="en-US"/>
        </w:rPr>
        <w:t>Eça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K.S., Machado M.T.C., </w:t>
      </w:r>
      <w:proofErr w:type="spellStart"/>
      <w:r w:rsidRPr="002F2278">
        <w:rPr>
          <w:rFonts w:cs="Arial"/>
          <w:b w:val="0"/>
          <w:szCs w:val="18"/>
          <w:lang w:val="en-US"/>
        </w:rPr>
        <w:t>Hubinger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M.D., </w:t>
      </w:r>
      <w:proofErr w:type="spellStart"/>
      <w:r w:rsidRPr="002F2278">
        <w:rPr>
          <w:rFonts w:cs="Arial"/>
          <w:b w:val="0"/>
          <w:szCs w:val="18"/>
          <w:lang w:val="en-US"/>
        </w:rPr>
        <w:t>Menegalli</w:t>
      </w:r>
      <w:proofErr w:type="spellEnd"/>
      <w:r w:rsidRPr="002F2278">
        <w:rPr>
          <w:rFonts w:cs="Arial"/>
          <w:b w:val="0"/>
          <w:szCs w:val="18"/>
          <w:lang w:val="en-US"/>
        </w:rPr>
        <w:t xml:space="preserve"> F.C., 2015, </w:t>
      </w:r>
      <w:r w:rsidRPr="002F2278">
        <w:rPr>
          <w:rFonts w:cs="Arial"/>
          <w:b w:val="0"/>
          <w:szCs w:val="18"/>
        </w:rPr>
        <w:t>Development of</w:t>
      </w:r>
      <w:r>
        <w:rPr>
          <w:rFonts w:cs="Arial"/>
          <w:b w:val="0"/>
          <w:szCs w:val="18"/>
        </w:rPr>
        <w:t xml:space="preserve"> </w:t>
      </w:r>
      <w:r w:rsidRPr="002F2278">
        <w:rPr>
          <w:rFonts w:cs="Arial"/>
          <w:b w:val="0"/>
          <w:szCs w:val="18"/>
        </w:rPr>
        <w:t>active films from pectin and fruit extracts: light protection, antioxidant capacity, and</w:t>
      </w:r>
      <w:r>
        <w:rPr>
          <w:rFonts w:cs="Arial"/>
          <w:b w:val="0"/>
          <w:szCs w:val="18"/>
        </w:rPr>
        <w:t xml:space="preserve"> </w:t>
      </w:r>
      <w:r w:rsidRPr="002F2278">
        <w:rPr>
          <w:rFonts w:cs="Arial"/>
          <w:b w:val="0"/>
          <w:szCs w:val="18"/>
        </w:rPr>
        <w:t>compounds stability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J</w:t>
      </w:r>
      <w:r>
        <w:rPr>
          <w:rFonts w:cs="Arial"/>
          <w:b w:val="0"/>
          <w:szCs w:val="18"/>
        </w:rPr>
        <w:t xml:space="preserve">ournal of Food Science, 80(11), </w:t>
      </w:r>
      <w:r w:rsidRPr="002F2278">
        <w:rPr>
          <w:rFonts w:cs="Arial"/>
          <w:b w:val="0"/>
          <w:szCs w:val="18"/>
        </w:rPr>
        <w:t>2389-2396.</w:t>
      </w:r>
    </w:p>
    <w:p w:rsidR="002707E0" w:rsidRDefault="002707E0" w:rsidP="002707E0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2707E0">
        <w:rPr>
          <w:rFonts w:cs="Arial"/>
          <w:b w:val="0"/>
          <w:szCs w:val="18"/>
          <w:lang w:val="en-US"/>
        </w:rPr>
        <w:t xml:space="preserve">Fidelis J., </w:t>
      </w:r>
      <w:proofErr w:type="spellStart"/>
      <w:r w:rsidRPr="002707E0">
        <w:rPr>
          <w:rFonts w:cs="Arial"/>
          <w:b w:val="0"/>
          <w:szCs w:val="18"/>
          <w:lang w:val="en-US"/>
        </w:rPr>
        <w:t>Marchi</w:t>
      </w:r>
      <w:proofErr w:type="spellEnd"/>
      <w:r w:rsidRPr="002707E0">
        <w:rPr>
          <w:rFonts w:cs="Arial"/>
          <w:b w:val="0"/>
          <w:szCs w:val="18"/>
          <w:lang w:val="en-US"/>
        </w:rPr>
        <w:t xml:space="preserve"> L., Marques D.R., </w:t>
      </w:r>
      <w:proofErr w:type="spellStart"/>
      <w:r w:rsidRPr="002707E0">
        <w:rPr>
          <w:rFonts w:cs="Arial"/>
          <w:b w:val="0"/>
          <w:szCs w:val="18"/>
          <w:lang w:val="en-US"/>
        </w:rPr>
        <w:t>Scapim</w:t>
      </w:r>
      <w:proofErr w:type="spellEnd"/>
      <w:r w:rsidRPr="002707E0">
        <w:rPr>
          <w:rFonts w:cs="Arial"/>
          <w:b w:val="0"/>
          <w:szCs w:val="18"/>
          <w:lang w:val="en-US"/>
        </w:rPr>
        <w:t xml:space="preserve"> M., </w:t>
      </w:r>
      <w:proofErr w:type="spellStart"/>
      <w:r w:rsidRPr="002707E0">
        <w:rPr>
          <w:rFonts w:cs="Arial"/>
          <w:b w:val="0"/>
          <w:szCs w:val="18"/>
          <w:lang w:val="en-US"/>
        </w:rPr>
        <w:t>Madrona</w:t>
      </w:r>
      <w:proofErr w:type="spellEnd"/>
      <w:r w:rsidRPr="002707E0">
        <w:rPr>
          <w:rFonts w:cs="Arial"/>
          <w:b w:val="0"/>
          <w:szCs w:val="18"/>
          <w:lang w:val="en-US"/>
        </w:rPr>
        <w:t xml:space="preserve"> G., </w:t>
      </w:r>
      <w:proofErr w:type="spellStart"/>
      <w:r w:rsidRPr="002707E0">
        <w:rPr>
          <w:rFonts w:cs="Arial"/>
          <w:b w:val="0"/>
          <w:szCs w:val="18"/>
          <w:lang w:val="en-US"/>
        </w:rPr>
        <w:t>Monteiro</w:t>
      </w:r>
      <w:proofErr w:type="spellEnd"/>
      <w:r w:rsidRPr="002707E0">
        <w:rPr>
          <w:rFonts w:cs="Arial"/>
          <w:b w:val="0"/>
          <w:szCs w:val="18"/>
          <w:lang w:val="en-US"/>
        </w:rPr>
        <w:t xml:space="preserve"> C.C.F., Yamashita F., </w:t>
      </w:r>
      <w:proofErr w:type="spellStart"/>
      <w:r w:rsidRPr="002707E0">
        <w:rPr>
          <w:rFonts w:cs="Arial"/>
          <w:b w:val="0"/>
          <w:szCs w:val="18"/>
          <w:lang w:val="en-US"/>
        </w:rPr>
        <w:t>Monteiro</w:t>
      </w:r>
      <w:proofErr w:type="spellEnd"/>
      <w:r w:rsidRPr="002707E0">
        <w:rPr>
          <w:rFonts w:cs="Arial"/>
          <w:b w:val="0"/>
          <w:szCs w:val="18"/>
          <w:lang w:val="en-US"/>
        </w:rPr>
        <w:t xml:space="preserve"> A.R.G., 2017, </w:t>
      </w:r>
      <w:r w:rsidRPr="002707E0">
        <w:rPr>
          <w:rFonts w:cs="Arial"/>
          <w:b w:val="0"/>
          <w:szCs w:val="18"/>
        </w:rPr>
        <w:t xml:space="preserve">Development of biodegradable films of cassava starch and poly (butylene </w:t>
      </w:r>
      <w:proofErr w:type="spellStart"/>
      <w:r w:rsidRPr="002707E0">
        <w:rPr>
          <w:rFonts w:cs="Arial"/>
          <w:b w:val="0"/>
          <w:szCs w:val="18"/>
        </w:rPr>
        <w:t>adipate</w:t>
      </w:r>
      <w:proofErr w:type="spellEnd"/>
      <w:r w:rsidRPr="002707E0">
        <w:rPr>
          <w:rFonts w:cs="Arial"/>
          <w:b w:val="0"/>
          <w:szCs w:val="18"/>
        </w:rPr>
        <w:t xml:space="preserve"> co-terephthalate): effects of oregano essential oil and</w:t>
      </w:r>
      <w:r>
        <w:rPr>
          <w:rFonts w:cs="Arial"/>
          <w:b w:val="0"/>
          <w:szCs w:val="18"/>
        </w:rPr>
        <w:t xml:space="preserve"> </w:t>
      </w:r>
      <w:r w:rsidRPr="002707E0">
        <w:rPr>
          <w:rFonts w:cs="Arial"/>
          <w:b w:val="0"/>
          <w:szCs w:val="18"/>
        </w:rPr>
        <w:t xml:space="preserve">potassium </w:t>
      </w:r>
      <w:proofErr w:type="spellStart"/>
      <w:r w:rsidRPr="002707E0">
        <w:rPr>
          <w:rFonts w:cs="Arial"/>
          <w:b w:val="0"/>
          <w:szCs w:val="18"/>
        </w:rPr>
        <w:t>sorbate</w:t>
      </w:r>
      <w:proofErr w:type="spellEnd"/>
      <w:r w:rsidRPr="002707E0">
        <w:rPr>
          <w:rFonts w:cs="Arial"/>
          <w:b w:val="0"/>
          <w:szCs w:val="18"/>
        </w:rPr>
        <w:t xml:space="preserve"> in films characterization, Chemical Engineering </w:t>
      </w:r>
      <w:r>
        <w:rPr>
          <w:rFonts w:cs="Arial"/>
          <w:b w:val="0"/>
          <w:szCs w:val="18"/>
        </w:rPr>
        <w:t>T</w:t>
      </w:r>
      <w:r w:rsidRPr="002707E0">
        <w:rPr>
          <w:rFonts w:cs="Arial"/>
          <w:b w:val="0"/>
          <w:szCs w:val="18"/>
        </w:rPr>
        <w:t>ransactions, 57, 1969-1974</w:t>
      </w:r>
      <w:r>
        <w:rPr>
          <w:rFonts w:cs="Arial"/>
          <w:b w:val="0"/>
          <w:szCs w:val="18"/>
        </w:rPr>
        <w:t>.</w:t>
      </w:r>
    </w:p>
    <w:p w:rsidR="00477C2B" w:rsidRDefault="002F3A9B" w:rsidP="002707E0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2F3A9B">
        <w:rPr>
          <w:rFonts w:cs="Arial"/>
          <w:b w:val="0"/>
          <w:szCs w:val="18"/>
          <w:lang w:val="en-US"/>
        </w:rPr>
        <w:t>Heleno</w:t>
      </w:r>
      <w:proofErr w:type="spellEnd"/>
      <w:r w:rsidRPr="002F3A9B">
        <w:rPr>
          <w:rFonts w:cs="Arial"/>
          <w:b w:val="0"/>
          <w:szCs w:val="18"/>
          <w:lang w:val="en-US"/>
        </w:rPr>
        <w:t xml:space="preserve"> S.A., Martins A., </w:t>
      </w:r>
      <w:proofErr w:type="spellStart"/>
      <w:r w:rsidRPr="002F3A9B">
        <w:rPr>
          <w:rFonts w:cs="Arial"/>
          <w:b w:val="0"/>
          <w:szCs w:val="18"/>
          <w:lang w:val="en-US"/>
        </w:rPr>
        <w:t>Queiroz</w:t>
      </w:r>
      <w:proofErr w:type="spellEnd"/>
      <w:r w:rsidRPr="002F3A9B">
        <w:rPr>
          <w:rFonts w:cs="Arial"/>
          <w:b w:val="0"/>
          <w:szCs w:val="18"/>
          <w:lang w:val="en-US"/>
        </w:rPr>
        <w:t xml:space="preserve"> M.R.P., Ferreira I.C.F., </w:t>
      </w:r>
      <w:r w:rsidR="002945F2" w:rsidRPr="004C4593">
        <w:rPr>
          <w:rFonts w:cs="Arial"/>
          <w:b w:val="0"/>
          <w:szCs w:val="18"/>
          <w:lang w:val="en-US"/>
        </w:rPr>
        <w:t xml:space="preserve">2015, </w:t>
      </w:r>
      <w:r w:rsidR="002945F2" w:rsidRPr="004C4593">
        <w:rPr>
          <w:rFonts w:cs="Arial"/>
          <w:b w:val="0"/>
          <w:szCs w:val="18"/>
        </w:rPr>
        <w:t>Bioactivity of phenolic acids: Metabolites versus parent compounds</w:t>
      </w:r>
      <w:r>
        <w:rPr>
          <w:rFonts w:cs="Arial"/>
          <w:b w:val="0"/>
          <w:szCs w:val="18"/>
        </w:rPr>
        <w:t>: a review</w:t>
      </w:r>
      <w:r w:rsidR="002945F2">
        <w:rPr>
          <w:rFonts w:cs="Arial"/>
          <w:b w:val="0"/>
          <w:szCs w:val="18"/>
        </w:rPr>
        <w:t xml:space="preserve">, Food Chemistry, </w:t>
      </w:r>
      <w:r w:rsidR="002945F2" w:rsidRPr="004C4593">
        <w:rPr>
          <w:rFonts w:cs="Arial"/>
          <w:b w:val="0"/>
          <w:szCs w:val="18"/>
        </w:rPr>
        <w:t>173</w:t>
      </w:r>
      <w:r w:rsidR="002945F2">
        <w:rPr>
          <w:rFonts w:cs="Arial"/>
          <w:b w:val="0"/>
          <w:szCs w:val="18"/>
        </w:rPr>
        <w:t>, 5</w:t>
      </w:r>
      <w:r w:rsidR="002945F2" w:rsidRPr="004C4593">
        <w:rPr>
          <w:rFonts w:cs="Arial"/>
          <w:b w:val="0"/>
          <w:szCs w:val="18"/>
        </w:rPr>
        <w:t>01-513.</w:t>
      </w:r>
    </w:p>
    <w:p w:rsidR="00477C2B" w:rsidRPr="00CA4C02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  <w:lang w:val="pt-BR"/>
        </w:rPr>
      </w:pPr>
      <w:r w:rsidRPr="002F2278">
        <w:rPr>
          <w:rFonts w:cs="Arial"/>
          <w:b w:val="0"/>
          <w:szCs w:val="18"/>
        </w:rPr>
        <w:t>H</w:t>
      </w:r>
      <w:r w:rsidR="002F3A9B">
        <w:rPr>
          <w:rFonts w:cs="Arial"/>
          <w:b w:val="0"/>
          <w:szCs w:val="18"/>
        </w:rPr>
        <w:t>unter Lab</w:t>
      </w:r>
      <w:r w:rsidRPr="002F2278">
        <w:rPr>
          <w:rFonts w:cs="Arial"/>
          <w:b w:val="0"/>
          <w:szCs w:val="18"/>
        </w:rPr>
        <w:t xml:space="preserve">. CIE L*a*b* </w:t>
      </w:r>
      <w:proofErr w:type="spellStart"/>
      <w:r w:rsidRPr="002F2278">
        <w:rPr>
          <w:rFonts w:cs="Arial"/>
          <w:b w:val="0"/>
          <w:szCs w:val="18"/>
        </w:rPr>
        <w:t>color</w:t>
      </w:r>
      <w:proofErr w:type="spellEnd"/>
      <w:r w:rsidRPr="002F2278">
        <w:rPr>
          <w:rFonts w:cs="Arial"/>
          <w:b w:val="0"/>
          <w:szCs w:val="18"/>
        </w:rPr>
        <w:t xml:space="preserve"> scale. </w:t>
      </w:r>
      <w:proofErr w:type="gramStart"/>
      <w:r w:rsidRPr="002F2278">
        <w:rPr>
          <w:rFonts w:cs="Arial"/>
          <w:b w:val="0"/>
          <w:szCs w:val="18"/>
        </w:rPr>
        <w:t>Application Note Archive, v. 8, n. 7.</w:t>
      </w:r>
      <w:proofErr w:type="gramEnd"/>
      <w:r w:rsidRPr="002F2278">
        <w:rPr>
          <w:rFonts w:cs="Arial"/>
          <w:b w:val="0"/>
          <w:szCs w:val="18"/>
        </w:rPr>
        <w:t xml:space="preserve"> </w:t>
      </w:r>
      <w:r w:rsidRPr="00CA4C02">
        <w:rPr>
          <w:rFonts w:cs="Arial"/>
          <w:b w:val="0"/>
          <w:szCs w:val="18"/>
          <w:lang w:val="pt-BR"/>
        </w:rPr>
        <w:t>2012</w:t>
      </w:r>
    </w:p>
    <w:p w:rsidR="002707E0" w:rsidRPr="002707E0" w:rsidRDefault="002707E0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  <w:lang w:val="pt-BR"/>
        </w:rPr>
      </w:pPr>
      <w:proofErr w:type="spellStart"/>
      <w:r w:rsidRPr="002707E0">
        <w:rPr>
          <w:rFonts w:cs="Arial"/>
          <w:b w:val="0"/>
          <w:szCs w:val="18"/>
          <w:lang w:val="pt-BR"/>
        </w:rPr>
        <w:t>K</w:t>
      </w:r>
      <w:r w:rsidR="00C21E0A" w:rsidRPr="002707E0">
        <w:rPr>
          <w:rFonts w:cs="Arial"/>
          <w:b w:val="0"/>
          <w:szCs w:val="18"/>
          <w:lang w:val="pt-BR"/>
        </w:rPr>
        <w:t>essin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J.P., </w:t>
      </w:r>
      <w:proofErr w:type="spellStart"/>
      <w:r w:rsidRPr="002707E0">
        <w:rPr>
          <w:rFonts w:cs="Arial"/>
          <w:b w:val="0"/>
          <w:szCs w:val="18"/>
          <w:lang w:val="pt-BR"/>
        </w:rPr>
        <w:t>Pigozzi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L., </w:t>
      </w:r>
      <w:proofErr w:type="spellStart"/>
      <w:r w:rsidRPr="002707E0">
        <w:rPr>
          <w:rFonts w:cs="Arial"/>
          <w:b w:val="0"/>
          <w:szCs w:val="18"/>
          <w:lang w:val="pt-BR"/>
        </w:rPr>
        <w:t>Hahn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P.C., Dias G.V., Nunes M.R., Costa M.D., </w:t>
      </w:r>
      <w:proofErr w:type="spellStart"/>
      <w:r w:rsidRPr="002707E0">
        <w:rPr>
          <w:rFonts w:cs="Arial"/>
          <w:b w:val="0"/>
          <w:szCs w:val="18"/>
          <w:lang w:val="pt-BR"/>
        </w:rPr>
        <w:t>Veeck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A.P.L., 2018, Atividade antioxidante de compostos fenólicos presentes em polpa e casca de goiabeira serrana</w:t>
      </w:r>
      <w:r>
        <w:rPr>
          <w:rFonts w:cs="Arial"/>
          <w:b w:val="0"/>
          <w:szCs w:val="18"/>
          <w:lang w:val="pt-BR"/>
        </w:rPr>
        <w:t xml:space="preserve">, </w:t>
      </w:r>
      <w:proofErr w:type="spellStart"/>
      <w:r w:rsidRPr="002707E0">
        <w:rPr>
          <w:rFonts w:cs="Arial"/>
          <w:b w:val="0"/>
          <w:szCs w:val="18"/>
          <w:lang w:val="pt-BR"/>
        </w:rPr>
        <w:t>Brazilian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2707E0">
        <w:rPr>
          <w:rFonts w:cs="Arial"/>
          <w:b w:val="0"/>
          <w:szCs w:val="18"/>
          <w:lang w:val="pt-BR"/>
        </w:rPr>
        <w:t>Journal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2707E0">
        <w:rPr>
          <w:rFonts w:cs="Arial"/>
          <w:b w:val="0"/>
          <w:szCs w:val="18"/>
          <w:lang w:val="pt-BR"/>
        </w:rPr>
        <w:t>of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2707E0">
        <w:rPr>
          <w:rFonts w:cs="Arial"/>
          <w:b w:val="0"/>
          <w:szCs w:val="18"/>
          <w:lang w:val="pt-BR"/>
        </w:rPr>
        <w:t>Food</w:t>
      </w:r>
      <w:proofErr w:type="spellEnd"/>
      <w:r w:rsidRPr="002707E0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2707E0">
        <w:rPr>
          <w:rFonts w:cs="Arial"/>
          <w:b w:val="0"/>
          <w:szCs w:val="18"/>
          <w:lang w:val="pt-BR"/>
        </w:rPr>
        <w:t>Research</w:t>
      </w:r>
      <w:proofErr w:type="spellEnd"/>
      <w:r>
        <w:rPr>
          <w:rFonts w:cs="Arial"/>
          <w:b w:val="0"/>
          <w:szCs w:val="18"/>
          <w:lang w:val="pt-BR"/>
        </w:rPr>
        <w:t xml:space="preserve">, </w:t>
      </w:r>
      <w:r w:rsidRPr="002707E0">
        <w:rPr>
          <w:rFonts w:cs="Arial"/>
          <w:b w:val="0"/>
          <w:szCs w:val="18"/>
          <w:lang w:val="pt-BR"/>
        </w:rPr>
        <w:t>9,</w:t>
      </w:r>
      <w:r>
        <w:rPr>
          <w:rFonts w:cs="Arial"/>
          <w:b w:val="0"/>
          <w:szCs w:val="18"/>
          <w:lang w:val="pt-BR"/>
        </w:rPr>
        <w:t xml:space="preserve"> 141-153.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2F2278">
        <w:rPr>
          <w:rFonts w:cs="Arial"/>
          <w:b w:val="0"/>
          <w:szCs w:val="18"/>
        </w:rPr>
        <w:t>Liu R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H.</w:t>
      </w:r>
      <w:r>
        <w:rPr>
          <w:rFonts w:cs="Arial"/>
          <w:b w:val="0"/>
          <w:szCs w:val="18"/>
        </w:rPr>
        <w:t>,</w:t>
      </w:r>
      <w:r w:rsidRPr="002F2278">
        <w:rPr>
          <w:rFonts w:cs="Arial"/>
          <w:b w:val="0"/>
          <w:szCs w:val="18"/>
        </w:rPr>
        <w:t xml:space="preserve"> 2004</w:t>
      </w:r>
      <w:r>
        <w:rPr>
          <w:rFonts w:cs="Arial"/>
          <w:b w:val="0"/>
          <w:szCs w:val="18"/>
        </w:rPr>
        <w:t>,</w:t>
      </w:r>
      <w:r w:rsidRPr="002F2278">
        <w:rPr>
          <w:rFonts w:cs="Arial"/>
          <w:b w:val="0"/>
          <w:szCs w:val="18"/>
        </w:rPr>
        <w:t xml:space="preserve"> Potential Synergy of Phytochemicals in Cancer P</w:t>
      </w:r>
      <w:r>
        <w:rPr>
          <w:rFonts w:cs="Arial"/>
          <w:b w:val="0"/>
          <w:szCs w:val="18"/>
        </w:rPr>
        <w:t xml:space="preserve">revention: Mechanism of Action, </w:t>
      </w:r>
      <w:proofErr w:type="gramStart"/>
      <w:r w:rsidRPr="002F2278">
        <w:rPr>
          <w:rFonts w:cs="Arial"/>
          <w:b w:val="0"/>
          <w:szCs w:val="18"/>
        </w:rPr>
        <w:t>The</w:t>
      </w:r>
      <w:proofErr w:type="gramEnd"/>
      <w:r w:rsidRPr="002F2278">
        <w:rPr>
          <w:rFonts w:cs="Arial"/>
          <w:b w:val="0"/>
          <w:szCs w:val="18"/>
        </w:rPr>
        <w:t xml:space="preserve"> Journal of Nutrition</w:t>
      </w:r>
      <w:r>
        <w:rPr>
          <w:rFonts w:cs="Arial"/>
          <w:b w:val="0"/>
          <w:szCs w:val="18"/>
        </w:rPr>
        <w:t>,</w:t>
      </w:r>
      <w:r w:rsidRPr="002F2278">
        <w:rPr>
          <w:rFonts w:cs="Arial"/>
          <w:b w:val="0"/>
          <w:szCs w:val="18"/>
        </w:rPr>
        <w:t xml:space="preserve"> 134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3479-3485.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2F2278">
        <w:rPr>
          <w:rFonts w:cs="Arial"/>
          <w:b w:val="0"/>
          <w:szCs w:val="18"/>
        </w:rPr>
        <w:t>Norajit</w:t>
      </w:r>
      <w:proofErr w:type="spellEnd"/>
      <w:r w:rsidRPr="002F2278">
        <w:rPr>
          <w:rFonts w:cs="Arial"/>
          <w:b w:val="0"/>
          <w:szCs w:val="18"/>
        </w:rPr>
        <w:t xml:space="preserve"> K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, Kim K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M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,</w:t>
      </w:r>
      <w:r>
        <w:rPr>
          <w:rFonts w:cs="Arial"/>
          <w:b w:val="0"/>
          <w:szCs w:val="18"/>
        </w:rPr>
        <w:t xml:space="preserve"> </w:t>
      </w:r>
      <w:proofErr w:type="spellStart"/>
      <w:r w:rsidRPr="002F2278">
        <w:rPr>
          <w:rFonts w:cs="Arial"/>
          <w:b w:val="0"/>
          <w:szCs w:val="18"/>
        </w:rPr>
        <w:t>Ryu</w:t>
      </w:r>
      <w:proofErr w:type="spellEnd"/>
      <w:r w:rsidRPr="002F2278">
        <w:rPr>
          <w:rFonts w:cs="Arial"/>
          <w:b w:val="0"/>
          <w:szCs w:val="18"/>
        </w:rPr>
        <w:t xml:space="preserve"> G</w:t>
      </w:r>
      <w:r>
        <w:rPr>
          <w:rFonts w:cs="Arial"/>
          <w:b w:val="0"/>
          <w:szCs w:val="18"/>
        </w:rPr>
        <w:t>.</w:t>
      </w:r>
      <w:r w:rsidRPr="002F2278">
        <w:rPr>
          <w:rFonts w:cs="Arial"/>
          <w:b w:val="0"/>
          <w:szCs w:val="18"/>
        </w:rPr>
        <w:t>H</w:t>
      </w:r>
      <w:r>
        <w:rPr>
          <w:rFonts w:cs="Arial"/>
          <w:b w:val="0"/>
          <w:szCs w:val="18"/>
        </w:rPr>
        <w:t>.,</w:t>
      </w:r>
      <w:r w:rsidRPr="002F2278">
        <w:rPr>
          <w:rFonts w:cs="Arial"/>
          <w:b w:val="0"/>
          <w:szCs w:val="18"/>
        </w:rPr>
        <w:t xml:space="preserve"> 2010</w:t>
      </w:r>
      <w:r>
        <w:rPr>
          <w:rFonts w:cs="Arial"/>
          <w:b w:val="0"/>
          <w:szCs w:val="18"/>
        </w:rPr>
        <w:t>,</w:t>
      </w:r>
      <w:r w:rsidRPr="002F2278">
        <w:rPr>
          <w:rFonts w:cs="Arial"/>
          <w:b w:val="0"/>
          <w:szCs w:val="18"/>
        </w:rPr>
        <w:t xml:space="preserve"> Comparative studies on the characterization and antioxidant properties of biodegradable alginate f</w:t>
      </w:r>
      <w:r>
        <w:rPr>
          <w:rFonts w:cs="Arial"/>
          <w:b w:val="0"/>
          <w:szCs w:val="18"/>
        </w:rPr>
        <w:t xml:space="preserve">ilms containing ginseng extract, Journal of Food </w:t>
      </w:r>
      <w:r w:rsidRPr="002F2278">
        <w:rPr>
          <w:rFonts w:cs="Arial"/>
          <w:b w:val="0"/>
          <w:szCs w:val="18"/>
        </w:rPr>
        <w:t>Eng</w:t>
      </w:r>
      <w:r>
        <w:rPr>
          <w:rFonts w:cs="Arial"/>
          <w:b w:val="0"/>
          <w:szCs w:val="18"/>
        </w:rPr>
        <w:t xml:space="preserve">ineering, 98, </w:t>
      </w:r>
      <w:r w:rsidRPr="002F2278">
        <w:rPr>
          <w:rFonts w:cs="Arial"/>
          <w:b w:val="0"/>
          <w:szCs w:val="18"/>
        </w:rPr>
        <w:t>3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377–</w:t>
      </w:r>
      <w:r>
        <w:rPr>
          <w:rFonts w:cs="Arial"/>
          <w:b w:val="0"/>
          <w:szCs w:val="18"/>
        </w:rPr>
        <w:t>3</w:t>
      </w:r>
      <w:r w:rsidRPr="002F2278">
        <w:rPr>
          <w:rFonts w:cs="Arial"/>
          <w:b w:val="0"/>
          <w:szCs w:val="18"/>
        </w:rPr>
        <w:t>84.</w:t>
      </w:r>
    </w:p>
    <w:p w:rsidR="005C2D83" w:rsidRPr="005C2D83" w:rsidRDefault="005C2D83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  <w:lang w:val="pt-BR"/>
        </w:rPr>
      </w:pPr>
      <w:r>
        <w:rPr>
          <w:rFonts w:cs="Arial"/>
          <w:b w:val="0"/>
          <w:szCs w:val="18"/>
          <w:lang w:val="pt-BR"/>
        </w:rPr>
        <w:t>Nunes</w:t>
      </w:r>
      <w:r w:rsidR="002F3A9B">
        <w:rPr>
          <w:rFonts w:cs="Arial"/>
          <w:b w:val="0"/>
          <w:szCs w:val="18"/>
          <w:lang w:val="pt-BR"/>
        </w:rPr>
        <w:t xml:space="preserve"> </w:t>
      </w:r>
      <w:r w:rsidRPr="005C2D83">
        <w:rPr>
          <w:rFonts w:cs="Arial"/>
          <w:b w:val="0"/>
          <w:szCs w:val="18"/>
          <w:lang w:val="pt-BR"/>
        </w:rPr>
        <w:t xml:space="preserve">M., de Souza </w:t>
      </w:r>
      <w:proofErr w:type="spellStart"/>
      <w:r w:rsidRPr="005C2D83">
        <w:rPr>
          <w:rFonts w:cs="Arial"/>
          <w:b w:val="0"/>
          <w:szCs w:val="18"/>
          <w:lang w:val="pt-BR"/>
        </w:rPr>
        <w:t>Maguerroski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Castilho M., de Lima </w:t>
      </w:r>
      <w:proofErr w:type="spellStart"/>
      <w:r w:rsidRPr="005C2D83">
        <w:rPr>
          <w:rFonts w:cs="Arial"/>
          <w:b w:val="0"/>
          <w:szCs w:val="18"/>
          <w:lang w:val="pt-BR"/>
        </w:rPr>
        <w:t>Veeck</w:t>
      </w:r>
      <w:proofErr w:type="spellEnd"/>
      <w:r>
        <w:rPr>
          <w:rFonts w:cs="Arial"/>
          <w:b w:val="0"/>
          <w:szCs w:val="18"/>
          <w:lang w:val="pt-BR"/>
        </w:rPr>
        <w:t xml:space="preserve"> A., da Rosa</w:t>
      </w:r>
      <w:r w:rsidRPr="005C2D83">
        <w:rPr>
          <w:rFonts w:cs="Arial"/>
          <w:b w:val="0"/>
          <w:szCs w:val="18"/>
          <w:lang w:val="pt-BR"/>
        </w:rPr>
        <w:t xml:space="preserve"> C., Noronha C., Maciel M., Barreto</w:t>
      </w:r>
      <w:r>
        <w:rPr>
          <w:rFonts w:cs="Arial"/>
          <w:b w:val="0"/>
          <w:szCs w:val="18"/>
          <w:lang w:val="pt-BR"/>
        </w:rPr>
        <w:t xml:space="preserve"> P., 2018, </w:t>
      </w:r>
      <w:proofErr w:type="spellStart"/>
      <w:r w:rsidRPr="005C2D83">
        <w:rPr>
          <w:rFonts w:cs="Arial"/>
          <w:b w:val="0"/>
          <w:szCs w:val="18"/>
          <w:lang w:val="pt-BR"/>
        </w:rPr>
        <w:t>Antioxidant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and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antimicrobial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methylcellulose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films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containing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6E479E">
        <w:rPr>
          <w:rFonts w:cs="Arial"/>
          <w:b w:val="0"/>
          <w:i/>
          <w:szCs w:val="18"/>
          <w:lang w:val="pt-BR"/>
        </w:rPr>
        <w:t>Lippia</w:t>
      </w:r>
      <w:proofErr w:type="spellEnd"/>
      <w:r w:rsidRPr="006E479E">
        <w:rPr>
          <w:rFonts w:cs="Arial"/>
          <w:b w:val="0"/>
          <w:i/>
          <w:szCs w:val="18"/>
          <w:lang w:val="pt-BR"/>
        </w:rPr>
        <w:t xml:space="preserve"> </w:t>
      </w:r>
      <w:proofErr w:type="gramStart"/>
      <w:r w:rsidRPr="006E479E">
        <w:rPr>
          <w:rFonts w:cs="Arial"/>
          <w:b w:val="0"/>
          <w:i/>
          <w:szCs w:val="18"/>
          <w:lang w:val="pt-BR"/>
        </w:rPr>
        <w:t>alba</w:t>
      </w:r>
      <w:proofErr w:type="gram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e</w:t>
      </w:r>
      <w:r>
        <w:rPr>
          <w:rFonts w:cs="Arial"/>
          <w:b w:val="0"/>
          <w:szCs w:val="18"/>
          <w:lang w:val="pt-BR"/>
        </w:rPr>
        <w:t>xtract</w:t>
      </w:r>
      <w:proofErr w:type="spellEnd"/>
      <w:r>
        <w:rPr>
          <w:rFonts w:cs="Arial"/>
          <w:b w:val="0"/>
          <w:szCs w:val="18"/>
          <w:lang w:val="pt-BR"/>
        </w:rPr>
        <w:t xml:space="preserve"> </w:t>
      </w:r>
      <w:proofErr w:type="spellStart"/>
      <w:r>
        <w:rPr>
          <w:rFonts w:cs="Arial"/>
          <w:b w:val="0"/>
          <w:szCs w:val="18"/>
          <w:lang w:val="pt-BR"/>
        </w:rPr>
        <w:t>and</w:t>
      </w:r>
      <w:proofErr w:type="spellEnd"/>
      <w:r>
        <w:rPr>
          <w:rFonts w:cs="Arial"/>
          <w:b w:val="0"/>
          <w:szCs w:val="18"/>
          <w:lang w:val="pt-BR"/>
        </w:rPr>
        <w:t xml:space="preserve"> </w:t>
      </w:r>
      <w:proofErr w:type="spellStart"/>
      <w:r>
        <w:rPr>
          <w:rFonts w:cs="Arial"/>
          <w:b w:val="0"/>
          <w:szCs w:val="18"/>
          <w:lang w:val="pt-BR"/>
        </w:rPr>
        <w:t>silver</w:t>
      </w:r>
      <w:proofErr w:type="spellEnd"/>
      <w:r>
        <w:rPr>
          <w:rFonts w:cs="Arial"/>
          <w:b w:val="0"/>
          <w:szCs w:val="18"/>
          <w:lang w:val="pt-BR"/>
        </w:rPr>
        <w:t xml:space="preserve"> </w:t>
      </w:r>
      <w:proofErr w:type="spellStart"/>
      <w:r>
        <w:rPr>
          <w:rFonts w:cs="Arial"/>
          <w:b w:val="0"/>
          <w:szCs w:val="18"/>
          <w:lang w:val="pt-BR"/>
        </w:rPr>
        <w:t>nanoparticles</w:t>
      </w:r>
      <w:proofErr w:type="spellEnd"/>
      <w:r>
        <w:rPr>
          <w:rFonts w:cs="Arial"/>
          <w:b w:val="0"/>
          <w:szCs w:val="18"/>
          <w:lang w:val="pt-BR"/>
        </w:rPr>
        <w:t xml:space="preserve">, </w:t>
      </w:r>
      <w:proofErr w:type="spellStart"/>
      <w:r w:rsidRPr="005C2D83">
        <w:rPr>
          <w:rFonts w:cs="Arial"/>
          <w:b w:val="0"/>
          <w:szCs w:val="18"/>
          <w:lang w:val="pt-BR"/>
        </w:rPr>
        <w:t>Carbohydrate</w:t>
      </w:r>
      <w:proofErr w:type="spellEnd"/>
      <w:r w:rsidRPr="005C2D83">
        <w:rPr>
          <w:rFonts w:cs="Arial"/>
          <w:b w:val="0"/>
          <w:szCs w:val="18"/>
          <w:lang w:val="pt-BR"/>
        </w:rPr>
        <w:t xml:space="preserve"> </w:t>
      </w:r>
      <w:proofErr w:type="spellStart"/>
      <w:r w:rsidRPr="005C2D83">
        <w:rPr>
          <w:rFonts w:cs="Arial"/>
          <w:b w:val="0"/>
          <w:szCs w:val="18"/>
          <w:lang w:val="pt-BR"/>
        </w:rPr>
        <w:t>Polymers</w:t>
      </w:r>
      <w:proofErr w:type="spellEnd"/>
      <w:r w:rsidRPr="005C2D83">
        <w:rPr>
          <w:rFonts w:cs="Arial"/>
          <w:b w:val="0"/>
          <w:szCs w:val="18"/>
          <w:lang w:val="pt-BR"/>
        </w:rPr>
        <w:t>, 192, 37-43</w:t>
      </w:r>
      <w:r>
        <w:rPr>
          <w:rFonts w:cs="Arial"/>
          <w:b w:val="0"/>
          <w:szCs w:val="18"/>
          <w:lang w:val="pt-BR"/>
        </w:rPr>
        <w:t>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  <w:lang w:val="en-US"/>
        </w:rPr>
      </w:pPr>
      <w:proofErr w:type="spellStart"/>
      <w:r w:rsidRPr="004C4593">
        <w:rPr>
          <w:rFonts w:cs="Arial"/>
          <w:b w:val="0"/>
          <w:szCs w:val="18"/>
          <w:lang w:val="en-US"/>
        </w:rPr>
        <w:t>Oladeji</w:t>
      </w:r>
      <w:proofErr w:type="spellEnd"/>
      <w:r w:rsidRPr="004C4593">
        <w:rPr>
          <w:rFonts w:cs="Arial"/>
          <w:b w:val="0"/>
          <w:szCs w:val="18"/>
          <w:lang w:val="en-US"/>
        </w:rPr>
        <w:t xml:space="preserve"> O</w:t>
      </w:r>
      <w:r>
        <w:rPr>
          <w:rFonts w:cs="Arial"/>
          <w:b w:val="0"/>
          <w:szCs w:val="18"/>
          <w:lang w:val="en-US"/>
        </w:rPr>
        <w:t>.</w:t>
      </w:r>
      <w:r w:rsidRPr="004C4593">
        <w:rPr>
          <w:rFonts w:cs="Arial"/>
          <w:b w:val="0"/>
          <w:szCs w:val="18"/>
          <w:lang w:val="en-US"/>
        </w:rPr>
        <w:t xml:space="preserve">, </w:t>
      </w:r>
      <w:proofErr w:type="spellStart"/>
      <w:r w:rsidRPr="004C4593">
        <w:rPr>
          <w:rFonts w:cs="Arial"/>
          <w:b w:val="0"/>
          <w:szCs w:val="18"/>
          <w:lang w:val="en-US"/>
        </w:rPr>
        <w:t>Adelowo</w:t>
      </w:r>
      <w:proofErr w:type="spellEnd"/>
      <w:r w:rsidRPr="004C4593">
        <w:rPr>
          <w:rFonts w:cs="Arial"/>
          <w:b w:val="0"/>
          <w:szCs w:val="18"/>
          <w:lang w:val="en-US"/>
        </w:rPr>
        <w:t xml:space="preserve"> F.</w:t>
      </w:r>
      <w:r>
        <w:rPr>
          <w:rFonts w:cs="Arial"/>
          <w:b w:val="0"/>
          <w:szCs w:val="18"/>
          <w:lang w:val="en-US"/>
        </w:rPr>
        <w:t>, 2017,</w:t>
      </w:r>
      <w:r w:rsidRPr="004C4593">
        <w:rPr>
          <w:rFonts w:cs="Arial"/>
          <w:b w:val="0"/>
          <w:szCs w:val="18"/>
          <w:lang w:val="en-US"/>
        </w:rPr>
        <w:t xml:space="preserve"> Plant phenolic compounds and health benefits</w:t>
      </w:r>
      <w:r>
        <w:rPr>
          <w:rFonts w:cs="Arial"/>
          <w:b w:val="0"/>
          <w:szCs w:val="18"/>
          <w:lang w:val="en-US"/>
        </w:rPr>
        <w:t xml:space="preserve">, </w:t>
      </w:r>
      <w:r w:rsidRPr="004C4593">
        <w:rPr>
          <w:rFonts w:cs="Arial"/>
          <w:b w:val="0"/>
          <w:szCs w:val="18"/>
          <w:lang w:val="en-US"/>
        </w:rPr>
        <w:t>Communications in Plant Sciences</w:t>
      </w:r>
      <w:r>
        <w:rPr>
          <w:rFonts w:cs="Arial"/>
          <w:b w:val="0"/>
          <w:szCs w:val="18"/>
          <w:lang w:val="en-US"/>
        </w:rPr>
        <w:t>,</w:t>
      </w:r>
      <w:r w:rsidRPr="004C4593">
        <w:rPr>
          <w:rFonts w:cs="Arial"/>
          <w:b w:val="0"/>
          <w:szCs w:val="18"/>
          <w:lang w:val="en-US"/>
        </w:rPr>
        <w:t xml:space="preserve"> 7</w:t>
      </w:r>
      <w:r>
        <w:rPr>
          <w:rFonts w:cs="Arial"/>
          <w:b w:val="0"/>
          <w:szCs w:val="18"/>
          <w:lang w:val="en-US"/>
        </w:rPr>
        <w:t>, 20-26.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C35624">
        <w:rPr>
          <w:rFonts w:cs="Arial"/>
          <w:b w:val="0"/>
          <w:szCs w:val="18"/>
        </w:rPr>
        <w:t>Pasquariello</w:t>
      </w:r>
      <w:proofErr w:type="spellEnd"/>
      <w:r w:rsidRPr="00C35624">
        <w:rPr>
          <w:rFonts w:cs="Arial"/>
          <w:b w:val="0"/>
          <w:szCs w:val="18"/>
        </w:rPr>
        <w:t xml:space="preserve"> M., </w:t>
      </w:r>
      <w:proofErr w:type="spellStart"/>
      <w:r w:rsidRPr="00C35624">
        <w:rPr>
          <w:rFonts w:cs="Arial"/>
          <w:b w:val="0"/>
          <w:szCs w:val="18"/>
        </w:rPr>
        <w:t>Mastrobuoni</w:t>
      </w:r>
      <w:proofErr w:type="spellEnd"/>
      <w:r w:rsidRPr="00C35624">
        <w:rPr>
          <w:rFonts w:cs="Arial"/>
          <w:b w:val="0"/>
          <w:szCs w:val="18"/>
        </w:rPr>
        <w:t xml:space="preserve"> F., Di </w:t>
      </w:r>
      <w:proofErr w:type="spellStart"/>
      <w:r w:rsidRPr="00C35624">
        <w:rPr>
          <w:rFonts w:cs="Arial"/>
          <w:b w:val="0"/>
          <w:szCs w:val="18"/>
        </w:rPr>
        <w:t>Patre</w:t>
      </w:r>
      <w:proofErr w:type="spellEnd"/>
      <w:r w:rsidRPr="00C35624">
        <w:rPr>
          <w:rFonts w:cs="Arial"/>
          <w:b w:val="0"/>
          <w:szCs w:val="18"/>
        </w:rPr>
        <w:t xml:space="preserve"> D., </w:t>
      </w:r>
      <w:proofErr w:type="spellStart"/>
      <w:r w:rsidRPr="00C35624">
        <w:rPr>
          <w:rFonts w:cs="Arial"/>
          <w:b w:val="0"/>
          <w:szCs w:val="18"/>
        </w:rPr>
        <w:t>Zampella</w:t>
      </w:r>
      <w:proofErr w:type="spellEnd"/>
      <w:r w:rsidRPr="00C35624">
        <w:rPr>
          <w:rFonts w:cs="Arial"/>
          <w:b w:val="0"/>
          <w:szCs w:val="18"/>
        </w:rPr>
        <w:t xml:space="preserve"> L., Capuano L., </w:t>
      </w:r>
      <w:proofErr w:type="spellStart"/>
      <w:r w:rsidRPr="00C35624">
        <w:rPr>
          <w:rFonts w:cs="Arial"/>
          <w:b w:val="0"/>
          <w:szCs w:val="18"/>
        </w:rPr>
        <w:t>Scortichini</w:t>
      </w:r>
      <w:proofErr w:type="spellEnd"/>
      <w:r w:rsidRPr="00C35624">
        <w:rPr>
          <w:rFonts w:cs="Arial"/>
          <w:b w:val="0"/>
          <w:szCs w:val="18"/>
        </w:rPr>
        <w:t xml:space="preserve"> M., </w:t>
      </w:r>
      <w:proofErr w:type="spellStart"/>
      <w:r w:rsidRPr="00C35624">
        <w:rPr>
          <w:rFonts w:cs="Arial"/>
          <w:b w:val="0"/>
          <w:szCs w:val="18"/>
        </w:rPr>
        <w:t>Petriccione</w:t>
      </w:r>
      <w:proofErr w:type="spellEnd"/>
      <w:r w:rsidRPr="00C35624">
        <w:rPr>
          <w:rFonts w:cs="Arial"/>
          <w:b w:val="0"/>
          <w:szCs w:val="18"/>
        </w:rPr>
        <w:t xml:space="preserve"> M., 2015, Agronomic, </w:t>
      </w:r>
      <w:proofErr w:type="spellStart"/>
      <w:r w:rsidRPr="00C35624">
        <w:rPr>
          <w:rFonts w:cs="Arial"/>
          <w:b w:val="0"/>
          <w:szCs w:val="18"/>
        </w:rPr>
        <w:t>nutraceutical</w:t>
      </w:r>
      <w:proofErr w:type="spellEnd"/>
      <w:r w:rsidRPr="00C35624">
        <w:rPr>
          <w:rFonts w:cs="Arial"/>
          <w:b w:val="0"/>
          <w:szCs w:val="18"/>
        </w:rPr>
        <w:t xml:space="preserve"> and molecular variability of feijoa (</w:t>
      </w:r>
      <w:proofErr w:type="spellStart"/>
      <w:r w:rsidRPr="006E479E">
        <w:rPr>
          <w:rFonts w:cs="Arial"/>
          <w:b w:val="0"/>
          <w:i/>
          <w:szCs w:val="18"/>
        </w:rPr>
        <w:t>Acca</w:t>
      </w:r>
      <w:proofErr w:type="spellEnd"/>
      <w:r w:rsidRPr="006E479E">
        <w:rPr>
          <w:rFonts w:cs="Arial"/>
          <w:b w:val="0"/>
          <w:i/>
          <w:szCs w:val="18"/>
        </w:rPr>
        <w:t xml:space="preserve"> </w:t>
      </w:r>
      <w:proofErr w:type="spellStart"/>
      <w:r w:rsidRPr="006E479E">
        <w:rPr>
          <w:rFonts w:cs="Arial"/>
          <w:b w:val="0"/>
          <w:i/>
          <w:szCs w:val="18"/>
        </w:rPr>
        <w:t>sellowiana</w:t>
      </w:r>
      <w:proofErr w:type="spellEnd"/>
      <w:r w:rsidRPr="00C35624">
        <w:rPr>
          <w:rFonts w:cs="Arial"/>
          <w:b w:val="0"/>
          <w:szCs w:val="18"/>
        </w:rPr>
        <w:t xml:space="preserve"> (O. Berg) </w:t>
      </w:r>
      <w:proofErr w:type="spellStart"/>
      <w:r w:rsidRPr="00C35624">
        <w:rPr>
          <w:rFonts w:cs="Arial"/>
          <w:b w:val="0"/>
          <w:szCs w:val="18"/>
        </w:rPr>
        <w:t>Burret</w:t>
      </w:r>
      <w:proofErr w:type="spellEnd"/>
      <w:r w:rsidRPr="00C35624">
        <w:rPr>
          <w:rFonts w:cs="Arial"/>
          <w:b w:val="0"/>
          <w:szCs w:val="18"/>
        </w:rPr>
        <w:t xml:space="preserve">) </w:t>
      </w:r>
      <w:proofErr w:type="spellStart"/>
      <w:r w:rsidRPr="00C35624">
        <w:rPr>
          <w:rFonts w:cs="Arial"/>
          <w:b w:val="0"/>
          <w:szCs w:val="18"/>
        </w:rPr>
        <w:t>germplasm</w:t>
      </w:r>
      <w:proofErr w:type="spellEnd"/>
      <w:r>
        <w:rPr>
          <w:rFonts w:cs="Arial"/>
          <w:b w:val="0"/>
          <w:szCs w:val="18"/>
        </w:rPr>
        <w:t xml:space="preserve">, </w:t>
      </w:r>
      <w:proofErr w:type="spellStart"/>
      <w:r w:rsidRPr="00C35624">
        <w:rPr>
          <w:rFonts w:cs="Arial"/>
          <w:b w:val="0"/>
          <w:szCs w:val="18"/>
        </w:rPr>
        <w:t>Scientia</w:t>
      </w:r>
      <w:proofErr w:type="spellEnd"/>
      <w:r w:rsidRPr="00C35624">
        <w:rPr>
          <w:rFonts w:cs="Arial"/>
          <w:b w:val="0"/>
          <w:szCs w:val="18"/>
        </w:rPr>
        <w:t xml:space="preserve"> </w:t>
      </w:r>
      <w:proofErr w:type="spellStart"/>
      <w:r w:rsidRPr="00C35624">
        <w:rPr>
          <w:rFonts w:cs="Arial"/>
          <w:b w:val="0"/>
          <w:szCs w:val="18"/>
        </w:rPr>
        <w:t>Horticulturae</w:t>
      </w:r>
      <w:proofErr w:type="spellEnd"/>
      <w:r w:rsidRPr="00C35624">
        <w:rPr>
          <w:rFonts w:cs="Arial"/>
          <w:b w:val="0"/>
          <w:szCs w:val="18"/>
        </w:rPr>
        <w:t>, 191, 1-9.</w:t>
      </w:r>
    </w:p>
    <w:p w:rsidR="005C2D83" w:rsidRDefault="005C2D83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gramStart"/>
      <w:r w:rsidRPr="005C2D83">
        <w:rPr>
          <w:rFonts w:cs="Arial"/>
          <w:b w:val="0"/>
          <w:szCs w:val="18"/>
        </w:rPr>
        <w:t xml:space="preserve">Re R., </w:t>
      </w:r>
      <w:proofErr w:type="spellStart"/>
      <w:r w:rsidRPr="005C2D83">
        <w:rPr>
          <w:rFonts w:cs="Arial"/>
          <w:b w:val="0"/>
          <w:szCs w:val="18"/>
        </w:rPr>
        <w:t>Pellegrini</w:t>
      </w:r>
      <w:proofErr w:type="spellEnd"/>
      <w:r>
        <w:rPr>
          <w:rFonts w:cs="Arial"/>
          <w:b w:val="0"/>
          <w:szCs w:val="18"/>
        </w:rPr>
        <w:t xml:space="preserve"> N., </w:t>
      </w:r>
      <w:proofErr w:type="spellStart"/>
      <w:r>
        <w:rPr>
          <w:rFonts w:cs="Arial"/>
          <w:b w:val="0"/>
          <w:szCs w:val="18"/>
        </w:rPr>
        <w:t>Proteggente</w:t>
      </w:r>
      <w:proofErr w:type="spellEnd"/>
      <w:r>
        <w:rPr>
          <w:rFonts w:cs="Arial"/>
          <w:b w:val="0"/>
          <w:szCs w:val="18"/>
        </w:rPr>
        <w:t xml:space="preserve"> </w:t>
      </w:r>
      <w:r w:rsidRPr="005C2D83">
        <w:rPr>
          <w:rFonts w:cs="Arial"/>
          <w:b w:val="0"/>
          <w:szCs w:val="18"/>
        </w:rPr>
        <w:t xml:space="preserve">A., </w:t>
      </w:r>
      <w:proofErr w:type="spellStart"/>
      <w:r w:rsidRPr="005C2D83">
        <w:rPr>
          <w:rFonts w:cs="Arial"/>
          <w:b w:val="0"/>
          <w:szCs w:val="18"/>
        </w:rPr>
        <w:t>Pannala</w:t>
      </w:r>
      <w:proofErr w:type="spellEnd"/>
      <w:r w:rsidRPr="005C2D83">
        <w:rPr>
          <w:rFonts w:cs="Arial"/>
          <w:b w:val="0"/>
          <w:szCs w:val="18"/>
        </w:rPr>
        <w:t xml:space="preserve"> A., Yang M., Rice-Evans C.</w:t>
      </w:r>
      <w:r>
        <w:rPr>
          <w:rFonts w:cs="Arial"/>
          <w:b w:val="0"/>
          <w:szCs w:val="18"/>
        </w:rPr>
        <w:t xml:space="preserve">, </w:t>
      </w:r>
      <w:r w:rsidRPr="005C2D83">
        <w:rPr>
          <w:rFonts w:cs="Arial"/>
          <w:b w:val="0"/>
          <w:szCs w:val="18"/>
        </w:rPr>
        <w:t>1999.</w:t>
      </w:r>
      <w:proofErr w:type="gramEnd"/>
      <w:r w:rsidRPr="005C2D83">
        <w:rPr>
          <w:rFonts w:cs="Arial"/>
          <w:b w:val="0"/>
          <w:szCs w:val="18"/>
        </w:rPr>
        <w:t xml:space="preserve"> </w:t>
      </w:r>
      <w:proofErr w:type="gramStart"/>
      <w:r w:rsidRPr="005C2D83">
        <w:rPr>
          <w:rFonts w:cs="Arial"/>
          <w:b w:val="0"/>
          <w:szCs w:val="18"/>
        </w:rPr>
        <w:t>Antioxidant activity applying an improved ABTS radi</w:t>
      </w:r>
      <w:r>
        <w:rPr>
          <w:rFonts w:cs="Arial"/>
          <w:b w:val="0"/>
          <w:szCs w:val="18"/>
        </w:rPr>
        <w:t xml:space="preserve">cal </w:t>
      </w:r>
      <w:proofErr w:type="spellStart"/>
      <w:r>
        <w:rPr>
          <w:rFonts w:cs="Arial"/>
          <w:b w:val="0"/>
          <w:szCs w:val="18"/>
        </w:rPr>
        <w:t>cation</w:t>
      </w:r>
      <w:proofErr w:type="spellEnd"/>
      <w:r>
        <w:rPr>
          <w:rFonts w:cs="Arial"/>
          <w:b w:val="0"/>
          <w:szCs w:val="18"/>
        </w:rPr>
        <w:t xml:space="preserve"> </w:t>
      </w:r>
      <w:proofErr w:type="spellStart"/>
      <w:r>
        <w:rPr>
          <w:rFonts w:cs="Arial"/>
          <w:b w:val="0"/>
          <w:szCs w:val="18"/>
        </w:rPr>
        <w:t>decolorization</w:t>
      </w:r>
      <w:proofErr w:type="spellEnd"/>
      <w:r>
        <w:rPr>
          <w:rFonts w:cs="Arial"/>
          <w:b w:val="0"/>
          <w:szCs w:val="18"/>
        </w:rPr>
        <w:t xml:space="preserve"> assay,</w:t>
      </w:r>
      <w:r w:rsidRPr="005C2D83">
        <w:rPr>
          <w:rFonts w:cs="Arial"/>
          <w:b w:val="0"/>
          <w:szCs w:val="18"/>
        </w:rPr>
        <w:t xml:space="preserve"> Free Radical Biology and Medici</w:t>
      </w:r>
      <w:r>
        <w:rPr>
          <w:rFonts w:cs="Arial"/>
          <w:b w:val="0"/>
          <w:szCs w:val="18"/>
        </w:rPr>
        <w:t>ne, 26</w:t>
      </w:r>
      <w:r w:rsidRPr="005C2D83">
        <w:rPr>
          <w:rFonts w:cs="Arial"/>
          <w:b w:val="0"/>
          <w:szCs w:val="18"/>
        </w:rPr>
        <w:t>, 1231-1237</w:t>
      </w:r>
      <w:r>
        <w:rPr>
          <w:rFonts w:cs="Arial"/>
          <w:b w:val="0"/>
          <w:szCs w:val="18"/>
        </w:rPr>
        <w:t>.</w:t>
      </w:r>
      <w:proofErr w:type="gramEnd"/>
    </w:p>
    <w:p w:rsidR="002F3A9B" w:rsidRPr="002F3A9B" w:rsidRDefault="002F3A9B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  <w:lang w:val="pt-BR"/>
        </w:rPr>
      </w:pPr>
      <w:r w:rsidRPr="002F3A9B">
        <w:rPr>
          <w:rFonts w:cs="Arial"/>
          <w:b w:val="0"/>
          <w:szCs w:val="18"/>
          <w:lang w:val="pt-BR"/>
        </w:rPr>
        <w:t>Santos K.</w:t>
      </w:r>
      <w:r>
        <w:rPr>
          <w:rFonts w:cs="Arial"/>
          <w:b w:val="0"/>
          <w:szCs w:val="18"/>
          <w:lang w:val="pt-BR"/>
        </w:rPr>
        <w:t xml:space="preserve">L., </w:t>
      </w:r>
      <w:proofErr w:type="spellStart"/>
      <w:r>
        <w:rPr>
          <w:rFonts w:cs="Arial"/>
          <w:b w:val="0"/>
          <w:szCs w:val="18"/>
          <w:lang w:val="pt-BR"/>
        </w:rPr>
        <w:t>Ciotta</w:t>
      </w:r>
      <w:proofErr w:type="spellEnd"/>
      <w:r w:rsidRPr="002F3A9B">
        <w:rPr>
          <w:rFonts w:cs="Arial"/>
          <w:b w:val="0"/>
          <w:szCs w:val="18"/>
          <w:lang w:val="pt-BR"/>
        </w:rPr>
        <w:t xml:space="preserve"> M.</w:t>
      </w:r>
      <w:r>
        <w:rPr>
          <w:rFonts w:cs="Arial"/>
          <w:b w:val="0"/>
          <w:szCs w:val="18"/>
          <w:lang w:val="pt-BR"/>
        </w:rPr>
        <w:t xml:space="preserve">N., </w:t>
      </w:r>
      <w:proofErr w:type="spellStart"/>
      <w:r>
        <w:rPr>
          <w:rFonts w:cs="Arial"/>
          <w:b w:val="0"/>
          <w:szCs w:val="18"/>
          <w:lang w:val="pt-BR"/>
        </w:rPr>
        <w:t>N</w:t>
      </w:r>
      <w:r w:rsidRPr="002F3A9B">
        <w:rPr>
          <w:rFonts w:cs="Arial"/>
          <w:b w:val="0"/>
          <w:szCs w:val="18"/>
          <w:lang w:val="pt-BR"/>
        </w:rPr>
        <w:t>odari</w:t>
      </w:r>
      <w:proofErr w:type="spellEnd"/>
      <w:r w:rsidRPr="002F3A9B">
        <w:rPr>
          <w:rFonts w:cs="Arial"/>
          <w:b w:val="0"/>
          <w:szCs w:val="18"/>
          <w:lang w:val="pt-BR"/>
        </w:rPr>
        <w:t xml:space="preserve"> R.O.</w:t>
      </w:r>
      <w:r>
        <w:rPr>
          <w:rFonts w:cs="Arial"/>
          <w:b w:val="0"/>
          <w:szCs w:val="18"/>
          <w:lang w:val="pt-BR"/>
        </w:rPr>
        <w:t xml:space="preserve">, </w:t>
      </w:r>
      <w:r w:rsidRPr="002F3A9B">
        <w:rPr>
          <w:rFonts w:cs="Arial"/>
          <w:b w:val="0"/>
          <w:szCs w:val="18"/>
          <w:lang w:val="pt-BR"/>
        </w:rPr>
        <w:t>2017</w:t>
      </w:r>
      <w:r>
        <w:rPr>
          <w:rFonts w:cs="Arial"/>
          <w:b w:val="0"/>
          <w:szCs w:val="18"/>
          <w:lang w:val="pt-BR"/>
        </w:rPr>
        <w:t xml:space="preserve">, </w:t>
      </w:r>
      <w:r w:rsidRPr="002F3A9B">
        <w:rPr>
          <w:rFonts w:cs="Arial"/>
          <w:b w:val="0"/>
          <w:szCs w:val="18"/>
          <w:lang w:val="pt-BR"/>
        </w:rPr>
        <w:t>Melhoramento genético da goiabeira-serrana (</w:t>
      </w:r>
      <w:proofErr w:type="spellStart"/>
      <w:r w:rsidRPr="006E479E">
        <w:rPr>
          <w:rFonts w:cs="Arial"/>
          <w:b w:val="0"/>
          <w:i/>
          <w:szCs w:val="18"/>
          <w:lang w:val="pt-BR"/>
        </w:rPr>
        <w:t>Acca</w:t>
      </w:r>
      <w:proofErr w:type="spellEnd"/>
      <w:r w:rsidRPr="006E479E">
        <w:rPr>
          <w:rFonts w:cs="Arial"/>
          <w:b w:val="0"/>
          <w:i/>
          <w:szCs w:val="18"/>
          <w:lang w:val="pt-BR"/>
        </w:rPr>
        <w:t xml:space="preserve"> </w:t>
      </w:r>
      <w:proofErr w:type="spellStart"/>
      <w:r w:rsidRPr="006E479E">
        <w:rPr>
          <w:rFonts w:cs="Arial"/>
          <w:b w:val="0"/>
          <w:i/>
          <w:szCs w:val="18"/>
          <w:lang w:val="pt-BR"/>
        </w:rPr>
        <w:t>sellowiana</w:t>
      </w:r>
      <w:proofErr w:type="spellEnd"/>
      <w:r>
        <w:rPr>
          <w:rFonts w:cs="Arial"/>
          <w:b w:val="0"/>
          <w:szCs w:val="18"/>
          <w:lang w:val="pt-BR"/>
        </w:rPr>
        <w:t>) em Santa Catarina,</w:t>
      </w:r>
      <w:r w:rsidRPr="002F3A9B">
        <w:rPr>
          <w:rFonts w:cs="Arial"/>
          <w:b w:val="0"/>
          <w:szCs w:val="18"/>
          <w:lang w:val="pt-BR"/>
        </w:rPr>
        <w:t xml:space="preserve"> Agropecuária Catarinense, 30, 40-42.</w:t>
      </w:r>
    </w:p>
    <w:p w:rsidR="00477C2B" w:rsidRPr="00350C48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  <w:lang w:val="en-US"/>
        </w:rPr>
      </w:pPr>
      <w:r w:rsidRPr="00350C48">
        <w:rPr>
          <w:rFonts w:cs="Arial"/>
          <w:b w:val="0"/>
          <w:szCs w:val="18"/>
          <w:lang w:val="en-US"/>
        </w:rPr>
        <w:t xml:space="preserve">Sganzerla W.G., </w:t>
      </w:r>
      <w:proofErr w:type="spellStart"/>
      <w:r w:rsidRPr="00350C48">
        <w:rPr>
          <w:rFonts w:cs="Arial"/>
          <w:b w:val="0"/>
          <w:szCs w:val="18"/>
          <w:lang w:val="en-US"/>
        </w:rPr>
        <w:t>Beling</w:t>
      </w:r>
      <w:proofErr w:type="spellEnd"/>
      <w:r w:rsidRPr="00350C48">
        <w:rPr>
          <w:rFonts w:cs="Arial"/>
          <w:b w:val="0"/>
          <w:szCs w:val="18"/>
          <w:lang w:val="en-US"/>
        </w:rPr>
        <w:t xml:space="preserve"> P.C., </w:t>
      </w:r>
      <w:proofErr w:type="spellStart"/>
      <w:r w:rsidRPr="00350C48">
        <w:rPr>
          <w:rFonts w:cs="Arial"/>
          <w:b w:val="0"/>
          <w:szCs w:val="18"/>
          <w:lang w:val="en-US"/>
        </w:rPr>
        <w:t>Ferrareze</w:t>
      </w:r>
      <w:proofErr w:type="spellEnd"/>
      <w:r w:rsidRPr="00350C48">
        <w:rPr>
          <w:rFonts w:cs="Arial"/>
          <w:b w:val="0"/>
          <w:szCs w:val="18"/>
          <w:lang w:val="en-US"/>
        </w:rPr>
        <w:t xml:space="preserve"> J.P., Komatsu  R.A., </w:t>
      </w:r>
      <w:proofErr w:type="spellStart"/>
      <w:r w:rsidRPr="00350C48">
        <w:rPr>
          <w:rFonts w:cs="Arial"/>
          <w:b w:val="0"/>
          <w:szCs w:val="18"/>
          <w:lang w:val="en-US"/>
        </w:rPr>
        <w:t>Nunes</w:t>
      </w:r>
      <w:proofErr w:type="spellEnd"/>
      <w:r w:rsidRPr="00350C48">
        <w:rPr>
          <w:rFonts w:cs="Arial"/>
          <w:b w:val="0"/>
          <w:szCs w:val="18"/>
          <w:lang w:val="en-US"/>
        </w:rPr>
        <w:t xml:space="preserve"> M.R., </w:t>
      </w:r>
      <w:proofErr w:type="spellStart"/>
      <w:r w:rsidRPr="00350C48">
        <w:rPr>
          <w:rFonts w:cs="Arial"/>
          <w:b w:val="0"/>
          <w:szCs w:val="18"/>
          <w:lang w:val="en-US"/>
        </w:rPr>
        <w:t>Veeck</w:t>
      </w:r>
      <w:proofErr w:type="spellEnd"/>
      <w:r w:rsidRPr="00350C48">
        <w:rPr>
          <w:rFonts w:cs="Arial"/>
          <w:b w:val="0"/>
          <w:szCs w:val="18"/>
          <w:lang w:val="en-US"/>
        </w:rPr>
        <w:t xml:space="preserve"> A.P.L., 2018a, Nutritional, physicochemical and antimicrobial properties of </w:t>
      </w:r>
      <w:proofErr w:type="spellStart"/>
      <w:r w:rsidRPr="00350C48">
        <w:rPr>
          <w:rFonts w:cs="Arial"/>
          <w:b w:val="0"/>
          <w:szCs w:val="18"/>
          <w:lang w:val="en-US"/>
        </w:rPr>
        <w:t>uvaia</w:t>
      </w:r>
      <w:proofErr w:type="spellEnd"/>
      <w:r w:rsidRPr="00350C48">
        <w:rPr>
          <w:rFonts w:cs="Arial"/>
          <w:b w:val="0"/>
          <w:szCs w:val="18"/>
          <w:lang w:val="en-US"/>
        </w:rPr>
        <w:t xml:space="preserve"> pulp (</w:t>
      </w:r>
      <w:r w:rsidRPr="006E479E">
        <w:rPr>
          <w:rFonts w:cs="Arial"/>
          <w:b w:val="0"/>
          <w:i/>
          <w:szCs w:val="18"/>
          <w:lang w:val="en-US"/>
        </w:rPr>
        <w:t xml:space="preserve">Eugenia </w:t>
      </w:r>
      <w:proofErr w:type="spellStart"/>
      <w:r w:rsidRPr="006E479E">
        <w:rPr>
          <w:rFonts w:cs="Arial"/>
          <w:b w:val="0"/>
          <w:i/>
          <w:szCs w:val="18"/>
          <w:lang w:val="en-US"/>
        </w:rPr>
        <w:t>pyriformis</w:t>
      </w:r>
      <w:proofErr w:type="spellEnd"/>
      <w:r w:rsidRPr="00350C48">
        <w:rPr>
          <w:rFonts w:cs="Arial"/>
          <w:b w:val="0"/>
          <w:szCs w:val="18"/>
          <w:lang w:val="en-US"/>
        </w:rPr>
        <w:t xml:space="preserve"> </w:t>
      </w:r>
      <w:proofErr w:type="spellStart"/>
      <w:r w:rsidRPr="00350C48">
        <w:rPr>
          <w:rFonts w:cs="Arial"/>
          <w:b w:val="0"/>
          <w:szCs w:val="18"/>
          <w:lang w:val="en-US"/>
        </w:rPr>
        <w:t>Cambess</w:t>
      </w:r>
      <w:proofErr w:type="spellEnd"/>
      <w:r w:rsidRPr="00350C48">
        <w:rPr>
          <w:rFonts w:cs="Arial"/>
          <w:b w:val="0"/>
          <w:szCs w:val="18"/>
          <w:lang w:val="en-US"/>
        </w:rPr>
        <w:t>), Communications in Plant Sciences, 8, 1-7.</w:t>
      </w:r>
    </w:p>
    <w:p w:rsidR="00077CA7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4C4593">
        <w:rPr>
          <w:rFonts w:cs="Arial"/>
          <w:b w:val="0"/>
          <w:szCs w:val="18"/>
        </w:rPr>
        <w:t xml:space="preserve">Sganzerla W.G., </w:t>
      </w:r>
      <w:proofErr w:type="spellStart"/>
      <w:r w:rsidRPr="004C4593">
        <w:rPr>
          <w:rFonts w:cs="Arial"/>
          <w:b w:val="0"/>
          <w:szCs w:val="18"/>
        </w:rPr>
        <w:t>Melo</w:t>
      </w:r>
      <w:proofErr w:type="spellEnd"/>
      <w:r w:rsidRPr="004C4593">
        <w:rPr>
          <w:rFonts w:cs="Arial"/>
          <w:b w:val="0"/>
          <w:szCs w:val="18"/>
        </w:rPr>
        <w:t xml:space="preserve"> M.D., </w:t>
      </w:r>
      <w:proofErr w:type="spellStart"/>
      <w:r w:rsidRPr="004C4593">
        <w:rPr>
          <w:rFonts w:cs="Arial"/>
          <w:b w:val="0"/>
          <w:szCs w:val="18"/>
        </w:rPr>
        <w:t>Ferrareze</w:t>
      </w:r>
      <w:proofErr w:type="spellEnd"/>
      <w:r w:rsidRPr="004C4593">
        <w:rPr>
          <w:rFonts w:cs="Arial"/>
          <w:b w:val="0"/>
          <w:szCs w:val="18"/>
        </w:rPr>
        <w:t xml:space="preserve"> J.P., </w:t>
      </w:r>
      <w:proofErr w:type="spellStart"/>
      <w:r w:rsidRPr="004C4593">
        <w:rPr>
          <w:rFonts w:cs="Arial"/>
          <w:b w:val="0"/>
          <w:szCs w:val="18"/>
        </w:rPr>
        <w:t>Veeck</w:t>
      </w:r>
      <w:proofErr w:type="spellEnd"/>
      <w:r w:rsidRPr="004C4593">
        <w:rPr>
          <w:rFonts w:cs="Arial"/>
          <w:b w:val="0"/>
          <w:szCs w:val="18"/>
        </w:rPr>
        <w:t xml:space="preserve"> A.P.L., Ferreira P.I., </w:t>
      </w:r>
      <w:proofErr w:type="spellStart"/>
      <w:r w:rsidRPr="004C4593">
        <w:rPr>
          <w:rFonts w:cs="Arial"/>
          <w:b w:val="0"/>
          <w:szCs w:val="18"/>
        </w:rPr>
        <w:t>Girard</w:t>
      </w:r>
      <w:r>
        <w:rPr>
          <w:rFonts w:cs="Arial"/>
          <w:b w:val="0"/>
          <w:szCs w:val="18"/>
        </w:rPr>
        <w:t>i</w:t>
      </w:r>
      <w:proofErr w:type="spellEnd"/>
      <w:r>
        <w:rPr>
          <w:rFonts w:cs="Arial"/>
          <w:b w:val="0"/>
          <w:szCs w:val="18"/>
        </w:rPr>
        <w:t xml:space="preserve"> C.L., 2018b, </w:t>
      </w:r>
      <w:r w:rsidRPr="004C4593">
        <w:rPr>
          <w:rFonts w:cs="Arial"/>
          <w:b w:val="0"/>
          <w:szCs w:val="18"/>
        </w:rPr>
        <w:t>Postharvest</w:t>
      </w:r>
      <w:r>
        <w:rPr>
          <w:rFonts w:cs="Arial"/>
          <w:b w:val="0"/>
          <w:szCs w:val="18"/>
        </w:rPr>
        <w:t xml:space="preserve"> </w:t>
      </w:r>
      <w:r w:rsidRPr="004C4593">
        <w:rPr>
          <w:rFonts w:cs="Arial"/>
          <w:b w:val="0"/>
          <w:szCs w:val="18"/>
        </w:rPr>
        <w:t>treatment with 1-MCP in apple ‘Gala’ mutants: physicochemical characterization, bioactive compounds and antioxidant activity</w:t>
      </w:r>
      <w:r>
        <w:rPr>
          <w:rFonts w:cs="Arial"/>
          <w:b w:val="0"/>
          <w:szCs w:val="18"/>
        </w:rPr>
        <w:t xml:space="preserve">, </w:t>
      </w:r>
      <w:r w:rsidRPr="002F2278">
        <w:rPr>
          <w:rFonts w:cs="Arial"/>
          <w:b w:val="0"/>
          <w:szCs w:val="18"/>
        </w:rPr>
        <w:t>Communications in Plant Sciences,</w:t>
      </w:r>
      <w:r>
        <w:rPr>
          <w:rFonts w:cs="Arial"/>
          <w:b w:val="0"/>
          <w:szCs w:val="18"/>
        </w:rPr>
        <w:t xml:space="preserve"> 8, 40-47.</w:t>
      </w:r>
    </w:p>
    <w:p w:rsidR="00077CA7" w:rsidRDefault="00077CA7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>
        <w:rPr>
          <w:rFonts w:cs="Arial"/>
          <w:b w:val="0"/>
          <w:szCs w:val="18"/>
        </w:rPr>
        <w:t>Siripatrawan</w:t>
      </w:r>
      <w:proofErr w:type="spellEnd"/>
      <w:r>
        <w:rPr>
          <w:rFonts w:cs="Arial"/>
          <w:b w:val="0"/>
          <w:szCs w:val="18"/>
        </w:rPr>
        <w:t xml:space="preserve"> U., Harte</w:t>
      </w:r>
      <w:r w:rsidRPr="00077CA7">
        <w:rPr>
          <w:rFonts w:cs="Arial"/>
          <w:b w:val="0"/>
          <w:szCs w:val="18"/>
        </w:rPr>
        <w:t xml:space="preserve"> B.R.</w:t>
      </w:r>
      <w:r>
        <w:rPr>
          <w:rFonts w:cs="Arial"/>
          <w:b w:val="0"/>
          <w:szCs w:val="18"/>
        </w:rPr>
        <w:t xml:space="preserve">, </w:t>
      </w:r>
      <w:r w:rsidRPr="00077CA7">
        <w:rPr>
          <w:rFonts w:cs="Arial"/>
          <w:b w:val="0"/>
          <w:szCs w:val="18"/>
        </w:rPr>
        <w:t>2010</w:t>
      </w:r>
      <w:r>
        <w:rPr>
          <w:rFonts w:cs="Arial"/>
          <w:b w:val="0"/>
          <w:szCs w:val="18"/>
        </w:rPr>
        <w:t>,</w:t>
      </w:r>
      <w:r w:rsidRPr="00077CA7">
        <w:rPr>
          <w:rFonts w:cs="Arial"/>
          <w:b w:val="0"/>
          <w:szCs w:val="18"/>
        </w:rPr>
        <w:t xml:space="preserve"> Physical properties and antioxidant activity of an active film from chitosan incorporated with g</w:t>
      </w:r>
      <w:r>
        <w:rPr>
          <w:rFonts w:cs="Arial"/>
          <w:b w:val="0"/>
          <w:szCs w:val="18"/>
        </w:rPr>
        <w:t>reen tea extract,</w:t>
      </w:r>
      <w:r w:rsidRPr="00077CA7">
        <w:rPr>
          <w:rFonts w:cs="Arial"/>
          <w:b w:val="0"/>
          <w:szCs w:val="18"/>
        </w:rPr>
        <w:t xml:space="preserve"> Food Hydrocolloids, 24</w:t>
      </w:r>
      <w:r>
        <w:rPr>
          <w:rFonts w:cs="Arial"/>
          <w:b w:val="0"/>
          <w:szCs w:val="18"/>
        </w:rPr>
        <w:t xml:space="preserve">, </w:t>
      </w:r>
      <w:r w:rsidRPr="00077CA7">
        <w:rPr>
          <w:rFonts w:cs="Arial"/>
          <w:b w:val="0"/>
          <w:szCs w:val="18"/>
        </w:rPr>
        <w:t>8, 770-775</w:t>
      </w:r>
      <w:r>
        <w:rPr>
          <w:rFonts w:cs="Arial"/>
          <w:b w:val="0"/>
          <w:szCs w:val="18"/>
        </w:rPr>
        <w:t>.</w:t>
      </w:r>
    </w:p>
    <w:p w:rsidR="002707E0" w:rsidRDefault="00077CA7" w:rsidP="002707E0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077CA7">
        <w:rPr>
          <w:rFonts w:cs="Arial"/>
          <w:b w:val="0"/>
          <w:szCs w:val="18"/>
        </w:rPr>
        <w:t>Swain T.,</w:t>
      </w:r>
      <w:r>
        <w:rPr>
          <w:rFonts w:cs="Arial"/>
          <w:b w:val="0"/>
          <w:szCs w:val="18"/>
        </w:rPr>
        <w:t xml:space="preserve"> </w:t>
      </w:r>
      <w:proofErr w:type="spellStart"/>
      <w:r w:rsidRPr="00077CA7">
        <w:rPr>
          <w:rFonts w:cs="Arial"/>
          <w:b w:val="0"/>
          <w:szCs w:val="18"/>
        </w:rPr>
        <w:t>Hillis</w:t>
      </w:r>
      <w:proofErr w:type="spellEnd"/>
      <w:r w:rsidRPr="00077CA7">
        <w:rPr>
          <w:rFonts w:cs="Arial"/>
          <w:b w:val="0"/>
          <w:szCs w:val="18"/>
        </w:rPr>
        <w:t xml:space="preserve"> W.</w:t>
      </w:r>
      <w:r>
        <w:rPr>
          <w:rFonts w:cs="Arial"/>
          <w:b w:val="0"/>
          <w:szCs w:val="18"/>
        </w:rPr>
        <w:t>, 1959,</w:t>
      </w:r>
      <w:r w:rsidRPr="00077CA7">
        <w:rPr>
          <w:rFonts w:cs="Arial"/>
          <w:b w:val="0"/>
          <w:szCs w:val="18"/>
        </w:rPr>
        <w:t xml:space="preserve"> </w:t>
      </w:r>
      <w:proofErr w:type="gramStart"/>
      <w:r w:rsidRPr="00077CA7">
        <w:rPr>
          <w:rFonts w:cs="Arial"/>
          <w:b w:val="0"/>
          <w:szCs w:val="18"/>
        </w:rPr>
        <w:t>The</w:t>
      </w:r>
      <w:proofErr w:type="gramEnd"/>
      <w:r w:rsidRPr="00077CA7">
        <w:rPr>
          <w:rFonts w:cs="Arial"/>
          <w:b w:val="0"/>
          <w:szCs w:val="18"/>
        </w:rPr>
        <w:t xml:space="preserve"> phenolic constituents of </w:t>
      </w:r>
      <w:proofErr w:type="spellStart"/>
      <w:r w:rsidRPr="006E479E">
        <w:rPr>
          <w:rFonts w:cs="Arial"/>
          <w:b w:val="0"/>
          <w:i/>
          <w:szCs w:val="18"/>
        </w:rPr>
        <w:t>Prunus</w:t>
      </w:r>
      <w:proofErr w:type="spellEnd"/>
      <w:r w:rsidRPr="006E479E">
        <w:rPr>
          <w:rFonts w:cs="Arial"/>
          <w:b w:val="0"/>
          <w:i/>
          <w:szCs w:val="18"/>
        </w:rPr>
        <w:t xml:space="preserve"> </w:t>
      </w:r>
      <w:proofErr w:type="spellStart"/>
      <w:r w:rsidRPr="006E479E">
        <w:rPr>
          <w:rFonts w:cs="Arial"/>
          <w:b w:val="0"/>
          <w:i/>
          <w:szCs w:val="18"/>
        </w:rPr>
        <w:t>domestica</w:t>
      </w:r>
      <w:proofErr w:type="spellEnd"/>
      <w:r w:rsidRPr="00077CA7">
        <w:rPr>
          <w:rFonts w:cs="Arial"/>
          <w:b w:val="0"/>
          <w:szCs w:val="18"/>
        </w:rPr>
        <w:t>. I.</w:t>
      </w:r>
      <w:r>
        <w:rPr>
          <w:rFonts w:cs="Arial"/>
          <w:b w:val="0"/>
          <w:szCs w:val="18"/>
        </w:rPr>
        <w:t xml:space="preserve"> - </w:t>
      </w:r>
      <w:r w:rsidRPr="00077CA7">
        <w:rPr>
          <w:rFonts w:cs="Arial"/>
          <w:b w:val="0"/>
          <w:szCs w:val="18"/>
        </w:rPr>
        <w:t>The quantitative analysis of phenolic constituents</w:t>
      </w:r>
      <w:r>
        <w:rPr>
          <w:rFonts w:cs="Arial"/>
          <w:b w:val="0"/>
          <w:szCs w:val="18"/>
        </w:rPr>
        <w:t>,</w:t>
      </w:r>
      <w:r w:rsidRPr="00077CA7">
        <w:rPr>
          <w:rFonts w:cs="Arial"/>
          <w:b w:val="0"/>
          <w:szCs w:val="18"/>
        </w:rPr>
        <w:t xml:space="preserve"> Journal of the Scie</w:t>
      </w:r>
      <w:r>
        <w:rPr>
          <w:rFonts w:cs="Arial"/>
          <w:b w:val="0"/>
          <w:szCs w:val="18"/>
        </w:rPr>
        <w:t xml:space="preserve">nce of Food and Agriculture, 10, </w:t>
      </w:r>
      <w:r w:rsidRPr="00077CA7">
        <w:rPr>
          <w:rFonts w:cs="Arial"/>
          <w:b w:val="0"/>
          <w:szCs w:val="18"/>
        </w:rPr>
        <w:t>63-68</w:t>
      </w:r>
      <w:r>
        <w:rPr>
          <w:rFonts w:cs="Arial"/>
          <w:b w:val="0"/>
          <w:szCs w:val="18"/>
        </w:rPr>
        <w:t>.</w:t>
      </w:r>
    </w:p>
    <w:p w:rsidR="002707E0" w:rsidRPr="002707E0" w:rsidRDefault="002707E0" w:rsidP="00477C2B">
      <w:pPr>
        <w:pStyle w:val="CETReference"/>
        <w:spacing w:before="0" w:after="0"/>
        <w:ind w:left="284" w:hanging="284"/>
        <w:jc w:val="both"/>
        <w:rPr>
          <w:b w:val="0"/>
        </w:rPr>
      </w:pPr>
      <w:r w:rsidRPr="002707E0">
        <w:rPr>
          <w:b w:val="0"/>
          <w:lang w:val="en-US"/>
        </w:rPr>
        <w:t xml:space="preserve">Takahashi G., Barbosa H.D., </w:t>
      </w:r>
      <w:proofErr w:type="spellStart"/>
      <w:r w:rsidRPr="002707E0">
        <w:rPr>
          <w:b w:val="0"/>
          <w:lang w:val="en-US"/>
        </w:rPr>
        <w:t>Bergamasco</w:t>
      </w:r>
      <w:proofErr w:type="spellEnd"/>
      <w:r w:rsidRPr="002707E0">
        <w:rPr>
          <w:b w:val="0"/>
          <w:lang w:val="en-US"/>
        </w:rPr>
        <w:t xml:space="preserve"> R., </w:t>
      </w:r>
      <w:proofErr w:type="spellStart"/>
      <w:r w:rsidRPr="002707E0">
        <w:rPr>
          <w:b w:val="0"/>
          <w:lang w:val="en-US"/>
        </w:rPr>
        <w:t>Madrona</w:t>
      </w:r>
      <w:proofErr w:type="spellEnd"/>
      <w:r w:rsidRPr="002707E0">
        <w:rPr>
          <w:b w:val="0"/>
          <w:lang w:val="en-US"/>
        </w:rPr>
        <w:t xml:space="preserve"> G., </w:t>
      </w:r>
      <w:proofErr w:type="spellStart"/>
      <w:r w:rsidRPr="002707E0">
        <w:rPr>
          <w:b w:val="0"/>
          <w:lang w:val="en-US"/>
        </w:rPr>
        <w:t>Tonon</w:t>
      </w:r>
      <w:proofErr w:type="spellEnd"/>
      <w:r w:rsidRPr="002707E0">
        <w:rPr>
          <w:b w:val="0"/>
          <w:lang w:val="en-US"/>
        </w:rPr>
        <w:t xml:space="preserve"> L.C., Yamashita F., </w:t>
      </w:r>
      <w:proofErr w:type="spellStart"/>
      <w:r w:rsidRPr="002707E0">
        <w:rPr>
          <w:b w:val="0"/>
          <w:lang w:val="en-US"/>
        </w:rPr>
        <w:t>Scapim</w:t>
      </w:r>
      <w:proofErr w:type="spellEnd"/>
      <w:r w:rsidRPr="002707E0">
        <w:rPr>
          <w:b w:val="0"/>
          <w:lang w:val="en-US"/>
        </w:rPr>
        <w:t xml:space="preserve"> M., 2017, Development </w:t>
      </w:r>
      <w:r w:rsidRPr="002707E0">
        <w:rPr>
          <w:b w:val="0"/>
        </w:rPr>
        <w:t xml:space="preserve">and active biodegradable film evaluation incorporated with oregano essential oil and </w:t>
      </w:r>
      <w:proofErr w:type="spellStart"/>
      <w:r w:rsidRPr="002707E0">
        <w:rPr>
          <w:b w:val="0"/>
        </w:rPr>
        <w:t>nanoclay</w:t>
      </w:r>
      <w:proofErr w:type="spellEnd"/>
      <w:r w:rsidRPr="002707E0">
        <w:rPr>
          <w:b w:val="0"/>
        </w:rPr>
        <w:t>, Chemical Engineering Transactions, 57, 403- 408.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4C4593">
        <w:rPr>
          <w:rFonts w:cs="Arial"/>
          <w:b w:val="0"/>
          <w:szCs w:val="18"/>
        </w:rPr>
        <w:t>Thilakarathna</w:t>
      </w:r>
      <w:proofErr w:type="spellEnd"/>
      <w:r w:rsidRPr="004C4593">
        <w:rPr>
          <w:rFonts w:cs="Arial"/>
          <w:b w:val="0"/>
          <w:szCs w:val="18"/>
        </w:rPr>
        <w:t xml:space="preserve"> S</w:t>
      </w:r>
      <w:r>
        <w:rPr>
          <w:rFonts w:cs="Arial"/>
          <w:b w:val="0"/>
          <w:szCs w:val="18"/>
        </w:rPr>
        <w:t>.</w:t>
      </w:r>
      <w:r w:rsidRPr="004C4593">
        <w:rPr>
          <w:rFonts w:cs="Arial"/>
          <w:b w:val="0"/>
          <w:szCs w:val="18"/>
        </w:rPr>
        <w:t>H</w:t>
      </w:r>
      <w:r>
        <w:rPr>
          <w:rFonts w:cs="Arial"/>
          <w:b w:val="0"/>
          <w:szCs w:val="18"/>
        </w:rPr>
        <w:t>.</w:t>
      </w:r>
      <w:r w:rsidRPr="004C4593">
        <w:rPr>
          <w:rFonts w:cs="Arial"/>
          <w:b w:val="0"/>
          <w:szCs w:val="18"/>
        </w:rPr>
        <w:t xml:space="preserve">, </w:t>
      </w:r>
      <w:proofErr w:type="spellStart"/>
      <w:r w:rsidRPr="004C4593">
        <w:rPr>
          <w:rFonts w:cs="Arial"/>
          <w:b w:val="0"/>
          <w:szCs w:val="18"/>
        </w:rPr>
        <w:t>Rupasinghe</w:t>
      </w:r>
      <w:proofErr w:type="spellEnd"/>
      <w:r w:rsidRPr="004C4593">
        <w:rPr>
          <w:rFonts w:cs="Arial"/>
          <w:b w:val="0"/>
          <w:szCs w:val="18"/>
        </w:rPr>
        <w:t xml:space="preserve"> H</w:t>
      </w:r>
      <w:r>
        <w:rPr>
          <w:rFonts w:cs="Arial"/>
          <w:b w:val="0"/>
          <w:szCs w:val="18"/>
        </w:rPr>
        <w:t>.</w:t>
      </w:r>
      <w:r w:rsidRPr="004C4593">
        <w:rPr>
          <w:rFonts w:cs="Arial"/>
          <w:b w:val="0"/>
          <w:szCs w:val="18"/>
        </w:rPr>
        <w:t>P</w:t>
      </w:r>
      <w:r>
        <w:rPr>
          <w:rFonts w:cs="Arial"/>
          <w:b w:val="0"/>
          <w:szCs w:val="18"/>
        </w:rPr>
        <w:t>.</w:t>
      </w:r>
      <w:r w:rsidRPr="004C4593">
        <w:rPr>
          <w:rFonts w:cs="Arial"/>
          <w:b w:val="0"/>
          <w:szCs w:val="18"/>
        </w:rPr>
        <w:t>V.</w:t>
      </w:r>
      <w:r>
        <w:rPr>
          <w:rFonts w:cs="Arial"/>
          <w:b w:val="0"/>
          <w:szCs w:val="18"/>
        </w:rPr>
        <w:t>,</w:t>
      </w:r>
      <w:r w:rsidRPr="004C4593">
        <w:rPr>
          <w:rFonts w:cs="Arial"/>
          <w:b w:val="0"/>
          <w:szCs w:val="18"/>
        </w:rPr>
        <w:t xml:space="preserve"> 2012</w:t>
      </w:r>
      <w:r>
        <w:rPr>
          <w:rFonts w:cs="Arial"/>
          <w:b w:val="0"/>
          <w:szCs w:val="18"/>
        </w:rPr>
        <w:t>,</w:t>
      </w:r>
      <w:r w:rsidRPr="004C4593">
        <w:rPr>
          <w:rFonts w:cs="Arial"/>
          <w:b w:val="0"/>
          <w:szCs w:val="18"/>
        </w:rPr>
        <w:t xml:space="preserve"> Anti-atherosclerotic effects of fruit bioactive compounds: A review</w:t>
      </w:r>
      <w:r>
        <w:rPr>
          <w:rFonts w:cs="Arial"/>
          <w:b w:val="0"/>
          <w:szCs w:val="18"/>
        </w:rPr>
        <w:t xml:space="preserve"> of current scientific evidence,</w:t>
      </w:r>
      <w:r w:rsidRPr="004C4593">
        <w:rPr>
          <w:rFonts w:cs="Arial"/>
          <w:b w:val="0"/>
          <w:szCs w:val="18"/>
        </w:rPr>
        <w:t xml:space="preserve"> Canadian Journal of Plant Science</w:t>
      </w:r>
      <w:r>
        <w:rPr>
          <w:rFonts w:cs="Arial"/>
          <w:b w:val="0"/>
          <w:szCs w:val="18"/>
        </w:rPr>
        <w:t>,</w:t>
      </w:r>
      <w:r w:rsidRPr="004C4593">
        <w:rPr>
          <w:rFonts w:cs="Arial"/>
          <w:b w:val="0"/>
          <w:szCs w:val="18"/>
        </w:rPr>
        <w:t xml:space="preserve"> 92</w:t>
      </w:r>
      <w:r>
        <w:rPr>
          <w:rFonts w:cs="Arial"/>
          <w:b w:val="0"/>
          <w:szCs w:val="18"/>
        </w:rPr>
        <w:t xml:space="preserve">, </w:t>
      </w:r>
      <w:r w:rsidRPr="004C4593">
        <w:rPr>
          <w:rFonts w:cs="Arial"/>
          <w:b w:val="0"/>
          <w:szCs w:val="18"/>
        </w:rPr>
        <w:t>407-419.</w:t>
      </w:r>
    </w:p>
    <w:p w:rsidR="00C15A10" w:rsidRDefault="00C15A10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 w:rsidRPr="00C15A10">
        <w:rPr>
          <w:rFonts w:cs="Arial"/>
          <w:b w:val="0"/>
          <w:szCs w:val="18"/>
        </w:rPr>
        <w:t>V</w:t>
      </w:r>
      <w:r>
        <w:rPr>
          <w:rFonts w:cs="Arial"/>
          <w:b w:val="0"/>
          <w:szCs w:val="18"/>
        </w:rPr>
        <w:t>eeck</w:t>
      </w:r>
      <w:proofErr w:type="spellEnd"/>
      <w:r>
        <w:rPr>
          <w:rFonts w:cs="Arial"/>
          <w:b w:val="0"/>
          <w:szCs w:val="18"/>
        </w:rPr>
        <w:t xml:space="preserve"> </w:t>
      </w:r>
      <w:r w:rsidRPr="00C15A10">
        <w:rPr>
          <w:rFonts w:cs="Arial"/>
          <w:b w:val="0"/>
          <w:szCs w:val="18"/>
        </w:rPr>
        <w:t>A</w:t>
      </w:r>
      <w:r>
        <w:rPr>
          <w:rFonts w:cs="Arial"/>
          <w:b w:val="0"/>
          <w:szCs w:val="18"/>
        </w:rPr>
        <w:t>.</w:t>
      </w:r>
      <w:r w:rsidRPr="00C15A10">
        <w:rPr>
          <w:rFonts w:cs="Arial"/>
          <w:b w:val="0"/>
          <w:szCs w:val="18"/>
        </w:rPr>
        <w:t>P</w:t>
      </w:r>
      <w:r>
        <w:rPr>
          <w:rFonts w:cs="Arial"/>
          <w:b w:val="0"/>
          <w:szCs w:val="18"/>
        </w:rPr>
        <w:t>.</w:t>
      </w:r>
      <w:r w:rsidRPr="00C15A10">
        <w:rPr>
          <w:rFonts w:cs="Arial"/>
          <w:b w:val="0"/>
          <w:szCs w:val="18"/>
        </w:rPr>
        <w:t>L.</w:t>
      </w:r>
      <w:r>
        <w:rPr>
          <w:rFonts w:cs="Arial"/>
          <w:b w:val="0"/>
          <w:szCs w:val="18"/>
        </w:rPr>
        <w:t>,</w:t>
      </w:r>
      <w:r w:rsidRPr="00C15A10">
        <w:rPr>
          <w:rFonts w:cs="Arial"/>
          <w:b w:val="0"/>
          <w:szCs w:val="18"/>
        </w:rPr>
        <w:t xml:space="preserve"> </w:t>
      </w:r>
      <w:r w:rsidR="00077CA7" w:rsidRPr="00077CA7">
        <w:rPr>
          <w:rFonts w:cs="Arial"/>
          <w:b w:val="0"/>
          <w:szCs w:val="18"/>
        </w:rPr>
        <w:t>Klein B., Ferreira L.F., Becker A.</w:t>
      </w:r>
      <w:r w:rsidR="00077CA7">
        <w:rPr>
          <w:rFonts w:cs="Arial"/>
          <w:b w:val="0"/>
          <w:szCs w:val="18"/>
        </w:rPr>
        <w:t xml:space="preserve">G., </w:t>
      </w:r>
      <w:proofErr w:type="spellStart"/>
      <w:r w:rsidR="00077CA7">
        <w:rPr>
          <w:rFonts w:cs="Arial"/>
          <w:b w:val="0"/>
          <w:szCs w:val="18"/>
        </w:rPr>
        <w:t>Heldwein</w:t>
      </w:r>
      <w:proofErr w:type="spellEnd"/>
      <w:r w:rsidR="00077CA7" w:rsidRPr="00077CA7">
        <w:rPr>
          <w:rFonts w:cs="Arial"/>
          <w:b w:val="0"/>
          <w:szCs w:val="18"/>
        </w:rPr>
        <w:t xml:space="preserve"> C.</w:t>
      </w:r>
      <w:r w:rsidR="00077CA7">
        <w:rPr>
          <w:rFonts w:cs="Arial"/>
          <w:b w:val="0"/>
          <w:szCs w:val="18"/>
        </w:rPr>
        <w:t xml:space="preserve">G., </w:t>
      </w:r>
      <w:proofErr w:type="spellStart"/>
      <w:r w:rsidR="00077CA7">
        <w:rPr>
          <w:rFonts w:cs="Arial"/>
          <w:b w:val="0"/>
          <w:szCs w:val="18"/>
        </w:rPr>
        <w:t>Heinzmann</w:t>
      </w:r>
      <w:proofErr w:type="spellEnd"/>
      <w:r w:rsidR="00077CA7" w:rsidRPr="00077CA7">
        <w:rPr>
          <w:rFonts w:cs="Arial"/>
          <w:b w:val="0"/>
          <w:szCs w:val="18"/>
        </w:rPr>
        <w:t xml:space="preserve"> B.R., </w:t>
      </w:r>
      <w:proofErr w:type="spellStart"/>
      <w:r w:rsidR="00077CA7" w:rsidRPr="00077CA7">
        <w:rPr>
          <w:rFonts w:cs="Arial"/>
          <w:b w:val="0"/>
          <w:szCs w:val="18"/>
        </w:rPr>
        <w:t>Baldisserotto</w:t>
      </w:r>
      <w:proofErr w:type="spellEnd"/>
      <w:r w:rsidR="00077CA7" w:rsidRPr="00077CA7">
        <w:rPr>
          <w:rFonts w:cs="Arial"/>
          <w:b w:val="0"/>
          <w:szCs w:val="18"/>
        </w:rPr>
        <w:t xml:space="preserve"> B</w:t>
      </w:r>
      <w:r w:rsidR="00077CA7">
        <w:rPr>
          <w:rFonts w:cs="Arial"/>
          <w:b w:val="0"/>
          <w:szCs w:val="18"/>
        </w:rPr>
        <w:t>.</w:t>
      </w:r>
      <w:r w:rsidR="00077CA7" w:rsidRPr="00077CA7">
        <w:rPr>
          <w:rFonts w:cs="Arial"/>
          <w:b w:val="0"/>
          <w:szCs w:val="18"/>
        </w:rPr>
        <w:t>,</w:t>
      </w:r>
      <w:r w:rsidR="00077CA7">
        <w:rPr>
          <w:rFonts w:cs="Arial"/>
          <w:b w:val="0"/>
          <w:szCs w:val="18"/>
        </w:rPr>
        <w:t xml:space="preserve"> </w:t>
      </w:r>
      <w:proofErr w:type="spellStart"/>
      <w:r w:rsidR="00077CA7">
        <w:rPr>
          <w:rFonts w:cs="Arial"/>
          <w:b w:val="0"/>
          <w:szCs w:val="18"/>
        </w:rPr>
        <w:t>Emanuelli</w:t>
      </w:r>
      <w:proofErr w:type="spellEnd"/>
      <w:r w:rsidR="00077CA7">
        <w:rPr>
          <w:rFonts w:cs="Arial"/>
          <w:b w:val="0"/>
          <w:szCs w:val="18"/>
        </w:rPr>
        <w:t xml:space="preserve"> </w:t>
      </w:r>
      <w:r w:rsidR="00077CA7" w:rsidRPr="00077CA7">
        <w:rPr>
          <w:rFonts w:cs="Arial"/>
          <w:b w:val="0"/>
          <w:szCs w:val="18"/>
        </w:rPr>
        <w:t>T</w:t>
      </w:r>
      <w:r w:rsidR="00077CA7">
        <w:rPr>
          <w:rFonts w:cs="Arial"/>
          <w:b w:val="0"/>
          <w:szCs w:val="18"/>
        </w:rPr>
        <w:t xml:space="preserve">., </w:t>
      </w:r>
      <w:r>
        <w:rPr>
          <w:rFonts w:cs="Arial"/>
          <w:b w:val="0"/>
          <w:szCs w:val="18"/>
        </w:rPr>
        <w:t>2013,</w:t>
      </w:r>
      <w:r w:rsidRPr="00C15A10">
        <w:rPr>
          <w:rFonts w:cs="Arial"/>
          <w:b w:val="0"/>
          <w:szCs w:val="18"/>
        </w:rPr>
        <w:t xml:space="preserve"> Lipid stability during the frozen storage of fillets from silver catfish exposed in vivo to the essential oil o</w:t>
      </w:r>
      <w:r>
        <w:rPr>
          <w:rFonts w:cs="Arial"/>
          <w:b w:val="0"/>
          <w:szCs w:val="18"/>
        </w:rPr>
        <w:t xml:space="preserve">f </w:t>
      </w:r>
      <w:proofErr w:type="spellStart"/>
      <w:r w:rsidRPr="006E479E">
        <w:rPr>
          <w:rFonts w:cs="Arial"/>
          <w:b w:val="0"/>
          <w:i/>
          <w:szCs w:val="18"/>
        </w:rPr>
        <w:t>Lippia</w:t>
      </w:r>
      <w:proofErr w:type="spellEnd"/>
      <w:r w:rsidRPr="006E479E">
        <w:rPr>
          <w:rFonts w:cs="Arial"/>
          <w:b w:val="0"/>
          <w:i/>
          <w:szCs w:val="18"/>
        </w:rPr>
        <w:t xml:space="preserve"> alba</w:t>
      </w:r>
      <w:r>
        <w:rPr>
          <w:rFonts w:cs="Arial"/>
          <w:b w:val="0"/>
          <w:szCs w:val="18"/>
        </w:rPr>
        <w:t xml:space="preserve"> (Mill.) NE Brown, </w:t>
      </w:r>
      <w:r w:rsidRPr="00C15A10">
        <w:rPr>
          <w:rFonts w:cs="Arial"/>
          <w:b w:val="0"/>
          <w:szCs w:val="18"/>
        </w:rPr>
        <w:t>Journal of the Sc</w:t>
      </w:r>
      <w:r>
        <w:rPr>
          <w:rFonts w:cs="Arial"/>
          <w:b w:val="0"/>
          <w:szCs w:val="18"/>
        </w:rPr>
        <w:t xml:space="preserve">ience of Food and Agriculture, </w:t>
      </w:r>
      <w:r w:rsidRPr="00C15A10">
        <w:rPr>
          <w:rFonts w:cs="Arial"/>
          <w:b w:val="0"/>
          <w:szCs w:val="18"/>
        </w:rPr>
        <w:t>93,</w:t>
      </w:r>
      <w:r>
        <w:rPr>
          <w:rFonts w:cs="Arial"/>
          <w:b w:val="0"/>
          <w:szCs w:val="18"/>
        </w:rPr>
        <w:t xml:space="preserve"> 955-960.</w:t>
      </w:r>
    </w:p>
    <w:p w:rsidR="002369D1" w:rsidRDefault="002369D1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2369D1">
        <w:rPr>
          <w:rFonts w:cs="Arial"/>
          <w:b w:val="0"/>
          <w:szCs w:val="18"/>
        </w:rPr>
        <w:t>Wang L., Dong Y., Men H., Tong J., Zhou J.</w:t>
      </w:r>
      <w:r>
        <w:rPr>
          <w:rFonts w:cs="Arial"/>
          <w:b w:val="0"/>
          <w:szCs w:val="18"/>
        </w:rPr>
        <w:t xml:space="preserve">, 2013, </w:t>
      </w:r>
      <w:r w:rsidRPr="002369D1">
        <w:rPr>
          <w:rFonts w:cs="Arial"/>
          <w:b w:val="0"/>
          <w:szCs w:val="18"/>
        </w:rPr>
        <w:t>Preparation and characterization of active films based on chitos</w:t>
      </w:r>
      <w:r>
        <w:rPr>
          <w:rFonts w:cs="Arial"/>
          <w:b w:val="0"/>
          <w:szCs w:val="18"/>
        </w:rPr>
        <w:t>an incorporated tea polyphenols,</w:t>
      </w:r>
      <w:r w:rsidRPr="002369D1">
        <w:rPr>
          <w:rFonts w:cs="Arial"/>
          <w:b w:val="0"/>
          <w:szCs w:val="18"/>
        </w:rPr>
        <w:t xml:space="preserve"> Food Hydrocolloids, 32, 35</w:t>
      </w:r>
      <w:r>
        <w:rPr>
          <w:rFonts w:cs="Arial"/>
          <w:b w:val="0"/>
          <w:szCs w:val="18"/>
        </w:rPr>
        <w:t>-</w:t>
      </w:r>
      <w:r w:rsidRPr="002369D1">
        <w:rPr>
          <w:rFonts w:cs="Arial"/>
          <w:b w:val="0"/>
          <w:szCs w:val="18"/>
        </w:rPr>
        <w:t>41.</w:t>
      </w:r>
    </w:p>
    <w:p w:rsidR="00477C2B" w:rsidRDefault="002945F2" w:rsidP="00477C2B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Weston</w:t>
      </w:r>
      <w:r w:rsidRPr="00C35624">
        <w:rPr>
          <w:rFonts w:cs="Arial"/>
          <w:b w:val="0"/>
          <w:szCs w:val="18"/>
        </w:rPr>
        <w:t xml:space="preserve"> R.</w:t>
      </w:r>
      <w:r>
        <w:rPr>
          <w:rFonts w:cs="Arial"/>
          <w:b w:val="0"/>
          <w:szCs w:val="18"/>
        </w:rPr>
        <w:t>, 2010,</w:t>
      </w:r>
      <w:r w:rsidRPr="00C35624">
        <w:rPr>
          <w:rFonts w:cs="Arial"/>
          <w:b w:val="0"/>
          <w:szCs w:val="18"/>
        </w:rPr>
        <w:t xml:space="preserve"> </w:t>
      </w:r>
      <w:proofErr w:type="gramStart"/>
      <w:r w:rsidRPr="00C35624">
        <w:rPr>
          <w:rFonts w:cs="Arial"/>
          <w:b w:val="0"/>
          <w:szCs w:val="18"/>
        </w:rPr>
        <w:t>Bioactive</w:t>
      </w:r>
      <w:proofErr w:type="gramEnd"/>
      <w:r w:rsidRPr="00C35624">
        <w:rPr>
          <w:rFonts w:cs="Arial"/>
          <w:b w:val="0"/>
          <w:szCs w:val="18"/>
        </w:rPr>
        <w:t xml:space="preserve"> products from fruit of the feijoa (Feijoa </w:t>
      </w:r>
      <w:proofErr w:type="spellStart"/>
      <w:r w:rsidRPr="00C35624">
        <w:rPr>
          <w:rFonts w:cs="Arial"/>
          <w:b w:val="0"/>
          <w:szCs w:val="18"/>
        </w:rPr>
        <w:t>sellowiana</w:t>
      </w:r>
      <w:proofErr w:type="spellEnd"/>
      <w:r w:rsidRPr="00C35624">
        <w:rPr>
          <w:rFonts w:cs="Arial"/>
          <w:b w:val="0"/>
          <w:szCs w:val="18"/>
        </w:rPr>
        <w:t xml:space="preserve">, </w:t>
      </w:r>
      <w:proofErr w:type="spellStart"/>
      <w:r w:rsidRPr="00C35624">
        <w:rPr>
          <w:rFonts w:cs="Arial"/>
          <w:b w:val="0"/>
          <w:szCs w:val="18"/>
        </w:rPr>
        <w:t>Myrtaceae</w:t>
      </w:r>
      <w:proofErr w:type="spellEnd"/>
      <w:r w:rsidRPr="00C35624">
        <w:rPr>
          <w:rFonts w:cs="Arial"/>
          <w:b w:val="0"/>
          <w:szCs w:val="18"/>
        </w:rPr>
        <w:t>): A review</w:t>
      </w:r>
      <w:r>
        <w:rPr>
          <w:rFonts w:cs="Arial"/>
          <w:b w:val="0"/>
          <w:szCs w:val="18"/>
        </w:rPr>
        <w:t>,</w:t>
      </w:r>
      <w:r w:rsidRPr="00C35624">
        <w:rPr>
          <w:rFonts w:cs="Arial"/>
          <w:b w:val="0"/>
          <w:szCs w:val="18"/>
        </w:rPr>
        <w:t xml:space="preserve"> Food Chemistry, 121(4), 923-926</w:t>
      </w:r>
      <w:r>
        <w:rPr>
          <w:rFonts w:cs="Arial"/>
          <w:b w:val="0"/>
          <w:szCs w:val="18"/>
        </w:rPr>
        <w:t>.</w:t>
      </w:r>
    </w:p>
    <w:p w:rsidR="00077CA7" w:rsidRDefault="002945F2" w:rsidP="00077CA7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r w:rsidRPr="00C35624">
        <w:rPr>
          <w:rFonts w:cs="Arial"/>
          <w:b w:val="0"/>
          <w:szCs w:val="18"/>
        </w:rPr>
        <w:t xml:space="preserve">Yong H., Wang X., </w:t>
      </w:r>
      <w:proofErr w:type="spellStart"/>
      <w:r w:rsidRPr="00C35624">
        <w:rPr>
          <w:rFonts w:cs="Arial"/>
          <w:b w:val="0"/>
          <w:szCs w:val="18"/>
        </w:rPr>
        <w:t>Bai</w:t>
      </w:r>
      <w:proofErr w:type="spellEnd"/>
      <w:r w:rsidRPr="00C35624">
        <w:rPr>
          <w:rFonts w:cs="Arial"/>
          <w:b w:val="0"/>
          <w:szCs w:val="18"/>
        </w:rPr>
        <w:t xml:space="preserve"> R., Miao Z., Zhang X., Liu J., 2019,</w:t>
      </w:r>
      <w:r w:rsidRPr="00C35624">
        <w:rPr>
          <w:rFonts w:cs="Arial"/>
          <w:szCs w:val="18"/>
        </w:rPr>
        <w:t xml:space="preserve"> </w:t>
      </w:r>
      <w:r w:rsidRPr="00C35624">
        <w:rPr>
          <w:rFonts w:cs="Arial"/>
          <w:b w:val="0"/>
          <w:szCs w:val="18"/>
        </w:rPr>
        <w:t>Development of antioxidant and intelligent pH-sensing packaging films by incorporating purple-fleshed sweet potato extract into chitosan matrix, Food Hydrocolloids, 90, 216–224</w:t>
      </w:r>
      <w:r w:rsidR="00077CA7">
        <w:rPr>
          <w:rFonts w:cs="Arial"/>
          <w:b w:val="0"/>
          <w:szCs w:val="18"/>
        </w:rPr>
        <w:t>.</w:t>
      </w:r>
    </w:p>
    <w:p w:rsidR="002F2278" w:rsidRDefault="00077CA7" w:rsidP="000E7FC0">
      <w:pPr>
        <w:pStyle w:val="CETReference"/>
        <w:spacing w:before="0" w:after="0"/>
        <w:ind w:left="284" w:hanging="284"/>
        <w:jc w:val="both"/>
        <w:rPr>
          <w:rFonts w:cs="Arial"/>
          <w:b w:val="0"/>
          <w:szCs w:val="18"/>
        </w:rPr>
      </w:pPr>
      <w:proofErr w:type="spellStart"/>
      <w:r>
        <w:rPr>
          <w:rFonts w:cs="Arial"/>
          <w:b w:val="0"/>
          <w:szCs w:val="18"/>
        </w:rPr>
        <w:t>Zhishen</w:t>
      </w:r>
      <w:proofErr w:type="spellEnd"/>
      <w:r>
        <w:rPr>
          <w:rFonts w:cs="Arial"/>
          <w:b w:val="0"/>
          <w:szCs w:val="18"/>
        </w:rPr>
        <w:t xml:space="preserve"> J., </w:t>
      </w:r>
      <w:proofErr w:type="spellStart"/>
      <w:r>
        <w:rPr>
          <w:rFonts w:cs="Arial"/>
          <w:b w:val="0"/>
          <w:szCs w:val="18"/>
        </w:rPr>
        <w:t>Mengcheng</w:t>
      </w:r>
      <w:proofErr w:type="spellEnd"/>
      <w:r w:rsidRPr="00077CA7">
        <w:rPr>
          <w:rFonts w:cs="Arial"/>
          <w:b w:val="0"/>
          <w:szCs w:val="18"/>
        </w:rPr>
        <w:t xml:space="preserve"> T.,</w:t>
      </w:r>
      <w:r>
        <w:rPr>
          <w:rFonts w:cs="Arial"/>
          <w:b w:val="0"/>
          <w:szCs w:val="18"/>
        </w:rPr>
        <w:t xml:space="preserve"> </w:t>
      </w:r>
      <w:proofErr w:type="spellStart"/>
      <w:r>
        <w:rPr>
          <w:rFonts w:cs="Arial"/>
          <w:b w:val="0"/>
          <w:szCs w:val="18"/>
        </w:rPr>
        <w:t>Jianming</w:t>
      </w:r>
      <w:proofErr w:type="spellEnd"/>
      <w:r w:rsidRPr="00077CA7">
        <w:rPr>
          <w:rFonts w:cs="Arial"/>
          <w:b w:val="0"/>
          <w:szCs w:val="18"/>
        </w:rPr>
        <w:t xml:space="preserve"> W.</w:t>
      </w:r>
      <w:r>
        <w:rPr>
          <w:rFonts w:cs="Arial"/>
          <w:b w:val="0"/>
          <w:szCs w:val="18"/>
        </w:rPr>
        <w:t>, 1999</w:t>
      </w:r>
      <w:r w:rsidRPr="00077CA7">
        <w:rPr>
          <w:rFonts w:cs="Arial"/>
          <w:b w:val="0"/>
          <w:szCs w:val="18"/>
        </w:rPr>
        <w:t xml:space="preserve">. The determination of flavonoid contents in mulberry and their scavenging effects on </w:t>
      </w:r>
      <w:r>
        <w:rPr>
          <w:rFonts w:cs="Arial"/>
          <w:b w:val="0"/>
          <w:szCs w:val="18"/>
        </w:rPr>
        <w:t>superoxide radicals,</w:t>
      </w:r>
      <w:r w:rsidRPr="00077CA7">
        <w:rPr>
          <w:rFonts w:cs="Arial"/>
          <w:b w:val="0"/>
          <w:szCs w:val="18"/>
        </w:rPr>
        <w:t xml:space="preserve"> Food Chemistry, 64</w:t>
      </w:r>
      <w:r>
        <w:rPr>
          <w:rFonts w:cs="Arial"/>
          <w:b w:val="0"/>
          <w:szCs w:val="18"/>
        </w:rPr>
        <w:t xml:space="preserve">, </w:t>
      </w:r>
      <w:r w:rsidRPr="00077CA7">
        <w:rPr>
          <w:rFonts w:cs="Arial"/>
          <w:b w:val="0"/>
          <w:szCs w:val="18"/>
        </w:rPr>
        <w:t>4, 555-559</w:t>
      </w:r>
    </w:p>
    <w:sectPr w:rsidR="002F2278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1B" w:rsidRDefault="0086321B" w:rsidP="004F5E36">
      <w:r>
        <w:separator/>
      </w:r>
    </w:p>
  </w:endnote>
  <w:endnote w:type="continuationSeparator" w:id="0">
    <w:p w:rsidR="0086321B" w:rsidRDefault="0086321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1B" w:rsidRDefault="0086321B" w:rsidP="004F5E36">
      <w:r>
        <w:separator/>
      </w:r>
    </w:p>
  </w:footnote>
  <w:footnote w:type="continuationSeparator" w:id="0">
    <w:p w:rsidR="0086321B" w:rsidRDefault="0086321B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D7A06"/>
    <w:multiLevelType w:val="multilevel"/>
    <w:tmpl w:val="1914638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43DD"/>
    <w:rsid w:val="000052FB"/>
    <w:rsid w:val="00010F40"/>
    <w:rsid w:val="000117CB"/>
    <w:rsid w:val="0003148D"/>
    <w:rsid w:val="00047D7F"/>
    <w:rsid w:val="00051566"/>
    <w:rsid w:val="00062A9A"/>
    <w:rsid w:val="00065058"/>
    <w:rsid w:val="00074143"/>
    <w:rsid w:val="00077CA7"/>
    <w:rsid w:val="00086C39"/>
    <w:rsid w:val="00087252"/>
    <w:rsid w:val="000A03B2"/>
    <w:rsid w:val="000A3B79"/>
    <w:rsid w:val="000B0244"/>
    <w:rsid w:val="000B622F"/>
    <w:rsid w:val="000C10CC"/>
    <w:rsid w:val="000C6321"/>
    <w:rsid w:val="000D34BE"/>
    <w:rsid w:val="000E102F"/>
    <w:rsid w:val="000E36F1"/>
    <w:rsid w:val="000E3A73"/>
    <w:rsid w:val="000E414A"/>
    <w:rsid w:val="000E7FC0"/>
    <w:rsid w:val="000F093C"/>
    <w:rsid w:val="000F16BD"/>
    <w:rsid w:val="000F787B"/>
    <w:rsid w:val="0010600C"/>
    <w:rsid w:val="0012091F"/>
    <w:rsid w:val="00126BC2"/>
    <w:rsid w:val="001308B6"/>
    <w:rsid w:val="0013121F"/>
    <w:rsid w:val="00131FAB"/>
    <w:rsid w:val="00131FE6"/>
    <w:rsid w:val="0013263F"/>
    <w:rsid w:val="00133B0A"/>
    <w:rsid w:val="00134DE4"/>
    <w:rsid w:val="0014034D"/>
    <w:rsid w:val="00150E59"/>
    <w:rsid w:val="00152DE3"/>
    <w:rsid w:val="00164CF9"/>
    <w:rsid w:val="001750D7"/>
    <w:rsid w:val="00184AD6"/>
    <w:rsid w:val="00192022"/>
    <w:rsid w:val="00196A69"/>
    <w:rsid w:val="001B0349"/>
    <w:rsid w:val="001B63B7"/>
    <w:rsid w:val="001B65C1"/>
    <w:rsid w:val="001C684B"/>
    <w:rsid w:val="001C741F"/>
    <w:rsid w:val="001D53FC"/>
    <w:rsid w:val="001F42A5"/>
    <w:rsid w:val="001F7B9D"/>
    <w:rsid w:val="00216652"/>
    <w:rsid w:val="002224B4"/>
    <w:rsid w:val="00234D6D"/>
    <w:rsid w:val="002369D1"/>
    <w:rsid w:val="002447EF"/>
    <w:rsid w:val="00244EF8"/>
    <w:rsid w:val="00251550"/>
    <w:rsid w:val="00252C1A"/>
    <w:rsid w:val="00263B05"/>
    <w:rsid w:val="002707E0"/>
    <w:rsid w:val="0027221A"/>
    <w:rsid w:val="00275B61"/>
    <w:rsid w:val="00280A8E"/>
    <w:rsid w:val="00282656"/>
    <w:rsid w:val="002945F2"/>
    <w:rsid w:val="00296B83"/>
    <w:rsid w:val="002A1A30"/>
    <w:rsid w:val="002B78CE"/>
    <w:rsid w:val="002C1ACD"/>
    <w:rsid w:val="002C2FB6"/>
    <w:rsid w:val="002D5BCD"/>
    <w:rsid w:val="002F2278"/>
    <w:rsid w:val="002F3A9B"/>
    <w:rsid w:val="003009B7"/>
    <w:rsid w:val="00300E56"/>
    <w:rsid w:val="0030469C"/>
    <w:rsid w:val="0030518A"/>
    <w:rsid w:val="003178A4"/>
    <w:rsid w:val="00321CA6"/>
    <w:rsid w:val="003302F9"/>
    <w:rsid w:val="00334C09"/>
    <w:rsid w:val="003365E3"/>
    <w:rsid w:val="00344712"/>
    <w:rsid w:val="00350C48"/>
    <w:rsid w:val="00356FAF"/>
    <w:rsid w:val="00363030"/>
    <w:rsid w:val="003723D4"/>
    <w:rsid w:val="00384CC8"/>
    <w:rsid w:val="003871FD"/>
    <w:rsid w:val="003A1E30"/>
    <w:rsid w:val="003A749B"/>
    <w:rsid w:val="003A7D1C"/>
    <w:rsid w:val="003B304B"/>
    <w:rsid w:val="003B3146"/>
    <w:rsid w:val="003B503D"/>
    <w:rsid w:val="003B60F3"/>
    <w:rsid w:val="003C5B87"/>
    <w:rsid w:val="003F015E"/>
    <w:rsid w:val="003F5665"/>
    <w:rsid w:val="00400414"/>
    <w:rsid w:val="00402D78"/>
    <w:rsid w:val="0041446B"/>
    <w:rsid w:val="0044329C"/>
    <w:rsid w:val="004577FE"/>
    <w:rsid w:val="00457B9C"/>
    <w:rsid w:val="0046164A"/>
    <w:rsid w:val="004628D2"/>
    <w:rsid w:val="00462DCD"/>
    <w:rsid w:val="004648AD"/>
    <w:rsid w:val="004703A9"/>
    <w:rsid w:val="004708C1"/>
    <w:rsid w:val="004760DE"/>
    <w:rsid w:val="00477C2B"/>
    <w:rsid w:val="004A004E"/>
    <w:rsid w:val="004A24CF"/>
    <w:rsid w:val="004B4CCE"/>
    <w:rsid w:val="004B6721"/>
    <w:rsid w:val="004C1C65"/>
    <w:rsid w:val="004C3D1D"/>
    <w:rsid w:val="004C4593"/>
    <w:rsid w:val="004C7913"/>
    <w:rsid w:val="004E4DD6"/>
    <w:rsid w:val="004F5E36"/>
    <w:rsid w:val="00507B47"/>
    <w:rsid w:val="00507CC9"/>
    <w:rsid w:val="005119A5"/>
    <w:rsid w:val="005278B7"/>
    <w:rsid w:val="00532016"/>
    <w:rsid w:val="005346C8"/>
    <w:rsid w:val="00543E7D"/>
    <w:rsid w:val="00546B05"/>
    <w:rsid w:val="00547A68"/>
    <w:rsid w:val="005531C9"/>
    <w:rsid w:val="00590BAB"/>
    <w:rsid w:val="00597B34"/>
    <w:rsid w:val="005B2110"/>
    <w:rsid w:val="005B61E6"/>
    <w:rsid w:val="005C2D83"/>
    <w:rsid w:val="005C77E1"/>
    <w:rsid w:val="005D6A2F"/>
    <w:rsid w:val="005E1A82"/>
    <w:rsid w:val="005E794C"/>
    <w:rsid w:val="005F0A28"/>
    <w:rsid w:val="005F0E5E"/>
    <w:rsid w:val="005F671A"/>
    <w:rsid w:val="00600535"/>
    <w:rsid w:val="006105FD"/>
    <w:rsid w:val="00610CD6"/>
    <w:rsid w:val="00620DEE"/>
    <w:rsid w:val="00621F92"/>
    <w:rsid w:val="00625639"/>
    <w:rsid w:val="00631B33"/>
    <w:rsid w:val="0063720E"/>
    <w:rsid w:val="00640F0B"/>
    <w:rsid w:val="0064184D"/>
    <w:rsid w:val="006422CC"/>
    <w:rsid w:val="00660E3E"/>
    <w:rsid w:val="00662E74"/>
    <w:rsid w:val="00680C23"/>
    <w:rsid w:val="00693766"/>
    <w:rsid w:val="006A322E"/>
    <w:rsid w:val="006A3281"/>
    <w:rsid w:val="006B4888"/>
    <w:rsid w:val="006C16B8"/>
    <w:rsid w:val="006C2E45"/>
    <w:rsid w:val="006C359C"/>
    <w:rsid w:val="006C5579"/>
    <w:rsid w:val="006D51B3"/>
    <w:rsid w:val="006E479E"/>
    <w:rsid w:val="006E737D"/>
    <w:rsid w:val="0070195D"/>
    <w:rsid w:val="00720A24"/>
    <w:rsid w:val="00731926"/>
    <w:rsid w:val="00732386"/>
    <w:rsid w:val="007447F3"/>
    <w:rsid w:val="00753057"/>
    <w:rsid w:val="00753CA7"/>
    <w:rsid w:val="0075499F"/>
    <w:rsid w:val="007661C8"/>
    <w:rsid w:val="0077098D"/>
    <w:rsid w:val="007911BA"/>
    <w:rsid w:val="007931FA"/>
    <w:rsid w:val="007A7BBA"/>
    <w:rsid w:val="007B0C50"/>
    <w:rsid w:val="007C1A43"/>
    <w:rsid w:val="007E1DC6"/>
    <w:rsid w:val="00813288"/>
    <w:rsid w:val="008168FC"/>
    <w:rsid w:val="00830996"/>
    <w:rsid w:val="008345F1"/>
    <w:rsid w:val="0086321B"/>
    <w:rsid w:val="00865B07"/>
    <w:rsid w:val="008667EA"/>
    <w:rsid w:val="0087637F"/>
    <w:rsid w:val="008904B9"/>
    <w:rsid w:val="00890CB5"/>
    <w:rsid w:val="00892AD5"/>
    <w:rsid w:val="008A1512"/>
    <w:rsid w:val="008C78C1"/>
    <w:rsid w:val="008D32B9"/>
    <w:rsid w:val="008D433B"/>
    <w:rsid w:val="008E40DE"/>
    <w:rsid w:val="008E566E"/>
    <w:rsid w:val="0090161A"/>
    <w:rsid w:val="00901EB6"/>
    <w:rsid w:val="00904C62"/>
    <w:rsid w:val="00910CDF"/>
    <w:rsid w:val="00921E8F"/>
    <w:rsid w:val="00924DAC"/>
    <w:rsid w:val="00925282"/>
    <w:rsid w:val="00927058"/>
    <w:rsid w:val="009450CE"/>
    <w:rsid w:val="00947179"/>
    <w:rsid w:val="0095164B"/>
    <w:rsid w:val="00954090"/>
    <w:rsid w:val="009573E7"/>
    <w:rsid w:val="009635B9"/>
    <w:rsid w:val="00963E05"/>
    <w:rsid w:val="00967D54"/>
    <w:rsid w:val="00980CD5"/>
    <w:rsid w:val="00995DE9"/>
    <w:rsid w:val="00996483"/>
    <w:rsid w:val="00996F5A"/>
    <w:rsid w:val="009A0A3E"/>
    <w:rsid w:val="009B041A"/>
    <w:rsid w:val="009C375E"/>
    <w:rsid w:val="009C7C86"/>
    <w:rsid w:val="009D2FF7"/>
    <w:rsid w:val="009E4BB0"/>
    <w:rsid w:val="009E7884"/>
    <w:rsid w:val="009E788A"/>
    <w:rsid w:val="009F0E08"/>
    <w:rsid w:val="00A00D81"/>
    <w:rsid w:val="00A1763D"/>
    <w:rsid w:val="00A17CEC"/>
    <w:rsid w:val="00A27EF0"/>
    <w:rsid w:val="00A50B20"/>
    <w:rsid w:val="00A51390"/>
    <w:rsid w:val="00A55048"/>
    <w:rsid w:val="00A60D13"/>
    <w:rsid w:val="00A72745"/>
    <w:rsid w:val="00A76EFC"/>
    <w:rsid w:val="00A91010"/>
    <w:rsid w:val="00A9537A"/>
    <w:rsid w:val="00A97F29"/>
    <w:rsid w:val="00AA67D8"/>
    <w:rsid w:val="00AA702E"/>
    <w:rsid w:val="00AB0964"/>
    <w:rsid w:val="00AB5011"/>
    <w:rsid w:val="00AC0EDA"/>
    <w:rsid w:val="00AC7368"/>
    <w:rsid w:val="00AD16B9"/>
    <w:rsid w:val="00AE377D"/>
    <w:rsid w:val="00AE41C3"/>
    <w:rsid w:val="00B01C50"/>
    <w:rsid w:val="00B132BD"/>
    <w:rsid w:val="00B17FBD"/>
    <w:rsid w:val="00B2352E"/>
    <w:rsid w:val="00B315A6"/>
    <w:rsid w:val="00B31813"/>
    <w:rsid w:val="00B33365"/>
    <w:rsid w:val="00B57B36"/>
    <w:rsid w:val="00B63CD4"/>
    <w:rsid w:val="00B74D9C"/>
    <w:rsid w:val="00B8686D"/>
    <w:rsid w:val="00BC30C9"/>
    <w:rsid w:val="00BD5806"/>
    <w:rsid w:val="00BE3E58"/>
    <w:rsid w:val="00BF7F35"/>
    <w:rsid w:val="00C01616"/>
    <w:rsid w:val="00C0162B"/>
    <w:rsid w:val="00C14CEB"/>
    <w:rsid w:val="00C15A10"/>
    <w:rsid w:val="00C21E0A"/>
    <w:rsid w:val="00C22F01"/>
    <w:rsid w:val="00C345B1"/>
    <w:rsid w:val="00C35143"/>
    <w:rsid w:val="00C35624"/>
    <w:rsid w:val="00C40142"/>
    <w:rsid w:val="00C44DB7"/>
    <w:rsid w:val="00C57182"/>
    <w:rsid w:val="00C57863"/>
    <w:rsid w:val="00C655FD"/>
    <w:rsid w:val="00C870A8"/>
    <w:rsid w:val="00C94434"/>
    <w:rsid w:val="00CA0D75"/>
    <w:rsid w:val="00CA1C95"/>
    <w:rsid w:val="00CA4C02"/>
    <w:rsid w:val="00CA5A9C"/>
    <w:rsid w:val="00CD3517"/>
    <w:rsid w:val="00CD5A00"/>
    <w:rsid w:val="00CD5FE2"/>
    <w:rsid w:val="00CE7C68"/>
    <w:rsid w:val="00CF5CD2"/>
    <w:rsid w:val="00D02B4C"/>
    <w:rsid w:val="00D040C4"/>
    <w:rsid w:val="00D2501D"/>
    <w:rsid w:val="00D57C84"/>
    <w:rsid w:val="00D6057D"/>
    <w:rsid w:val="00D84576"/>
    <w:rsid w:val="00DA1399"/>
    <w:rsid w:val="00DA24C6"/>
    <w:rsid w:val="00DA4D7B"/>
    <w:rsid w:val="00DC2297"/>
    <w:rsid w:val="00DC361F"/>
    <w:rsid w:val="00DD612A"/>
    <w:rsid w:val="00DD7B17"/>
    <w:rsid w:val="00DE264A"/>
    <w:rsid w:val="00DF7293"/>
    <w:rsid w:val="00E02D18"/>
    <w:rsid w:val="00E041E7"/>
    <w:rsid w:val="00E04CA0"/>
    <w:rsid w:val="00E23CA1"/>
    <w:rsid w:val="00E30934"/>
    <w:rsid w:val="00E409A8"/>
    <w:rsid w:val="00E50C12"/>
    <w:rsid w:val="00E65B91"/>
    <w:rsid w:val="00E7209D"/>
    <w:rsid w:val="00E77223"/>
    <w:rsid w:val="00E8528B"/>
    <w:rsid w:val="00E85B94"/>
    <w:rsid w:val="00E978D0"/>
    <w:rsid w:val="00EA4613"/>
    <w:rsid w:val="00EA7F91"/>
    <w:rsid w:val="00EB1523"/>
    <w:rsid w:val="00EB6406"/>
    <w:rsid w:val="00EC0E49"/>
    <w:rsid w:val="00EE0131"/>
    <w:rsid w:val="00EF2F8C"/>
    <w:rsid w:val="00F0291C"/>
    <w:rsid w:val="00F141C5"/>
    <w:rsid w:val="00F155B2"/>
    <w:rsid w:val="00F30C64"/>
    <w:rsid w:val="00F32CDB"/>
    <w:rsid w:val="00F418D5"/>
    <w:rsid w:val="00F54437"/>
    <w:rsid w:val="00F54C56"/>
    <w:rsid w:val="00F60484"/>
    <w:rsid w:val="00F63A70"/>
    <w:rsid w:val="00F6736D"/>
    <w:rsid w:val="00F80807"/>
    <w:rsid w:val="00F82B8D"/>
    <w:rsid w:val="00FA21D0"/>
    <w:rsid w:val="00FA5F5F"/>
    <w:rsid w:val="00FB49FF"/>
    <w:rsid w:val="00FB730C"/>
    <w:rsid w:val="00FC2695"/>
    <w:rsid w:val="00FC3E03"/>
    <w:rsid w:val="00FC3FC1"/>
    <w:rsid w:val="00FC7CA4"/>
    <w:rsid w:val="00FD2405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  <w:ind w:left="1277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  <w:ind w:left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577F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Fontepargpadr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TextodoEspaoReservado">
    <w:name w:val="Placeholder Text"/>
    <w:basedOn w:val="Fontepargpadro"/>
    <w:uiPriority w:val="99"/>
    <w:semiHidden/>
    <w:rsid w:val="00921E8F"/>
    <w:rPr>
      <w:color w:val="808080"/>
    </w:rPr>
  </w:style>
  <w:style w:type="paragraph" w:styleId="PargrafodaLista">
    <w:name w:val="List Paragraph"/>
    <w:basedOn w:val="Normal"/>
    <w:uiPriority w:val="34"/>
    <w:rsid w:val="0007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  <w:ind w:left="1277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  <w:ind w:left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577F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Fontepargpadr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TextodoEspaoReservado">
    <w:name w:val="Placeholder Text"/>
    <w:basedOn w:val="Fontepargpadro"/>
    <w:uiPriority w:val="99"/>
    <w:semiHidden/>
    <w:rsid w:val="00921E8F"/>
    <w:rPr>
      <w:color w:val="808080"/>
    </w:rPr>
  </w:style>
  <w:style w:type="paragraph" w:styleId="PargrafodaLista">
    <w:name w:val="List Paragraph"/>
    <w:basedOn w:val="Normal"/>
    <w:uiPriority w:val="34"/>
    <w:rsid w:val="0007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5271-C6AB-45E9-BA49-54B5FE2D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6</Pages>
  <Words>3810</Words>
  <Characters>20578</Characters>
  <Application>Microsoft Office Word</Application>
  <DocSecurity>0</DocSecurity>
  <Lines>171</Lines>
  <Paragraphs>48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willian sganzerla</cp:lastModifiedBy>
  <cp:revision>42</cp:revision>
  <cp:lastPrinted>2015-05-12T18:31:00Z</cp:lastPrinted>
  <dcterms:created xsi:type="dcterms:W3CDTF">2018-09-26T07:07:00Z</dcterms:created>
  <dcterms:modified xsi:type="dcterms:W3CDTF">2019-03-30T13:15:00Z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