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652541">
            <w:pPr>
              <w:pStyle w:val="CETAddress"/>
              <w:rPr>
                <w:sz w:val="12"/>
                <w:szCs w:val="12"/>
                <w:lang w:eastAsia="it-IT"/>
              </w:rPr>
            </w:pPr>
            <w:r w:rsidRPr="00B57B36">
              <w:rPr>
                <w:rFonts w:ascii="AdvP6960" w:hAnsi="AdvP6960" w:cs="AdvP6960"/>
                <w:color w:val="241F20"/>
                <w:szCs w:val="18"/>
                <w:lang w:val="it-IT" w:eastAsia="it-IT"/>
              </w:rPr>
              <w:drawing>
                <wp:inline distT="0" distB="0" distL="0" distR="0" wp14:anchorId="2CFCE57E" wp14:editId="7CFCE71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lang w:eastAsia="it-IT"/>
              </w:rPr>
              <w:t>CHEMICAL ENGINEERING</w:t>
            </w:r>
            <w:r w:rsidRPr="00B57B36">
              <w:rPr>
                <w:color w:val="0033FF"/>
                <w:lang w:eastAsia="it-IT"/>
              </w:rPr>
              <w:t xml:space="preserve"> </w:t>
            </w:r>
            <w:r w:rsidRPr="00B57B36">
              <w:rPr>
                <w:color w:val="666666"/>
                <w:lang w:eastAsia="it-IT"/>
              </w:rPr>
              <w:t>TRANSACTIONS</w:t>
            </w:r>
            <w:r w:rsidRPr="00B57B36">
              <w:rPr>
                <w:color w:val="333333"/>
                <w:lang w:eastAsia="it-IT"/>
              </w:rPr>
              <w:t xml:space="preserve"> </w:t>
            </w:r>
            <w:r w:rsidRPr="00B57B36">
              <w:rPr>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5D526F" w:rsidRDefault="009C1FEC" w:rsidP="00E978D0">
      <w:pPr>
        <w:pStyle w:val="CETTitle"/>
      </w:pPr>
      <w:r w:rsidRPr="005D526F">
        <w:lastRenderedPageBreak/>
        <w:t xml:space="preserve">Freeze-dried Products Based on Walnuts:                Interaction between Fat Fraction and Dietary Fiber </w:t>
      </w:r>
    </w:p>
    <w:p w:rsidR="00E978D0" w:rsidRPr="005D526F" w:rsidRDefault="009C1FEC" w:rsidP="00AB5011">
      <w:pPr>
        <w:pStyle w:val="CETAuthors"/>
        <w:rPr>
          <w:lang w:val="it-IT"/>
        </w:rPr>
      </w:pPr>
      <w:r w:rsidRPr="005D526F">
        <w:rPr>
          <w:lang w:val="it-IT"/>
        </w:rPr>
        <w:t>Roberta Dordoni*, Guillermo Duserm Garrido, Alice Gruppi, Giorgia Spigno</w:t>
      </w:r>
    </w:p>
    <w:p w:rsidR="00E978D0" w:rsidRPr="005D526F" w:rsidRDefault="00976059" w:rsidP="00E978D0">
      <w:pPr>
        <w:pStyle w:val="CETAddress"/>
        <w:rPr>
          <w:lang w:val="it-IT"/>
        </w:rPr>
      </w:pPr>
      <w:r>
        <w:rPr>
          <w:lang w:val="it-IT"/>
        </w:rPr>
        <w:t xml:space="preserve">DISTAS - </w:t>
      </w:r>
      <w:r w:rsidR="009C1FEC" w:rsidRPr="005D526F">
        <w:rPr>
          <w:lang w:val="it-IT"/>
        </w:rPr>
        <w:t>Department for Sustainable Food Process, Università Cattolica del Sacro Cuore, Via Emilia Parmense 84, 29122 Piacenza, Italy</w:t>
      </w:r>
    </w:p>
    <w:p w:rsidR="00E978D0" w:rsidRPr="005D526F" w:rsidRDefault="009C1FEC" w:rsidP="00E978D0">
      <w:pPr>
        <w:pStyle w:val="CETemail"/>
      </w:pPr>
      <w:r w:rsidRPr="005D526F">
        <w:t>roberta.dordoni</w:t>
      </w:r>
      <w:r w:rsidR="00600535" w:rsidRPr="005D526F">
        <w:t>@</w:t>
      </w:r>
      <w:r w:rsidRPr="005D526F">
        <w:t>unicatt.it</w:t>
      </w:r>
    </w:p>
    <w:p w:rsidR="00814291" w:rsidRDefault="00260956" w:rsidP="00393EC7">
      <w:pPr>
        <w:pStyle w:val="CETBodytext"/>
        <w:spacing w:line="240" w:lineRule="auto"/>
        <w:rPr>
          <w:lang w:val="en-GB"/>
        </w:rPr>
      </w:pPr>
      <w:r w:rsidRPr="00260956">
        <w:rPr>
          <w:lang w:val="en-GB"/>
        </w:rPr>
        <w:t xml:space="preserve">Walnuts are appreciated all around the world by consumers and food industries because of their different and positive properties including flavouring, texturizing and </w:t>
      </w:r>
      <w:r w:rsidR="00976059">
        <w:rPr>
          <w:lang w:val="en-GB"/>
        </w:rPr>
        <w:t>nutritional</w:t>
      </w:r>
      <w:r w:rsidRPr="00260956">
        <w:rPr>
          <w:lang w:val="en-GB"/>
        </w:rPr>
        <w:t xml:space="preserve"> qualities. </w:t>
      </w:r>
      <w:r w:rsidR="00B43C9A" w:rsidRPr="005D526F">
        <w:rPr>
          <w:lang w:val="en-GB"/>
        </w:rPr>
        <w:t xml:space="preserve">Walnut paste </w:t>
      </w:r>
      <w:r>
        <w:rPr>
          <w:lang w:val="en-GB"/>
        </w:rPr>
        <w:t>production and use are</w:t>
      </w:r>
      <w:r w:rsidR="00B43C9A" w:rsidRPr="005D526F">
        <w:rPr>
          <w:lang w:val="en-GB"/>
        </w:rPr>
        <w:t xml:space="preserve"> </w:t>
      </w:r>
      <w:r>
        <w:rPr>
          <w:lang w:val="en-GB"/>
        </w:rPr>
        <w:t>commonly</w:t>
      </w:r>
      <w:r w:rsidR="00426BDD">
        <w:rPr>
          <w:lang w:val="en-GB"/>
        </w:rPr>
        <w:t xml:space="preserve"> associated </w:t>
      </w:r>
      <w:r w:rsidR="00B43C9A" w:rsidRPr="005D526F">
        <w:rPr>
          <w:lang w:val="en-GB"/>
        </w:rPr>
        <w:t xml:space="preserve">to confectionery or traditional </w:t>
      </w:r>
      <w:r w:rsidR="00E578EB" w:rsidRPr="005D526F">
        <w:rPr>
          <w:lang w:val="en-GB"/>
        </w:rPr>
        <w:t>products but</w:t>
      </w:r>
      <w:r w:rsidR="00B43C9A" w:rsidRPr="005D526F">
        <w:rPr>
          <w:lang w:val="en-GB"/>
        </w:rPr>
        <w:t xml:space="preserve"> </w:t>
      </w:r>
      <w:r w:rsidR="00976059">
        <w:rPr>
          <w:lang w:val="en-GB"/>
        </w:rPr>
        <w:t xml:space="preserve">may </w:t>
      </w:r>
      <w:r w:rsidR="00B43C9A" w:rsidRPr="005D526F">
        <w:rPr>
          <w:lang w:val="en-GB"/>
        </w:rPr>
        <w:t xml:space="preserve">find space in </w:t>
      </w:r>
      <w:r w:rsidR="00426BDD">
        <w:rPr>
          <w:lang w:val="en-GB"/>
        </w:rPr>
        <w:t xml:space="preserve">different </w:t>
      </w:r>
      <w:r w:rsidR="00B43C9A" w:rsidRPr="005D526F">
        <w:rPr>
          <w:lang w:val="en-GB"/>
        </w:rPr>
        <w:t>innovative foods</w:t>
      </w:r>
      <w:r w:rsidR="00426BDD">
        <w:rPr>
          <w:lang w:val="en-GB"/>
        </w:rPr>
        <w:t>,</w:t>
      </w:r>
      <w:r w:rsidR="00B43C9A" w:rsidRPr="005D526F">
        <w:rPr>
          <w:lang w:val="en-GB"/>
        </w:rPr>
        <w:t xml:space="preserve"> as fat replacer and functional component.</w:t>
      </w:r>
      <w:bookmarkStart w:id="0" w:name="_Hlk536105237"/>
      <w:r w:rsidR="00814291">
        <w:rPr>
          <w:lang w:val="en-GB"/>
        </w:rPr>
        <w:t xml:space="preserve"> </w:t>
      </w:r>
      <w:r w:rsidR="00B43C9A" w:rsidRPr="005D526F">
        <w:rPr>
          <w:lang w:val="en-GB"/>
        </w:rPr>
        <w:t xml:space="preserve">The aim of this work was to </w:t>
      </w:r>
      <w:r w:rsidR="00426BDD">
        <w:rPr>
          <w:lang w:val="en-GB"/>
        </w:rPr>
        <w:t xml:space="preserve">increase the nutritional value of walnut paste and, at the same time, </w:t>
      </w:r>
      <w:r w:rsidR="00B43C9A" w:rsidRPr="005D526F">
        <w:rPr>
          <w:lang w:val="en-GB"/>
        </w:rPr>
        <w:t xml:space="preserve">limit </w:t>
      </w:r>
      <w:r w:rsidR="00426BDD">
        <w:rPr>
          <w:lang w:val="en-GB"/>
        </w:rPr>
        <w:t>its</w:t>
      </w:r>
      <w:r w:rsidR="00B43C9A" w:rsidRPr="005D526F">
        <w:rPr>
          <w:lang w:val="en-GB"/>
        </w:rPr>
        <w:t xml:space="preserve"> oxidative degradation </w:t>
      </w:r>
      <w:r w:rsidR="006B5F0E">
        <w:rPr>
          <w:lang w:val="en-GB"/>
        </w:rPr>
        <w:t xml:space="preserve">by developing a freeze-drying process with </w:t>
      </w:r>
      <w:r w:rsidR="00B43C9A" w:rsidRPr="005D526F">
        <w:rPr>
          <w:lang w:val="en-GB"/>
        </w:rPr>
        <w:t>addition of polysacchar</w:t>
      </w:r>
      <w:r>
        <w:rPr>
          <w:lang w:val="en-GB"/>
        </w:rPr>
        <w:t>ide matrices including dietary fiber</w:t>
      </w:r>
      <w:r w:rsidR="00B43C9A" w:rsidRPr="005D526F">
        <w:rPr>
          <w:lang w:val="en-GB"/>
        </w:rPr>
        <w:t>. The effects of different formulations and technological treatment</w:t>
      </w:r>
      <w:r w:rsidR="00976059">
        <w:rPr>
          <w:lang w:val="en-GB"/>
        </w:rPr>
        <w:t>s</w:t>
      </w:r>
      <w:r w:rsidR="00B43C9A" w:rsidRPr="005D526F">
        <w:rPr>
          <w:lang w:val="en-GB"/>
        </w:rPr>
        <w:t xml:space="preserve"> on </w:t>
      </w:r>
      <w:r w:rsidR="004C2DAB">
        <w:rPr>
          <w:lang w:val="en-GB"/>
        </w:rPr>
        <w:t>product</w:t>
      </w:r>
      <w:r w:rsidR="00B43C9A" w:rsidRPr="005D526F">
        <w:rPr>
          <w:lang w:val="en-GB"/>
        </w:rPr>
        <w:t xml:space="preserve"> stab</w:t>
      </w:r>
      <w:r w:rsidR="00B04C0C" w:rsidRPr="005D526F">
        <w:rPr>
          <w:lang w:val="en-GB"/>
        </w:rPr>
        <w:t>ility were evaluated.</w:t>
      </w:r>
      <w:bookmarkEnd w:id="0"/>
      <w:r>
        <w:rPr>
          <w:lang w:val="en-GB"/>
        </w:rPr>
        <w:t xml:space="preserve"> S</w:t>
      </w:r>
      <w:r w:rsidR="00B43C9A" w:rsidRPr="005D526F">
        <w:rPr>
          <w:lang w:val="en-GB"/>
        </w:rPr>
        <w:t xml:space="preserve">helled walnuts were roasted </w:t>
      </w:r>
      <w:r w:rsidR="00B43C9A" w:rsidRPr="00976059">
        <w:rPr>
          <w:lang w:val="en-GB"/>
        </w:rPr>
        <w:t>at 165</w:t>
      </w:r>
      <w:r w:rsidR="0033129A" w:rsidRPr="00976059">
        <w:rPr>
          <w:lang w:val="en-GB"/>
        </w:rPr>
        <w:t xml:space="preserve"> </w:t>
      </w:r>
      <w:r w:rsidR="00B43C9A" w:rsidRPr="00976059">
        <w:rPr>
          <w:lang w:val="en-GB"/>
        </w:rPr>
        <w:t xml:space="preserve">°C </w:t>
      </w:r>
      <w:r w:rsidR="00B43C9A" w:rsidRPr="005D526F">
        <w:rPr>
          <w:lang w:val="en-GB"/>
        </w:rPr>
        <w:t xml:space="preserve">for 15 minutes, grinded, and refined; the obtained walnut paste was mixed with betaglucan, inulin and pectin, singly or combined with tragacanth gum and DE12 maltodextrin. </w:t>
      </w:r>
      <w:r w:rsidR="00976059">
        <w:rPr>
          <w:lang w:val="en-GB"/>
        </w:rPr>
        <w:t>The d</w:t>
      </w:r>
      <w:r w:rsidR="00B43C9A" w:rsidRPr="005D526F">
        <w:rPr>
          <w:lang w:val="en-GB"/>
        </w:rPr>
        <w:t xml:space="preserve">ifferent formulations were added </w:t>
      </w:r>
      <w:r w:rsidR="00976059">
        <w:rPr>
          <w:lang w:val="en-GB"/>
        </w:rPr>
        <w:t>to</w:t>
      </w:r>
      <w:r w:rsidR="00B43C9A" w:rsidRPr="005D526F">
        <w:rPr>
          <w:lang w:val="en-GB"/>
        </w:rPr>
        <w:t xml:space="preserve"> water, emulsified and dehydrated by freeze-drying. Lyophilized samples were finally stored </w:t>
      </w:r>
      <w:r w:rsidR="00B43C9A" w:rsidRPr="00976059">
        <w:rPr>
          <w:lang w:val="en-GB"/>
        </w:rPr>
        <w:t>at 60</w:t>
      </w:r>
      <w:r w:rsidR="0033129A" w:rsidRPr="00976059">
        <w:rPr>
          <w:lang w:val="en-GB"/>
        </w:rPr>
        <w:t xml:space="preserve"> </w:t>
      </w:r>
      <w:r w:rsidR="00B43C9A" w:rsidRPr="00976059">
        <w:rPr>
          <w:lang w:val="en-GB"/>
        </w:rPr>
        <w:t xml:space="preserve">°C for </w:t>
      </w:r>
      <w:r w:rsidR="00B43C9A" w:rsidRPr="005D526F">
        <w:rPr>
          <w:lang w:val="en-GB"/>
        </w:rPr>
        <w:t>15 days.</w:t>
      </w:r>
      <w:r w:rsidR="00920E96">
        <w:rPr>
          <w:lang w:val="en-GB"/>
        </w:rPr>
        <w:t xml:space="preserve"> </w:t>
      </w:r>
      <w:r w:rsidR="005D526F">
        <w:rPr>
          <w:lang w:val="en-GB"/>
        </w:rPr>
        <w:t>W</w:t>
      </w:r>
      <w:r w:rsidR="00B43C9A" w:rsidRPr="005D526F">
        <w:rPr>
          <w:lang w:val="en-GB"/>
        </w:rPr>
        <w:t>alnut paste, samples just after lyophilization, and lyophilized samples after storage were evaluated</w:t>
      </w:r>
      <w:r w:rsidR="00417BF3">
        <w:rPr>
          <w:lang w:val="en-GB"/>
        </w:rPr>
        <w:t xml:space="preserve"> in terms of moisture, peroxide</w:t>
      </w:r>
      <w:r w:rsidR="00B43C9A" w:rsidRPr="005D526F">
        <w:rPr>
          <w:lang w:val="en-GB"/>
        </w:rPr>
        <w:t xml:space="preserve"> number, acidity and pH, conjugated dienes and </w:t>
      </w:r>
      <w:proofErr w:type="spellStart"/>
      <w:r w:rsidR="00B43C9A" w:rsidRPr="005D526F">
        <w:rPr>
          <w:lang w:val="en-GB"/>
        </w:rPr>
        <w:t>trienes</w:t>
      </w:r>
      <w:proofErr w:type="spellEnd"/>
      <w:r w:rsidR="00B43C9A" w:rsidRPr="005D526F">
        <w:rPr>
          <w:lang w:val="en-GB"/>
        </w:rPr>
        <w:t xml:space="preserve">, total phenols and tocopherols. Further </w:t>
      </w:r>
      <w:r w:rsidR="00E578EB" w:rsidRPr="005D526F">
        <w:rPr>
          <w:lang w:val="en-GB"/>
        </w:rPr>
        <w:t>analyses</w:t>
      </w:r>
      <w:r w:rsidR="00B43C9A" w:rsidRPr="005D526F">
        <w:rPr>
          <w:lang w:val="en-GB"/>
        </w:rPr>
        <w:t xml:space="preserve"> (</w:t>
      </w:r>
      <w:proofErr w:type="spellStart"/>
      <w:r w:rsidR="00DB1CEE">
        <w:rPr>
          <w:lang w:val="en-GB"/>
        </w:rPr>
        <w:t>colo</w:t>
      </w:r>
      <w:r w:rsidR="00DB1CEE" w:rsidRPr="005D526F">
        <w:rPr>
          <w:lang w:val="en-GB"/>
        </w:rPr>
        <w:t>r</w:t>
      </w:r>
      <w:proofErr w:type="spellEnd"/>
      <w:r w:rsidR="00B43C9A" w:rsidRPr="005D526F">
        <w:rPr>
          <w:lang w:val="en-GB"/>
        </w:rPr>
        <w:t>, 410 and 420 nm absorption</w:t>
      </w:r>
      <w:r w:rsidR="00920E96">
        <w:rPr>
          <w:lang w:val="en-GB"/>
        </w:rPr>
        <w:t>,</w:t>
      </w:r>
      <w:r w:rsidR="00B43C9A" w:rsidRPr="005D526F">
        <w:rPr>
          <w:lang w:val="en-GB"/>
        </w:rPr>
        <w:t xml:space="preserve"> and </w:t>
      </w:r>
      <w:r w:rsidR="00976059">
        <w:rPr>
          <w:lang w:val="en-GB"/>
        </w:rPr>
        <w:t xml:space="preserve">total </w:t>
      </w:r>
      <w:r w:rsidR="00B43C9A" w:rsidRPr="005D526F">
        <w:rPr>
          <w:lang w:val="en-GB"/>
        </w:rPr>
        <w:t>phenols content after ethanol precipitation) were carri</w:t>
      </w:r>
      <w:r>
        <w:rPr>
          <w:lang w:val="en-GB"/>
        </w:rPr>
        <w:t>ed out on freeze dried samples before and after storage</w:t>
      </w:r>
      <w:r w:rsidR="006B5F0E">
        <w:rPr>
          <w:lang w:val="en-GB"/>
        </w:rPr>
        <w:t>.</w:t>
      </w:r>
      <w:r w:rsidR="00814291">
        <w:rPr>
          <w:lang w:val="en-GB"/>
        </w:rPr>
        <w:t xml:space="preserve"> </w:t>
      </w:r>
      <w:r w:rsidR="00B43C9A" w:rsidRPr="005D526F">
        <w:rPr>
          <w:lang w:val="en-GB"/>
        </w:rPr>
        <w:t xml:space="preserve">The results showed that the </w:t>
      </w:r>
      <w:r w:rsidR="00096CCC" w:rsidRPr="005D526F">
        <w:rPr>
          <w:lang w:val="en-GB"/>
        </w:rPr>
        <w:t>freeze-drying</w:t>
      </w:r>
      <w:r w:rsidR="00B43C9A" w:rsidRPr="005D526F">
        <w:rPr>
          <w:lang w:val="en-GB"/>
        </w:rPr>
        <w:t xml:space="preserve"> process </w:t>
      </w:r>
      <w:r w:rsidR="00D92551">
        <w:rPr>
          <w:lang w:val="en-GB"/>
        </w:rPr>
        <w:t>affected</w:t>
      </w:r>
      <w:r w:rsidR="00B43C9A" w:rsidRPr="005D526F">
        <w:rPr>
          <w:lang w:val="en-GB"/>
        </w:rPr>
        <w:t xml:space="preserve"> the nutritional profile of the walnuts, </w:t>
      </w:r>
      <w:r w:rsidR="00D92551">
        <w:rPr>
          <w:lang w:val="en-GB"/>
        </w:rPr>
        <w:t>limiting</w:t>
      </w:r>
      <w:r w:rsidR="00B43C9A" w:rsidRPr="005D526F">
        <w:rPr>
          <w:lang w:val="en-GB"/>
        </w:rPr>
        <w:t xml:space="preserve"> the onset of oxidative phenomena. </w:t>
      </w:r>
      <w:bookmarkStart w:id="1" w:name="_Hlk536109916"/>
      <w:r w:rsidR="00B43C9A" w:rsidRPr="005D526F">
        <w:rPr>
          <w:lang w:val="en-GB"/>
        </w:rPr>
        <w:t>After storage</w:t>
      </w:r>
      <w:r w:rsidR="00DF2160">
        <w:rPr>
          <w:lang w:val="en-GB"/>
        </w:rPr>
        <w:t xml:space="preserve"> </w:t>
      </w:r>
      <w:r w:rsidR="00B43C9A" w:rsidRPr="005D526F">
        <w:rPr>
          <w:lang w:val="en-GB"/>
        </w:rPr>
        <w:t xml:space="preserve">the content of </w:t>
      </w:r>
      <w:r w:rsidR="00976059" w:rsidRPr="00976059">
        <w:rPr>
          <w:lang w:val="en-GB"/>
        </w:rPr>
        <w:t>total phenols</w:t>
      </w:r>
      <w:r w:rsidR="00B43C9A" w:rsidRPr="005D526F">
        <w:rPr>
          <w:lang w:val="en-GB"/>
        </w:rPr>
        <w:t xml:space="preserve"> and tocopherols was significantly higher already in the </w:t>
      </w:r>
      <w:r w:rsidR="00976059">
        <w:rPr>
          <w:lang w:val="en-GB"/>
        </w:rPr>
        <w:t>freshly</w:t>
      </w:r>
      <w:r w:rsidR="00B43C9A" w:rsidRPr="005D526F">
        <w:rPr>
          <w:lang w:val="en-GB"/>
        </w:rPr>
        <w:t xml:space="preserve"> lyophilized walnut paste,</w:t>
      </w:r>
      <w:r w:rsidR="00814291">
        <w:rPr>
          <w:lang w:val="en-GB"/>
        </w:rPr>
        <w:t xml:space="preserve"> compared to the untreated one. </w:t>
      </w:r>
      <w:r w:rsidR="00D92551" w:rsidRPr="008F5403">
        <w:rPr>
          <w:lang w:val="en-GB"/>
        </w:rPr>
        <w:t>The a</w:t>
      </w:r>
      <w:r w:rsidR="00B43C9A" w:rsidRPr="008F5403">
        <w:rPr>
          <w:lang w:val="en-GB"/>
        </w:rPr>
        <w:t xml:space="preserve">ddition of polysaccharide compounds </w:t>
      </w:r>
      <w:r w:rsidR="00920E96" w:rsidRPr="008F5403">
        <w:rPr>
          <w:lang w:val="en-GB"/>
        </w:rPr>
        <w:t>aided</w:t>
      </w:r>
      <w:r w:rsidR="00B43C9A" w:rsidRPr="008F5403">
        <w:rPr>
          <w:lang w:val="en-GB"/>
        </w:rPr>
        <w:t xml:space="preserve"> to preserve </w:t>
      </w:r>
      <w:r w:rsidR="00976059">
        <w:rPr>
          <w:lang w:val="en-GB"/>
        </w:rPr>
        <w:t xml:space="preserve">total </w:t>
      </w:r>
      <w:r w:rsidR="00B43C9A" w:rsidRPr="008F5403">
        <w:rPr>
          <w:lang w:val="en-GB"/>
        </w:rPr>
        <w:t>phenols.</w:t>
      </w:r>
      <w:r w:rsidR="00B43C9A" w:rsidRPr="005D526F">
        <w:rPr>
          <w:lang w:val="en-GB"/>
        </w:rPr>
        <w:t xml:space="preserve"> </w:t>
      </w:r>
      <w:r w:rsidR="00D92551">
        <w:rPr>
          <w:lang w:val="en-GB"/>
        </w:rPr>
        <w:t xml:space="preserve">However, </w:t>
      </w:r>
      <w:r w:rsidR="008D6BE6">
        <w:rPr>
          <w:lang w:val="en-GB"/>
        </w:rPr>
        <w:t>when</w:t>
      </w:r>
      <w:r w:rsidR="00B43C9A" w:rsidRPr="005D526F">
        <w:rPr>
          <w:lang w:val="en-GB"/>
        </w:rPr>
        <w:t xml:space="preserve"> </w:t>
      </w:r>
      <w:r w:rsidR="00D92551">
        <w:rPr>
          <w:lang w:val="en-GB"/>
        </w:rPr>
        <w:t>betaglucan, inulin, or pectin</w:t>
      </w:r>
      <w:r w:rsidR="00B43C9A" w:rsidRPr="005D526F">
        <w:rPr>
          <w:lang w:val="en-GB"/>
        </w:rPr>
        <w:t xml:space="preserve"> </w:t>
      </w:r>
      <w:r w:rsidR="00D92551">
        <w:rPr>
          <w:lang w:val="en-GB"/>
        </w:rPr>
        <w:t>were</w:t>
      </w:r>
      <w:r w:rsidR="00B43C9A" w:rsidRPr="005D526F">
        <w:rPr>
          <w:lang w:val="en-GB"/>
        </w:rPr>
        <w:t xml:space="preserve"> </w:t>
      </w:r>
      <w:r w:rsidR="00C94036">
        <w:rPr>
          <w:lang w:val="en-GB"/>
        </w:rPr>
        <w:t>individually</w:t>
      </w:r>
      <w:r w:rsidR="00D92551">
        <w:rPr>
          <w:lang w:val="en-GB"/>
        </w:rPr>
        <w:t xml:space="preserve"> </w:t>
      </w:r>
      <w:r w:rsidR="00B43C9A" w:rsidRPr="005D526F">
        <w:rPr>
          <w:lang w:val="en-GB"/>
        </w:rPr>
        <w:t>included,</w:t>
      </w:r>
      <w:r w:rsidR="00D92551">
        <w:rPr>
          <w:lang w:val="en-GB"/>
        </w:rPr>
        <w:t xml:space="preserve"> a significant depletion of tocopherols was observed.</w:t>
      </w:r>
      <w:r w:rsidR="003744AA" w:rsidRPr="003744AA">
        <w:t xml:space="preserve"> </w:t>
      </w:r>
      <w:r w:rsidR="003744AA">
        <w:rPr>
          <w:lang w:val="en-GB"/>
        </w:rPr>
        <w:t>M</w:t>
      </w:r>
      <w:r w:rsidR="003744AA" w:rsidRPr="003744AA">
        <w:rPr>
          <w:lang w:val="en-GB"/>
        </w:rPr>
        <w:t xml:space="preserve">altodextrin and tragacanth </w:t>
      </w:r>
      <w:r w:rsidR="003744AA">
        <w:rPr>
          <w:lang w:val="en-GB"/>
        </w:rPr>
        <w:t>gum</w:t>
      </w:r>
      <w:r w:rsidR="003744AA" w:rsidRPr="003744AA">
        <w:rPr>
          <w:lang w:val="en-GB"/>
        </w:rPr>
        <w:t xml:space="preserve"> play</w:t>
      </w:r>
      <w:r w:rsidR="003744AA">
        <w:rPr>
          <w:lang w:val="en-GB"/>
        </w:rPr>
        <w:t>ed</w:t>
      </w:r>
      <w:r w:rsidR="003744AA" w:rsidRPr="003744AA">
        <w:rPr>
          <w:lang w:val="en-GB"/>
        </w:rPr>
        <w:t xml:space="preserve"> a fundamental role in maintaining high levels of both </w:t>
      </w:r>
      <w:r w:rsidR="00A959E3">
        <w:rPr>
          <w:lang w:val="en-GB"/>
        </w:rPr>
        <w:t xml:space="preserve">total </w:t>
      </w:r>
      <w:r w:rsidR="003744AA" w:rsidRPr="003744AA">
        <w:rPr>
          <w:lang w:val="en-GB"/>
        </w:rPr>
        <w:t>phenols and tocopherols.</w:t>
      </w:r>
      <w:r w:rsidR="00393EC7">
        <w:rPr>
          <w:lang w:val="en-GB"/>
        </w:rPr>
        <w:t xml:space="preserve"> </w:t>
      </w:r>
      <w:r w:rsidR="00814291">
        <w:rPr>
          <w:lang w:val="en-GB"/>
        </w:rPr>
        <w:t xml:space="preserve">Nevertheless, </w:t>
      </w:r>
      <w:r w:rsidR="00814291" w:rsidRPr="00814291">
        <w:rPr>
          <w:lang w:val="en-GB"/>
        </w:rPr>
        <w:t xml:space="preserve">formulations </w:t>
      </w:r>
      <w:r w:rsidR="00976059">
        <w:rPr>
          <w:lang w:val="en-GB"/>
        </w:rPr>
        <w:t>including</w:t>
      </w:r>
      <w:r w:rsidR="00814291" w:rsidRPr="00814291">
        <w:rPr>
          <w:lang w:val="en-GB"/>
        </w:rPr>
        <w:t xml:space="preserve"> also </w:t>
      </w:r>
      <w:r w:rsidR="00442C66">
        <w:rPr>
          <w:lang w:val="en-GB"/>
        </w:rPr>
        <w:t>dietary fiber</w:t>
      </w:r>
      <w:r w:rsidR="00814291" w:rsidRPr="00814291">
        <w:rPr>
          <w:lang w:val="en-GB"/>
        </w:rPr>
        <w:t xml:space="preserve"> were </w:t>
      </w:r>
      <w:r w:rsidR="00814291">
        <w:rPr>
          <w:lang w:val="en-GB"/>
        </w:rPr>
        <w:t xml:space="preserve">slightly </w:t>
      </w:r>
      <w:r w:rsidR="00814291" w:rsidRPr="00814291">
        <w:rPr>
          <w:lang w:val="en-GB"/>
        </w:rPr>
        <w:t xml:space="preserve">more oxidized. </w:t>
      </w:r>
      <w:r w:rsidR="00814291">
        <w:rPr>
          <w:lang w:val="en-GB"/>
        </w:rPr>
        <w:t>A</w:t>
      </w:r>
      <w:r w:rsidR="00814291" w:rsidRPr="00814291">
        <w:rPr>
          <w:lang w:val="en-GB"/>
        </w:rPr>
        <w:t>mong them</w:t>
      </w:r>
      <w:r w:rsidR="00393EC7">
        <w:rPr>
          <w:lang w:val="en-GB"/>
        </w:rPr>
        <w:t>,</w:t>
      </w:r>
      <w:r w:rsidR="00442C66">
        <w:rPr>
          <w:lang w:val="en-GB"/>
        </w:rPr>
        <w:t xml:space="preserve"> the inclusion of betaglucan</w:t>
      </w:r>
      <w:r w:rsidR="00814291" w:rsidRPr="00814291">
        <w:rPr>
          <w:lang w:val="en-GB"/>
        </w:rPr>
        <w:t xml:space="preserve"> provide</w:t>
      </w:r>
      <w:r w:rsidR="00C94036">
        <w:rPr>
          <w:lang w:val="en-GB"/>
        </w:rPr>
        <w:t>d</w:t>
      </w:r>
      <w:r w:rsidR="00814291" w:rsidRPr="00814291">
        <w:rPr>
          <w:lang w:val="en-GB"/>
        </w:rPr>
        <w:t xml:space="preserve"> the </w:t>
      </w:r>
      <w:r w:rsidR="00814291">
        <w:rPr>
          <w:lang w:val="en-GB"/>
        </w:rPr>
        <w:t xml:space="preserve">overall </w:t>
      </w:r>
      <w:r w:rsidR="00814291" w:rsidRPr="00814291">
        <w:rPr>
          <w:lang w:val="en-GB"/>
        </w:rPr>
        <w:t>best results.</w:t>
      </w:r>
    </w:p>
    <w:bookmarkEnd w:id="1"/>
    <w:p w:rsidR="00600535" w:rsidRPr="00BC3277" w:rsidRDefault="00B04C0C" w:rsidP="00417BF3">
      <w:pPr>
        <w:pStyle w:val="CETHeading1"/>
        <w:tabs>
          <w:tab w:val="right" w:pos="7100"/>
        </w:tabs>
        <w:jc w:val="both"/>
        <w:rPr>
          <w:lang w:val="en-GB"/>
        </w:rPr>
      </w:pPr>
      <w:r w:rsidRPr="00BC3277">
        <w:rPr>
          <w:lang w:val="en-GB"/>
        </w:rPr>
        <w:t xml:space="preserve">1. </w:t>
      </w:r>
      <w:r w:rsidR="00600535" w:rsidRPr="00BC3277">
        <w:rPr>
          <w:lang w:val="en-GB"/>
        </w:rPr>
        <w:t>Introduction</w:t>
      </w:r>
    </w:p>
    <w:p w:rsidR="0004183D" w:rsidRPr="00E578EB" w:rsidRDefault="00700ECA" w:rsidP="00E578EB">
      <w:pPr>
        <w:pStyle w:val="CETHeading1"/>
        <w:jc w:val="both"/>
        <w:rPr>
          <w:b w:val="0"/>
          <w:sz w:val="18"/>
          <w:lang w:val="en-GB"/>
        </w:rPr>
      </w:pPr>
      <w:r w:rsidRPr="00700ECA">
        <w:rPr>
          <w:b w:val="0"/>
          <w:sz w:val="18"/>
          <w:lang w:val="en-GB"/>
        </w:rPr>
        <w:t>Despite the</w:t>
      </w:r>
      <w:r w:rsidR="002463E4">
        <w:rPr>
          <w:b w:val="0"/>
          <w:sz w:val="18"/>
          <w:lang w:val="en-GB"/>
        </w:rPr>
        <w:t>ir</w:t>
      </w:r>
      <w:r w:rsidRPr="00700ECA">
        <w:rPr>
          <w:b w:val="0"/>
          <w:sz w:val="18"/>
          <w:lang w:val="en-GB"/>
        </w:rPr>
        <w:t xml:space="preserve"> </w:t>
      </w:r>
      <w:r w:rsidR="002463E4">
        <w:rPr>
          <w:b w:val="0"/>
          <w:sz w:val="18"/>
          <w:lang w:val="en-GB"/>
        </w:rPr>
        <w:t>interesting</w:t>
      </w:r>
      <w:r w:rsidRPr="00700ECA">
        <w:rPr>
          <w:b w:val="0"/>
          <w:sz w:val="18"/>
          <w:lang w:val="en-GB"/>
        </w:rPr>
        <w:t xml:space="preserve"> functional and sensory profile, the use of walnuts on industrial scale is limited by their high susceptibility to oxidation which leads to losses in terms of both nutritional value, and palatability. For this reason, only a small share of walnuts is usually allocated for industrial processing: besides the oil, there are relatively few walnut-based products which, in most of the cases, are </w:t>
      </w:r>
      <w:r w:rsidR="007F30A9" w:rsidRPr="00700ECA">
        <w:rPr>
          <w:b w:val="0"/>
          <w:sz w:val="18"/>
          <w:lang w:val="en-GB"/>
        </w:rPr>
        <w:t>flavoured</w:t>
      </w:r>
      <w:r w:rsidRPr="00700ECA">
        <w:rPr>
          <w:b w:val="0"/>
          <w:sz w:val="18"/>
          <w:lang w:val="en-GB"/>
        </w:rPr>
        <w:t xml:space="preserve"> </w:t>
      </w:r>
      <w:r w:rsidR="002463E4">
        <w:rPr>
          <w:b w:val="0"/>
          <w:sz w:val="18"/>
          <w:lang w:val="en-GB"/>
        </w:rPr>
        <w:t xml:space="preserve">walnut </w:t>
      </w:r>
      <w:r w:rsidRPr="00700ECA">
        <w:rPr>
          <w:b w:val="0"/>
          <w:sz w:val="18"/>
          <w:lang w:val="en-GB"/>
        </w:rPr>
        <w:t>surrogates. In this context, the interest in using waln</w:t>
      </w:r>
      <w:r w:rsidR="007F30A9">
        <w:rPr>
          <w:b w:val="0"/>
          <w:sz w:val="18"/>
          <w:lang w:val="en-GB"/>
        </w:rPr>
        <w:t>ut paste is broad and growing</w:t>
      </w:r>
      <w:r w:rsidR="00D753F6">
        <w:rPr>
          <w:b w:val="0"/>
          <w:sz w:val="18"/>
          <w:lang w:val="en-GB"/>
        </w:rPr>
        <w:t xml:space="preserve"> (</w:t>
      </w:r>
      <w:proofErr w:type="spellStart"/>
      <w:r w:rsidR="00D753F6" w:rsidRPr="007759F0">
        <w:rPr>
          <w:b w:val="0"/>
          <w:sz w:val="18"/>
          <w:lang w:val="en-GB"/>
        </w:rPr>
        <w:t>Tahmasebi</w:t>
      </w:r>
      <w:proofErr w:type="spellEnd"/>
      <w:r w:rsidR="00D753F6" w:rsidRPr="007759F0">
        <w:rPr>
          <w:b w:val="0"/>
          <w:sz w:val="18"/>
          <w:lang w:val="en-GB"/>
        </w:rPr>
        <w:t xml:space="preserve"> et al., 2016).</w:t>
      </w:r>
      <w:r w:rsidR="00E578EB" w:rsidRPr="007759F0">
        <w:rPr>
          <w:b w:val="0"/>
          <w:sz w:val="18"/>
          <w:lang w:val="en-GB"/>
        </w:rPr>
        <w:t xml:space="preserve"> </w:t>
      </w:r>
      <w:r w:rsidR="00AF0945" w:rsidRPr="007759F0">
        <w:rPr>
          <w:b w:val="0"/>
          <w:sz w:val="18"/>
          <w:lang w:val="en-GB"/>
        </w:rPr>
        <w:t>Walnuts are nutrient-dense food, source of polyunsaturated fatty acids and antioxidant compounds</w:t>
      </w:r>
      <w:r w:rsidR="00430418" w:rsidRPr="007759F0">
        <w:rPr>
          <w:b w:val="0"/>
          <w:sz w:val="18"/>
          <w:lang w:val="en-GB"/>
        </w:rPr>
        <w:t>,</w:t>
      </w:r>
      <w:r w:rsidR="00AF0945" w:rsidRPr="007759F0">
        <w:rPr>
          <w:b w:val="0"/>
          <w:sz w:val="18"/>
          <w:lang w:val="en-GB"/>
        </w:rPr>
        <w:t xml:space="preserve"> such as </w:t>
      </w:r>
      <w:proofErr w:type="spellStart"/>
      <w:r w:rsidR="00AF0945" w:rsidRPr="007759F0">
        <w:rPr>
          <w:b w:val="0"/>
          <w:sz w:val="18"/>
          <w:lang w:val="en-GB"/>
        </w:rPr>
        <w:t>phenolic</w:t>
      </w:r>
      <w:r w:rsidR="00430418" w:rsidRPr="007759F0">
        <w:rPr>
          <w:b w:val="0"/>
          <w:sz w:val="18"/>
          <w:lang w:val="en-GB"/>
        </w:rPr>
        <w:t>s</w:t>
      </w:r>
      <w:proofErr w:type="spellEnd"/>
      <w:r w:rsidR="00AF0945" w:rsidRPr="007759F0">
        <w:rPr>
          <w:b w:val="0"/>
          <w:sz w:val="18"/>
          <w:lang w:val="en-GB"/>
        </w:rPr>
        <w:t xml:space="preserve"> and tocopherols</w:t>
      </w:r>
      <w:r w:rsidR="00DB1CEE">
        <w:rPr>
          <w:b w:val="0"/>
          <w:sz w:val="18"/>
          <w:lang w:val="en-GB"/>
        </w:rPr>
        <w:t xml:space="preserve"> </w:t>
      </w:r>
      <w:r w:rsidR="00DB1CEE" w:rsidRPr="007759F0">
        <w:rPr>
          <w:b w:val="0"/>
          <w:sz w:val="18"/>
          <w:lang w:val="en-GB"/>
        </w:rPr>
        <w:t>(Martinez et al., 2010)</w:t>
      </w:r>
      <w:r w:rsidR="00430418" w:rsidRPr="007759F0">
        <w:rPr>
          <w:b w:val="0"/>
          <w:sz w:val="18"/>
          <w:lang w:val="en-GB"/>
        </w:rPr>
        <w:t xml:space="preserve">. </w:t>
      </w:r>
      <w:r w:rsidR="002F6F77" w:rsidRPr="007759F0">
        <w:rPr>
          <w:b w:val="0"/>
          <w:sz w:val="18"/>
          <w:lang w:val="en-GB"/>
        </w:rPr>
        <w:t>Following a roasting and grinding process, walnut kernels become a semi-fluid paste that can be encapsulated in order to preserve</w:t>
      </w:r>
      <w:r w:rsidR="00430418" w:rsidRPr="007759F0">
        <w:rPr>
          <w:b w:val="0"/>
          <w:sz w:val="18"/>
          <w:lang w:val="en-GB"/>
        </w:rPr>
        <w:t xml:space="preserve"> </w:t>
      </w:r>
      <w:r w:rsidR="00D753F6" w:rsidRPr="007759F0">
        <w:rPr>
          <w:b w:val="0"/>
          <w:sz w:val="18"/>
          <w:lang w:val="en-GB"/>
        </w:rPr>
        <w:t xml:space="preserve">its </w:t>
      </w:r>
      <w:r w:rsidR="00433125" w:rsidRPr="007759F0">
        <w:rPr>
          <w:b w:val="0"/>
          <w:sz w:val="18"/>
          <w:lang w:val="en-GB"/>
        </w:rPr>
        <w:t xml:space="preserve">nutritional </w:t>
      </w:r>
      <w:r w:rsidR="002F6F77" w:rsidRPr="007759F0">
        <w:rPr>
          <w:b w:val="0"/>
          <w:sz w:val="18"/>
          <w:lang w:val="en-GB"/>
        </w:rPr>
        <w:t>properties</w:t>
      </w:r>
      <w:r w:rsidR="00433125" w:rsidRPr="007759F0">
        <w:rPr>
          <w:b w:val="0"/>
          <w:sz w:val="18"/>
          <w:lang w:val="en-GB"/>
        </w:rPr>
        <w:t xml:space="preserve"> </w:t>
      </w:r>
      <w:r w:rsidR="002F6F77" w:rsidRPr="007759F0">
        <w:rPr>
          <w:b w:val="0"/>
          <w:sz w:val="18"/>
          <w:lang w:val="en-GB"/>
        </w:rPr>
        <w:t>and</w:t>
      </w:r>
      <w:r w:rsidR="00433125" w:rsidRPr="007759F0">
        <w:rPr>
          <w:b w:val="0"/>
          <w:sz w:val="18"/>
          <w:lang w:val="en-GB"/>
        </w:rPr>
        <w:t xml:space="preserve"> increas</w:t>
      </w:r>
      <w:r w:rsidR="002F6F77" w:rsidRPr="007759F0">
        <w:rPr>
          <w:b w:val="0"/>
          <w:sz w:val="18"/>
          <w:lang w:val="en-GB"/>
        </w:rPr>
        <w:t>e</w:t>
      </w:r>
      <w:r w:rsidR="00433125" w:rsidRPr="007759F0">
        <w:rPr>
          <w:b w:val="0"/>
          <w:sz w:val="18"/>
          <w:lang w:val="en-GB"/>
        </w:rPr>
        <w:t xml:space="preserve"> stability and convenience (Dordoni et al., 2017). </w:t>
      </w:r>
      <w:r w:rsidR="00670A9C" w:rsidRPr="007759F0">
        <w:rPr>
          <w:b w:val="0"/>
          <w:sz w:val="18"/>
          <w:lang w:val="en-GB"/>
        </w:rPr>
        <w:t>M</w:t>
      </w:r>
      <w:r w:rsidR="00D36AF0" w:rsidRPr="007759F0">
        <w:rPr>
          <w:b w:val="0"/>
          <w:sz w:val="18"/>
          <w:lang w:val="en-GB"/>
        </w:rPr>
        <w:t>ixtures of gums and carbohydrates</w:t>
      </w:r>
      <w:r w:rsidR="00670A9C" w:rsidRPr="007759F0">
        <w:rPr>
          <w:b w:val="0"/>
          <w:sz w:val="18"/>
          <w:lang w:val="en-GB"/>
        </w:rPr>
        <w:t xml:space="preserve"> are the most commonly used coating materials</w:t>
      </w:r>
      <w:r w:rsidR="00FF0CC1" w:rsidRPr="007759F0">
        <w:rPr>
          <w:b w:val="0"/>
          <w:sz w:val="18"/>
          <w:lang w:val="en-GB"/>
        </w:rPr>
        <w:t xml:space="preserve"> because of their ability in </w:t>
      </w:r>
      <w:r w:rsidR="0031603C" w:rsidRPr="007759F0">
        <w:rPr>
          <w:b w:val="0"/>
          <w:sz w:val="18"/>
          <w:lang w:val="en-GB"/>
        </w:rPr>
        <w:t>protect</w:t>
      </w:r>
      <w:r w:rsidR="00FF0CC1" w:rsidRPr="007759F0">
        <w:rPr>
          <w:b w:val="0"/>
          <w:sz w:val="18"/>
          <w:lang w:val="en-GB"/>
        </w:rPr>
        <w:t>ing</w:t>
      </w:r>
      <w:r w:rsidR="0031603C" w:rsidRPr="007759F0">
        <w:rPr>
          <w:b w:val="0"/>
          <w:sz w:val="18"/>
          <w:lang w:val="en-GB"/>
        </w:rPr>
        <w:t xml:space="preserve"> sensitive active ingredients and interact</w:t>
      </w:r>
      <w:r w:rsidR="00FF0CC1" w:rsidRPr="007759F0">
        <w:rPr>
          <w:b w:val="0"/>
          <w:sz w:val="18"/>
          <w:lang w:val="en-GB"/>
        </w:rPr>
        <w:t>ing</w:t>
      </w:r>
      <w:r w:rsidR="00442C66" w:rsidRPr="007759F0">
        <w:rPr>
          <w:b w:val="0"/>
          <w:sz w:val="18"/>
          <w:lang w:val="en-GB"/>
        </w:rPr>
        <w:t xml:space="preserve"> with fiber</w:t>
      </w:r>
      <w:r w:rsidR="0031603C" w:rsidRPr="007759F0">
        <w:rPr>
          <w:b w:val="0"/>
          <w:sz w:val="18"/>
          <w:lang w:val="en-GB"/>
        </w:rPr>
        <w:t xml:space="preserve"> and </w:t>
      </w:r>
      <w:r w:rsidR="00FF0CC1" w:rsidRPr="007759F0">
        <w:rPr>
          <w:b w:val="0"/>
          <w:sz w:val="18"/>
          <w:lang w:val="en-GB"/>
        </w:rPr>
        <w:t xml:space="preserve">other </w:t>
      </w:r>
      <w:proofErr w:type="spellStart"/>
      <w:r w:rsidR="0031603C" w:rsidRPr="007759F0">
        <w:rPr>
          <w:b w:val="0"/>
          <w:sz w:val="18"/>
          <w:lang w:val="en-GB"/>
        </w:rPr>
        <w:t>biopolimers</w:t>
      </w:r>
      <w:proofErr w:type="spellEnd"/>
      <w:r w:rsidR="00FF0CC1" w:rsidRPr="007759F0">
        <w:rPr>
          <w:b w:val="0"/>
          <w:sz w:val="18"/>
          <w:lang w:val="en-GB"/>
        </w:rPr>
        <w:t xml:space="preserve"> (</w:t>
      </w:r>
      <w:proofErr w:type="spellStart"/>
      <w:r w:rsidR="00C27D65" w:rsidRPr="007759F0">
        <w:rPr>
          <w:b w:val="0"/>
          <w:sz w:val="18"/>
          <w:lang w:val="en-GB"/>
        </w:rPr>
        <w:t>Vasisht</w:t>
      </w:r>
      <w:proofErr w:type="spellEnd"/>
      <w:r w:rsidR="00C27D65" w:rsidRPr="007759F0">
        <w:rPr>
          <w:b w:val="0"/>
          <w:sz w:val="18"/>
          <w:lang w:val="en-GB"/>
        </w:rPr>
        <w:t>, 2014</w:t>
      </w:r>
      <w:r w:rsidR="0004183D" w:rsidRPr="007759F0">
        <w:rPr>
          <w:b w:val="0"/>
          <w:sz w:val="18"/>
          <w:lang w:val="en-GB"/>
        </w:rPr>
        <w:t>;</w:t>
      </w:r>
      <w:r w:rsidR="00E578EB" w:rsidRPr="007759F0">
        <w:rPr>
          <w:b w:val="0"/>
          <w:sz w:val="18"/>
          <w:lang w:val="en-GB"/>
        </w:rPr>
        <w:t xml:space="preserve"> </w:t>
      </w:r>
      <w:r w:rsidR="0004183D" w:rsidRPr="007759F0">
        <w:rPr>
          <w:b w:val="0"/>
          <w:sz w:val="18"/>
          <w:lang w:val="en-GB"/>
        </w:rPr>
        <w:t>Othman et al.,</w:t>
      </w:r>
      <w:r w:rsidR="00E578EB" w:rsidRPr="007759F0">
        <w:rPr>
          <w:b w:val="0"/>
          <w:sz w:val="18"/>
          <w:lang w:val="en-GB"/>
        </w:rPr>
        <w:t xml:space="preserve"> </w:t>
      </w:r>
      <w:r w:rsidR="0004183D" w:rsidRPr="007759F0">
        <w:rPr>
          <w:b w:val="0"/>
          <w:sz w:val="18"/>
          <w:lang w:val="en-GB"/>
        </w:rPr>
        <w:t>2018</w:t>
      </w:r>
      <w:r w:rsidR="00C27D65" w:rsidRPr="007759F0">
        <w:rPr>
          <w:b w:val="0"/>
          <w:sz w:val="18"/>
          <w:lang w:val="en-GB"/>
        </w:rPr>
        <w:t>)</w:t>
      </w:r>
      <w:r w:rsidR="0031603C" w:rsidRPr="007759F0">
        <w:rPr>
          <w:b w:val="0"/>
          <w:sz w:val="18"/>
          <w:lang w:val="en-GB"/>
        </w:rPr>
        <w:t>.</w:t>
      </w:r>
      <w:r w:rsidR="00E578EB" w:rsidRPr="007759F0">
        <w:rPr>
          <w:b w:val="0"/>
          <w:sz w:val="18"/>
          <w:lang w:val="en-GB"/>
        </w:rPr>
        <w:t xml:space="preserve"> </w:t>
      </w:r>
      <w:r w:rsidR="007B69E2" w:rsidRPr="007759F0">
        <w:rPr>
          <w:b w:val="0"/>
          <w:sz w:val="18"/>
          <w:lang w:val="en-GB"/>
        </w:rPr>
        <w:t xml:space="preserve">Dietary fiber includes cellulose, </w:t>
      </w:r>
      <w:proofErr w:type="spellStart"/>
      <w:r w:rsidR="007B69E2" w:rsidRPr="007759F0">
        <w:rPr>
          <w:b w:val="0"/>
          <w:sz w:val="18"/>
          <w:lang w:val="en-GB"/>
        </w:rPr>
        <w:t>noncellulosic</w:t>
      </w:r>
      <w:proofErr w:type="spellEnd"/>
      <w:r w:rsidR="007B69E2" w:rsidRPr="007759F0">
        <w:rPr>
          <w:b w:val="0"/>
          <w:sz w:val="18"/>
          <w:lang w:val="en-GB"/>
        </w:rPr>
        <w:t xml:space="preserve"> polysaccharides such as hemicellulose, </w:t>
      </w:r>
      <w:proofErr w:type="spellStart"/>
      <w:r w:rsidR="007B69E2" w:rsidRPr="007759F0">
        <w:rPr>
          <w:b w:val="0"/>
          <w:sz w:val="18"/>
          <w:lang w:val="en-GB"/>
        </w:rPr>
        <w:t>pectic</w:t>
      </w:r>
      <w:proofErr w:type="spellEnd"/>
      <w:r w:rsidR="007B69E2" w:rsidRPr="007759F0">
        <w:rPr>
          <w:b w:val="0"/>
          <w:sz w:val="18"/>
          <w:lang w:val="en-GB"/>
        </w:rPr>
        <w:t xml:space="preserve"> substances, gums, </w:t>
      </w:r>
      <w:proofErr w:type="spellStart"/>
      <w:r w:rsidR="007B69E2" w:rsidRPr="007759F0">
        <w:rPr>
          <w:b w:val="0"/>
          <w:sz w:val="18"/>
          <w:lang w:val="en-GB"/>
        </w:rPr>
        <w:t>mucilages</w:t>
      </w:r>
      <w:proofErr w:type="spellEnd"/>
      <w:r w:rsidR="007B69E2" w:rsidRPr="007759F0">
        <w:rPr>
          <w:b w:val="0"/>
          <w:sz w:val="18"/>
          <w:lang w:val="en-GB"/>
        </w:rPr>
        <w:t xml:space="preserve"> and </w:t>
      </w:r>
      <w:r w:rsidR="002463E4">
        <w:rPr>
          <w:b w:val="0"/>
          <w:sz w:val="18"/>
          <w:lang w:val="en-GB"/>
        </w:rPr>
        <w:t>the</w:t>
      </w:r>
      <w:r w:rsidR="007B69E2" w:rsidRPr="007759F0">
        <w:rPr>
          <w:b w:val="0"/>
          <w:sz w:val="18"/>
          <w:lang w:val="en-GB"/>
        </w:rPr>
        <w:t xml:space="preserve"> non-carbohydrate </w:t>
      </w:r>
      <w:r w:rsidR="007B69E2" w:rsidRPr="002463E4">
        <w:rPr>
          <w:b w:val="0"/>
          <w:sz w:val="18"/>
          <w:lang w:val="en-GB"/>
        </w:rPr>
        <w:t>component lignin</w:t>
      </w:r>
      <w:r w:rsidR="0004183D" w:rsidRPr="002463E4">
        <w:rPr>
          <w:b w:val="0"/>
          <w:sz w:val="18"/>
          <w:lang w:val="en-GB"/>
        </w:rPr>
        <w:t xml:space="preserve">. </w:t>
      </w:r>
      <w:r w:rsidR="00813AB8" w:rsidRPr="002463E4">
        <w:rPr>
          <w:b w:val="0"/>
          <w:sz w:val="18"/>
          <w:lang w:val="en-GB"/>
        </w:rPr>
        <w:t>Its</w:t>
      </w:r>
      <w:r w:rsidR="0004183D" w:rsidRPr="002463E4">
        <w:rPr>
          <w:b w:val="0"/>
          <w:sz w:val="18"/>
          <w:lang w:val="en-GB"/>
        </w:rPr>
        <w:t xml:space="preserve"> </w:t>
      </w:r>
      <w:proofErr w:type="spellStart"/>
      <w:r w:rsidR="0004183D" w:rsidRPr="002463E4">
        <w:rPr>
          <w:b w:val="0"/>
          <w:sz w:val="18"/>
          <w:lang w:val="en-GB"/>
        </w:rPr>
        <w:t>physico</w:t>
      </w:r>
      <w:proofErr w:type="spellEnd"/>
      <w:r w:rsidR="0004183D" w:rsidRPr="002463E4">
        <w:rPr>
          <w:b w:val="0"/>
          <w:sz w:val="18"/>
          <w:lang w:val="en-GB"/>
        </w:rPr>
        <w:t>-chemical properties can be manipulated through different treatments</w:t>
      </w:r>
      <w:r w:rsidR="0033129A" w:rsidRPr="002463E4">
        <w:rPr>
          <w:b w:val="0"/>
          <w:sz w:val="18"/>
          <w:lang w:val="en-GB"/>
        </w:rPr>
        <w:t xml:space="preserve"> (chemical, mechanical, thermal</w:t>
      </w:r>
      <w:r w:rsidR="0004183D" w:rsidRPr="002463E4">
        <w:rPr>
          <w:b w:val="0"/>
          <w:sz w:val="18"/>
          <w:lang w:val="en-GB"/>
        </w:rPr>
        <w:t xml:space="preserve"> etc.) </w:t>
      </w:r>
      <w:r w:rsidR="0004183D" w:rsidRPr="007759F0">
        <w:rPr>
          <w:b w:val="0"/>
          <w:sz w:val="18"/>
          <w:lang w:val="en-GB"/>
        </w:rPr>
        <w:t xml:space="preserve">to improve functions and activities. </w:t>
      </w:r>
      <w:r w:rsidR="00987480" w:rsidRPr="007759F0">
        <w:rPr>
          <w:b w:val="0"/>
          <w:sz w:val="18"/>
          <w:lang w:val="en-GB"/>
        </w:rPr>
        <w:t xml:space="preserve">Considering also the </w:t>
      </w:r>
      <w:r w:rsidR="00B06E91" w:rsidRPr="007759F0">
        <w:rPr>
          <w:b w:val="0"/>
          <w:sz w:val="18"/>
          <w:lang w:val="en-GB"/>
        </w:rPr>
        <w:t>proved</w:t>
      </w:r>
      <w:r w:rsidR="00987480" w:rsidRPr="007759F0">
        <w:rPr>
          <w:b w:val="0"/>
          <w:sz w:val="18"/>
          <w:lang w:val="en-GB"/>
        </w:rPr>
        <w:t xml:space="preserve"> health benefit deriving from </w:t>
      </w:r>
      <w:r w:rsidR="00813AB8">
        <w:rPr>
          <w:b w:val="0"/>
          <w:sz w:val="18"/>
          <w:lang w:val="en-GB"/>
        </w:rPr>
        <w:t>its</w:t>
      </w:r>
      <w:r w:rsidR="00987480" w:rsidRPr="007759F0">
        <w:rPr>
          <w:b w:val="0"/>
          <w:sz w:val="18"/>
          <w:lang w:val="en-GB"/>
        </w:rPr>
        <w:t xml:space="preserve"> consumption</w:t>
      </w:r>
      <w:r w:rsidR="00B06E91" w:rsidRPr="007759F0">
        <w:rPr>
          <w:b w:val="0"/>
          <w:sz w:val="18"/>
          <w:lang w:val="en-GB"/>
        </w:rPr>
        <w:t xml:space="preserve"> (</w:t>
      </w:r>
      <w:proofErr w:type="spellStart"/>
      <w:r w:rsidR="00B06E91" w:rsidRPr="007759F0">
        <w:rPr>
          <w:b w:val="0"/>
          <w:sz w:val="18"/>
          <w:lang w:val="en-GB"/>
        </w:rPr>
        <w:t>Dhingra</w:t>
      </w:r>
      <w:proofErr w:type="spellEnd"/>
      <w:r w:rsidR="00B06E91" w:rsidRPr="007759F0">
        <w:rPr>
          <w:b w:val="0"/>
          <w:sz w:val="18"/>
          <w:lang w:val="en-GB"/>
        </w:rPr>
        <w:t xml:space="preserve"> et al., 2012)</w:t>
      </w:r>
      <w:r w:rsidR="00987480" w:rsidRPr="007759F0">
        <w:rPr>
          <w:b w:val="0"/>
          <w:sz w:val="18"/>
          <w:lang w:val="en-GB"/>
        </w:rPr>
        <w:t>, innovative</w:t>
      </w:r>
      <w:r w:rsidR="00987480" w:rsidRPr="00E578EB">
        <w:rPr>
          <w:b w:val="0"/>
          <w:sz w:val="18"/>
          <w:lang w:val="en-GB"/>
        </w:rPr>
        <w:t xml:space="preserve"> </w:t>
      </w:r>
      <w:r w:rsidR="00B06E91" w:rsidRPr="00E578EB">
        <w:rPr>
          <w:b w:val="0"/>
          <w:sz w:val="18"/>
          <w:lang w:val="en-GB"/>
        </w:rPr>
        <w:t xml:space="preserve">healthcare </w:t>
      </w:r>
      <w:r w:rsidR="00987480" w:rsidRPr="00E578EB">
        <w:rPr>
          <w:b w:val="0"/>
          <w:sz w:val="18"/>
          <w:lang w:val="en-GB"/>
        </w:rPr>
        <w:t xml:space="preserve">products can be obtained by incorporating dietary fiber into matrices high </w:t>
      </w:r>
      <w:r w:rsidR="00B06E91" w:rsidRPr="00E578EB">
        <w:rPr>
          <w:b w:val="0"/>
          <w:sz w:val="18"/>
          <w:lang w:val="en-GB"/>
        </w:rPr>
        <w:t>in nutrients,</w:t>
      </w:r>
      <w:r w:rsidR="00987480" w:rsidRPr="00E578EB">
        <w:rPr>
          <w:b w:val="0"/>
          <w:sz w:val="18"/>
          <w:lang w:val="en-GB"/>
        </w:rPr>
        <w:t xml:space="preserve"> such as walnut paste.</w:t>
      </w:r>
      <w:r w:rsidR="00E578EB">
        <w:rPr>
          <w:b w:val="0"/>
          <w:sz w:val="18"/>
          <w:lang w:val="en-GB"/>
        </w:rPr>
        <w:t xml:space="preserve"> </w:t>
      </w:r>
      <w:r w:rsidR="00B06E91" w:rsidRPr="00E578EB">
        <w:rPr>
          <w:b w:val="0"/>
          <w:sz w:val="18"/>
          <w:lang w:val="en-GB"/>
        </w:rPr>
        <w:t xml:space="preserve">The aim of this work was to limit the oxidative degradation of walnut paste and increase its nutritional value by developing </w:t>
      </w:r>
      <w:r w:rsidR="00123C2D" w:rsidRPr="00E578EB">
        <w:rPr>
          <w:b w:val="0"/>
          <w:sz w:val="18"/>
          <w:lang w:val="en-GB"/>
        </w:rPr>
        <w:t xml:space="preserve">a freeze-drying </w:t>
      </w:r>
      <w:r w:rsidR="00123C2D" w:rsidRPr="00E578EB">
        <w:rPr>
          <w:b w:val="0"/>
          <w:sz w:val="18"/>
          <w:lang w:val="en-GB"/>
        </w:rPr>
        <w:lastRenderedPageBreak/>
        <w:t xml:space="preserve">process with addition of different </w:t>
      </w:r>
      <w:r w:rsidR="00B06E91" w:rsidRPr="00E578EB">
        <w:rPr>
          <w:b w:val="0"/>
          <w:sz w:val="18"/>
          <w:lang w:val="en-GB"/>
        </w:rPr>
        <w:t>polysaccharide matrices (including dietary fiber)</w:t>
      </w:r>
      <w:r w:rsidR="00123C2D" w:rsidRPr="00E578EB">
        <w:rPr>
          <w:b w:val="0"/>
          <w:sz w:val="18"/>
          <w:lang w:val="en-GB"/>
        </w:rPr>
        <w:t>.</w:t>
      </w:r>
      <w:r w:rsidR="00B06E91" w:rsidRPr="00E578EB">
        <w:rPr>
          <w:b w:val="0"/>
          <w:sz w:val="18"/>
          <w:lang w:val="en-GB"/>
        </w:rPr>
        <w:t xml:space="preserve"> </w:t>
      </w:r>
      <w:r w:rsidR="00123C2D" w:rsidRPr="00E578EB">
        <w:rPr>
          <w:b w:val="0"/>
          <w:sz w:val="18"/>
          <w:lang w:val="en-GB"/>
        </w:rPr>
        <w:t xml:space="preserve">Process impact and storage stability </w:t>
      </w:r>
      <w:r w:rsidR="002463E4">
        <w:rPr>
          <w:b w:val="0"/>
          <w:sz w:val="18"/>
          <w:lang w:val="en-GB"/>
        </w:rPr>
        <w:t>of</w:t>
      </w:r>
      <w:r w:rsidR="00123C2D" w:rsidRPr="00E578EB">
        <w:rPr>
          <w:b w:val="0"/>
          <w:sz w:val="18"/>
          <w:lang w:val="en-GB"/>
        </w:rPr>
        <w:t xml:space="preserve"> the </w:t>
      </w:r>
      <w:r w:rsidR="00B06E91" w:rsidRPr="00E578EB">
        <w:rPr>
          <w:b w:val="0"/>
          <w:sz w:val="18"/>
          <w:lang w:val="en-GB"/>
        </w:rPr>
        <w:t>different formulat</w:t>
      </w:r>
      <w:r w:rsidR="00123C2D" w:rsidRPr="00E578EB">
        <w:rPr>
          <w:b w:val="0"/>
          <w:sz w:val="18"/>
          <w:lang w:val="en-GB"/>
        </w:rPr>
        <w:t xml:space="preserve">ed samples </w:t>
      </w:r>
      <w:r w:rsidR="00B06E91" w:rsidRPr="00E578EB">
        <w:rPr>
          <w:b w:val="0"/>
          <w:sz w:val="18"/>
          <w:lang w:val="en-GB"/>
        </w:rPr>
        <w:t>were evaluated.</w:t>
      </w:r>
    </w:p>
    <w:p w:rsidR="00600535" w:rsidRPr="005D526F" w:rsidRDefault="00B04C0C" w:rsidP="00700ECA">
      <w:pPr>
        <w:pStyle w:val="CETHeading1"/>
        <w:tabs>
          <w:tab w:val="right" w:pos="7100"/>
        </w:tabs>
        <w:jc w:val="both"/>
        <w:rPr>
          <w:lang w:val="en-GB"/>
        </w:rPr>
      </w:pPr>
      <w:r w:rsidRPr="005D526F">
        <w:rPr>
          <w:lang w:val="en-GB"/>
        </w:rPr>
        <w:t xml:space="preserve">2. </w:t>
      </w:r>
      <w:r w:rsidR="00D4650C" w:rsidRPr="005D526F">
        <w:rPr>
          <w:lang w:val="en-GB"/>
        </w:rPr>
        <w:t>Materials and methods</w:t>
      </w:r>
    </w:p>
    <w:p w:rsidR="00600535" w:rsidRPr="005D526F" w:rsidRDefault="007954A9" w:rsidP="00B04C0C">
      <w:pPr>
        <w:pStyle w:val="CETheadingx"/>
      </w:pPr>
      <w:r w:rsidRPr="005D526F">
        <w:t xml:space="preserve">2.1 </w:t>
      </w:r>
      <w:r w:rsidR="00D4650C" w:rsidRPr="005D526F">
        <w:t>Materials</w:t>
      </w:r>
    </w:p>
    <w:p w:rsidR="001054F9" w:rsidRPr="005D526F" w:rsidRDefault="001054F9" w:rsidP="001054F9">
      <w:pPr>
        <w:pStyle w:val="CETBodytext"/>
      </w:pPr>
      <w:r w:rsidRPr="005D526F">
        <w:rPr>
          <w:lang w:val="en-GB"/>
        </w:rPr>
        <w:t>Shelled Chile’s walnuts (</w:t>
      </w:r>
      <w:r w:rsidRPr="005D526F">
        <w:rPr>
          <w:i/>
          <w:lang w:val="en-GB"/>
        </w:rPr>
        <w:t>Juglans regia</w:t>
      </w:r>
      <w:r w:rsidRPr="005D526F">
        <w:rPr>
          <w:lang w:val="en-GB"/>
        </w:rPr>
        <w:t xml:space="preserve"> L.), harvest</w:t>
      </w:r>
      <w:r w:rsidR="00412E5E" w:rsidRPr="005D526F">
        <w:rPr>
          <w:lang w:val="en-GB"/>
        </w:rPr>
        <w:t>ed</w:t>
      </w:r>
      <w:r w:rsidRPr="005D526F">
        <w:rPr>
          <w:lang w:val="en-GB"/>
        </w:rPr>
        <w:t xml:space="preserve"> </w:t>
      </w:r>
      <w:r w:rsidR="009A53EC" w:rsidRPr="005D526F">
        <w:rPr>
          <w:lang w:val="en-GB"/>
        </w:rPr>
        <w:t xml:space="preserve">in </w:t>
      </w:r>
      <w:r w:rsidRPr="005D526F">
        <w:rPr>
          <w:lang w:val="en-GB"/>
        </w:rPr>
        <w:t>2013</w:t>
      </w:r>
      <w:r w:rsidR="009A53EC" w:rsidRPr="005D526F">
        <w:t xml:space="preserve"> and </w:t>
      </w:r>
      <w:r w:rsidR="009A53EC" w:rsidRPr="005D526F">
        <w:rPr>
          <w:lang w:val="en-GB"/>
        </w:rPr>
        <w:t xml:space="preserve">packed in </w:t>
      </w:r>
      <w:r w:rsidR="00670A9C" w:rsidRPr="00670A9C">
        <w:rPr>
          <w:lang w:val="en-GB"/>
        </w:rPr>
        <w:t>polypropylene</w:t>
      </w:r>
      <w:r w:rsidR="009A53EC" w:rsidRPr="005D526F">
        <w:rPr>
          <w:lang w:val="en-GB"/>
        </w:rPr>
        <w:t xml:space="preserve"> bag</w:t>
      </w:r>
      <w:r w:rsidR="000646CE" w:rsidRPr="005D526F">
        <w:rPr>
          <w:lang w:val="en-GB"/>
        </w:rPr>
        <w:t xml:space="preserve"> with a clear portion</w:t>
      </w:r>
      <w:r w:rsidRPr="005D526F">
        <w:rPr>
          <w:lang w:val="en-GB"/>
        </w:rPr>
        <w:t>, were purchased from</w:t>
      </w:r>
      <w:r w:rsidR="009A53EC" w:rsidRPr="005D526F">
        <w:rPr>
          <w:lang w:val="en-GB"/>
        </w:rPr>
        <w:t xml:space="preserve"> local market (I </w:t>
      </w:r>
      <w:proofErr w:type="spellStart"/>
      <w:r w:rsidR="009A53EC" w:rsidRPr="005D526F">
        <w:rPr>
          <w:lang w:val="en-GB"/>
        </w:rPr>
        <w:t>frutti</w:t>
      </w:r>
      <w:proofErr w:type="spellEnd"/>
      <w:r w:rsidR="009A53EC" w:rsidRPr="005D526F">
        <w:rPr>
          <w:lang w:val="en-GB"/>
        </w:rPr>
        <w:t xml:space="preserve"> del </w:t>
      </w:r>
      <w:proofErr w:type="spellStart"/>
      <w:r w:rsidRPr="005D526F">
        <w:t>Convento</w:t>
      </w:r>
      <w:proofErr w:type="spellEnd"/>
      <w:r w:rsidRPr="005D526F">
        <w:t xml:space="preserve">, </w:t>
      </w:r>
      <w:proofErr w:type="spellStart"/>
      <w:r w:rsidRPr="005D526F">
        <w:t>Alfano</w:t>
      </w:r>
      <w:proofErr w:type="spellEnd"/>
      <w:r w:rsidRPr="005D526F">
        <w:t xml:space="preserve"> </w:t>
      </w:r>
      <w:proofErr w:type="spellStart"/>
      <w:r w:rsidRPr="005D526F">
        <w:t>F.lli</w:t>
      </w:r>
      <w:proofErr w:type="spellEnd"/>
      <w:r w:rsidRPr="005D526F">
        <w:t xml:space="preserve">, Italy). </w:t>
      </w:r>
      <w:r w:rsidR="00FE42F3" w:rsidRPr="005D526F">
        <w:t>Maltodextrin DE 12 (</w:t>
      </w:r>
      <w:proofErr w:type="spellStart"/>
      <w:r w:rsidR="00FE42F3" w:rsidRPr="005D526F">
        <w:t>Glucidex</w:t>
      </w:r>
      <w:proofErr w:type="spellEnd"/>
      <w:r w:rsidR="00FE42F3" w:rsidRPr="005D526F">
        <w:t>® 12) was supplied from Roquette</w:t>
      </w:r>
      <w:r w:rsidR="005238AE" w:rsidRPr="005D526F">
        <w:t xml:space="preserve"> Italia (Italy); t</w:t>
      </w:r>
      <w:r w:rsidR="00FE42F3" w:rsidRPr="005D526F">
        <w:t xml:space="preserve">ragacanth gum </w:t>
      </w:r>
      <w:r w:rsidR="00250E6B" w:rsidRPr="005D526F">
        <w:t xml:space="preserve">powder (CEROTRAG 888) was procured </w:t>
      </w:r>
      <w:r w:rsidR="005238AE" w:rsidRPr="005D526F">
        <w:t xml:space="preserve">from </w:t>
      </w:r>
      <w:proofErr w:type="spellStart"/>
      <w:r w:rsidR="005238AE" w:rsidRPr="005D526F">
        <w:t>Roeper</w:t>
      </w:r>
      <w:proofErr w:type="spellEnd"/>
      <w:r w:rsidR="005238AE" w:rsidRPr="005D526F">
        <w:t xml:space="preserve"> (Germany);</w:t>
      </w:r>
      <w:r w:rsidR="000D6E6D" w:rsidRPr="005D526F">
        <w:t xml:space="preserve"> </w:t>
      </w:r>
      <w:r w:rsidR="00C5791B" w:rsidRPr="005D526F">
        <w:t xml:space="preserve">barley </w:t>
      </w:r>
      <w:r w:rsidR="000D6E6D" w:rsidRPr="005D526F">
        <w:t>b</w:t>
      </w:r>
      <w:r w:rsidR="00442C66">
        <w:t>etaglucan</w:t>
      </w:r>
      <w:r w:rsidR="00250E6B" w:rsidRPr="005D526F">
        <w:t xml:space="preserve"> </w:t>
      </w:r>
      <w:r w:rsidR="00FE42F3" w:rsidRPr="005D526F">
        <w:t>(</w:t>
      </w:r>
      <w:proofErr w:type="spellStart"/>
      <w:r w:rsidR="00FE42F3" w:rsidRPr="005D526F">
        <w:t>Glucagel</w:t>
      </w:r>
      <w:proofErr w:type="spellEnd"/>
      <w:r w:rsidR="00FE42F3" w:rsidRPr="005D526F">
        <w:t xml:space="preserve">™) </w:t>
      </w:r>
      <w:r w:rsidR="00DB1CEE">
        <w:t>was</w:t>
      </w:r>
      <w:r w:rsidR="00250E6B" w:rsidRPr="005D526F">
        <w:t xml:space="preserve"> provided by </w:t>
      </w:r>
      <w:r w:rsidR="00FE42F3" w:rsidRPr="005D526F">
        <w:t>DKSH Italia</w:t>
      </w:r>
      <w:r w:rsidR="005238AE" w:rsidRPr="005D526F">
        <w:t xml:space="preserve"> (Italy);</w:t>
      </w:r>
      <w:r w:rsidR="000D6E6D" w:rsidRPr="005D526F">
        <w:t xml:space="preserve"> </w:t>
      </w:r>
      <w:r w:rsidR="005238AE" w:rsidRPr="005D526F">
        <w:t>p</w:t>
      </w:r>
      <w:r w:rsidR="000D6E6D" w:rsidRPr="005D526F">
        <w:t xml:space="preserve">ectin </w:t>
      </w:r>
      <w:r w:rsidR="00250E6B" w:rsidRPr="005D526F">
        <w:t xml:space="preserve">from citrus peel </w:t>
      </w:r>
      <w:r w:rsidR="000D6E6D" w:rsidRPr="005D526F">
        <w:t>(Pectin powder E440) and inulin</w:t>
      </w:r>
      <w:r w:rsidR="005238AE" w:rsidRPr="005D526F">
        <w:t xml:space="preserve"> from</w:t>
      </w:r>
      <w:r w:rsidR="000D6E6D" w:rsidRPr="005D526F">
        <w:t xml:space="preserve"> </w:t>
      </w:r>
      <w:r w:rsidR="00250E6B" w:rsidRPr="005D526F">
        <w:t xml:space="preserve">chicories roots </w:t>
      </w:r>
      <w:r w:rsidR="000D6E6D" w:rsidRPr="005D526F">
        <w:t xml:space="preserve">(Inulin 90%) were </w:t>
      </w:r>
      <w:r w:rsidR="00250E6B" w:rsidRPr="005D526F">
        <w:t>purchased</w:t>
      </w:r>
      <w:r w:rsidR="000D6E6D" w:rsidRPr="005D526F">
        <w:t xml:space="preserve"> </w:t>
      </w:r>
      <w:r w:rsidR="00C5791B">
        <w:t xml:space="preserve">from </w:t>
      </w:r>
      <w:r w:rsidR="005D29CE" w:rsidRPr="005D526F">
        <w:t>A.C.E.F. (Italy).</w:t>
      </w:r>
      <w:r w:rsidR="005238AE" w:rsidRPr="005D526F">
        <w:t xml:space="preserve"> </w:t>
      </w:r>
      <w:r w:rsidR="00FE42F3" w:rsidRPr="005D526F">
        <w:t>All chemicals used in the analytical determinations were high-purity commercially available reagents.</w:t>
      </w:r>
    </w:p>
    <w:p w:rsidR="00B04C0C" w:rsidRPr="005D526F" w:rsidRDefault="00B04C0C" w:rsidP="00B04C0C">
      <w:pPr>
        <w:pStyle w:val="CETheadingx"/>
      </w:pPr>
      <w:r w:rsidRPr="005D526F">
        <w:t>2.2 Experimental plan</w:t>
      </w:r>
    </w:p>
    <w:p w:rsidR="00B04C0C" w:rsidRPr="005D526F" w:rsidRDefault="00B04C0C" w:rsidP="00B04C0C">
      <w:pPr>
        <w:pStyle w:val="CETHeadingxx"/>
      </w:pPr>
      <w:r w:rsidRPr="005D526F">
        <w:t>Walnut paste preparation</w:t>
      </w:r>
    </w:p>
    <w:p w:rsidR="00B04C0C" w:rsidRPr="007759F0" w:rsidRDefault="00B04C0C" w:rsidP="00B04C0C">
      <w:pPr>
        <w:pStyle w:val="CETBodytext"/>
      </w:pPr>
      <w:r w:rsidRPr="005D526F">
        <w:t>Walnut kernels were roasted in a forced convection oven at 160</w:t>
      </w:r>
      <w:r w:rsidR="00C5791B">
        <w:t xml:space="preserve"> </w:t>
      </w:r>
      <w:r w:rsidRPr="005D526F">
        <w:t xml:space="preserve">°C for 15 </w:t>
      </w:r>
      <w:r w:rsidRPr="00417BF3">
        <w:t>min (</w:t>
      </w:r>
      <w:proofErr w:type="spellStart"/>
      <w:r w:rsidRPr="00417BF3">
        <w:t>Vadya</w:t>
      </w:r>
      <w:proofErr w:type="spellEnd"/>
      <w:r w:rsidRPr="00417BF3">
        <w:t xml:space="preserve"> and </w:t>
      </w:r>
      <w:proofErr w:type="spellStart"/>
      <w:r w:rsidRPr="00417BF3">
        <w:t>Eun</w:t>
      </w:r>
      <w:proofErr w:type="spellEnd"/>
      <w:r w:rsidRPr="00417BF3">
        <w:t xml:space="preserve">, 2013), </w:t>
      </w:r>
      <w:r w:rsidRPr="007759F0">
        <w:t xml:space="preserve">ground by an electric domestic grinder (La </w:t>
      </w:r>
      <w:proofErr w:type="spellStart"/>
      <w:r w:rsidRPr="007759F0">
        <w:t>Moulinette</w:t>
      </w:r>
      <w:proofErr w:type="spellEnd"/>
      <w:r w:rsidRPr="007759F0">
        <w:t xml:space="preserve">, </w:t>
      </w:r>
      <w:proofErr w:type="spellStart"/>
      <w:r w:rsidRPr="007759F0">
        <w:t>Moulinex</w:t>
      </w:r>
      <w:proofErr w:type="spellEnd"/>
      <w:r w:rsidRPr="007759F0">
        <w:t>), and refined in a planetary micro mill (</w:t>
      </w:r>
      <w:proofErr w:type="spellStart"/>
      <w:r w:rsidRPr="007759F0">
        <w:t>Pulverisette</w:t>
      </w:r>
      <w:proofErr w:type="spellEnd"/>
      <w:r w:rsidRPr="007759F0">
        <w:t xml:space="preserve">, Fritsch, Germany) at 500 rpm </w:t>
      </w:r>
      <w:r w:rsidRPr="00C5791B">
        <w:t xml:space="preserve">for </w:t>
      </w:r>
      <w:r w:rsidRPr="00417BF3">
        <w:t>2 min. The</w:t>
      </w:r>
      <w:r w:rsidRPr="007759F0">
        <w:t xml:space="preserve"> obtained walnut paste was collected in plastic opaque containers, saturated with nitrogen, and stored at -18 °C until use.</w:t>
      </w:r>
    </w:p>
    <w:p w:rsidR="00B04C0C" w:rsidRPr="007759F0" w:rsidRDefault="00B04C0C" w:rsidP="00B04C0C">
      <w:pPr>
        <w:pStyle w:val="CETHeadingxx"/>
      </w:pPr>
      <w:r w:rsidRPr="007759F0">
        <w:t>Encapsulation and freeze-drying processes</w:t>
      </w:r>
    </w:p>
    <w:p w:rsidR="00B04C0C" w:rsidRPr="007759F0" w:rsidRDefault="00B04C0C" w:rsidP="00B04C0C">
      <w:pPr>
        <w:pStyle w:val="CETBodytext"/>
      </w:pPr>
      <w:r w:rsidRPr="007759F0">
        <w:t>Water and different combinations of poly</w:t>
      </w:r>
      <w:r w:rsidR="007B6C3B" w:rsidRPr="007759F0">
        <w:t>saccharide matrices (betaglucan</w:t>
      </w:r>
      <w:r w:rsidRPr="007759F0">
        <w:t xml:space="preserve">, inulin, pectin, maltodextrin, and tragacanth gum) were added to the walnut paste, according to the recipes shown in Table 1. Samples were homogenized </w:t>
      </w:r>
      <w:r w:rsidRPr="00417BF3">
        <w:t>for 5 min</w:t>
      </w:r>
      <w:r w:rsidRPr="00C5791B">
        <w:t xml:space="preserve"> </w:t>
      </w:r>
      <w:r w:rsidRPr="007759F0">
        <w:t>at 25 °C, placed into glass vessel</w:t>
      </w:r>
      <w:r w:rsidR="00813AB8">
        <w:t>s</w:t>
      </w:r>
      <w:r w:rsidRPr="007759F0">
        <w:t xml:space="preserve">, and frozen at -18 °C for 24 h (Dordoni et al., 2017). The emulsions were dried for </w:t>
      </w:r>
      <w:r w:rsidRPr="00C5791B">
        <w:t>72</w:t>
      </w:r>
      <w:r w:rsidR="00C044F0" w:rsidRPr="00C5791B">
        <w:t xml:space="preserve"> </w:t>
      </w:r>
      <w:r w:rsidRPr="00C5791B">
        <w:t xml:space="preserve">h </w:t>
      </w:r>
      <w:r w:rsidRPr="007759F0">
        <w:t xml:space="preserve">by using a Christ Alpha 1-2 LD freeze dryer. During the process, the ice condenser was set at </w:t>
      </w:r>
      <w:r w:rsidR="00C5791B">
        <w:t xml:space="preserve">a temperature </w:t>
      </w:r>
      <w:r w:rsidRPr="007759F0">
        <w:t>lower than -50 °C, and the pressure was around 0.120 mbar (</w:t>
      </w:r>
      <w:proofErr w:type="spellStart"/>
      <w:r w:rsidRPr="007759F0">
        <w:t>Dordoni</w:t>
      </w:r>
      <w:proofErr w:type="spellEnd"/>
      <w:r w:rsidRPr="007759F0">
        <w:t xml:space="preserve"> e</w:t>
      </w:r>
      <w:r w:rsidR="00C5791B">
        <w:t>t</w:t>
      </w:r>
      <w:r w:rsidRPr="007759F0">
        <w:t xml:space="preserve"> al., 2015).</w:t>
      </w:r>
    </w:p>
    <w:p w:rsidR="00B04C0C" w:rsidRPr="005D526F" w:rsidRDefault="00B04C0C" w:rsidP="00B04C0C">
      <w:pPr>
        <w:keepNext/>
        <w:spacing w:before="240" w:after="80" w:line="240" w:lineRule="exact"/>
        <w:rPr>
          <w:i/>
        </w:rPr>
      </w:pPr>
      <w:r w:rsidRPr="007759F0">
        <w:rPr>
          <w:i/>
        </w:rPr>
        <w:t xml:space="preserve">Table 1: Formulations of </w:t>
      </w:r>
      <w:r w:rsidR="00C5791B">
        <w:rPr>
          <w:i/>
        </w:rPr>
        <w:t xml:space="preserve">walnut paste and different carrier materials </w:t>
      </w:r>
      <w:r w:rsidRPr="007759F0">
        <w:rPr>
          <w:i/>
        </w:rPr>
        <w:t>to be freeze dried</w:t>
      </w:r>
      <w:r w:rsidR="00033E72">
        <w:rPr>
          <w:i/>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61"/>
        <w:gridCol w:w="7948"/>
      </w:tblGrid>
      <w:tr w:rsidR="00B04C0C" w:rsidRPr="005D526F" w:rsidTr="00B04C0C">
        <w:trPr>
          <w:trHeight w:val="251"/>
        </w:trPr>
        <w:tc>
          <w:tcPr>
            <w:tcW w:w="761" w:type="dxa"/>
            <w:tcBorders>
              <w:top w:val="single" w:sz="12" w:space="0" w:color="008000"/>
              <w:left w:val="nil"/>
              <w:bottom w:val="single" w:sz="6" w:space="0" w:color="008000"/>
              <w:right w:val="nil"/>
            </w:tcBorders>
            <w:shd w:val="clear" w:color="auto" w:fill="FFFFFF"/>
            <w:hideMark/>
          </w:tcPr>
          <w:p w:rsidR="00B04C0C" w:rsidRPr="005D526F" w:rsidRDefault="00B04C0C">
            <w:r w:rsidRPr="005D526F">
              <w:t xml:space="preserve">Sample </w:t>
            </w:r>
          </w:p>
        </w:tc>
        <w:tc>
          <w:tcPr>
            <w:tcW w:w="7948" w:type="dxa"/>
            <w:tcBorders>
              <w:top w:val="single" w:sz="12" w:space="0" w:color="008000"/>
              <w:left w:val="nil"/>
              <w:bottom w:val="single" w:sz="6" w:space="0" w:color="008000"/>
              <w:right w:val="nil"/>
            </w:tcBorders>
            <w:shd w:val="clear" w:color="auto" w:fill="FFFFFF"/>
            <w:hideMark/>
          </w:tcPr>
          <w:p w:rsidR="00B04C0C" w:rsidRPr="005D526F" w:rsidRDefault="00B04C0C">
            <w:r w:rsidRPr="005D526F">
              <w:t>Formulation</w:t>
            </w:r>
          </w:p>
        </w:tc>
      </w:tr>
      <w:tr w:rsidR="00B04C0C" w:rsidRPr="0033129A" w:rsidTr="00B04C0C">
        <w:trPr>
          <w:trHeight w:val="263"/>
        </w:trPr>
        <w:tc>
          <w:tcPr>
            <w:tcW w:w="761" w:type="dxa"/>
            <w:tcBorders>
              <w:top w:val="nil"/>
              <w:left w:val="nil"/>
              <w:bottom w:val="nil"/>
              <w:right w:val="nil"/>
            </w:tcBorders>
            <w:shd w:val="clear" w:color="auto" w:fill="FFFFFF"/>
            <w:hideMark/>
          </w:tcPr>
          <w:p w:rsidR="00B04C0C" w:rsidRPr="005D526F" w:rsidRDefault="00B04C0C">
            <w:r w:rsidRPr="005D526F">
              <w:t>1</w:t>
            </w:r>
          </w:p>
        </w:tc>
        <w:tc>
          <w:tcPr>
            <w:tcW w:w="7948" w:type="dxa"/>
            <w:tcBorders>
              <w:top w:val="nil"/>
              <w:left w:val="nil"/>
              <w:bottom w:val="nil"/>
              <w:right w:val="nil"/>
            </w:tcBorders>
            <w:shd w:val="clear" w:color="auto" w:fill="FFFFFF"/>
            <w:hideMark/>
          </w:tcPr>
          <w:p w:rsidR="00B04C0C" w:rsidRPr="00D410B1" w:rsidRDefault="00B04C0C" w:rsidP="00B04C0C">
            <w:pPr>
              <w:rPr>
                <w:lang w:val="pt-BR"/>
              </w:rPr>
            </w:pPr>
            <w:r w:rsidRPr="00D410B1">
              <w:rPr>
                <w:lang w:val="pt-BR"/>
              </w:rPr>
              <w:t>100 g walnut paste + 150 mL H</w:t>
            </w:r>
            <w:r w:rsidRPr="00D410B1">
              <w:rPr>
                <w:vertAlign w:val="subscript"/>
                <w:lang w:val="pt-BR"/>
              </w:rPr>
              <w:t>2</w:t>
            </w:r>
            <w:r w:rsidRPr="00D410B1">
              <w:rPr>
                <w:lang w:val="pt-BR"/>
              </w:rPr>
              <w:t>O</w:t>
            </w:r>
          </w:p>
        </w:tc>
      </w:tr>
      <w:tr w:rsidR="00B04C0C" w:rsidRPr="0033129A" w:rsidTr="00B04C0C">
        <w:trPr>
          <w:trHeight w:val="263"/>
        </w:trPr>
        <w:tc>
          <w:tcPr>
            <w:tcW w:w="761" w:type="dxa"/>
            <w:tcBorders>
              <w:top w:val="nil"/>
              <w:left w:val="nil"/>
              <w:bottom w:val="nil"/>
              <w:right w:val="nil"/>
            </w:tcBorders>
            <w:shd w:val="clear" w:color="auto" w:fill="FFFFFF"/>
            <w:hideMark/>
          </w:tcPr>
          <w:p w:rsidR="00B04C0C" w:rsidRPr="005D526F" w:rsidRDefault="00B04C0C">
            <w:pPr>
              <w:ind w:right="-1"/>
              <w:rPr>
                <w:rFonts w:cs="Arial"/>
                <w:szCs w:val="18"/>
              </w:rPr>
            </w:pPr>
            <w:r w:rsidRPr="005D526F">
              <w:rPr>
                <w:rFonts w:cs="Arial"/>
                <w:szCs w:val="18"/>
              </w:rPr>
              <w:t>2</w:t>
            </w:r>
          </w:p>
        </w:tc>
        <w:tc>
          <w:tcPr>
            <w:tcW w:w="7948" w:type="dxa"/>
            <w:tcBorders>
              <w:top w:val="nil"/>
              <w:left w:val="nil"/>
              <w:bottom w:val="nil"/>
              <w:right w:val="nil"/>
            </w:tcBorders>
            <w:shd w:val="clear" w:color="auto" w:fill="FFFFFF"/>
            <w:hideMark/>
          </w:tcPr>
          <w:p w:rsidR="00B04C0C" w:rsidRPr="00D410B1" w:rsidRDefault="00B04C0C" w:rsidP="00B04C0C">
            <w:pPr>
              <w:rPr>
                <w:lang w:val="pt-BR"/>
              </w:rPr>
            </w:pPr>
            <w:r w:rsidRPr="00D410B1">
              <w:rPr>
                <w:lang w:val="pt-BR"/>
              </w:rPr>
              <w:t>100 g walnut paste + 5 g maltodextrin + 0.5 g tragacanth gum + 150 mL H</w:t>
            </w:r>
            <w:r w:rsidRPr="00D410B1">
              <w:rPr>
                <w:vertAlign w:val="subscript"/>
                <w:lang w:val="pt-BR"/>
              </w:rPr>
              <w:t>2</w:t>
            </w:r>
            <w:r w:rsidRPr="00D410B1">
              <w:rPr>
                <w:lang w:val="pt-BR"/>
              </w:rPr>
              <w:t>O</w:t>
            </w:r>
          </w:p>
        </w:tc>
      </w:tr>
      <w:tr w:rsidR="00B04C0C" w:rsidRPr="005D526F" w:rsidTr="00B04C0C">
        <w:trPr>
          <w:trHeight w:val="263"/>
        </w:trPr>
        <w:tc>
          <w:tcPr>
            <w:tcW w:w="761" w:type="dxa"/>
            <w:tcBorders>
              <w:top w:val="nil"/>
              <w:left w:val="nil"/>
              <w:bottom w:val="nil"/>
              <w:right w:val="nil"/>
            </w:tcBorders>
            <w:shd w:val="clear" w:color="auto" w:fill="FFFFFF"/>
            <w:hideMark/>
          </w:tcPr>
          <w:p w:rsidR="00B04C0C" w:rsidRPr="005D526F" w:rsidRDefault="00B04C0C">
            <w:pPr>
              <w:ind w:right="-1"/>
              <w:rPr>
                <w:rFonts w:cs="Arial"/>
                <w:szCs w:val="18"/>
              </w:rPr>
            </w:pPr>
            <w:r w:rsidRPr="005D526F">
              <w:rPr>
                <w:rFonts w:cs="Arial"/>
                <w:szCs w:val="18"/>
              </w:rPr>
              <w:t>3</w:t>
            </w:r>
          </w:p>
        </w:tc>
        <w:tc>
          <w:tcPr>
            <w:tcW w:w="7948" w:type="dxa"/>
            <w:tcBorders>
              <w:top w:val="nil"/>
              <w:left w:val="nil"/>
              <w:bottom w:val="nil"/>
              <w:right w:val="nil"/>
            </w:tcBorders>
            <w:shd w:val="clear" w:color="auto" w:fill="FFFFFF"/>
            <w:hideMark/>
          </w:tcPr>
          <w:p w:rsidR="00B04C0C" w:rsidRPr="005D526F" w:rsidRDefault="00B04C0C" w:rsidP="00B04C0C">
            <w:pPr>
              <w:ind w:right="-1"/>
              <w:rPr>
                <w:rFonts w:cs="Arial"/>
                <w:szCs w:val="18"/>
              </w:rPr>
            </w:pPr>
            <w:r w:rsidRPr="005D526F">
              <w:t>100 g walnut paste + 5 g maltodextrin + 0.5 g tragacanth gum + 150 mL H</w:t>
            </w:r>
            <w:r w:rsidRPr="005D526F">
              <w:rPr>
                <w:vertAlign w:val="subscript"/>
              </w:rPr>
              <w:t>2</w:t>
            </w:r>
            <w:r w:rsidRPr="005D526F">
              <w:t xml:space="preserve">O + 1 g </w:t>
            </w:r>
            <w:r w:rsidRPr="005D526F">
              <w:rPr>
                <w:rFonts w:cs="Arial"/>
              </w:rPr>
              <w:t>beta</w:t>
            </w:r>
            <w:r w:rsidR="00442C66">
              <w:t>glucan</w:t>
            </w:r>
          </w:p>
        </w:tc>
      </w:tr>
      <w:tr w:rsidR="00B04C0C" w:rsidRPr="005D526F" w:rsidTr="00B04C0C">
        <w:trPr>
          <w:trHeight w:val="263"/>
        </w:trPr>
        <w:tc>
          <w:tcPr>
            <w:tcW w:w="761" w:type="dxa"/>
            <w:tcBorders>
              <w:top w:val="nil"/>
              <w:left w:val="nil"/>
              <w:bottom w:val="nil"/>
              <w:right w:val="nil"/>
            </w:tcBorders>
            <w:shd w:val="clear" w:color="auto" w:fill="FFFFFF"/>
            <w:hideMark/>
          </w:tcPr>
          <w:p w:rsidR="00B04C0C" w:rsidRPr="005D526F" w:rsidRDefault="00B04C0C">
            <w:pPr>
              <w:ind w:right="-1"/>
              <w:rPr>
                <w:rFonts w:cs="Arial"/>
                <w:szCs w:val="18"/>
              </w:rPr>
            </w:pPr>
            <w:r w:rsidRPr="005D526F">
              <w:rPr>
                <w:rFonts w:cs="Arial"/>
                <w:szCs w:val="18"/>
              </w:rPr>
              <w:t>4</w:t>
            </w:r>
          </w:p>
        </w:tc>
        <w:tc>
          <w:tcPr>
            <w:tcW w:w="7948" w:type="dxa"/>
            <w:tcBorders>
              <w:top w:val="nil"/>
              <w:left w:val="nil"/>
              <w:bottom w:val="nil"/>
              <w:right w:val="nil"/>
            </w:tcBorders>
            <w:shd w:val="clear" w:color="auto" w:fill="FFFFFF"/>
            <w:hideMark/>
          </w:tcPr>
          <w:p w:rsidR="00B04C0C" w:rsidRPr="005D526F" w:rsidRDefault="00B04C0C" w:rsidP="00B04C0C">
            <w:pPr>
              <w:ind w:right="-1"/>
              <w:rPr>
                <w:rFonts w:cs="Arial"/>
                <w:szCs w:val="18"/>
              </w:rPr>
            </w:pPr>
            <w:r w:rsidRPr="005D526F">
              <w:t>100 g walnut paste + 5 g maltodextrin + 0.5 g tragacanth gum + 150 mL H</w:t>
            </w:r>
            <w:r w:rsidRPr="005D526F">
              <w:rPr>
                <w:vertAlign w:val="subscript"/>
              </w:rPr>
              <w:t>2</w:t>
            </w:r>
            <w:r w:rsidRPr="005D526F">
              <w:t xml:space="preserve">O + 1 g </w:t>
            </w:r>
            <w:r w:rsidRPr="005D526F">
              <w:rPr>
                <w:rFonts w:cs="Arial"/>
              </w:rPr>
              <w:t>inulin</w:t>
            </w:r>
          </w:p>
        </w:tc>
      </w:tr>
      <w:tr w:rsidR="00B04C0C" w:rsidRPr="005D526F" w:rsidTr="00B04C0C">
        <w:trPr>
          <w:trHeight w:val="263"/>
        </w:trPr>
        <w:tc>
          <w:tcPr>
            <w:tcW w:w="761" w:type="dxa"/>
            <w:tcBorders>
              <w:top w:val="nil"/>
              <w:left w:val="nil"/>
              <w:bottom w:val="nil"/>
              <w:right w:val="nil"/>
            </w:tcBorders>
            <w:shd w:val="clear" w:color="auto" w:fill="FFFFFF"/>
            <w:hideMark/>
          </w:tcPr>
          <w:p w:rsidR="00B04C0C" w:rsidRPr="005D526F" w:rsidRDefault="00B04C0C">
            <w:pPr>
              <w:ind w:right="-1"/>
              <w:rPr>
                <w:rFonts w:cs="Arial"/>
                <w:szCs w:val="18"/>
              </w:rPr>
            </w:pPr>
            <w:r w:rsidRPr="005D526F">
              <w:rPr>
                <w:rFonts w:cs="Arial"/>
                <w:szCs w:val="18"/>
              </w:rPr>
              <w:t>5</w:t>
            </w:r>
          </w:p>
        </w:tc>
        <w:tc>
          <w:tcPr>
            <w:tcW w:w="7948" w:type="dxa"/>
            <w:tcBorders>
              <w:top w:val="nil"/>
              <w:left w:val="nil"/>
              <w:bottom w:val="nil"/>
              <w:right w:val="nil"/>
            </w:tcBorders>
            <w:shd w:val="clear" w:color="auto" w:fill="FFFFFF"/>
            <w:hideMark/>
          </w:tcPr>
          <w:p w:rsidR="00B04C0C" w:rsidRPr="005D526F" w:rsidRDefault="00B04C0C" w:rsidP="00B04C0C">
            <w:pPr>
              <w:ind w:right="-1"/>
              <w:rPr>
                <w:rFonts w:cs="Arial"/>
                <w:szCs w:val="18"/>
              </w:rPr>
            </w:pPr>
            <w:r w:rsidRPr="005D526F">
              <w:t>100 g walnut paste + 5 g maltodextrin + 0.5 g tragacanth gum + 150 mL H</w:t>
            </w:r>
            <w:r w:rsidRPr="005D526F">
              <w:rPr>
                <w:vertAlign w:val="subscript"/>
              </w:rPr>
              <w:t>2</w:t>
            </w:r>
            <w:r w:rsidRPr="005D526F">
              <w:t xml:space="preserve">O + 1 g </w:t>
            </w:r>
            <w:r w:rsidRPr="005D526F">
              <w:rPr>
                <w:rFonts w:cs="Arial"/>
              </w:rPr>
              <w:t>pectin</w:t>
            </w:r>
          </w:p>
        </w:tc>
      </w:tr>
      <w:tr w:rsidR="00B04C0C" w:rsidRPr="005D526F" w:rsidTr="00B04C0C">
        <w:trPr>
          <w:trHeight w:val="263"/>
        </w:trPr>
        <w:tc>
          <w:tcPr>
            <w:tcW w:w="761" w:type="dxa"/>
            <w:tcBorders>
              <w:top w:val="nil"/>
              <w:left w:val="nil"/>
              <w:bottom w:val="nil"/>
              <w:right w:val="nil"/>
            </w:tcBorders>
            <w:shd w:val="clear" w:color="auto" w:fill="FFFFFF"/>
            <w:hideMark/>
          </w:tcPr>
          <w:p w:rsidR="00B04C0C" w:rsidRPr="005D526F" w:rsidRDefault="00B04C0C">
            <w:pPr>
              <w:ind w:right="-1"/>
              <w:rPr>
                <w:rFonts w:cs="Arial"/>
                <w:szCs w:val="18"/>
              </w:rPr>
            </w:pPr>
            <w:r w:rsidRPr="005D526F">
              <w:rPr>
                <w:rFonts w:cs="Arial"/>
                <w:szCs w:val="18"/>
              </w:rPr>
              <w:t>6</w:t>
            </w:r>
          </w:p>
        </w:tc>
        <w:tc>
          <w:tcPr>
            <w:tcW w:w="7948" w:type="dxa"/>
            <w:tcBorders>
              <w:top w:val="nil"/>
              <w:left w:val="nil"/>
              <w:bottom w:val="nil"/>
              <w:right w:val="nil"/>
            </w:tcBorders>
            <w:shd w:val="clear" w:color="auto" w:fill="FFFFFF"/>
            <w:hideMark/>
          </w:tcPr>
          <w:p w:rsidR="00B04C0C" w:rsidRPr="005D526F" w:rsidRDefault="00B04C0C" w:rsidP="00B04C0C">
            <w:pPr>
              <w:ind w:right="-1"/>
              <w:rPr>
                <w:rFonts w:cs="Arial"/>
                <w:szCs w:val="18"/>
              </w:rPr>
            </w:pPr>
            <w:r w:rsidRPr="005D526F">
              <w:t>100 g walnut paste + 150 mL H</w:t>
            </w:r>
            <w:r w:rsidRPr="005D526F">
              <w:rPr>
                <w:vertAlign w:val="subscript"/>
              </w:rPr>
              <w:t>2</w:t>
            </w:r>
            <w:r w:rsidRPr="005D526F">
              <w:t xml:space="preserve">O + 1 g </w:t>
            </w:r>
            <w:r w:rsidRPr="005D526F">
              <w:rPr>
                <w:rFonts w:cs="Arial"/>
              </w:rPr>
              <w:t>beta</w:t>
            </w:r>
            <w:r w:rsidR="00442C66">
              <w:t>glucan</w:t>
            </w:r>
          </w:p>
        </w:tc>
      </w:tr>
      <w:tr w:rsidR="00B04C0C" w:rsidRPr="005D526F" w:rsidTr="00B04C0C">
        <w:trPr>
          <w:trHeight w:val="263"/>
        </w:trPr>
        <w:tc>
          <w:tcPr>
            <w:tcW w:w="761" w:type="dxa"/>
            <w:tcBorders>
              <w:top w:val="nil"/>
              <w:left w:val="nil"/>
              <w:bottom w:val="nil"/>
              <w:right w:val="nil"/>
            </w:tcBorders>
            <w:shd w:val="clear" w:color="auto" w:fill="FFFFFF"/>
            <w:hideMark/>
          </w:tcPr>
          <w:p w:rsidR="00B04C0C" w:rsidRPr="005D526F" w:rsidRDefault="00B04C0C">
            <w:pPr>
              <w:ind w:right="-1"/>
              <w:rPr>
                <w:rFonts w:cs="Arial"/>
                <w:szCs w:val="18"/>
              </w:rPr>
            </w:pPr>
            <w:r w:rsidRPr="005D526F">
              <w:rPr>
                <w:rFonts w:cs="Arial"/>
                <w:szCs w:val="18"/>
              </w:rPr>
              <w:t>7</w:t>
            </w:r>
          </w:p>
        </w:tc>
        <w:tc>
          <w:tcPr>
            <w:tcW w:w="7948" w:type="dxa"/>
            <w:tcBorders>
              <w:top w:val="nil"/>
              <w:left w:val="nil"/>
              <w:bottom w:val="nil"/>
              <w:right w:val="nil"/>
            </w:tcBorders>
            <w:shd w:val="clear" w:color="auto" w:fill="FFFFFF"/>
            <w:hideMark/>
          </w:tcPr>
          <w:p w:rsidR="00B04C0C" w:rsidRPr="005D526F" w:rsidRDefault="00B04C0C" w:rsidP="00B04C0C">
            <w:pPr>
              <w:ind w:right="-1"/>
              <w:rPr>
                <w:rFonts w:cs="Arial"/>
                <w:szCs w:val="18"/>
              </w:rPr>
            </w:pPr>
            <w:r w:rsidRPr="005D526F">
              <w:t>100 g walnut paste + 150 mL H</w:t>
            </w:r>
            <w:r w:rsidRPr="005D526F">
              <w:rPr>
                <w:vertAlign w:val="subscript"/>
              </w:rPr>
              <w:t>2</w:t>
            </w:r>
            <w:r w:rsidRPr="005D526F">
              <w:t xml:space="preserve">O + 1 g </w:t>
            </w:r>
            <w:r w:rsidRPr="005D526F">
              <w:rPr>
                <w:rFonts w:cs="Arial"/>
              </w:rPr>
              <w:t>inulin</w:t>
            </w:r>
          </w:p>
        </w:tc>
      </w:tr>
      <w:tr w:rsidR="00B04C0C" w:rsidRPr="005D526F" w:rsidTr="00B04C0C">
        <w:trPr>
          <w:trHeight w:val="263"/>
        </w:trPr>
        <w:tc>
          <w:tcPr>
            <w:tcW w:w="761" w:type="dxa"/>
            <w:tcBorders>
              <w:top w:val="nil"/>
              <w:left w:val="nil"/>
              <w:bottom w:val="single" w:sz="12" w:space="0" w:color="008000"/>
              <w:right w:val="nil"/>
            </w:tcBorders>
            <w:shd w:val="clear" w:color="auto" w:fill="FFFFFF"/>
            <w:hideMark/>
          </w:tcPr>
          <w:p w:rsidR="00B04C0C" w:rsidRPr="005D526F" w:rsidRDefault="00B04C0C">
            <w:pPr>
              <w:ind w:right="-1"/>
              <w:rPr>
                <w:rFonts w:cs="Arial"/>
                <w:szCs w:val="18"/>
              </w:rPr>
            </w:pPr>
            <w:r w:rsidRPr="005D526F">
              <w:rPr>
                <w:rFonts w:cs="Arial"/>
                <w:szCs w:val="18"/>
              </w:rPr>
              <w:t>8</w:t>
            </w:r>
          </w:p>
        </w:tc>
        <w:tc>
          <w:tcPr>
            <w:tcW w:w="7948" w:type="dxa"/>
            <w:tcBorders>
              <w:top w:val="nil"/>
              <w:left w:val="nil"/>
              <w:bottom w:val="single" w:sz="12" w:space="0" w:color="008000"/>
              <w:right w:val="nil"/>
            </w:tcBorders>
            <w:shd w:val="clear" w:color="auto" w:fill="FFFFFF"/>
            <w:hideMark/>
          </w:tcPr>
          <w:p w:rsidR="00B04C0C" w:rsidRPr="005D526F" w:rsidRDefault="00B04C0C" w:rsidP="00B04C0C">
            <w:pPr>
              <w:ind w:right="-1"/>
              <w:rPr>
                <w:rFonts w:cs="Arial"/>
                <w:szCs w:val="18"/>
              </w:rPr>
            </w:pPr>
            <w:r w:rsidRPr="005D526F">
              <w:t>100 g walnut paste + 150 mL H</w:t>
            </w:r>
            <w:r w:rsidRPr="005D526F">
              <w:rPr>
                <w:vertAlign w:val="subscript"/>
              </w:rPr>
              <w:t>2</w:t>
            </w:r>
            <w:r w:rsidRPr="005D526F">
              <w:t xml:space="preserve">O + 1 g </w:t>
            </w:r>
            <w:r w:rsidRPr="005D526F">
              <w:rPr>
                <w:rFonts w:cs="Arial"/>
              </w:rPr>
              <w:t>pectin</w:t>
            </w:r>
          </w:p>
        </w:tc>
      </w:tr>
    </w:tbl>
    <w:p w:rsidR="00B04C0C" w:rsidRPr="005D526F" w:rsidRDefault="00B04C0C" w:rsidP="00B04C0C">
      <w:pPr>
        <w:pStyle w:val="CETHeadingxx"/>
      </w:pPr>
      <w:r w:rsidRPr="005D526F">
        <w:t>Accelerate storage test</w:t>
      </w:r>
    </w:p>
    <w:p w:rsidR="00B04C0C" w:rsidRPr="007759F0" w:rsidRDefault="00B04C0C" w:rsidP="00B04C0C">
      <w:pPr>
        <w:pStyle w:val="CETBodytext"/>
      </w:pPr>
      <w:r w:rsidRPr="005D526F">
        <w:t xml:space="preserve">Aliquots (50 g) of each lyophilized sample were placed in open glass </w:t>
      </w:r>
      <w:r w:rsidR="00C5791B">
        <w:t>vials</w:t>
      </w:r>
      <w:r w:rsidRPr="005D526F">
        <w:t xml:space="preserve"> and stored in the dark at 60 °C for 15 days (</w:t>
      </w:r>
      <w:proofErr w:type="spellStart"/>
      <w:r w:rsidRPr="007759F0">
        <w:t>Vadya</w:t>
      </w:r>
      <w:proofErr w:type="spellEnd"/>
      <w:r w:rsidRPr="007759F0">
        <w:t xml:space="preserve"> and </w:t>
      </w:r>
      <w:proofErr w:type="spellStart"/>
      <w:r w:rsidRPr="007759F0">
        <w:t>Eun</w:t>
      </w:r>
      <w:proofErr w:type="spellEnd"/>
      <w:r w:rsidRPr="007759F0">
        <w:t xml:space="preserve">, 2013). </w:t>
      </w:r>
      <w:r w:rsidR="006D57A4" w:rsidRPr="007759F0">
        <w:t xml:space="preserve">Walnut paste quality was evaluated before and after storage in terms of moisture, pH and </w:t>
      </w:r>
      <w:r w:rsidR="004B6478" w:rsidRPr="007759F0">
        <w:t xml:space="preserve">total </w:t>
      </w:r>
      <w:r w:rsidR="006D57A4" w:rsidRPr="007759F0">
        <w:t xml:space="preserve">acidity, conjugated dienes and </w:t>
      </w:r>
      <w:proofErr w:type="spellStart"/>
      <w:r w:rsidR="006D57A4" w:rsidRPr="007759F0">
        <w:t>trienes</w:t>
      </w:r>
      <w:proofErr w:type="spellEnd"/>
      <w:r w:rsidR="006D57A4" w:rsidRPr="007759F0">
        <w:t>, peroxide value, total phenols, and tocoph</w:t>
      </w:r>
      <w:r w:rsidR="00C5791B">
        <w:t>erols. A</w:t>
      </w:r>
      <w:r w:rsidRPr="007759F0">
        <w:t>nalytical determination</w:t>
      </w:r>
      <w:r w:rsidR="0056395E" w:rsidRPr="007759F0">
        <w:t>s</w:t>
      </w:r>
      <w:r w:rsidRPr="007759F0">
        <w:t xml:space="preserve"> </w:t>
      </w:r>
      <w:r w:rsidR="00C5791B">
        <w:t xml:space="preserve">on freeze dried samples </w:t>
      </w:r>
      <w:r w:rsidRPr="007759F0">
        <w:t xml:space="preserve">were carried out </w:t>
      </w:r>
      <w:r w:rsidR="006D57A4" w:rsidRPr="007759F0">
        <w:t xml:space="preserve">just after lyophilization </w:t>
      </w:r>
      <w:r w:rsidRPr="007759F0">
        <w:t>and after storage.</w:t>
      </w:r>
      <w:r w:rsidR="006301A7" w:rsidRPr="007759F0">
        <w:t xml:space="preserve"> </w:t>
      </w:r>
    </w:p>
    <w:p w:rsidR="00600535" w:rsidRPr="007759F0" w:rsidRDefault="007954A9" w:rsidP="00B04C0C">
      <w:pPr>
        <w:pStyle w:val="CETheadingx"/>
      </w:pPr>
      <w:r w:rsidRPr="007759F0">
        <w:t xml:space="preserve">2.3 Analytical determinations </w:t>
      </w:r>
    </w:p>
    <w:p w:rsidR="00783BA2" w:rsidRPr="007759F0" w:rsidRDefault="00DA3951" w:rsidP="007954A9">
      <w:pPr>
        <w:pStyle w:val="CETBodytext"/>
      </w:pPr>
      <w:r w:rsidRPr="007759F0">
        <w:t xml:space="preserve">Moisture content was determined according to the </w:t>
      </w:r>
      <w:r w:rsidR="005926EB" w:rsidRPr="007759F0">
        <w:t>method AOAC 931.04 (AOAC, 2005);</w:t>
      </w:r>
      <w:r w:rsidR="008E134A" w:rsidRPr="007759F0">
        <w:t xml:space="preserve"> pH and </w:t>
      </w:r>
      <w:r w:rsidRPr="007759F0">
        <w:t xml:space="preserve">total acidity were </w:t>
      </w:r>
      <w:r w:rsidR="00C5791B">
        <w:t>measured</w:t>
      </w:r>
      <w:r w:rsidRPr="007759F0">
        <w:t xml:space="preserve"> following the methods recommended by the Of</w:t>
      </w:r>
      <w:r w:rsidR="008E134A" w:rsidRPr="007759F0">
        <w:t xml:space="preserve">fice International du Cacao, du </w:t>
      </w:r>
      <w:proofErr w:type="spellStart"/>
      <w:r w:rsidRPr="007759F0">
        <w:t>Chocolat</w:t>
      </w:r>
      <w:proofErr w:type="spellEnd"/>
      <w:r w:rsidRPr="007759F0">
        <w:t xml:space="preserve"> et </w:t>
      </w:r>
      <w:r w:rsidR="004D23C1" w:rsidRPr="007759F0">
        <w:t xml:space="preserve">de la </w:t>
      </w:r>
      <w:proofErr w:type="spellStart"/>
      <w:r w:rsidR="004D23C1" w:rsidRPr="007759F0">
        <w:t>Confiserie</w:t>
      </w:r>
      <w:proofErr w:type="spellEnd"/>
      <w:r w:rsidR="004D23C1" w:rsidRPr="007759F0">
        <w:t xml:space="preserve"> (OICCC, 1972). </w:t>
      </w:r>
      <w:r w:rsidR="000461F3" w:rsidRPr="007759F0">
        <w:t xml:space="preserve">Oil fraction and defatted powder were separated by </w:t>
      </w:r>
      <w:r w:rsidR="00C5791B">
        <w:t>the</w:t>
      </w:r>
      <w:r w:rsidR="000461F3" w:rsidRPr="007759F0">
        <w:t xml:space="preserve"> cold extraction procedure described by Calvo et al. (2011) for </w:t>
      </w:r>
      <w:r w:rsidR="006D57A4" w:rsidRPr="007759F0">
        <w:rPr>
          <w:rFonts w:cs="Arial"/>
        </w:rPr>
        <w:t>α-, γ-, and δ-</w:t>
      </w:r>
      <w:r w:rsidR="000461F3" w:rsidRPr="007759F0">
        <w:t xml:space="preserve">tocopherols determination. </w:t>
      </w:r>
      <w:r w:rsidRPr="007759F0">
        <w:t>Peroxide value</w:t>
      </w:r>
      <w:r w:rsidR="000461F3" w:rsidRPr="007759F0">
        <w:t>s</w:t>
      </w:r>
      <w:r w:rsidR="004D23C1" w:rsidRPr="007759F0">
        <w:t xml:space="preserve">, and </w:t>
      </w:r>
      <w:r w:rsidR="000461F3" w:rsidRPr="007759F0">
        <w:t>conjugated dienes</w:t>
      </w:r>
      <w:r w:rsidR="00C5791B">
        <w:t xml:space="preserve"> (K</w:t>
      </w:r>
      <w:r w:rsidR="00C5791B" w:rsidRPr="00C5791B">
        <w:rPr>
          <w:vertAlign w:val="subscript"/>
        </w:rPr>
        <w:t>232</w:t>
      </w:r>
      <w:r w:rsidR="00C5791B">
        <w:t>)</w:t>
      </w:r>
      <w:r w:rsidR="000461F3" w:rsidRPr="007759F0">
        <w:t xml:space="preserve"> and </w:t>
      </w:r>
      <w:proofErr w:type="spellStart"/>
      <w:r w:rsidR="000461F3" w:rsidRPr="007759F0">
        <w:t>triene</w:t>
      </w:r>
      <w:r w:rsidR="00C5791B">
        <w:t>s</w:t>
      </w:r>
      <w:proofErr w:type="spellEnd"/>
      <w:r w:rsidR="00C5791B">
        <w:t xml:space="preserve"> (K</w:t>
      </w:r>
      <w:r w:rsidR="00C5791B" w:rsidRPr="00C5791B">
        <w:rPr>
          <w:vertAlign w:val="subscript"/>
        </w:rPr>
        <w:t>270</w:t>
      </w:r>
      <w:r w:rsidR="00C5791B">
        <w:t>)</w:t>
      </w:r>
      <w:r w:rsidR="000461F3" w:rsidRPr="007759F0">
        <w:t xml:space="preserve"> systems</w:t>
      </w:r>
      <w:r w:rsidRPr="007759F0">
        <w:t xml:space="preserve"> </w:t>
      </w:r>
      <w:r w:rsidR="004D23C1" w:rsidRPr="007759F0">
        <w:t>were</w:t>
      </w:r>
      <w:r w:rsidRPr="007759F0">
        <w:t xml:space="preserve"> determined</w:t>
      </w:r>
      <w:r w:rsidR="004D23C1" w:rsidRPr="007759F0">
        <w:t xml:space="preserve"> </w:t>
      </w:r>
      <w:r w:rsidR="000461F3" w:rsidRPr="007759F0">
        <w:t xml:space="preserve">on the oil fraction </w:t>
      </w:r>
      <w:r w:rsidR="004D23C1" w:rsidRPr="007759F0">
        <w:t xml:space="preserve">as </w:t>
      </w:r>
      <w:r w:rsidR="000461F3" w:rsidRPr="007759F0">
        <w:t xml:space="preserve">reported </w:t>
      </w:r>
      <w:r w:rsidR="004D23C1" w:rsidRPr="007759F0">
        <w:t xml:space="preserve">by the regulation </w:t>
      </w:r>
      <w:r w:rsidRPr="007759F0">
        <w:t>(</w:t>
      </w:r>
      <w:r w:rsidR="00C5791B">
        <w:t xml:space="preserve">European Union </w:t>
      </w:r>
      <w:r w:rsidRPr="007759F0">
        <w:t>Commission Regulation</w:t>
      </w:r>
      <w:r w:rsidR="00280AF1">
        <w:t>, 1991</w:t>
      </w:r>
      <w:r w:rsidRPr="007759F0">
        <w:t>)</w:t>
      </w:r>
      <w:r w:rsidR="004D23C1" w:rsidRPr="007759F0">
        <w:t xml:space="preserve">. </w:t>
      </w:r>
      <w:r w:rsidR="00280AF1">
        <w:t xml:space="preserve">Total </w:t>
      </w:r>
      <w:r w:rsidR="004D23C1" w:rsidRPr="007759F0">
        <w:t xml:space="preserve">phenols </w:t>
      </w:r>
      <w:r w:rsidRPr="007759F0">
        <w:t xml:space="preserve">content was measured on defatted sample powder </w:t>
      </w:r>
      <w:r w:rsidR="000461F3" w:rsidRPr="007759F0">
        <w:t xml:space="preserve">according to </w:t>
      </w:r>
      <w:proofErr w:type="spellStart"/>
      <w:r w:rsidR="00850C4C">
        <w:t>Belscak</w:t>
      </w:r>
      <w:proofErr w:type="spellEnd"/>
      <w:r w:rsidR="00850C4C">
        <w:t xml:space="preserve"> et </w:t>
      </w:r>
      <w:r w:rsidR="00850C4C" w:rsidRPr="00280AF1">
        <w:t>al. (</w:t>
      </w:r>
      <w:r w:rsidRPr="00280AF1">
        <w:t>2009</w:t>
      </w:r>
      <w:r w:rsidR="00850C4C" w:rsidRPr="00280AF1">
        <w:t>)</w:t>
      </w:r>
      <w:r w:rsidRPr="00280AF1">
        <w:t>.</w:t>
      </w:r>
      <w:r w:rsidR="004D23C1" w:rsidRPr="00280AF1">
        <w:t xml:space="preserve"> </w:t>
      </w:r>
      <w:r w:rsidR="005926EB" w:rsidRPr="007759F0">
        <w:t>Color measurements were taken on a Konica-Minolta CR-310 reflectance colorimeter in the CIE L*a*b* color system.</w:t>
      </w:r>
      <w:r w:rsidR="00735650" w:rsidRPr="007759F0">
        <w:t xml:space="preserve"> As for</w:t>
      </w:r>
      <w:r w:rsidR="00735650" w:rsidRPr="005D526F">
        <w:t xml:space="preserve"> the absorption at 410 and 420 </w:t>
      </w:r>
      <w:r w:rsidR="008E134A" w:rsidRPr="005D526F">
        <w:t>nm, the sample was dissolved in boiling water in a 1: 5 ratio. After 2 h cooling</w:t>
      </w:r>
      <w:r w:rsidR="00EB03A9" w:rsidRPr="005D526F">
        <w:t>,</w:t>
      </w:r>
      <w:r w:rsidR="008E134A" w:rsidRPr="005D526F">
        <w:t xml:space="preserve"> under regularly stirring</w:t>
      </w:r>
      <w:r w:rsidR="00735650" w:rsidRPr="005D526F">
        <w:t xml:space="preserve">, the sample was filtered </w:t>
      </w:r>
      <w:r w:rsidR="00EB03A9" w:rsidRPr="005D526F">
        <w:t>throughout a</w:t>
      </w:r>
      <w:r w:rsidR="00735650" w:rsidRPr="005D526F">
        <w:t xml:space="preserve"> folded</w:t>
      </w:r>
      <w:r w:rsidR="00EB03A9" w:rsidRPr="005D526F">
        <w:t xml:space="preserve"> (Whatman 595</w:t>
      </w:r>
      <w:r w:rsidR="00EB03A9" w:rsidRPr="005D526F">
        <w:rPr>
          <w:rFonts w:cs="Arial"/>
        </w:rPr>
        <w:t>½)</w:t>
      </w:r>
      <w:r w:rsidR="00735650" w:rsidRPr="005D526F">
        <w:t xml:space="preserve"> and a 0.45</w:t>
      </w:r>
      <w:r w:rsidR="00280AF1">
        <w:t xml:space="preserve"> </w:t>
      </w:r>
      <w:proofErr w:type="spellStart"/>
      <w:r w:rsidR="00735650" w:rsidRPr="005D526F">
        <w:t>μm</w:t>
      </w:r>
      <w:proofErr w:type="spellEnd"/>
      <w:r w:rsidR="00735650" w:rsidRPr="005D526F">
        <w:t xml:space="preserve"> </w:t>
      </w:r>
      <w:r w:rsidR="00EB03A9" w:rsidRPr="005D526F">
        <w:t>(</w:t>
      </w:r>
      <w:proofErr w:type="spellStart"/>
      <w:r w:rsidR="003F43F3" w:rsidRPr="005D526F">
        <w:t>Acrodisc</w:t>
      </w:r>
      <w:proofErr w:type="spellEnd"/>
      <w:r w:rsidR="003F43F3" w:rsidRPr="005D526F">
        <w:rPr>
          <w:rFonts w:cs="Arial"/>
          <w:vertAlign w:val="superscript"/>
        </w:rPr>
        <w:t>®</w:t>
      </w:r>
      <w:r w:rsidR="003F43F3" w:rsidRPr="005D526F">
        <w:t>, Sigma - Aldrich</w:t>
      </w:r>
      <w:r w:rsidR="00EB03A9" w:rsidRPr="005D526F">
        <w:t xml:space="preserve">) </w:t>
      </w:r>
      <w:r w:rsidR="00735650" w:rsidRPr="005D526F">
        <w:t>filter</w:t>
      </w:r>
      <w:r w:rsidR="008E134A" w:rsidRPr="005D526F">
        <w:t>s</w:t>
      </w:r>
      <w:r w:rsidR="00735650" w:rsidRPr="005D526F">
        <w:t xml:space="preserve">. The </w:t>
      </w:r>
      <w:r w:rsidR="00EB03A9" w:rsidRPr="005D526F">
        <w:t>absorbance</w:t>
      </w:r>
      <w:r w:rsidR="00735650" w:rsidRPr="005D526F">
        <w:t xml:space="preserve"> of the sample was measured (Shi</w:t>
      </w:r>
      <w:r w:rsidR="009A2738" w:rsidRPr="005D526F">
        <w:t xml:space="preserve">madzu UV- 1601) against water. </w:t>
      </w:r>
      <w:r w:rsidR="00A959E3">
        <w:t xml:space="preserve">Total </w:t>
      </w:r>
      <w:r w:rsidR="00735650" w:rsidRPr="005D526F">
        <w:t>phenols cont</w:t>
      </w:r>
      <w:r w:rsidR="008E134A" w:rsidRPr="005D526F">
        <w:t xml:space="preserve">ent after </w:t>
      </w:r>
      <w:r w:rsidR="008E134A" w:rsidRPr="005D526F">
        <w:lastRenderedPageBreak/>
        <w:t>ethanol precipitation</w:t>
      </w:r>
      <w:r w:rsidR="00735650" w:rsidRPr="005D526F">
        <w:t xml:space="preserve"> was determined by dissolv</w:t>
      </w:r>
      <w:r w:rsidR="00C57596" w:rsidRPr="005D526F">
        <w:t>ing sample in boiling water (</w:t>
      </w:r>
      <w:r w:rsidR="00EB03A9" w:rsidRPr="005D526F">
        <w:t xml:space="preserve">in a </w:t>
      </w:r>
      <w:r w:rsidR="00C57596" w:rsidRPr="005D526F">
        <w:t>1:</w:t>
      </w:r>
      <w:r w:rsidR="00EB03A9" w:rsidRPr="005D526F">
        <w:t>5 ratio) and stirr</w:t>
      </w:r>
      <w:r w:rsidR="0033129A">
        <w:t xml:space="preserve">ing at 100 rpm for 1 h at  </w:t>
      </w:r>
      <w:r w:rsidR="0033129A" w:rsidRPr="008D7235">
        <w:t>24 °</w:t>
      </w:r>
      <w:r w:rsidR="00EB03A9" w:rsidRPr="008D7235">
        <w:t xml:space="preserve">C </w:t>
      </w:r>
      <w:r w:rsidR="00EB03A9" w:rsidRPr="005D526F">
        <w:t xml:space="preserve">(orbital shaker </w:t>
      </w:r>
      <w:proofErr w:type="spellStart"/>
      <w:r w:rsidR="00EB03A9" w:rsidRPr="005D526F">
        <w:t>Infors</w:t>
      </w:r>
      <w:proofErr w:type="spellEnd"/>
      <w:r w:rsidR="00EB03A9" w:rsidRPr="005D526F">
        <w:t xml:space="preserve"> HT). Dissolved sample was </w:t>
      </w:r>
      <w:r w:rsidR="006918A6" w:rsidRPr="005D526F">
        <w:t xml:space="preserve">then </w:t>
      </w:r>
      <w:r w:rsidR="00EB03A9" w:rsidRPr="005D526F">
        <w:t>added with ethanol in a 1:4 ratio, kept in the dark for 48 h, and centrifuged (</w:t>
      </w:r>
      <w:proofErr w:type="spellStart"/>
      <w:r w:rsidR="00EB03A9" w:rsidRPr="005D526F">
        <w:t>Varifuge</w:t>
      </w:r>
      <w:proofErr w:type="spellEnd"/>
      <w:r w:rsidR="00EB03A9" w:rsidRPr="005D526F">
        <w:t xml:space="preserve"> 20 RS, </w:t>
      </w:r>
      <w:proofErr w:type="spellStart"/>
      <w:r w:rsidR="00EB03A9" w:rsidRPr="005D526F">
        <w:t>Heraeus</w:t>
      </w:r>
      <w:proofErr w:type="spellEnd"/>
      <w:r w:rsidR="00EB03A9" w:rsidRPr="005D526F">
        <w:t xml:space="preserve"> </w:t>
      </w:r>
      <w:proofErr w:type="spellStart"/>
      <w:r w:rsidR="00EB03A9" w:rsidRPr="005D526F">
        <w:t>Sepatech</w:t>
      </w:r>
      <w:proofErr w:type="spellEnd"/>
      <w:r w:rsidR="00EB03A9" w:rsidRPr="005D526F">
        <w:t xml:space="preserve">) at </w:t>
      </w:r>
      <w:r w:rsidR="00DB1CEE">
        <w:t xml:space="preserve">3000 rpm </w:t>
      </w:r>
      <w:r w:rsidR="00DB1CEE" w:rsidRPr="008D7235">
        <w:t>for 15 min at</w:t>
      </w:r>
      <w:r w:rsidR="00DB1CEE">
        <w:t xml:space="preserve"> 24 °</w:t>
      </w:r>
      <w:r w:rsidR="00EB03A9" w:rsidRPr="005D526F">
        <w:t>C</w:t>
      </w:r>
      <w:r w:rsidR="00EB03A9" w:rsidRPr="007759F0">
        <w:t xml:space="preserve">. </w:t>
      </w:r>
      <w:r w:rsidR="00735650" w:rsidRPr="007759F0">
        <w:t>The  su</w:t>
      </w:r>
      <w:r w:rsidR="00EB03A9" w:rsidRPr="007759F0">
        <w:t>pe</w:t>
      </w:r>
      <w:r w:rsidR="00735650" w:rsidRPr="007759F0">
        <w:t xml:space="preserve">rnatant </w:t>
      </w:r>
      <w:r w:rsidR="00EB03A9" w:rsidRPr="007759F0">
        <w:t xml:space="preserve">mixture </w:t>
      </w:r>
      <w:r w:rsidR="00735650" w:rsidRPr="007759F0">
        <w:t xml:space="preserve">was filtered </w:t>
      </w:r>
      <w:r w:rsidR="006918A6" w:rsidRPr="007759F0">
        <w:t>(Whatman 595½) and examined</w:t>
      </w:r>
      <w:r w:rsidR="00735650" w:rsidRPr="007759F0">
        <w:t xml:space="preserve"> according to the </w:t>
      </w:r>
      <w:proofErr w:type="spellStart"/>
      <w:r w:rsidR="009A2738" w:rsidRPr="007759F0">
        <w:t>Folin-Ciocalteu</w:t>
      </w:r>
      <w:proofErr w:type="spellEnd"/>
      <w:r w:rsidR="009A2738" w:rsidRPr="007759F0">
        <w:t xml:space="preserve"> assay (</w:t>
      </w:r>
      <w:proofErr w:type="spellStart"/>
      <w:r w:rsidR="009A2738" w:rsidRPr="007759F0">
        <w:t>Moncalvo</w:t>
      </w:r>
      <w:proofErr w:type="spellEnd"/>
      <w:r w:rsidR="009A2738" w:rsidRPr="007759F0">
        <w:t xml:space="preserve"> et al., 2016).</w:t>
      </w:r>
    </w:p>
    <w:p w:rsidR="001B09CC" w:rsidRPr="005D526F" w:rsidRDefault="00783BA2" w:rsidP="00B04C0C">
      <w:pPr>
        <w:pStyle w:val="CETheadingx"/>
      </w:pPr>
      <w:r w:rsidRPr="007759F0">
        <w:t>2.</w:t>
      </w:r>
      <w:r w:rsidR="00B04C0C" w:rsidRPr="007759F0">
        <w:t xml:space="preserve">4  </w:t>
      </w:r>
      <w:r w:rsidR="001B09CC" w:rsidRPr="007759F0">
        <w:t>Statistical analysis</w:t>
      </w:r>
    </w:p>
    <w:p w:rsidR="000646CE" w:rsidRPr="005D526F" w:rsidRDefault="000646CE" w:rsidP="007954A9">
      <w:pPr>
        <w:pStyle w:val="CETBodytext"/>
      </w:pPr>
      <w:r w:rsidRPr="005D526F">
        <w:t xml:space="preserve">Results are reported as mean values of three replicates with their corresponding standard deviations. </w:t>
      </w:r>
      <w:r w:rsidR="005A47FE" w:rsidRPr="005D526F">
        <w:t>Student’s t-test and a</w:t>
      </w:r>
      <w:r w:rsidRPr="005D526F">
        <w:t>nalysis of variance (ANOVA) followed by Tukey’s post-hoc test w</w:t>
      </w:r>
      <w:r w:rsidR="005A47FE" w:rsidRPr="005D526F">
        <w:t>ere</w:t>
      </w:r>
      <w:r w:rsidRPr="005D526F">
        <w:t xml:space="preserve"> performed at the p</w:t>
      </w:r>
      <w:r w:rsidR="00280AF1">
        <w:rPr>
          <w:rFonts w:cs="Arial"/>
        </w:rPr>
        <w:t>≤</w:t>
      </w:r>
      <w:r w:rsidRPr="005D526F">
        <w:t>0.05 level using statistical software SPSS</w:t>
      </w:r>
      <w:r w:rsidRPr="005D526F">
        <w:rPr>
          <w:rFonts w:cs="Arial"/>
          <w:vertAlign w:val="superscript"/>
        </w:rPr>
        <w:t>®</w:t>
      </w:r>
      <w:r w:rsidRPr="005D526F">
        <w:rPr>
          <w:rFonts w:cs="Arial"/>
        </w:rPr>
        <w:t>(version 21.0, SPSS Inc., Chicago, IL, USA).</w:t>
      </w:r>
    </w:p>
    <w:p w:rsidR="007954A9" w:rsidRDefault="00E61B24" w:rsidP="00600535">
      <w:pPr>
        <w:pStyle w:val="CETHeading1"/>
        <w:rPr>
          <w:lang w:val="en-GB"/>
        </w:rPr>
      </w:pPr>
      <w:r>
        <w:rPr>
          <w:lang w:val="en-GB"/>
        </w:rPr>
        <w:t xml:space="preserve">3. </w:t>
      </w:r>
      <w:r w:rsidR="007954A9" w:rsidRPr="005D526F">
        <w:rPr>
          <w:lang w:val="en-GB"/>
        </w:rPr>
        <w:t>Results and discussion</w:t>
      </w:r>
    </w:p>
    <w:p w:rsidR="001A3A12" w:rsidRDefault="00D21070" w:rsidP="001A3A12">
      <w:pPr>
        <w:pStyle w:val="CETBodytext"/>
        <w:rPr>
          <w:lang w:val="en-GB"/>
        </w:rPr>
      </w:pPr>
      <w:r w:rsidRPr="005D526F">
        <w:rPr>
          <w:lang w:val="en-GB"/>
        </w:rPr>
        <w:t>Initial walnut paste showed pH and total acidity values of 6.30</w:t>
      </w:r>
      <w:r w:rsidRPr="005D526F">
        <w:rPr>
          <w:rFonts w:cs="Arial"/>
          <w:lang w:val="en-GB"/>
        </w:rPr>
        <w:t>±</w:t>
      </w:r>
      <w:r w:rsidR="004E77CA">
        <w:rPr>
          <w:lang w:val="en-GB"/>
        </w:rPr>
        <w:t>0.00 and 53</w:t>
      </w:r>
      <w:r w:rsidRPr="005D526F">
        <w:rPr>
          <w:rFonts w:cs="Arial"/>
          <w:lang w:val="en-GB"/>
        </w:rPr>
        <w:t>±</w:t>
      </w:r>
      <w:r w:rsidRPr="005D526F">
        <w:rPr>
          <w:lang w:val="en-GB"/>
        </w:rPr>
        <w:t>0</w:t>
      </w:r>
      <w:r w:rsidR="004E77CA">
        <w:rPr>
          <w:lang w:val="en-GB"/>
        </w:rPr>
        <w:t xml:space="preserve"> </w:t>
      </w:r>
      <w:proofErr w:type="spellStart"/>
      <w:r w:rsidRPr="005D526F">
        <w:rPr>
          <w:lang w:val="en-GB"/>
        </w:rPr>
        <w:t>meq</w:t>
      </w:r>
      <w:r w:rsidRPr="005D526F">
        <w:rPr>
          <w:vertAlign w:val="subscript"/>
          <w:lang w:val="en-GB"/>
        </w:rPr>
        <w:t>NaOH</w:t>
      </w:r>
      <w:proofErr w:type="spellEnd"/>
      <w:r w:rsidRPr="005D526F">
        <w:rPr>
          <w:lang w:val="en-GB"/>
        </w:rPr>
        <w:t xml:space="preserve">/100 </w:t>
      </w:r>
      <w:proofErr w:type="spellStart"/>
      <w:r w:rsidRPr="005D526F">
        <w:rPr>
          <w:lang w:val="en-GB"/>
        </w:rPr>
        <w:t>g</w:t>
      </w:r>
      <w:r w:rsidR="008D7235">
        <w:rPr>
          <w:vertAlign w:val="subscript"/>
          <w:lang w:val="en-GB"/>
        </w:rPr>
        <w:t>dm</w:t>
      </w:r>
      <w:proofErr w:type="spellEnd"/>
      <w:r w:rsidRPr="005D526F">
        <w:rPr>
          <w:lang w:val="en-GB"/>
        </w:rPr>
        <w:t>, respectively. After storage, pH decreased to 6.20</w:t>
      </w:r>
      <w:r w:rsidRPr="005D526F">
        <w:rPr>
          <w:rFonts w:cs="Arial"/>
          <w:lang w:val="en-GB"/>
        </w:rPr>
        <w:t>±</w:t>
      </w:r>
      <w:r w:rsidR="004E1B2A" w:rsidRPr="004E77CA">
        <w:rPr>
          <w:rFonts w:cs="Arial"/>
          <w:lang w:val="en-GB"/>
        </w:rPr>
        <w:t>0.01</w:t>
      </w:r>
      <w:r w:rsidRPr="004E77CA">
        <w:rPr>
          <w:lang w:val="en-GB"/>
        </w:rPr>
        <w:t xml:space="preserve"> and</w:t>
      </w:r>
      <w:r w:rsidRPr="005D526F">
        <w:rPr>
          <w:lang w:val="en-GB"/>
        </w:rPr>
        <w:t xml:space="preserve"> total acidity increased to </w:t>
      </w:r>
      <w:r w:rsidRPr="004E77CA">
        <w:rPr>
          <w:lang w:val="en-GB"/>
        </w:rPr>
        <w:t>84</w:t>
      </w:r>
      <w:r w:rsidRPr="004E77CA">
        <w:rPr>
          <w:rFonts w:cs="Arial"/>
          <w:lang w:val="en-GB"/>
        </w:rPr>
        <w:t>±</w:t>
      </w:r>
      <w:r w:rsidR="004E77CA" w:rsidRPr="004E77CA">
        <w:rPr>
          <w:rFonts w:cs="Arial"/>
          <w:lang w:val="en-GB"/>
        </w:rPr>
        <w:t>2</w:t>
      </w:r>
      <w:r w:rsidRPr="005D526F">
        <w:t xml:space="preserve"> </w:t>
      </w:r>
      <w:proofErr w:type="spellStart"/>
      <w:r w:rsidRPr="005D526F">
        <w:rPr>
          <w:lang w:val="en-GB"/>
        </w:rPr>
        <w:t>meq</w:t>
      </w:r>
      <w:r w:rsidRPr="005D526F">
        <w:rPr>
          <w:vertAlign w:val="subscript"/>
          <w:lang w:val="en-GB"/>
        </w:rPr>
        <w:t>NaOH</w:t>
      </w:r>
      <w:proofErr w:type="spellEnd"/>
      <w:r w:rsidRPr="005D526F">
        <w:rPr>
          <w:lang w:val="en-GB"/>
        </w:rPr>
        <w:t xml:space="preserve">/100 </w:t>
      </w:r>
      <w:proofErr w:type="spellStart"/>
      <w:r w:rsidRPr="005D526F">
        <w:rPr>
          <w:lang w:val="en-GB"/>
        </w:rPr>
        <w:t>g</w:t>
      </w:r>
      <w:r w:rsidR="008D7235">
        <w:rPr>
          <w:vertAlign w:val="subscript"/>
          <w:lang w:val="en-GB"/>
        </w:rPr>
        <w:t>dm</w:t>
      </w:r>
      <w:proofErr w:type="spellEnd"/>
      <w:r w:rsidRPr="005D526F">
        <w:rPr>
          <w:lang w:val="en-GB"/>
        </w:rPr>
        <w:t xml:space="preserve"> suggesting the onset of fat hydrolytic </w:t>
      </w:r>
      <w:r w:rsidRPr="00280AF1">
        <w:rPr>
          <w:lang w:val="en-GB"/>
        </w:rPr>
        <w:t>rancidity (</w:t>
      </w:r>
      <w:proofErr w:type="spellStart"/>
      <w:r w:rsidRPr="00280AF1">
        <w:rPr>
          <w:lang w:val="en-GB"/>
        </w:rPr>
        <w:t>Ziaolhang</w:t>
      </w:r>
      <w:proofErr w:type="spellEnd"/>
      <w:r w:rsidRPr="00280AF1">
        <w:rPr>
          <w:lang w:val="en-GB"/>
        </w:rPr>
        <w:t xml:space="preserve"> et al., 2017). </w:t>
      </w:r>
      <w:r w:rsidRPr="007759F0">
        <w:rPr>
          <w:lang w:val="en-GB"/>
        </w:rPr>
        <w:t xml:space="preserve">As expected, the accelerated </w:t>
      </w:r>
      <w:r w:rsidR="00280AF1">
        <w:rPr>
          <w:lang w:val="en-GB"/>
        </w:rPr>
        <w:t>aging at 60 °C</w:t>
      </w:r>
      <w:r w:rsidRPr="007759F0">
        <w:rPr>
          <w:lang w:val="en-GB"/>
        </w:rPr>
        <w:t xml:space="preserve"> induced the raise of conjugated dienes and peroxide values, and the </w:t>
      </w:r>
      <w:r w:rsidR="00280AF1">
        <w:rPr>
          <w:lang w:val="en-GB"/>
        </w:rPr>
        <w:t>reduction</w:t>
      </w:r>
      <w:r w:rsidRPr="007759F0">
        <w:rPr>
          <w:lang w:val="en-GB"/>
        </w:rPr>
        <w:t xml:space="preserve"> of </w:t>
      </w:r>
      <w:r w:rsidR="00280AF1">
        <w:rPr>
          <w:lang w:val="en-GB"/>
        </w:rPr>
        <w:t xml:space="preserve">total </w:t>
      </w:r>
      <w:r w:rsidRPr="007759F0">
        <w:rPr>
          <w:lang w:val="en-GB"/>
        </w:rPr>
        <w:t>phenol</w:t>
      </w:r>
      <w:r w:rsidR="0023250B">
        <w:rPr>
          <w:lang w:val="en-GB"/>
        </w:rPr>
        <w:t>s</w:t>
      </w:r>
      <w:r w:rsidRPr="007759F0">
        <w:rPr>
          <w:lang w:val="en-GB"/>
        </w:rPr>
        <w:t xml:space="preserve"> and tocopherol</w:t>
      </w:r>
      <w:r w:rsidR="0023250B">
        <w:rPr>
          <w:lang w:val="en-GB"/>
        </w:rPr>
        <w:t>s</w:t>
      </w:r>
      <w:r w:rsidRPr="007759F0">
        <w:rPr>
          <w:lang w:val="en-GB"/>
        </w:rPr>
        <w:t xml:space="preserve"> contents (Table </w:t>
      </w:r>
      <w:r w:rsidR="00361724" w:rsidRPr="007759F0">
        <w:rPr>
          <w:lang w:val="en-GB"/>
        </w:rPr>
        <w:t>2</w:t>
      </w:r>
      <w:r w:rsidRPr="007759F0">
        <w:rPr>
          <w:lang w:val="en-GB"/>
        </w:rPr>
        <w:t>). However, no significant differences in the conjugated trienes were observed, indicating a non-substantial development of secondary oxidation products (Ferreira et al., 2018).</w:t>
      </w:r>
    </w:p>
    <w:p w:rsidR="00D21070" w:rsidRPr="001A3A12" w:rsidRDefault="00D21070" w:rsidP="001A3A12">
      <w:pPr>
        <w:pStyle w:val="CETBodytext"/>
        <w:rPr>
          <w:lang w:val="en-GB"/>
        </w:rPr>
      </w:pPr>
    </w:p>
    <w:p w:rsidR="006E62F8" w:rsidRPr="005D526F" w:rsidRDefault="006E62F8" w:rsidP="00450054">
      <w:pPr>
        <w:pStyle w:val="CETBodytext"/>
        <w:rPr>
          <w:i/>
        </w:rPr>
      </w:pPr>
      <w:r w:rsidRPr="005D526F">
        <w:rPr>
          <w:i/>
        </w:rPr>
        <w:t xml:space="preserve">Table 2: </w:t>
      </w:r>
      <w:r w:rsidR="00280AF1">
        <w:rPr>
          <w:i/>
        </w:rPr>
        <w:t xml:space="preserve">Characterization </w:t>
      </w:r>
      <w:r w:rsidRPr="005D526F">
        <w:rPr>
          <w:i/>
        </w:rPr>
        <w:t xml:space="preserve">of walnut paste </w:t>
      </w:r>
      <w:r w:rsidR="00280AF1">
        <w:rPr>
          <w:i/>
        </w:rPr>
        <w:t xml:space="preserve">(WP) </w:t>
      </w:r>
      <w:r w:rsidRPr="005D526F">
        <w:rPr>
          <w:i/>
        </w:rPr>
        <w:t xml:space="preserve">before and after </w:t>
      </w:r>
      <w:r w:rsidR="004E6FB7" w:rsidRPr="005D526F">
        <w:rPr>
          <w:i/>
        </w:rPr>
        <w:t>15 day</w:t>
      </w:r>
      <w:r w:rsidR="00280AF1">
        <w:rPr>
          <w:i/>
        </w:rPr>
        <w:t>s</w:t>
      </w:r>
      <w:r w:rsidR="004E6FB7" w:rsidRPr="005D526F">
        <w:rPr>
          <w:i/>
        </w:rPr>
        <w:t xml:space="preserve"> </w:t>
      </w:r>
      <w:r w:rsidRPr="005D526F">
        <w:rPr>
          <w:i/>
        </w:rPr>
        <w:t>storage</w:t>
      </w:r>
      <w:r w:rsidR="004E6FB7" w:rsidRPr="005D526F">
        <w:rPr>
          <w:i/>
        </w:rPr>
        <w:t xml:space="preserve"> </w:t>
      </w:r>
      <w:r w:rsidR="004E6FB7" w:rsidRPr="00280AF1">
        <w:rPr>
          <w:i/>
        </w:rPr>
        <w:t>at 60</w:t>
      </w:r>
      <w:r w:rsidR="00C044F0" w:rsidRPr="00280AF1">
        <w:rPr>
          <w:i/>
        </w:rPr>
        <w:t xml:space="preserve"> </w:t>
      </w:r>
      <w:r w:rsidR="004E6FB7" w:rsidRPr="00280AF1">
        <w:rPr>
          <w:i/>
        </w:rPr>
        <w:t>°C</w:t>
      </w:r>
      <w:r w:rsidRPr="00280AF1">
        <w:rPr>
          <w:i/>
        </w:rPr>
        <w:t xml:space="preserve">. </w:t>
      </w:r>
      <w:r w:rsidR="006233F8" w:rsidRPr="005D526F">
        <w:rPr>
          <w:i/>
        </w:rPr>
        <w:t>Different superscript letters indicate statistically diffe</w:t>
      </w:r>
      <w:r w:rsidR="006233F8">
        <w:rPr>
          <w:i/>
        </w:rPr>
        <w:t>rent val</w:t>
      </w:r>
      <w:r w:rsidR="004F1611">
        <w:rPr>
          <w:i/>
        </w:rPr>
        <w:t xml:space="preserve">ues within each column </w:t>
      </w:r>
      <w:r w:rsidR="00450054">
        <w:rPr>
          <w:i/>
        </w:rPr>
        <w:t>(Student’s test)</w:t>
      </w:r>
      <w:r w:rsidR="006233F8">
        <w:rPr>
          <w:i/>
        </w:rPr>
        <w:t>.</w:t>
      </w:r>
      <w:r w:rsidRPr="005D526F">
        <w:rPr>
          <w:i/>
        </w:rPr>
        <w:t>*</w:t>
      </w:r>
      <w:proofErr w:type="spellStart"/>
      <w:r w:rsidRPr="005D526F">
        <w:rPr>
          <w:i/>
        </w:rPr>
        <w:t>n.d.</w:t>
      </w:r>
      <w:proofErr w:type="spellEnd"/>
      <w:r w:rsidRPr="005D526F">
        <w:rPr>
          <w:i/>
        </w:rPr>
        <w:t>: not determined.**</w:t>
      </w:r>
      <w:r w:rsidRPr="005D526F">
        <w:t xml:space="preserve"> </w:t>
      </w:r>
      <w:proofErr w:type="spellStart"/>
      <w:r w:rsidRPr="005D526F">
        <w:rPr>
          <w:i/>
        </w:rPr>
        <w:t>toco</w:t>
      </w:r>
      <w:proofErr w:type="spellEnd"/>
      <w:r w:rsidRPr="005D526F">
        <w:rPr>
          <w:i/>
        </w:rPr>
        <w:t>: tocopherol.</w:t>
      </w:r>
    </w:p>
    <w:tbl>
      <w:tblPr>
        <w:tblW w:w="8841"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709"/>
        <w:gridCol w:w="851"/>
        <w:gridCol w:w="1134"/>
        <w:gridCol w:w="1134"/>
        <w:gridCol w:w="934"/>
        <w:gridCol w:w="1191"/>
        <w:gridCol w:w="964"/>
        <w:gridCol w:w="1020"/>
        <w:gridCol w:w="904"/>
      </w:tblGrid>
      <w:tr w:rsidR="006E62F8" w:rsidRPr="00417BF3" w:rsidTr="0033129A">
        <w:trPr>
          <w:trHeight w:val="235"/>
        </w:trPr>
        <w:tc>
          <w:tcPr>
            <w:tcW w:w="709" w:type="dxa"/>
            <w:tcBorders>
              <w:top w:val="single" w:sz="12" w:space="0" w:color="008000"/>
              <w:left w:val="nil"/>
              <w:bottom w:val="single" w:sz="6" w:space="0" w:color="008000"/>
              <w:right w:val="nil"/>
            </w:tcBorders>
            <w:shd w:val="clear" w:color="auto" w:fill="FFFFFF"/>
            <w:hideMark/>
          </w:tcPr>
          <w:p w:rsidR="006E62F8" w:rsidRPr="00280AF1" w:rsidRDefault="006E62F8" w:rsidP="007759F0">
            <w:pPr>
              <w:jc w:val="left"/>
              <w:rPr>
                <w:szCs w:val="18"/>
              </w:rPr>
            </w:pPr>
            <w:r w:rsidRPr="00280AF1">
              <w:rPr>
                <w:szCs w:val="18"/>
              </w:rPr>
              <w:t xml:space="preserve">Sample </w:t>
            </w:r>
          </w:p>
        </w:tc>
        <w:tc>
          <w:tcPr>
            <w:tcW w:w="851" w:type="dxa"/>
            <w:tcBorders>
              <w:top w:val="single" w:sz="12" w:space="0" w:color="008000"/>
              <w:left w:val="nil"/>
              <w:bottom w:val="single" w:sz="6" w:space="0" w:color="008000"/>
              <w:right w:val="nil"/>
            </w:tcBorders>
            <w:shd w:val="clear" w:color="auto" w:fill="FFFFFF"/>
            <w:hideMark/>
          </w:tcPr>
          <w:p w:rsidR="006E62F8" w:rsidRPr="00280AF1" w:rsidRDefault="006E62F8" w:rsidP="007759F0">
            <w:pPr>
              <w:jc w:val="left"/>
              <w:rPr>
                <w:szCs w:val="18"/>
              </w:rPr>
            </w:pPr>
            <w:r w:rsidRPr="00280AF1">
              <w:rPr>
                <w:szCs w:val="18"/>
              </w:rPr>
              <w:t>Moisture</w:t>
            </w:r>
          </w:p>
          <w:p w:rsidR="006E62F8" w:rsidRPr="00280AF1" w:rsidRDefault="00C044F0" w:rsidP="007759F0">
            <w:pPr>
              <w:jc w:val="left"/>
              <w:rPr>
                <w:szCs w:val="18"/>
              </w:rPr>
            </w:pPr>
            <w:r w:rsidRPr="00280AF1">
              <w:rPr>
                <w:szCs w:val="18"/>
              </w:rPr>
              <w:t xml:space="preserve">     </w:t>
            </w:r>
            <w:r w:rsidR="006E62F8" w:rsidRPr="00280AF1">
              <w:rPr>
                <w:szCs w:val="18"/>
              </w:rPr>
              <w:t>%</w:t>
            </w:r>
          </w:p>
        </w:tc>
        <w:tc>
          <w:tcPr>
            <w:tcW w:w="1134" w:type="dxa"/>
            <w:tcBorders>
              <w:top w:val="single" w:sz="12" w:space="0" w:color="008000"/>
              <w:left w:val="nil"/>
              <w:bottom w:val="single" w:sz="6" w:space="0" w:color="008000"/>
              <w:right w:val="nil"/>
            </w:tcBorders>
            <w:shd w:val="clear" w:color="auto" w:fill="FFFFFF"/>
            <w:hideMark/>
          </w:tcPr>
          <w:p w:rsidR="006E62F8" w:rsidRPr="00280AF1" w:rsidRDefault="00C044F0" w:rsidP="007759F0">
            <w:pPr>
              <w:jc w:val="left"/>
              <w:rPr>
                <w:szCs w:val="18"/>
              </w:rPr>
            </w:pPr>
            <w:r w:rsidRPr="00280AF1">
              <w:rPr>
                <w:szCs w:val="18"/>
              </w:rPr>
              <w:t xml:space="preserve">  </w:t>
            </w:r>
            <w:r w:rsidR="006E62F8" w:rsidRPr="00280AF1">
              <w:rPr>
                <w:szCs w:val="18"/>
              </w:rPr>
              <w:t>Dienes</w:t>
            </w:r>
          </w:p>
          <w:p w:rsidR="006E62F8" w:rsidRPr="00280AF1" w:rsidRDefault="00C044F0" w:rsidP="007759F0">
            <w:pPr>
              <w:jc w:val="left"/>
              <w:rPr>
                <w:szCs w:val="18"/>
              </w:rPr>
            </w:pPr>
            <w:r w:rsidRPr="00280AF1">
              <w:rPr>
                <w:szCs w:val="18"/>
              </w:rPr>
              <w:t xml:space="preserve">  </w:t>
            </w:r>
            <w:r w:rsidR="006E62F8" w:rsidRPr="00280AF1">
              <w:rPr>
                <w:szCs w:val="18"/>
              </w:rPr>
              <w:t>K</w:t>
            </w:r>
            <w:r w:rsidR="006E62F8" w:rsidRPr="00280AF1">
              <w:rPr>
                <w:szCs w:val="18"/>
                <w:vertAlign w:val="subscript"/>
              </w:rPr>
              <w:t>232nm</w:t>
            </w:r>
          </w:p>
        </w:tc>
        <w:tc>
          <w:tcPr>
            <w:tcW w:w="1134" w:type="dxa"/>
            <w:tcBorders>
              <w:top w:val="single" w:sz="12" w:space="0" w:color="008000"/>
              <w:left w:val="nil"/>
              <w:bottom w:val="single" w:sz="6" w:space="0" w:color="008000"/>
              <w:right w:val="nil"/>
            </w:tcBorders>
            <w:shd w:val="clear" w:color="auto" w:fill="FFFFFF"/>
            <w:hideMark/>
          </w:tcPr>
          <w:p w:rsidR="006E62F8" w:rsidRPr="00280AF1" w:rsidRDefault="006E62F8" w:rsidP="007759F0">
            <w:pPr>
              <w:jc w:val="left"/>
              <w:rPr>
                <w:szCs w:val="18"/>
              </w:rPr>
            </w:pPr>
            <w:proofErr w:type="spellStart"/>
            <w:r w:rsidRPr="00280AF1">
              <w:rPr>
                <w:szCs w:val="18"/>
              </w:rPr>
              <w:t>Trienes</w:t>
            </w:r>
            <w:proofErr w:type="spellEnd"/>
          </w:p>
          <w:p w:rsidR="006E62F8" w:rsidRPr="00280AF1" w:rsidRDefault="006E62F8" w:rsidP="007759F0">
            <w:pPr>
              <w:jc w:val="left"/>
              <w:rPr>
                <w:szCs w:val="18"/>
              </w:rPr>
            </w:pPr>
            <w:r w:rsidRPr="00280AF1">
              <w:rPr>
                <w:szCs w:val="18"/>
              </w:rPr>
              <w:t>K</w:t>
            </w:r>
            <w:r w:rsidRPr="00280AF1">
              <w:rPr>
                <w:szCs w:val="18"/>
                <w:vertAlign w:val="subscript"/>
              </w:rPr>
              <w:t>270nm</w:t>
            </w:r>
          </w:p>
        </w:tc>
        <w:tc>
          <w:tcPr>
            <w:tcW w:w="934" w:type="dxa"/>
            <w:tcBorders>
              <w:top w:val="single" w:sz="12" w:space="0" w:color="008000"/>
              <w:left w:val="nil"/>
              <w:bottom w:val="single" w:sz="6" w:space="0" w:color="008000"/>
              <w:right w:val="nil"/>
            </w:tcBorders>
            <w:shd w:val="clear" w:color="auto" w:fill="FFFFFF"/>
            <w:hideMark/>
          </w:tcPr>
          <w:p w:rsidR="006E62F8" w:rsidRPr="00280AF1" w:rsidRDefault="006E62F8" w:rsidP="007759F0">
            <w:pPr>
              <w:jc w:val="left"/>
              <w:rPr>
                <w:szCs w:val="18"/>
              </w:rPr>
            </w:pPr>
            <w:r w:rsidRPr="00280AF1">
              <w:rPr>
                <w:szCs w:val="18"/>
              </w:rPr>
              <w:t>Peroxides</w:t>
            </w:r>
          </w:p>
          <w:p w:rsidR="006E62F8" w:rsidRPr="00280AF1" w:rsidRDefault="006E62F8" w:rsidP="007759F0">
            <w:pPr>
              <w:jc w:val="left"/>
              <w:rPr>
                <w:szCs w:val="18"/>
              </w:rPr>
            </w:pPr>
            <w:r w:rsidRPr="00280AF1">
              <w:rPr>
                <w:szCs w:val="18"/>
              </w:rPr>
              <w:t>m</w:t>
            </w:r>
            <w:r w:rsidRPr="00280AF1">
              <w:rPr>
                <w:szCs w:val="18"/>
                <w:vertAlign w:val="subscript"/>
              </w:rPr>
              <w:t>eqO</w:t>
            </w:r>
            <w:r w:rsidRPr="00280AF1">
              <w:rPr>
                <w:sz w:val="12"/>
                <w:szCs w:val="18"/>
                <w:vertAlign w:val="subscript"/>
              </w:rPr>
              <w:t>2</w:t>
            </w:r>
            <w:r w:rsidRPr="00280AF1">
              <w:rPr>
                <w:szCs w:val="18"/>
              </w:rPr>
              <w:t>/</w:t>
            </w:r>
            <w:proofErr w:type="spellStart"/>
            <w:r w:rsidRPr="00280AF1">
              <w:rPr>
                <w:szCs w:val="18"/>
              </w:rPr>
              <w:t>kg</w:t>
            </w:r>
            <w:r w:rsidRPr="00280AF1">
              <w:rPr>
                <w:szCs w:val="18"/>
                <w:vertAlign w:val="subscript"/>
              </w:rPr>
              <w:t>oil</w:t>
            </w:r>
            <w:proofErr w:type="spellEnd"/>
          </w:p>
        </w:tc>
        <w:tc>
          <w:tcPr>
            <w:tcW w:w="1191" w:type="dxa"/>
            <w:tcBorders>
              <w:top w:val="single" w:sz="12" w:space="0" w:color="008000"/>
              <w:left w:val="nil"/>
              <w:bottom w:val="single" w:sz="6" w:space="0" w:color="008000"/>
              <w:right w:val="nil"/>
            </w:tcBorders>
            <w:shd w:val="clear" w:color="auto" w:fill="FFFFFF"/>
            <w:hideMark/>
          </w:tcPr>
          <w:p w:rsidR="006E62F8" w:rsidRPr="00280AF1" w:rsidRDefault="00A959E3" w:rsidP="007759F0">
            <w:pPr>
              <w:jc w:val="left"/>
              <w:rPr>
                <w:szCs w:val="18"/>
              </w:rPr>
            </w:pPr>
            <w:r>
              <w:rPr>
                <w:szCs w:val="18"/>
              </w:rPr>
              <w:t xml:space="preserve">Total </w:t>
            </w:r>
            <w:r w:rsidR="006E62F8" w:rsidRPr="00280AF1">
              <w:rPr>
                <w:szCs w:val="18"/>
              </w:rPr>
              <w:t xml:space="preserve">phenols </w:t>
            </w:r>
            <w:proofErr w:type="spellStart"/>
            <w:r w:rsidR="006E62F8" w:rsidRPr="00280AF1">
              <w:rPr>
                <w:szCs w:val="18"/>
              </w:rPr>
              <w:t>mg</w:t>
            </w:r>
            <w:r w:rsidR="006E62F8" w:rsidRPr="00280AF1">
              <w:rPr>
                <w:szCs w:val="18"/>
                <w:vertAlign w:val="subscript"/>
              </w:rPr>
              <w:t>GAE</w:t>
            </w:r>
            <w:proofErr w:type="spellEnd"/>
            <w:r w:rsidR="006E62F8" w:rsidRPr="00280AF1">
              <w:rPr>
                <w:szCs w:val="18"/>
              </w:rPr>
              <w:t>/100g</w:t>
            </w:r>
            <w:r w:rsidR="008D7235">
              <w:rPr>
                <w:szCs w:val="18"/>
                <w:vertAlign w:val="subscript"/>
              </w:rPr>
              <w:t>dm</w:t>
            </w:r>
          </w:p>
        </w:tc>
        <w:tc>
          <w:tcPr>
            <w:tcW w:w="964" w:type="dxa"/>
            <w:tcBorders>
              <w:top w:val="single" w:sz="12" w:space="0" w:color="008000"/>
              <w:left w:val="nil"/>
              <w:bottom w:val="single" w:sz="6" w:space="0" w:color="008000"/>
              <w:right w:val="nil"/>
            </w:tcBorders>
            <w:shd w:val="clear" w:color="auto" w:fill="FFFFFF"/>
            <w:hideMark/>
          </w:tcPr>
          <w:p w:rsidR="006E62F8" w:rsidRPr="00280AF1" w:rsidRDefault="00C044F0" w:rsidP="007759F0">
            <w:pPr>
              <w:jc w:val="left"/>
              <w:rPr>
                <w:szCs w:val="18"/>
                <w:lang w:val="it-IT"/>
              </w:rPr>
            </w:pPr>
            <w:r w:rsidRPr="00280AF1">
              <w:rPr>
                <w:rFonts w:cs="Arial"/>
                <w:szCs w:val="18"/>
                <w:lang w:val="pt-BR"/>
              </w:rPr>
              <w:t xml:space="preserve">  </w:t>
            </w:r>
            <w:r w:rsidR="006E62F8" w:rsidRPr="00280AF1">
              <w:rPr>
                <w:rFonts w:cs="Arial"/>
                <w:szCs w:val="18"/>
              </w:rPr>
              <w:t>α</w:t>
            </w:r>
            <w:r w:rsidR="006E62F8" w:rsidRPr="00280AF1">
              <w:rPr>
                <w:szCs w:val="18"/>
                <w:lang w:val="it-IT"/>
              </w:rPr>
              <w:t>-toco</w:t>
            </w:r>
            <w:r w:rsidR="006E62F8" w:rsidRPr="00280AF1">
              <w:rPr>
                <w:rFonts w:cs="Arial"/>
                <w:szCs w:val="18"/>
                <w:lang w:val="it-IT"/>
              </w:rPr>
              <w:t>**</w:t>
            </w:r>
          </w:p>
          <w:p w:rsidR="006E62F8" w:rsidRPr="00280AF1" w:rsidRDefault="00C044F0" w:rsidP="007759F0">
            <w:pPr>
              <w:jc w:val="left"/>
              <w:rPr>
                <w:szCs w:val="18"/>
                <w:lang w:val="it-IT"/>
              </w:rPr>
            </w:pPr>
            <w:r w:rsidRPr="00280AF1">
              <w:rPr>
                <w:szCs w:val="18"/>
                <w:lang w:val="it-IT"/>
              </w:rPr>
              <w:t xml:space="preserve">  </w:t>
            </w:r>
            <w:r w:rsidR="006E62F8" w:rsidRPr="00280AF1">
              <w:rPr>
                <w:szCs w:val="18"/>
                <w:lang w:val="it-IT"/>
              </w:rPr>
              <w:t>mg/</w:t>
            </w:r>
            <w:proofErr w:type="spellStart"/>
            <w:r w:rsidR="006E62F8" w:rsidRPr="00280AF1">
              <w:rPr>
                <w:szCs w:val="18"/>
                <w:lang w:val="it-IT"/>
              </w:rPr>
              <w:t>kg</w:t>
            </w:r>
            <w:r w:rsidR="008D7235">
              <w:rPr>
                <w:szCs w:val="18"/>
                <w:vertAlign w:val="subscript"/>
                <w:lang w:val="it-IT"/>
              </w:rPr>
              <w:t>dm</w:t>
            </w:r>
            <w:proofErr w:type="spellEnd"/>
          </w:p>
        </w:tc>
        <w:tc>
          <w:tcPr>
            <w:tcW w:w="1020" w:type="dxa"/>
            <w:tcBorders>
              <w:top w:val="single" w:sz="12" w:space="0" w:color="008000"/>
              <w:left w:val="nil"/>
              <w:bottom w:val="single" w:sz="6" w:space="0" w:color="008000"/>
              <w:right w:val="nil"/>
            </w:tcBorders>
            <w:shd w:val="clear" w:color="auto" w:fill="FFFFFF"/>
            <w:hideMark/>
          </w:tcPr>
          <w:p w:rsidR="006E62F8" w:rsidRPr="00280AF1" w:rsidRDefault="00C044F0" w:rsidP="007759F0">
            <w:pPr>
              <w:jc w:val="left"/>
              <w:rPr>
                <w:szCs w:val="18"/>
                <w:lang w:val="it-IT"/>
              </w:rPr>
            </w:pPr>
            <w:r w:rsidRPr="00280AF1">
              <w:rPr>
                <w:rFonts w:cs="Arial"/>
                <w:szCs w:val="18"/>
                <w:lang w:val="it-IT"/>
              </w:rPr>
              <w:t xml:space="preserve">  </w:t>
            </w:r>
            <w:r w:rsidR="006E62F8" w:rsidRPr="00280AF1">
              <w:rPr>
                <w:rFonts w:cs="Arial"/>
                <w:szCs w:val="18"/>
              </w:rPr>
              <w:t>γ</w:t>
            </w:r>
            <w:r w:rsidR="006E62F8" w:rsidRPr="00280AF1">
              <w:rPr>
                <w:szCs w:val="18"/>
                <w:lang w:val="it-IT"/>
              </w:rPr>
              <w:t>-toco</w:t>
            </w:r>
          </w:p>
          <w:p w:rsidR="006E62F8" w:rsidRPr="00280AF1" w:rsidRDefault="00C044F0" w:rsidP="007759F0">
            <w:pPr>
              <w:jc w:val="left"/>
              <w:rPr>
                <w:szCs w:val="18"/>
                <w:lang w:val="it-IT"/>
              </w:rPr>
            </w:pPr>
            <w:r w:rsidRPr="00280AF1">
              <w:rPr>
                <w:szCs w:val="18"/>
                <w:lang w:val="it-IT"/>
              </w:rPr>
              <w:t xml:space="preserve"> </w:t>
            </w:r>
            <w:r w:rsidR="006E62F8" w:rsidRPr="00280AF1">
              <w:rPr>
                <w:szCs w:val="18"/>
                <w:lang w:val="it-IT"/>
              </w:rPr>
              <w:t>mg/</w:t>
            </w:r>
            <w:proofErr w:type="spellStart"/>
            <w:r w:rsidR="006E62F8" w:rsidRPr="00280AF1">
              <w:rPr>
                <w:szCs w:val="18"/>
                <w:lang w:val="it-IT"/>
              </w:rPr>
              <w:t>kg</w:t>
            </w:r>
            <w:r w:rsidR="008D7235">
              <w:rPr>
                <w:szCs w:val="18"/>
                <w:vertAlign w:val="subscript"/>
                <w:lang w:val="it-IT"/>
              </w:rPr>
              <w:t>dm</w:t>
            </w:r>
            <w:proofErr w:type="spellEnd"/>
          </w:p>
        </w:tc>
        <w:tc>
          <w:tcPr>
            <w:tcW w:w="904" w:type="dxa"/>
            <w:tcBorders>
              <w:top w:val="single" w:sz="12" w:space="0" w:color="008000"/>
              <w:left w:val="nil"/>
              <w:bottom w:val="single" w:sz="6" w:space="0" w:color="008000"/>
              <w:right w:val="nil"/>
            </w:tcBorders>
            <w:shd w:val="clear" w:color="auto" w:fill="FFFFFF"/>
            <w:hideMark/>
          </w:tcPr>
          <w:p w:rsidR="006E62F8" w:rsidRPr="00280AF1" w:rsidRDefault="00C044F0" w:rsidP="007759F0">
            <w:pPr>
              <w:jc w:val="left"/>
              <w:rPr>
                <w:szCs w:val="18"/>
                <w:lang w:val="it-IT"/>
              </w:rPr>
            </w:pPr>
            <w:r w:rsidRPr="00280AF1">
              <w:rPr>
                <w:rFonts w:cs="Arial"/>
                <w:szCs w:val="18"/>
                <w:lang w:val="it-IT"/>
              </w:rPr>
              <w:t xml:space="preserve">  </w:t>
            </w:r>
            <w:r w:rsidR="006E62F8" w:rsidRPr="00280AF1">
              <w:rPr>
                <w:rFonts w:cs="Arial"/>
                <w:szCs w:val="18"/>
              </w:rPr>
              <w:t>δ</w:t>
            </w:r>
            <w:r w:rsidR="006E62F8" w:rsidRPr="00280AF1">
              <w:rPr>
                <w:szCs w:val="18"/>
                <w:lang w:val="it-IT"/>
              </w:rPr>
              <w:t>-toco</w:t>
            </w:r>
          </w:p>
          <w:p w:rsidR="006E62F8" w:rsidRPr="00280AF1" w:rsidRDefault="00C044F0" w:rsidP="007759F0">
            <w:pPr>
              <w:jc w:val="left"/>
              <w:rPr>
                <w:szCs w:val="18"/>
                <w:lang w:val="it-IT"/>
              </w:rPr>
            </w:pPr>
            <w:r w:rsidRPr="00280AF1">
              <w:rPr>
                <w:szCs w:val="18"/>
                <w:lang w:val="it-IT"/>
              </w:rPr>
              <w:t xml:space="preserve"> </w:t>
            </w:r>
            <w:r w:rsidR="006E62F8" w:rsidRPr="00280AF1">
              <w:rPr>
                <w:szCs w:val="18"/>
                <w:lang w:val="it-IT"/>
              </w:rPr>
              <w:t>mg/</w:t>
            </w:r>
            <w:proofErr w:type="spellStart"/>
            <w:r w:rsidR="006E62F8" w:rsidRPr="00280AF1">
              <w:rPr>
                <w:szCs w:val="18"/>
                <w:lang w:val="it-IT"/>
              </w:rPr>
              <w:t>kg</w:t>
            </w:r>
            <w:r w:rsidR="008D7235">
              <w:rPr>
                <w:szCs w:val="18"/>
                <w:vertAlign w:val="subscript"/>
                <w:lang w:val="it-IT"/>
              </w:rPr>
              <w:t>dm</w:t>
            </w:r>
            <w:proofErr w:type="spellEnd"/>
          </w:p>
        </w:tc>
      </w:tr>
      <w:tr w:rsidR="006E62F8" w:rsidRPr="00280AF1" w:rsidTr="0033129A">
        <w:trPr>
          <w:trHeight w:val="247"/>
        </w:trPr>
        <w:tc>
          <w:tcPr>
            <w:tcW w:w="709" w:type="dxa"/>
            <w:tcBorders>
              <w:top w:val="nil"/>
              <w:left w:val="nil"/>
              <w:bottom w:val="nil"/>
              <w:right w:val="nil"/>
            </w:tcBorders>
            <w:shd w:val="clear" w:color="auto" w:fill="FFFFFF"/>
            <w:hideMark/>
          </w:tcPr>
          <w:p w:rsidR="0033129A" w:rsidRPr="00280AF1" w:rsidRDefault="006E62F8" w:rsidP="007759F0">
            <w:pPr>
              <w:jc w:val="left"/>
              <w:rPr>
                <w:szCs w:val="18"/>
              </w:rPr>
            </w:pPr>
            <w:r w:rsidRPr="00280AF1">
              <w:rPr>
                <w:szCs w:val="18"/>
              </w:rPr>
              <w:t xml:space="preserve">WP </w:t>
            </w:r>
          </w:p>
          <w:p w:rsidR="006E62F8" w:rsidRPr="00280AF1" w:rsidRDefault="006E62F8" w:rsidP="007759F0">
            <w:pPr>
              <w:jc w:val="left"/>
              <w:rPr>
                <w:szCs w:val="18"/>
              </w:rPr>
            </w:pPr>
            <w:r w:rsidRPr="00280AF1">
              <w:rPr>
                <w:szCs w:val="18"/>
              </w:rPr>
              <w:t>before</w:t>
            </w:r>
          </w:p>
        </w:tc>
        <w:tc>
          <w:tcPr>
            <w:tcW w:w="851" w:type="dxa"/>
            <w:tcBorders>
              <w:top w:val="nil"/>
              <w:left w:val="nil"/>
              <w:bottom w:val="nil"/>
              <w:right w:val="nil"/>
            </w:tcBorders>
            <w:shd w:val="clear" w:color="auto" w:fill="FFFFFF"/>
            <w:hideMark/>
          </w:tcPr>
          <w:p w:rsidR="0033129A" w:rsidRPr="00280AF1" w:rsidRDefault="0033129A" w:rsidP="007759F0">
            <w:pPr>
              <w:jc w:val="left"/>
              <w:rPr>
                <w:szCs w:val="18"/>
              </w:rPr>
            </w:pPr>
          </w:p>
          <w:p w:rsidR="006E62F8" w:rsidRPr="00280AF1" w:rsidRDefault="008F7D99" w:rsidP="007759F0">
            <w:pPr>
              <w:jc w:val="left"/>
              <w:rPr>
                <w:szCs w:val="18"/>
              </w:rPr>
            </w:pPr>
            <w:r w:rsidRPr="00280AF1">
              <w:rPr>
                <w:szCs w:val="18"/>
              </w:rPr>
              <w:t>0</w:t>
            </w:r>
            <w:r w:rsidR="006E62F8" w:rsidRPr="00280AF1">
              <w:rPr>
                <w:szCs w:val="18"/>
              </w:rPr>
              <w:t>.</w:t>
            </w:r>
            <w:r w:rsidRPr="00280AF1">
              <w:rPr>
                <w:szCs w:val="18"/>
              </w:rPr>
              <w:t>48</w:t>
            </w:r>
            <w:r w:rsidR="006E62F8" w:rsidRPr="00280AF1">
              <w:rPr>
                <w:rFonts w:cs="Arial"/>
                <w:szCs w:val="18"/>
              </w:rPr>
              <w:t>±</w:t>
            </w:r>
            <w:r w:rsidRPr="00280AF1">
              <w:rPr>
                <w:szCs w:val="18"/>
              </w:rPr>
              <w:t>0.01</w:t>
            </w:r>
          </w:p>
        </w:tc>
        <w:tc>
          <w:tcPr>
            <w:tcW w:w="1134" w:type="dxa"/>
            <w:tcBorders>
              <w:top w:val="nil"/>
              <w:left w:val="nil"/>
              <w:bottom w:val="nil"/>
              <w:right w:val="nil"/>
            </w:tcBorders>
            <w:shd w:val="clear" w:color="auto" w:fill="FFFFFF"/>
            <w:hideMark/>
          </w:tcPr>
          <w:p w:rsidR="0033129A" w:rsidRPr="00280AF1" w:rsidRDefault="0033129A" w:rsidP="007759F0">
            <w:pPr>
              <w:jc w:val="left"/>
              <w:rPr>
                <w:szCs w:val="18"/>
              </w:rPr>
            </w:pPr>
          </w:p>
          <w:p w:rsidR="006E62F8" w:rsidRPr="00280AF1" w:rsidRDefault="006E62F8" w:rsidP="007759F0">
            <w:pPr>
              <w:jc w:val="left"/>
              <w:rPr>
                <w:szCs w:val="18"/>
              </w:rPr>
            </w:pPr>
            <w:r w:rsidRPr="00280AF1">
              <w:rPr>
                <w:szCs w:val="18"/>
              </w:rPr>
              <w:t>1.3</w:t>
            </w:r>
            <w:r w:rsidR="008F7D99" w:rsidRPr="00280AF1">
              <w:rPr>
                <w:szCs w:val="18"/>
              </w:rPr>
              <w:t>0</w:t>
            </w:r>
            <w:r w:rsidRPr="00280AF1">
              <w:rPr>
                <w:szCs w:val="18"/>
              </w:rPr>
              <w:t>6</w:t>
            </w:r>
            <w:r w:rsidRPr="00280AF1">
              <w:rPr>
                <w:rFonts w:cs="Arial"/>
                <w:szCs w:val="18"/>
              </w:rPr>
              <w:t>±</w:t>
            </w:r>
            <w:r w:rsidRPr="00280AF1">
              <w:rPr>
                <w:szCs w:val="18"/>
              </w:rPr>
              <w:t>0.0</w:t>
            </w:r>
            <w:r w:rsidR="008F7D99" w:rsidRPr="00280AF1">
              <w:rPr>
                <w:szCs w:val="18"/>
              </w:rPr>
              <w:t>02</w:t>
            </w:r>
            <w:r w:rsidR="006233F8" w:rsidRPr="00280AF1">
              <w:rPr>
                <w:szCs w:val="18"/>
                <w:vertAlign w:val="superscript"/>
              </w:rPr>
              <w:t>b</w:t>
            </w:r>
          </w:p>
        </w:tc>
        <w:tc>
          <w:tcPr>
            <w:tcW w:w="1134" w:type="dxa"/>
            <w:tcBorders>
              <w:top w:val="nil"/>
              <w:left w:val="nil"/>
              <w:bottom w:val="nil"/>
              <w:right w:val="nil"/>
            </w:tcBorders>
            <w:shd w:val="clear" w:color="auto" w:fill="FFFFFF"/>
            <w:hideMark/>
          </w:tcPr>
          <w:p w:rsidR="0033129A" w:rsidRPr="00280AF1" w:rsidRDefault="0033129A" w:rsidP="007759F0">
            <w:pPr>
              <w:jc w:val="left"/>
              <w:rPr>
                <w:szCs w:val="18"/>
              </w:rPr>
            </w:pPr>
          </w:p>
          <w:p w:rsidR="006E62F8" w:rsidRPr="00280AF1" w:rsidRDefault="006E62F8" w:rsidP="007759F0">
            <w:pPr>
              <w:jc w:val="left"/>
              <w:rPr>
                <w:szCs w:val="18"/>
              </w:rPr>
            </w:pPr>
            <w:r w:rsidRPr="00280AF1">
              <w:rPr>
                <w:szCs w:val="18"/>
              </w:rPr>
              <w:t>0.1</w:t>
            </w:r>
            <w:r w:rsidR="008F7D99" w:rsidRPr="00280AF1">
              <w:rPr>
                <w:szCs w:val="18"/>
              </w:rPr>
              <w:t>44</w:t>
            </w:r>
            <w:r w:rsidRPr="00280AF1">
              <w:rPr>
                <w:rFonts w:cs="Arial"/>
                <w:szCs w:val="18"/>
              </w:rPr>
              <w:t>±</w:t>
            </w:r>
            <w:r w:rsidRPr="00280AF1">
              <w:rPr>
                <w:szCs w:val="18"/>
              </w:rPr>
              <w:t>0.0</w:t>
            </w:r>
            <w:r w:rsidR="008F7D99" w:rsidRPr="00280AF1">
              <w:rPr>
                <w:szCs w:val="18"/>
              </w:rPr>
              <w:t>03</w:t>
            </w:r>
            <w:r w:rsidR="006233F8" w:rsidRPr="00280AF1">
              <w:rPr>
                <w:szCs w:val="18"/>
                <w:vertAlign w:val="superscript"/>
              </w:rPr>
              <w:t>a</w:t>
            </w:r>
          </w:p>
        </w:tc>
        <w:tc>
          <w:tcPr>
            <w:tcW w:w="934" w:type="dxa"/>
            <w:tcBorders>
              <w:top w:val="nil"/>
              <w:left w:val="nil"/>
              <w:bottom w:val="nil"/>
              <w:right w:val="nil"/>
            </w:tcBorders>
            <w:shd w:val="clear" w:color="auto" w:fill="FFFFFF"/>
            <w:hideMark/>
          </w:tcPr>
          <w:p w:rsidR="0033129A" w:rsidRPr="00280AF1" w:rsidRDefault="0033129A" w:rsidP="007759F0">
            <w:pPr>
              <w:jc w:val="left"/>
              <w:rPr>
                <w:szCs w:val="18"/>
              </w:rPr>
            </w:pPr>
            <w:r w:rsidRPr="00280AF1">
              <w:rPr>
                <w:szCs w:val="18"/>
              </w:rPr>
              <w:t xml:space="preserve">    </w:t>
            </w:r>
          </w:p>
          <w:p w:rsidR="006E62F8" w:rsidRPr="00280AF1" w:rsidRDefault="00C044F0" w:rsidP="007759F0">
            <w:pPr>
              <w:jc w:val="left"/>
              <w:rPr>
                <w:szCs w:val="18"/>
              </w:rPr>
            </w:pPr>
            <w:r w:rsidRPr="00280AF1">
              <w:rPr>
                <w:szCs w:val="18"/>
              </w:rPr>
              <w:t xml:space="preserve">    </w:t>
            </w:r>
            <w:r w:rsidR="008F7D99" w:rsidRPr="00280AF1">
              <w:rPr>
                <w:szCs w:val="18"/>
              </w:rPr>
              <w:t>n.d.*</w:t>
            </w:r>
          </w:p>
        </w:tc>
        <w:tc>
          <w:tcPr>
            <w:tcW w:w="1191" w:type="dxa"/>
            <w:tcBorders>
              <w:top w:val="nil"/>
              <w:left w:val="nil"/>
              <w:bottom w:val="nil"/>
              <w:right w:val="nil"/>
            </w:tcBorders>
            <w:shd w:val="clear" w:color="auto" w:fill="FFFFFF"/>
            <w:hideMark/>
          </w:tcPr>
          <w:p w:rsidR="0033129A" w:rsidRPr="00280AF1" w:rsidRDefault="0033129A" w:rsidP="007759F0">
            <w:pPr>
              <w:jc w:val="left"/>
              <w:rPr>
                <w:szCs w:val="18"/>
              </w:rPr>
            </w:pPr>
          </w:p>
          <w:p w:rsidR="006E62F8" w:rsidRPr="00280AF1" w:rsidRDefault="008F7D99" w:rsidP="007759F0">
            <w:pPr>
              <w:jc w:val="left"/>
              <w:rPr>
                <w:szCs w:val="18"/>
              </w:rPr>
            </w:pPr>
            <w:r w:rsidRPr="00280AF1">
              <w:rPr>
                <w:szCs w:val="18"/>
              </w:rPr>
              <w:t>37</w:t>
            </w:r>
            <w:r w:rsidR="006E62F8" w:rsidRPr="00280AF1">
              <w:rPr>
                <w:szCs w:val="18"/>
              </w:rPr>
              <w:t>.</w:t>
            </w:r>
            <w:r w:rsidRPr="00280AF1">
              <w:rPr>
                <w:szCs w:val="18"/>
              </w:rPr>
              <w:t>13</w:t>
            </w:r>
            <w:r w:rsidR="006E62F8" w:rsidRPr="00280AF1">
              <w:rPr>
                <w:rFonts w:cs="Arial"/>
                <w:szCs w:val="18"/>
              </w:rPr>
              <w:t>±</w:t>
            </w:r>
            <w:r w:rsidR="006E62F8" w:rsidRPr="00280AF1">
              <w:rPr>
                <w:szCs w:val="18"/>
              </w:rPr>
              <w:t>0.</w:t>
            </w:r>
            <w:r w:rsidRPr="00280AF1">
              <w:rPr>
                <w:szCs w:val="18"/>
              </w:rPr>
              <w:t>13</w:t>
            </w:r>
            <w:r w:rsidR="006233F8" w:rsidRPr="00280AF1">
              <w:rPr>
                <w:szCs w:val="18"/>
                <w:vertAlign w:val="superscript"/>
              </w:rPr>
              <w:t>a</w:t>
            </w:r>
          </w:p>
        </w:tc>
        <w:tc>
          <w:tcPr>
            <w:tcW w:w="964" w:type="dxa"/>
            <w:tcBorders>
              <w:top w:val="nil"/>
              <w:left w:val="nil"/>
              <w:bottom w:val="nil"/>
              <w:right w:val="nil"/>
            </w:tcBorders>
            <w:shd w:val="clear" w:color="auto" w:fill="FFFFFF"/>
            <w:hideMark/>
          </w:tcPr>
          <w:p w:rsidR="0033129A" w:rsidRPr="00280AF1" w:rsidRDefault="0033129A" w:rsidP="007759F0">
            <w:pPr>
              <w:jc w:val="left"/>
              <w:rPr>
                <w:szCs w:val="18"/>
              </w:rPr>
            </w:pPr>
          </w:p>
          <w:p w:rsidR="006E62F8" w:rsidRPr="00280AF1" w:rsidRDefault="006E62F8" w:rsidP="007759F0">
            <w:pPr>
              <w:jc w:val="left"/>
              <w:rPr>
                <w:szCs w:val="18"/>
              </w:rPr>
            </w:pPr>
            <w:r w:rsidRPr="00280AF1">
              <w:rPr>
                <w:szCs w:val="18"/>
              </w:rPr>
              <w:t>2.</w:t>
            </w:r>
            <w:r w:rsidR="008F7D99" w:rsidRPr="00280AF1">
              <w:rPr>
                <w:szCs w:val="18"/>
              </w:rPr>
              <w:t>12</w:t>
            </w:r>
            <w:r w:rsidRPr="00280AF1">
              <w:rPr>
                <w:rFonts w:cs="Arial"/>
                <w:szCs w:val="18"/>
              </w:rPr>
              <w:t>±</w:t>
            </w:r>
            <w:r w:rsidRPr="00280AF1">
              <w:rPr>
                <w:szCs w:val="18"/>
              </w:rPr>
              <w:t>0.</w:t>
            </w:r>
            <w:r w:rsidR="008F7D99" w:rsidRPr="00280AF1">
              <w:rPr>
                <w:szCs w:val="18"/>
              </w:rPr>
              <w:t>22</w:t>
            </w:r>
            <w:r w:rsidR="006233F8" w:rsidRPr="00280AF1">
              <w:rPr>
                <w:szCs w:val="18"/>
                <w:vertAlign w:val="superscript"/>
              </w:rPr>
              <w:t>a</w:t>
            </w:r>
          </w:p>
        </w:tc>
        <w:tc>
          <w:tcPr>
            <w:tcW w:w="1020" w:type="dxa"/>
            <w:tcBorders>
              <w:top w:val="nil"/>
              <w:left w:val="nil"/>
              <w:bottom w:val="nil"/>
              <w:right w:val="nil"/>
            </w:tcBorders>
            <w:shd w:val="clear" w:color="auto" w:fill="FFFFFF"/>
            <w:hideMark/>
          </w:tcPr>
          <w:p w:rsidR="0033129A" w:rsidRPr="00280AF1" w:rsidRDefault="0033129A" w:rsidP="007759F0">
            <w:pPr>
              <w:jc w:val="left"/>
              <w:rPr>
                <w:szCs w:val="18"/>
              </w:rPr>
            </w:pPr>
          </w:p>
          <w:p w:rsidR="006E62F8" w:rsidRPr="00280AF1" w:rsidRDefault="008F7D99" w:rsidP="007759F0">
            <w:pPr>
              <w:jc w:val="left"/>
              <w:rPr>
                <w:szCs w:val="18"/>
              </w:rPr>
            </w:pPr>
            <w:r w:rsidRPr="00280AF1">
              <w:rPr>
                <w:szCs w:val="18"/>
              </w:rPr>
              <w:t>61</w:t>
            </w:r>
            <w:r w:rsidR="006E62F8" w:rsidRPr="00280AF1">
              <w:rPr>
                <w:szCs w:val="18"/>
              </w:rPr>
              <w:t>.</w:t>
            </w:r>
            <w:r w:rsidRPr="00280AF1">
              <w:rPr>
                <w:szCs w:val="18"/>
              </w:rPr>
              <w:t>5</w:t>
            </w:r>
            <w:r w:rsidR="006E62F8" w:rsidRPr="00280AF1">
              <w:rPr>
                <w:szCs w:val="18"/>
              </w:rPr>
              <w:t>1</w:t>
            </w:r>
            <w:r w:rsidR="006E62F8" w:rsidRPr="00280AF1">
              <w:rPr>
                <w:rFonts w:cs="Arial"/>
                <w:szCs w:val="18"/>
              </w:rPr>
              <w:t>±</w:t>
            </w:r>
            <w:r w:rsidRPr="00280AF1">
              <w:rPr>
                <w:szCs w:val="18"/>
              </w:rPr>
              <w:t>5</w:t>
            </w:r>
            <w:r w:rsidR="006E62F8" w:rsidRPr="00280AF1">
              <w:rPr>
                <w:szCs w:val="18"/>
              </w:rPr>
              <w:t>.</w:t>
            </w:r>
            <w:r w:rsidRPr="00280AF1">
              <w:rPr>
                <w:szCs w:val="18"/>
              </w:rPr>
              <w:t>2</w:t>
            </w:r>
            <w:r w:rsidR="006E62F8" w:rsidRPr="00280AF1">
              <w:rPr>
                <w:szCs w:val="18"/>
              </w:rPr>
              <w:t>9</w:t>
            </w:r>
            <w:r w:rsidR="006233F8" w:rsidRPr="00280AF1">
              <w:rPr>
                <w:szCs w:val="18"/>
                <w:vertAlign w:val="superscript"/>
              </w:rPr>
              <w:t>a</w:t>
            </w:r>
          </w:p>
        </w:tc>
        <w:tc>
          <w:tcPr>
            <w:tcW w:w="904" w:type="dxa"/>
            <w:tcBorders>
              <w:top w:val="nil"/>
              <w:left w:val="nil"/>
              <w:bottom w:val="nil"/>
              <w:right w:val="nil"/>
            </w:tcBorders>
            <w:shd w:val="clear" w:color="auto" w:fill="FFFFFF"/>
            <w:hideMark/>
          </w:tcPr>
          <w:p w:rsidR="0033129A" w:rsidRPr="00280AF1" w:rsidRDefault="0033129A" w:rsidP="007759F0">
            <w:pPr>
              <w:jc w:val="left"/>
              <w:rPr>
                <w:szCs w:val="18"/>
              </w:rPr>
            </w:pPr>
          </w:p>
          <w:p w:rsidR="006E62F8" w:rsidRPr="00280AF1" w:rsidRDefault="006E62F8" w:rsidP="007759F0">
            <w:pPr>
              <w:jc w:val="left"/>
              <w:rPr>
                <w:szCs w:val="18"/>
              </w:rPr>
            </w:pPr>
            <w:r w:rsidRPr="00280AF1">
              <w:rPr>
                <w:szCs w:val="18"/>
              </w:rPr>
              <w:t>0.</w:t>
            </w:r>
            <w:r w:rsidR="008F7D99" w:rsidRPr="00280AF1">
              <w:rPr>
                <w:szCs w:val="18"/>
              </w:rPr>
              <w:t>47</w:t>
            </w:r>
            <w:r w:rsidRPr="00280AF1">
              <w:rPr>
                <w:rFonts w:cs="Arial"/>
                <w:szCs w:val="18"/>
              </w:rPr>
              <w:t>±</w:t>
            </w:r>
            <w:r w:rsidRPr="00280AF1">
              <w:rPr>
                <w:szCs w:val="18"/>
              </w:rPr>
              <w:t>0.0</w:t>
            </w:r>
            <w:r w:rsidR="008F7D99" w:rsidRPr="00280AF1">
              <w:rPr>
                <w:szCs w:val="18"/>
              </w:rPr>
              <w:t>4</w:t>
            </w:r>
            <w:r w:rsidR="006233F8" w:rsidRPr="00280AF1">
              <w:rPr>
                <w:szCs w:val="18"/>
                <w:vertAlign w:val="superscript"/>
              </w:rPr>
              <w:t>a</w:t>
            </w:r>
          </w:p>
        </w:tc>
      </w:tr>
      <w:tr w:rsidR="006E62F8" w:rsidRPr="00280AF1" w:rsidTr="0033129A">
        <w:trPr>
          <w:trHeight w:val="247"/>
        </w:trPr>
        <w:tc>
          <w:tcPr>
            <w:tcW w:w="709" w:type="dxa"/>
            <w:tcBorders>
              <w:top w:val="nil"/>
              <w:left w:val="nil"/>
              <w:bottom w:val="single" w:sz="12" w:space="0" w:color="008000"/>
              <w:right w:val="nil"/>
            </w:tcBorders>
            <w:shd w:val="clear" w:color="auto" w:fill="FFFFFF"/>
            <w:hideMark/>
          </w:tcPr>
          <w:p w:rsidR="0033129A" w:rsidRPr="00280AF1" w:rsidRDefault="0033129A" w:rsidP="007759F0">
            <w:pPr>
              <w:jc w:val="left"/>
              <w:rPr>
                <w:szCs w:val="18"/>
              </w:rPr>
            </w:pPr>
          </w:p>
          <w:p w:rsidR="0033129A" w:rsidRPr="00280AF1" w:rsidRDefault="006E62F8" w:rsidP="007759F0">
            <w:pPr>
              <w:jc w:val="left"/>
              <w:rPr>
                <w:szCs w:val="18"/>
              </w:rPr>
            </w:pPr>
            <w:r w:rsidRPr="00280AF1">
              <w:rPr>
                <w:szCs w:val="18"/>
              </w:rPr>
              <w:t xml:space="preserve">WP </w:t>
            </w:r>
          </w:p>
          <w:p w:rsidR="006E62F8" w:rsidRPr="00280AF1" w:rsidRDefault="006E62F8" w:rsidP="007759F0">
            <w:pPr>
              <w:jc w:val="left"/>
              <w:rPr>
                <w:szCs w:val="18"/>
              </w:rPr>
            </w:pPr>
            <w:r w:rsidRPr="00280AF1">
              <w:rPr>
                <w:szCs w:val="18"/>
              </w:rPr>
              <w:t>after</w:t>
            </w:r>
          </w:p>
        </w:tc>
        <w:tc>
          <w:tcPr>
            <w:tcW w:w="851" w:type="dxa"/>
            <w:tcBorders>
              <w:top w:val="nil"/>
              <w:left w:val="nil"/>
              <w:bottom w:val="single" w:sz="12" w:space="0" w:color="008000"/>
              <w:right w:val="nil"/>
            </w:tcBorders>
            <w:shd w:val="clear" w:color="auto" w:fill="FFFFFF"/>
            <w:hideMark/>
          </w:tcPr>
          <w:p w:rsidR="0033129A" w:rsidRPr="00280AF1" w:rsidRDefault="0033129A" w:rsidP="007759F0">
            <w:pPr>
              <w:jc w:val="left"/>
              <w:rPr>
                <w:szCs w:val="18"/>
              </w:rPr>
            </w:pPr>
          </w:p>
          <w:p w:rsidR="006E62F8" w:rsidRPr="00280AF1" w:rsidRDefault="0033129A" w:rsidP="007759F0">
            <w:pPr>
              <w:jc w:val="left"/>
              <w:rPr>
                <w:szCs w:val="18"/>
              </w:rPr>
            </w:pPr>
            <w:r w:rsidRPr="00280AF1">
              <w:rPr>
                <w:szCs w:val="18"/>
              </w:rPr>
              <w:t xml:space="preserve">   </w:t>
            </w:r>
            <w:r w:rsidR="006E62F8" w:rsidRPr="00280AF1">
              <w:rPr>
                <w:szCs w:val="18"/>
              </w:rPr>
              <w:t>n.d.*</w:t>
            </w:r>
          </w:p>
        </w:tc>
        <w:tc>
          <w:tcPr>
            <w:tcW w:w="1134" w:type="dxa"/>
            <w:tcBorders>
              <w:top w:val="nil"/>
              <w:left w:val="nil"/>
              <w:bottom w:val="single" w:sz="12" w:space="0" w:color="008000"/>
              <w:right w:val="nil"/>
            </w:tcBorders>
            <w:shd w:val="clear" w:color="auto" w:fill="FFFFFF"/>
            <w:hideMark/>
          </w:tcPr>
          <w:p w:rsidR="0033129A" w:rsidRPr="00280AF1" w:rsidRDefault="0033129A" w:rsidP="007759F0">
            <w:pPr>
              <w:jc w:val="left"/>
              <w:rPr>
                <w:szCs w:val="18"/>
              </w:rPr>
            </w:pPr>
          </w:p>
          <w:p w:rsidR="006E62F8" w:rsidRPr="00280AF1" w:rsidRDefault="006E62F8" w:rsidP="007759F0">
            <w:pPr>
              <w:jc w:val="left"/>
              <w:rPr>
                <w:szCs w:val="18"/>
              </w:rPr>
            </w:pPr>
            <w:r w:rsidRPr="00280AF1">
              <w:rPr>
                <w:szCs w:val="18"/>
              </w:rPr>
              <w:t>2.067</w:t>
            </w:r>
            <w:r w:rsidRPr="00280AF1">
              <w:rPr>
                <w:rFonts w:cs="Arial"/>
                <w:szCs w:val="18"/>
              </w:rPr>
              <w:t>±</w:t>
            </w:r>
            <w:r w:rsidRPr="00280AF1">
              <w:rPr>
                <w:szCs w:val="18"/>
              </w:rPr>
              <w:t>0.076</w:t>
            </w:r>
            <w:r w:rsidR="006233F8" w:rsidRPr="00280AF1">
              <w:rPr>
                <w:szCs w:val="18"/>
                <w:vertAlign w:val="superscript"/>
              </w:rPr>
              <w:t>a</w:t>
            </w:r>
          </w:p>
        </w:tc>
        <w:tc>
          <w:tcPr>
            <w:tcW w:w="1134" w:type="dxa"/>
            <w:tcBorders>
              <w:top w:val="nil"/>
              <w:left w:val="nil"/>
              <w:bottom w:val="single" w:sz="12" w:space="0" w:color="008000"/>
              <w:right w:val="nil"/>
            </w:tcBorders>
            <w:shd w:val="clear" w:color="auto" w:fill="FFFFFF"/>
            <w:hideMark/>
          </w:tcPr>
          <w:p w:rsidR="0033129A" w:rsidRPr="00280AF1" w:rsidRDefault="0033129A" w:rsidP="007759F0">
            <w:pPr>
              <w:jc w:val="left"/>
              <w:rPr>
                <w:szCs w:val="18"/>
              </w:rPr>
            </w:pPr>
          </w:p>
          <w:p w:rsidR="006E62F8" w:rsidRPr="00280AF1" w:rsidRDefault="006E62F8" w:rsidP="007759F0">
            <w:pPr>
              <w:jc w:val="left"/>
              <w:rPr>
                <w:szCs w:val="18"/>
              </w:rPr>
            </w:pPr>
            <w:r w:rsidRPr="00280AF1">
              <w:rPr>
                <w:szCs w:val="18"/>
              </w:rPr>
              <w:t>0.129</w:t>
            </w:r>
            <w:r w:rsidRPr="00280AF1">
              <w:rPr>
                <w:rFonts w:cs="Arial"/>
                <w:szCs w:val="18"/>
              </w:rPr>
              <w:t>±</w:t>
            </w:r>
            <w:r w:rsidRPr="00280AF1">
              <w:rPr>
                <w:szCs w:val="18"/>
              </w:rPr>
              <w:t>0.019</w:t>
            </w:r>
            <w:r w:rsidR="006233F8" w:rsidRPr="00280AF1">
              <w:rPr>
                <w:szCs w:val="18"/>
                <w:vertAlign w:val="superscript"/>
              </w:rPr>
              <w:t>a</w:t>
            </w:r>
          </w:p>
        </w:tc>
        <w:tc>
          <w:tcPr>
            <w:tcW w:w="934" w:type="dxa"/>
            <w:tcBorders>
              <w:top w:val="nil"/>
              <w:left w:val="nil"/>
              <w:bottom w:val="single" w:sz="12" w:space="0" w:color="008000"/>
              <w:right w:val="nil"/>
            </w:tcBorders>
            <w:shd w:val="clear" w:color="auto" w:fill="FFFFFF"/>
            <w:hideMark/>
          </w:tcPr>
          <w:p w:rsidR="0033129A" w:rsidRPr="00280AF1" w:rsidRDefault="0033129A" w:rsidP="007759F0">
            <w:pPr>
              <w:jc w:val="left"/>
              <w:rPr>
                <w:szCs w:val="18"/>
              </w:rPr>
            </w:pPr>
          </w:p>
          <w:p w:rsidR="006E62F8" w:rsidRPr="00280AF1" w:rsidRDefault="006E62F8" w:rsidP="007759F0">
            <w:pPr>
              <w:jc w:val="left"/>
              <w:rPr>
                <w:szCs w:val="18"/>
              </w:rPr>
            </w:pPr>
            <w:r w:rsidRPr="00280AF1">
              <w:rPr>
                <w:szCs w:val="18"/>
              </w:rPr>
              <w:t>9.38</w:t>
            </w:r>
            <w:r w:rsidRPr="00280AF1">
              <w:rPr>
                <w:rFonts w:cs="Arial"/>
                <w:szCs w:val="18"/>
              </w:rPr>
              <w:t>±</w:t>
            </w:r>
            <w:r w:rsidRPr="00280AF1">
              <w:rPr>
                <w:szCs w:val="18"/>
              </w:rPr>
              <w:t>0.03</w:t>
            </w:r>
          </w:p>
        </w:tc>
        <w:tc>
          <w:tcPr>
            <w:tcW w:w="1191" w:type="dxa"/>
            <w:tcBorders>
              <w:top w:val="nil"/>
              <w:left w:val="nil"/>
              <w:bottom w:val="single" w:sz="12" w:space="0" w:color="008000"/>
              <w:right w:val="nil"/>
            </w:tcBorders>
            <w:shd w:val="clear" w:color="auto" w:fill="FFFFFF"/>
            <w:hideMark/>
          </w:tcPr>
          <w:p w:rsidR="0033129A" w:rsidRPr="00280AF1" w:rsidRDefault="0033129A" w:rsidP="007759F0">
            <w:pPr>
              <w:jc w:val="left"/>
              <w:rPr>
                <w:szCs w:val="18"/>
              </w:rPr>
            </w:pPr>
          </w:p>
          <w:p w:rsidR="006E62F8" w:rsidRPr="00280AF1" w:rsidRDefault="006E62F8" w:rsidP="007759F0">
            <w:pPr>
              <w:jc w:val="left"/>
              <w:rPr>
                <w:szCs w:val="18"/>
              </w:rPr>
            </w:pPr>
            <w:r w:rsidRPr="00280AF1">
              <w:rPr>
                <w:szCs w:val="18"/>
              </w:rPr>
              <w:t>17.03</w:t>
            </w:r>
            <w:r w:rsidRPr="00280AF1">
              <w:rPr>
                <w:rFonts w:cs="Arial"/>
                <w:szCs w:val="18"/>
              </w:rPr>
              <w:t>±</w:t>
            </w:r>
            <w:r w:rsidRPr="00280AF1">
              <w:rPr>
                <w:szCs w:val="18"/>
              </w:rPr>
              <w:t>0.15</w:t>
            </w:r>
            <w:r w:rsidR="006233F8" w:rsidRPr="00280AF1">
              <w:rPr>
                <w:szCs w:val="18"/>
                <w:vertAlign w:val="superscript"/>
              </w:rPr>
              <w:t>b</w:t>
            </w:r>
          </w:p>
        </w:tc>
        <w:tc>
          <w:tcPr>
            <w:tcW w:w="964" w:type="dxa"/>
            <w:tcBorders>
              <w:top w:val="nil"/>
              <w:left w:val="nil"/>
              <w:bottom w:val="single" w:sz="12" w:space="0" w:color="008000"/>
              <w:right w:val="nil"/>
            </w:tcBorders>
            <w:shd w:val="clear" w:color="auto" w:fill="FFFFFF"/>
            <w:hideMark/>
          </w:tcPr>
          <w:p w:rsidR="0033129A" w:rsidRPr="00280AF1" w:rsidRDefault="0033129A" w:rsidP="007759F0">
            <w:pPr>
              <w:jc w:val="left"/>
              <w:rPr>
                <w:szCs w:val="18"/>
              </w:rPr>
            </w:pPr>
          </w:p>
          <w:p w:rsidR="006E62F8" w:rsidRPr="00280AF1" w:rsidRDefault="006E62F8" w:rsidP="007759F0">
            <w:pPr>
              <w:jc w:val="left"/>
              <w:rPr>
                <w:szCs w:val="18"/>
              </w:rPr>
            </w:pPr>
            <w:r w:rsidRPr="00280AF1">
              <w:rPr>
                <w:szCs w:val="18"/>
              </w:rPr>
              <w:t>0.39</w:t>
            </w:r>
            <w:r w:rsidRPr="00280AF1">
              <w:rPr>
                <w:rFonts w:cs="Arial"/>
                <w:szCs w:val="18"/>
              </w:rPr>
              <w:t>±</w:t>
            </w:r>
            <w:r w:rsidRPr="00280AF1">
              <w:rPr>
                <w:szCs w:val="18"/>
              </w:rPr>
              <w:t>0.04</w:t>
            </w:r>
            <w:r w:rsidR="006233F8" w:rsidRPr="00280AF1">
              <w:rPr>
                <w:szCs w:val="18"/>
                <w:vertAlign w:val="superscript"/>
              </w:rPr>
              <w:t>b</w:t>
            </w:r>
          </w:p>
        </w:tc>
        <w:tc>
          <w:tcPr>
            <w:tcW w:w="1020" w:type="dxa"/>
            <w:tcBorders>
              <w:top w:val="nil"/>
              <w:left w:val="nil"/>
              <w:bottom w:val="single" w:sz="12" w:space="0" w:color="008000"/>
              <w:right w:val="nil"/>
            </w:tcBorders>
            <w:shd w:val="clear" w:color="auto" w:fill="FFFFFF"/>
            <w:hideMark/>
          </w:tcPr>
          <w:p w:rsidR="0033129A" w:rsidRPr="00280AF1" w:rsidRDefault="0033129A" w:rsidP="007759F0">
            <w:pPr>
              <w:jc w:val="left"/>
              <w:rPr>
                <w:szCs w:val="18"/>
              </w:rPr>
            </w:pPr>
          </w:p>
          <w:p w:rsidR="006E62F8" w:rsidRPr="00280AF1" w:rsidRDefault="006E62F8" w:rsidP="007759F0">
            <w:pPr>
              <w:jc w:val="left"/>
              <w:rPr>
                <w:szCs w:val="18"/>
              </w:rPr>
            </w:pPr>
            <w:r w:rsidRPr="00280AF1">
              <w:rPr>
                <w:szCs w:val="18"/>
              </w:rPr>
              <w:t>25.88</w:t>
            </w:r>
            <w:r w:rsidRPr="00280AF1">
              <w:rPr>
                <w:rFonts w:cs="Arial"/>
                <w:szCs w:val="18"/>
              </w:rPr>
              <w:t>±</w:t>
            </w:r>
            <w:r w:rsidRPr="00280AF1">
              <w:rPr>
                <w:szCs w:val="18"/>
              </w:rPr>
              <w:t>2.28</w:t>
            </w:r>
            <w:r w:rsidR="006233F8" w:rsidRPr="00280AF1">
              <w:rPr>
                <w:szCs w:val="18"/>
                <w:vertAlign w:val="superscript"/>
              </w:rPr>
              <w:t>b</w:t>
            </w:r>
          </w:p>
        </w:tc>
        <w:tc>
          <w:tcPr>
            <w:tcW w:w="904" w:type="dxa"/>
            <w:tcBorders>
              <w:top w:val="nil"/>
              <w:left w:val="nil"/>
              <w:bottom w:val="single" w:sz="12" w:space="0" w:color="008000"/>
              <w:right w:val="nil"/>
            </w:tcBorders>
            <w:shd w:val="clear" w:color="auto" w:fill="FFFFFF"/>
            <w:hideMark/>
          </w:tcPr>
          <w:p w:rsidR="0033129A" w:rsidRPr="00280AF1" w:rsidRDefault="0033129A" w:rsidP="007759F0">
            <w:pPr>
              <w:jc w:val="left"/>
              <w:rPr>
                <w:szCs w:val="18"/>
              </w:rPr>
            </w:pPr>
          </w:p>
          <w:p w:rsidR="006E62F8" w:rsidRPr="00280AF1" w:rsidRDefault="006E62F8" w:rsidP="007759F0">
            <w:pPr>
              <w:jc w:val="left"/>
              <w:rPr>
                <w:szCs w:val="18"/>
              </w:rPr>
            </w:pPr>
            <w:r w:rsidRPr="00280AF1">
              <w:rPr>
                <w:szCs w:val="18"/>
              </w:rPr>
              <w:t>0.17</w:t>
            </w:r>
            <w:r w:rsidRPr="00280AF1">
              <w:rPr>
                <w:rFonts w:cs="Arial"/>
                <w:szCs w:val="18"/>
              </w:rPr>
              <w:t>±</w:t>
            </w:r>
            <w:r w:rsidRPr="00280AF1">
              <w:rPr>
                <w:szCs w:val="18"/>
              </w:rPr>
              <w:t>0.00</w:t>
            </w:r>
            <w:r w:rsidR="006233F8" w:rsidRPr="00280AF1">
              <w:rPr>
                <w:szCs w:val="18"/>
                <w:vertAlign w:val="superscript"/>
              </w:rPr>
              <w:t>b</w:t>
            </w:r>
          </w:p>
        </w:tc>
      </w:tr>
    </w:tbl>
    <w:p w:rsidR="00B04C0C" w:rsidRPr="005D526F" w:rsidRDefault="00B04C0C" w:rsidP="00B04C0C">
      <w:pPr>
        <w:pStyle w:val="CETBodytext"/>
        <w:rPr>
          <w:lang w:val="en-GB"/>
        </w:rPr>
      </w:pPr>
    </w:p>
    <w:p w:rsidR="004F43ED" w:rsidRDefault="000A78AB" w:rsidP="000A78AB">
      <w:pPr>
        <w:pStyle w:val="CETBodytext"/>
      </w:pPr>
      <w:r w:rsidRPr="005C0D62">
        <w:rPr>
          <w:lang w:val="en-GB"/>
        </w:rPr>
        <w:t>Walnut</w:t>
      </w:r>
      <w:r w:rsidRPr="000A78AB">
        <w:rPr>
          <w:lang w:val="en-GB"/>
        </w:rPr>
        <w:t xml:space="preserve"> paste was added with different polysacch</w:t>
      </w:r>
      <w:r w:rsidR="00442C66">
        <w:rPr>
          <w:lang w:val="en-GB"/>
        </w:rPr>
        <w:t>arides (including dietary fiber</w:t>
      </w:r>
      <w:r w:rsidRPr="000A78AB">
        <w:rPr>
          <w:lang w:val="en-GB"/>
        </w:rPr>
        <w:t>) with the dual objective of acting as coating materials and further increasing the nu</w:t>
      </w:r>
      <w:r>
        <w:rPr>
          <w:lang w:val="en-GB"/>
        </w:rPr>
        <w:t xml:space="preserve">tritional value of the product. </w:t>
      </w:r>
      <w:r w:rsidR="00361B6F" w:rsidRPr="00361B6F">
        <w:t>As s</w:t>
      </w:r>
      <w:r w:rsidR="00B00C6E" w:rsidRPr="00361B6F">
        <w:t xml:space="preserve">trong interactions </w:t>
      </w:r>
      <w:r w:rsidR="00361B6F" w:rsidRPr="00361B6F">
        <w:t>were</w:t>
      </w:r>
      <w:r w:rsidR="00B00C6E" w:rsidRPr="00361B6F">
        <w:t xml:space="preserve"> postulated between starch derivatives and polysaccharide </w:t>
      </w:r>
      <w:r w:rsidR="00B00C6E" w:rsidRPr="00263729">
        <w:t>gums (</w:t>
      </w:r>
      <w:proofErr w:type="spellStart"/>
      <w:r w:rsidR="00263729" w:rsidRPr="00263729">
        <w:t>Vasisht</w:t>
      </w:r>
      <w:proofErr w:type="spellEnd"/>
      <w:r w:rsidR="0033129A" w:rsidRPr="00263729">
        <w:t xml:space="preserve"> </w:t>
      </w:r>
      <w:r w:rsidR="00BC3277" w:rsidRPr="00263729">
        <w:t>2014)</w:t>
      </w:r>
      <w:r w:rsidR="00361B6F" w:rsidRPr="00263729">
        <w:t xml:space="preserve">, </w:t>
      </w:r>
      <w:r w:rsidR="00361B6F" w:rsidRPr="007759F0">
        <w:t xml:space="preserve">the </w:t>
      </w:r>
      <w:r w:rsidR="004F1611" w:rsidRPr="007759F0">
        <w:t>applied</w:t>
      </w:r>
      <w:r w:rsidR="00361B6F" w:rsidRPr="007759F0">
        <w:t xml:space="preserve"> encapsulation process exploited the formation of a network among maltodextrin, tragacanth gum and other endogenous and/or exogenous polysaccharide </w:t>
      </w:r>
      <w:r w:rsidR="00361B6F" w:rsidRPr="008F4603">
        <w:t>compounds (</w:t>
      </w:r>
      <w:proofErr w:type="spellStart"/>
      <w:r w:rsidR="00361B6F" w:rsidRPr="008F4603">
        <w:t>Dordoni</w:t>
      </w:r>
      <w:proofErr w:type="spellEnd"/>
      <w:r w:rsidR="00361B6F" w:rsidRPr="008F4603">
        <w:t xml:space="preserve"> et al.</w:t>
      </w:r>
      <w:r w:rsidR="0033129A" w:rsidRPr="008F4603">
        <w:t xml:space="preserve">, </w:t>
      </w:r>
      <w:r w:rsidR="00361B6F" w:rsidRPr="008F4603">
        <w:t>2015).</w:t>
      </w:r>
      <w:r w:rsidR="004D3D9F" w:rsidRPr="008F4603">
        <w:t xml:space="preserve"> Processes </w:t>
      </w:r>
      <w:r w:rsidR="004D3D9F" w:rsidRPr="007759F0">
        <w:t>(</w:t>
      </w:r>
      <w:r w:rsidR="00B94A6A" w:rsidRPr="007759F0">
        <w:t>su</w:t>
      </w:r>
      <w:r w:rsidR="004D3D9F" w:rsidRPr="007759F0">
        <w:t xml:space="preserve">ch as grinding, heating, drying) and also environmental conditions (such as temperature, pH, ionic strength, dielectric constant of the surrounding solution and nature of the ions) </w:t>
      </w:r>
      <w:r w:rsidR="00B94A6A" w:rsidRPr="007759F0">
        <w:t>can modify the</w:t>
      </w:r>
      <w:r w:rsidR="004F1611">
        <w:t xml:space="preserve"> physical properties of the fib</w:t>
      </w:r>
      <w:r w:rsidR="00B94A6A" w:rsidRPr="007759F0">
        <w:t>e</w:t>
      </w:r>
      <w:r w:rsidR="00CB4084" w:rsidRPr="007759F0">
        <w:t>r</w:t>
      </w:r>
      <w:r w:rsidR="00B94A6A" w:rsidRPr="007759F0">
        <w:t xml:space="preserve"> matrix</w:t>
      </w:r>
      <w:r w:rsidR="004D3D9F" w:rsidRPr="007759F0">
        <w:t>.</w:t>
      </w:r>
      <w:r w:rsidR="00B94A6A" w:rsidRPr="007759F0">
        <w:t xml:space="preserve"> </w:t>
      </w:r>
      <w:r w:rsidR="004D3D9F" w:rsidRPr="007759F0">
        <w:t xml:space="preserve">More branching (like tragacanth gum), the presence of ionic groups (e.g. pectin </w:t>
      </w:r>
      <w:proofErr w:type="spellStart"/>
      <w:r w:rsidR="004D3D9F" w:rsidRPr="007759F0">
        <w:t>methoxylation</w:t>
      </w:r>
      <w:proofErr w:type="spellEnd"/>
      <w:r w:rsidR="004D3D9F" w:rsidRPr="007759F0">
        <w:t xml:space="preserve">) and the potential for inter unit positional bonding (like </w:t>
      </w:r>
      <w:r w:rsidR="004D3D9F" w:rsidRPr="007759F0">
        <w:rPr>
          <w:lang w:val="it-IT"/>
        </w:rPr>
        <w:t>β</w:t>
      </w:r>
      <w:r w:rsidR="004D3D9F" w:rsidRPr="007759F0">
        <w:t xml:space="preserve">-glucans with mixed </w:t>
      </w:r>
      <w:r w:rsidR="004D3D9F" w:rsidRPr="007759F0">
        <w:rPr>
          <w:lang w:val="it-IT"/>
        </w:rPr>
        <w:t>β</w:t>
      </w:r>
      <w:r w:rsidR="004D3D9F" w:rsidRPr="007759F0">
        <w:t xml:space="preserve">-1-3 and </w:t>
      </w:r>
      <w:r w:rsidR="004D3D9F" w:rsidRPr="007759F0">
        <w:rPr>
          <w:lang w:val="it-IT"/>
        </w:rPr>
        <w:t>β</w:t>
      </w:r>
      <w:r w:rsidR="004D3D9F" w:rsidRPr="007759F0">
        <w:t xml:space="preserve">-1-4 linkages) increase the solubility and </w:t>
      </w:r>
      <w:r w:rsidR="00CB4084" w:rsidRPr="007759F0">
        <w:t xml:space="preserve">can, therefore, </w:t>
      </w:r>
      <w:r w:rsidR="004D3D9F" w:rsidRPr="007759F0">
        <w:t>influence the characteristics of final products (Dhingra et al., 2012</w:t>
      </w:r>
      <w:r w:rsidR="008D7235">
        <w:t>).</w:t>
      </w:r>
      <w:r w:rsidR="00BC3277" w:rsidRPr="007759F0">
        <w:t xml:space="preserve"> </w:t>
      </w:r>
      <w:r w:rsidR="00B94A6A" w:rsidRPr="007759F0">
        <w:rPr>
          <w:lang w:val="en-GB"/>
        </w:rPr>
        <w:t>Samples were examined in o</w:t>
      </w:r>
      <w:r w:rsidR="00263729">
        <w:rPr>
          <w:lang w:val="en-GB"/>
        </w:rPr>
        <w:t>rder to evaluate the impact of e</w:t>
      </w:r>
      <w:r w:rsidR="00B94A6A" w:rsidRPr="007759F0">
        <w:rPr>
          <w:lang w:val="en-GB"/>
        </w:rPr>
        <w:t>ncapsulation</w:t>
      </w:r>
      <w:r w:rsidR="004F1611">
        <w:rPr>
          <w:lang w:val="en-GB"/>
        </w:rPr>
        <w:t xml:space="preserve"> </w:t>
      </w:r>
      <w:r w:rsidR="00B94A6A" w:rsidRPr="007759F0">
        <w:rPr>
          <w:lang w:val="en-GB"/>
        </w:rPr>
        <w:t>/</w:t>
      </w:r>
      <w:r w:rsidR="004F1611">
        <w:rPr>
          <w:lang w:val="en-GB"/>
        </w:rPr>
        <w:t xml:space="preserve"> </w:t>
      </w:r>
      <w:r w:rsidR="008D7235" w:rsidRPr="007759F0">
        <w:rPr>
          <w:lang w:val="en-GB"/>
        </w:rPr>
        <w:t>dehydration</w:t>
      </w:r>
      <w:r w:rsidR="00B94A6A" w:rsidRPr="007759F0">
        <w:rPr>
          <w:lang w:val="en-GB"/>
        </w:rPr>
        <w:t xml:space="preserve"> process and storage on oxidation-related parameters. </w:t>
      </w:r>
      <w:r w:rsidRPr="007759F0">
        <w:rPr>
          <w:lang w:val="en-GB"/>
        </w:rPr>
        <w:t xml:space="preserve">Just after lyophilization (Table </w:t>
      </w:r>
      <w:r w:rsidR="00361724" w:rsidRPr="007759F0">
        <w:rPr>
          <w:lang w:val="en-GB"/>
        </w:rPr>
        <w:t>3</w:t>
      </w:r>
      <w:r w:rsidRPr="007759F0">
        <w:rPr>
          <w:lang w:val="en-GB"/>
        </w:rPr>
        <w:t>), a residual moisture content was determinable solely in the samples with only fiber addition (6, 7</w:t>
      </w:r>
      <w:r w:rsidR="004E77CA" w:rsidRPr="007759F0">
        <w:rPr>
          <w:lang w:val="en-GB"/>
        </w:rPr>
        <w:t>, and 8). Higher acidity (90±2 and 86±1</w:t>
      </w:r>
      <w:r w:rsidRPr="007759F0">
        <w:rPr>
          <w:lang w:val="en-GB"/>
        </w:rPr>
        <w:t xml:space="preserve"> </w:t>
      </w:r>
      <w:proofErr w:type="spellStart"/>
      <w:r w:rsidRPr="007759F0">
        <w:rPr>
          <w:lang w:val="en-GB"/>
        </w:rPr>
        <w:t>meq</w:t>
      </w:r>
      <w:r w:rsidRPr="007759F0">
        <w:rPr>
          <w:vertAlign w:val="subscript"/>
          <w:lang w:val="en-GB"/>
        </w:rPr>
        <w:t>NaOH</w:t>
      </w:r>
      <w:proofErr w:type="spellEnd"/>
      <w:r w:rsidRPr="007759F0">
        <w:rPr>
          <w:lang w:val="en-GB"/>
        </w:rPr>
        <w:t xml:space="preserve">/100 </w:t>
      </w:r>
      <w:proofErr w:type="spellStart"/>
      <w:r w:rsidRPr="007759F0">
        <w:rPr>
          <w:lang w:val="en-GB"/>
        </w:rPr>
        <w:t>g</w:t>
      </w:r>
      <w:r w:rsidR="00172AEB">
        <w:rPr>
          <w:vertAlign w:val="subscript"/>
          <w:lang w:val="en-GB"/>
        </w:rPr>
        <w:t>dm</w:t>
      </w:r>
      <w:proofErr w:type="spellEnd"/>
      <w:r w:rsidRPr="00813AB8">
        <w:rPr>
          <w:lang w:val="en-GB"/>
        </w:rPr>
        <w:t>)</w:t>
      </w:r>
      <w:r w:rsidRPr="007759F0">
        <w:rPr>
          <w:vertAlign w:val="subscript"/>
          <w:lang w:val="en-GB"/>
        </w:rPr>
        <w:t xml:space="preserve"> </w:t>
      </w:r>
      <w:r w:rsidRPr="007759F0">
        <w:rPr>
          <w:lang w:val="en-GB"/>
        </w:rPr>
        <w:t>and lower pH (6.06±0.01 and 6.12±0.00) in samples 8 and 5, respectively, were clearly linked to the properties of the added pectin (pH = 3 - 4 from data sheet). Samples with inulin showed higher pH values (6.38±0.01 and 6.33±0.01 in 7 and 4, respectively), but rather high acidity levels (79±1</w:t>
      </w:r>
      <w:r w:rsidR="00813AB8">
        <w:rPr>
          <w:lang w:val="en-GB"/>
        </w:rPr>
        <w:t xml:space="preserve">, </w:t>
      </w:r>
      <w:r w:rsidRPr="007759F0">
        <w:rPr>
          <w:lang w:val="en-GB"/>
        </w:rPr>
        <w:t>and 84±2</w:t>
      </w:r>
      <w:r w:rsidR="004E77CA" w:rsidRPr="007759F0">
        <w:rPr>
          <w:lang w:val="en-GB"/>
        </w:rPr>
        <w:t xml:space="preserve"> </w:t>
      </w:r>
      <w:proofErr w:type="spellStart"/>
      <w:r w:rsidRPr="007759F0">
        <w:rPr>
          <w:lang w:val="en-GB"/>
        </w:rPr>
        <w:t>meq</w:t>
      </w:r>
      <w:r w:rsidRPr="007759F0">
        <w:rPr>
          <w:vertAlign w:val="subscript"/>
          <w:lang w:val="en-GB"/>
        </w:rPr>
        <w:t>NaOH</w:t>
      </w:r>
      <w:proofErr w:type="spellEnd"/>
      <w:r w:rsidRPr="00172AEB">
        <w:rPr>
          <w:lang w:val="en-GB"/>
        </w:rPr>
        <w:t xml:space="preserve">/100 </w:t>
      </w:r>
      <w:proofErr w:type="spellStart"/>
      <w:r w:rsidRPr="008D7235">
        <w:rPr>
          <w:lang w:val="en-GB"/>
        </w:rPr>
        <w:t>g</w:t>
      </w:r>
      <w:r w:rsidR="00172AEB" w:rsidRPr="008D7235">
        <w:rPr>
          <w:vertAlign w:val="subscript"/>
          <w:lang w:val="en-GB"/>
        </w:rPr>
        <w:t>dm</w:t>
      </w:r>
      <w:proofErr w:type="spellEnd"/>
      <w:r w:rsidRPr="008D7235">
        <w:rPr>
          <w:lang w:val="en-GB"/>
        </w:rPr>
        <w:t xml:space="preserve">). </w:t>
      </w:r>
      <w:r w:rsidRPr="007759F0">
        <w:rPr>
          <w:lang w:val="en-GB"/>
        </w:rPr>
        <w:t>Peroxide values were always negligible, indicating no significant differences among the different formulations. As peroxides, conjugated dienes reflect the degree of lipid oxidation at the primary level (Martinez et al., 2010</w:t>
      </w:r>
      <w:r w:rsidR="004F1611">
        <w:rPr>
          <w:lang w:val="en-GB"/>
        </w:rPr>
        <w:t>),</w:t>
      </w:r>
      <w:r w:rsidRPr="007759F0">
        <w:rPr>
          <w:lang w:val="en-GB"/>
        </w:rPr>
        <w:t xml:space="preserve"> oxidative effect was minimal (Ferreira et al., 2018), but slightly higher in sample 8. In general, comparing to the initial walnut paste </w:t>
      </w:r>
      <w:r w:rsidRPr="004F1611">
        <w:rPr>
          <w:lang w:val="en-GB"/>
        </w:rPr>
        <w:t xml:space="preserve">(Table </w:t>
      </w:r>
      <w:r w:rsidR="004F43ED" w:rsidRPr="004F1611">
        <w:rPr>
          <w:lang w:val="en-GB"/>
        </w:rPr>
        <w:t>2</w:t>
      </w:r>
      <w:r w:rsidRPr="004F1611">
        <w:rPr>
          <w:lang w:val="en-GB"/>
        </w:rPr>
        <w:t>)</w:t>
      </w:r>
      <w:r w:rsidR="00813AB8">
        <w:rPr>
          <w:lang w:val="en-GB"/>
        </w:rPr>
        <w:t>,</w:t>
      </w:r>
      <w:r w:rsidRPr="004F1611">
        <w:rPr>
          <w:lang w:val="en-GB"/>
        </w:rPr>
        <w:t xml:space="preserve"> total</w:t>
      </w:r>
      <w:r w:rsidRPr="007759F0">
        <w:rPr>
          <w:lang w:val="en-GB"/>
        </w:rPr>
        <w:t xml:space="preserve"> phenols were preserved through the </w:t>
      </w:r>
      <w:r w:rsidR="004F1611" w:rsidRPr="004F1611">
        <w:rPr>
          <w:lang w:val="en-GB"/>
        </w:rPr>
        <w:t>lyophilization</w:t>
      </w:r>
      <w:r w:rsidRPr="007759F0">
        <w:rPr>
          <w:lang w:val="en-GB"/>
        </w:rPr>
        <w:t xml:space="preserve"> process, when polysaccharides were added. The α-tocopherol levels were always lower in the treated samples, while δ-tocopherols and, in particular, γ-tocopherols had significantly lower values in samples 6, </w:t>
      </w:r>
      <w:r w:rsidR="00442C66" w:rsidRPr="007759F0">
        <w:rPr>
          <w:lang w:val="en-GB"/>
        </w:rPr>
        <w:t>7, and 8, containing only fiber</w:t>
      </w:r>
      <w:r w:rsidRPr="007759F0">
        <w:rPr>
          <w:lang w:val="en-GB"/>
        </w:rPr>
        <w:t xml:space="preserve"> with no maltodextrin and tragacanth gum addi</w:t>
      </w:r>
      <w:r w:rsidR="00BC3277" w:rsidRPr="007759F0">
        <w:rPr>
          <w:lang w:val="en-GB"/>
        </w:rPr>
        <w:t xml:space="preserve">tion. </w:t>
      </w:r>
      <w:r w:rsidRPr="007759F0">
        <w:rPr>
          <w:lang w:val="en-GB"/>
        </w:rPr>
        <w:t xml:space="preserve">However, a significant increase in γ-tocopherol content was observed in sample 1. According to </w:t>
      </w:r>
      <w:proofErr w:type="spellStart"/>
      <w:r w:rsidRPr="007759F0">
        <w:rPr>
          <w:lang w:val="en-GB"/>
        </w:rPr>
        <w:t>Vadya</w:t>
      </w:r>
      <w:proofErr w:type="spellEnd"/>
      <w:r w:rsidRPr="007759F0">
        <w:rPr>
          <w:lang w:val="en-GB"/>
        </w:rPr>
        <w:t xml:space="preserve"> and </w:t>
      </w:r>
      <w:proofErr w:type="spellStart"/>
      <w:r w:rsidRPr="007759F0">
        <w:rPr>
          <w:lang w:val="en-GB"/>
        </w:rPr>
        <w:t>Eun</w:t>
      </w:r>
      <w:proofErr w:type="spellEnd"/>
      <w:r w:rsidRPr="007759F0">
        <w:rPr>
          <w:lang w:val="en-GB"/>
        </w:rPr>
        <w:t xml:space="preserve"> (2013), tocopherols can be released during processes </w:t>
      </w:r>
      <w:r w:rsidR="005C0D62">
        <w:rPr>
          <w:lang w:val="en-GB"/>
        </w:rPr>
        <w:t>due to</w:t>
      </w:r>
      <w:r w:rsidRPr="007759F0">
        <w:rPr>
          <w:lang w:val="en-GB"/>
        </w:rPr>
        <w:t xml:space="preserve"> </w:t>
      </w:r>
      <w:r w:rsidR="005C0D62">
        <w:rPr>
          <w:lang w:val="en-GB"/>
        </w:rPr>
        <w:t xml:space="preserve">breaking of both </w:t>
      </w:r>
      <w:r w:rsidRPr="007759F0">
        <w:rPr>
          <w:lang w:val="en-GB"/>
        </w:rPr>
        <w:t>membrane and the bond between tocopherols and phospholipids or proteins.</w:t>
      </w:r>
      <w:r w:rsidR="004F43ED" w:rsidRPr="004F43ED">
        <w:t xml:space="preserve"> </w:t>
      </w:r>
    </w:p>
    <w:p w:rsidR="00D21070" w:rsidRPr="004F43ED" w:rsidRDefault="004F43ED" w:rsidP="000A78AB">
      <w:pPr>
        <w:pStyle w:val="CETBodytext"/>
        <w:rPr>
          <w:lang w:val="en-GB"/>
        </w:rPr>
      </w:pPr>
      <w:r w:rsidRPr="004F43ED">
        <w:rPr>
          <w:lang w:val="en-GB"/>
        </w:rPr>
        <w:lastRenderedPageBreak/>
        <w:t xml:space="preserve">In order to investigate the effect </w:t>
      </w:r>
      <w:r w:rsidR="008F4603">
        <w:rPr>
          <w:lang w:val="en-GB"/>
        </w:rPr>
        <w:t xml:space="preserve">of </w:t>
      </w:r>
      <w:r w:rsidRPr="004F43ED">
        <w:rPr>
          <w:lang w:val="en-GB"/>
        </w:rPr>
        <w:t xml:space="preserve">formulations on the oxidative </w:t>
      </w:r>
      <w:r w:rsidR="008F4603">
        <w:rPr>
          <w:lang w:val="en-GB"/>
        </w:rPr>
        <w:t>stability</w:t>
      </w:r>
      <w:r w:rsidRPr="004F43ED">
        <w:rPr>
          <w:lang w:val="en-GB"/>
        </w:rPr>
        <w:t xml:space="preserve"> of the samples, an accelerated storage test was performed. In general, pH reduction and in</w:t>
      </w:r>
      <w:r w:rsidR="008F4603">
        <w:rPr>
          <w:lang w:val="en-GB"/>
        </w:rPr>
        <w:t>crease in acidity were observed,</w:t>
      </w:r>
      <w:r w:rsidRPr="004F43ED">
        <w:rPr>
          <w:lang w:val="en-GB"/>
        </w:rPr>
        <w:t xml:space="preserve"> particular</w:t>
      </w:r>
      <w:r w:rsidR="008F4603">
        <w:rPr>
          <w:lang w:val="en-GB"/>
        </w:rPr>
        <w:t>ly in</w:t>
      </w:r>
      <w:r w:rsidRPr="004F43ED">
        <w:rPr>
          <w:lang w:val="en-GB"/>
        </w:rPr>
        <w:t xml:space="preserve"> sample 5 (102±2 </w:t>
      </w:r>
      <w:proofErr w:type="spellStart"/>
      <w:r w:rsidRPr="004F43ED">
        <w:rPr>
          <w:lang w:val="en-GB"/>
        </w:rPr>
        <w:t>meq</w:t>
      </w:r>
      <w:r w:rsidRPr="004F1611">
        <w:rPr>
          <w:vertAlign w:val="subscript"/>
          <w:lang w:val="en-GB"/>
        </w:rPr>
        <w:t>NaOH</w:t>
      </w:r>
      <w:proofErr w:type="spellEnd"/>
      <w:r w:rsidRPr="004F43ED">
        <w:rPr>
          <w:lang w:val="en-GB"/>
        </w:rPr>
        <w:t xml:space="preserve">/100 </w:t>
      </w:r>
      <w:proofErr w:type="spellStart"/>
      <w:r w:rsidRPr="008F4603">
        <w:rPr>
          <w:lang w:val="en-GB"/>
        </w:rPr>
        <w:t>g</w:t>
      </w:r>
      <w:r w:rsidR="00172AEB" w:rsidRPr="008F4603">
        <w:rPr>
          <w:vertAlign w:val="subscript"/>
          <w:lang w:val="en-GB"/>
        </w:rPr>
        <w:t>dm</w:t>
      </w:r>
      <w:proofErr w:type="spellEnd"/>
      <w:r w:rsidRPr="008F4603">
        <w:rPr>
          <w:lang w:val="en-GB"/>
        </w:rPr>
        <w:t>,</w:t>
      </w:r>
      <w:r w:rsidRPr="008F4603">
        <w:rPr>
          <w:vertAlign w:val="subscript"/>
          <w:lang w:val="en-GB"/>
        </w:rPr>
        <w:t xml:space="preserve"> </w:t>
      </w:r>
      <w:r w:rsidRPr="004F43ED">
        <w:rPr>
          <w:lang w:val="en-GB"/>
        </w:rPr>
        <w:t>pH=5.74±0.01).</w:t>
      </w:r>
    </w:p>
    <w:p w:rsidR="00590354" w:rsidRPr="005D526F" w:rsidRDefault="00590354" w:rsidP="00C91469">
      <w:pPr>
        <w:pStyle w:val="CETBodytext"/>
        <w:rPr>
          <w:lang w:val="en-GB"/>
        </w:rPr>
      </w:pPr>
    </w:p>
    <w:p w:rsidR="003F32E6" w:rsidRPr="005D526F" w:rsidRDefault="003F32E6" w:rsidP="003F32E6">
      <w:pPr>
        <w:pStyle w:val="CETBodytext"/>
        <w:rPr>
          <w:i/>
        </w:rPr>
      </w:pPr>
      <w:r w:rsidRPr="005D526F">
        <w:rPr>
          <w:i/>
        </w:rPr>
        <w:t xml:space="preserve">Table 3: </w:t>
      </w:r>
      <w:r w:rsidR="008F4603">
        <w:rPr>
          <w:i/>
        </w:rPr>
        <w:t xml:space="preserve">Characterization </w:t>
      </w:r>
      <w:r w:rsidRPr="005D526F">
        <w:rPr>
          <w:i/>
        </w:rPr>
        <w:t xml:space="preserve">of </w:t>
      </w:r>
      <w:r w:rsidR="008F4603">
        <w:rPr>
          <w:i/>
        </w:rPr>
        <w:t xml:space="preserve">walnut paste </w:t>
      </w:r>
      <w:r w:rsidRPr="005D526F">
        <w:rPr>
          <w:i/>
        </w:rPr>
        <w:t>freeze dried samples</w:t>
      </w:r>
      <w:r w:rsidRPr="005D526F">
        <w:t xml:space="preserve"> </w:t>
      </w:r>
      <w:r w:rsidRPr="005D526F">
        <w:rPr>
          <w:i/>
        </w:rPr>
        <w:t xml:space="preserve">just after </w:t>
      </w:r>
      <w:r w:rsidR="004F1611" w:rsidRPr="005D526F">
        <w:rPr>
          <w:i/>
        </w:rPr>
        <w:t>lyophilization</w:t>
      </w:r>
      <w:r w:rsidRPr="005D526F">
        <w:rPr>
          <w:i/>
        </w:rPr>
        <w:t>. Different superscript letters indicate statistically diffe</w:t>
      </w:r>
      <w:r w:rsidR="00450054">
        <w:rPr>
          <w:i/>
        </w:rPr>
        <w:t>rent values within each column (Tukey’s test).</w:t>
      </w:r>
      <w:r w:rsidRPr="005D526F">
        <w:rPr>
          <w:i/>
        </w:rPr>
        <w:t>*n.d.: not determined.**</w:t>
      </w:r>
      <w:r w:rsidRPr="005D526F">
        <w:t xml:space="preserve"> </w:t>
      </w:r>
      <w:proofErr w:type="spellStart"/>
      <w:r w:rsidRPr="005D526F">
        <w:rPr>
          <w:i/>
        </w:rPr>
        <w:t>toco</w:t>
      </w:r>
      <w:proofErr w:type="spellEnd"/>
      <w:r w:rsidRPr="005D526F">
        <w:rPr>
          <w:i/>
        </w:rPr>
        <w:t>: tocopherol.</w:t>
      </w:r>
    </w:p>
    <w:tbl>
      <w:tblPr>
        <w:tblW w:w="8906"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633"/>
        <w:gridCol w:w="805"/>
        <w:gridCol w:w="1149"/>
        <w:gridCol w:w="1263"/>
        <w:gridCol w:w="919"/>
        <w:gridCol w:w="1134"/>
        <w:gridCol w:w="907"/>
        <w:gridCol w:w="1134"/>
        <w:gridCol w:w="962"/>
      </w:tblGrid>
      <w:tr w:rsidR="003F32E6" w:rsidRPr="008F4603" w:rsidTr="005B76EC">
        <w:trPr>
          <w:trHeight w:val="237"/>
        </w:trPr>
        <w:tc>
          <w:tcPr>
            <w:tcW w:w="633" w:type="dxa"/>
            <w:tcBorders>
              <w:top w:val="single" w:sz="12" w:space="0" w:color="008000"/>
              <w:left w:val="nil"/>
              <w:bottom w:val="single" w:sz="6" w:space="0" w:color="008000"/>
              <w:right w:val="nil"/>
            </w:tcBorders>
            <w:shd w:val="clear" w:color="auto" w:fill="FFFFFF"/>
            <w:hideMark/>
          </w:tcPr>
          <w:p w:rsidR="003F32E6" w:rsidRPr="008F4603" w:rsidRDefault="003F32E6" w:rsidP="007759F0">
            <w:pPr>
              <w:pStyle w:val="CETBodytext"/>
              <w:jc w:val="left"/>
            </w:pPr>
            <w:r w:rsidRPr="008F4603">
              <w:t xml:space="preserve">Sample </w:t>
            </w:r>
          </w:p>
        </w:tc>
        <w:tc>
          <w:tcPr>
            <w:tcW w:w="805" w:type="dxa"/>
            <w:tcBorders>
              <w:top w:val="single" w:sz="12" w:space="0" w:color="008000"/>
              <w:left w:val="nil"/>
              <w:bottom w:val="single" w:sz="6" w:space="0" w:color="008000"/>
              <w:right w:val="nil"/>
            </w:tcBorders>
            <w:shd w:val="clear" w:color="auto" w:fill="FFFFFF"/>
            <w:hideMark/>
          </w:tcPr>
          <w:p w:rsidR="003F32E6" w:rsidRPr="008F4603" w:rsidRDefault="00B2403F" w:rsidP="007759F0">
            <w:pPr>
              <w:pStyle w:val="CETBodytext"/>
              <w:jc w:val="left"/>
            </w:pPr>
            <w:r w:rsidRPr="008F4603">
              <w:t xml:space="preserve"> </w:t>
            </w:r>
            <w:r w:rsidR="003F32E6" w:rsidRPr="008F4603">
              <w:t>Moisture</w:t>
            </w:r>
          </w:p>
          <w:p w:rsidR="003F32E6" w:rsidRPr="008F4603" w:rsidRDefault="00B2403F" w:rsidP="007759F0">
            <w:pPr>
              <w:pStyle w:val="CETBodytext"/>
              <w:jc w:val="left"/>
            </w:pPr>
            <w:r w:rsidRPr="008F4603">
              <w:t xml:space="preserve">     </w:t>
            </w:r>
            <w:r w:rsidR="003F32E6" w:rsidRPr="008F4603">
              <w:t>%</w:t>
            </w:r>
          </w:p>
        </w:tc>
        <w:tc>
          <w:tcPr>
            <w:tcW w:w="1149" w:type="dxa"/>
            <w:tcBorders>
              <w:top w:val="single" w:sz="12" w:space="0" w:color="008000"/>
              <w:left w:val="nil"/>
              <w:bottom w:val="single" w:sz="6" w:space="0" w:color="008000"/>
              <w:right w:val="nil"/>
            </w:tcBorders>
            <w:shd w:val="clear" w:color="auto" w:fill="FFFFFF"/>
            <w:hideMark/>
          </w:tcPr>
          <w:p w:rsidR="003F32E6" w:rsidRPr="008F4603" w:rsidRDefault="00B2403F" w:rsidP="007759F0">
            <w:pPr>
              <w:pStyle w:val="CETBodytext"/>
              <w:jc w:val="left"/>
            </w:pPr>
            <w:r w:rsidRPr="008F4603">
              <w:t xml:space="preserve">    </w:t>
            </w:r>
            <w:r w:rsidR="003F32E6" w:rsidRPr="008F4603">
              <w:t>Dienes</w:t>
            </w:r>
          </w:p>
          <w:p w:rsidR="003F32E6" w:rsidRPr="008F4603" w:rsidRDefault="00B2403F" w:rsidP="007759F0">
            <w:pPr>
              <w:pStyle w:val="CETBodytext"/>
              <w:jc w:val="left"/>
            </w:pPr>
            <w:r w:rsidRPr="008F4603">
              <w:t xml:space="preserve">    </w:t>
            </w:r>
            <w:r w:rsidR="003F32E6" w:rsidRPr="008F4603">
              <w:t>K</w:t>
            </w:r>
            <w:r w:rsidR="003F32E6" w:rsidRPr="008F4603">
              <w:rPr>
                <w:vertAlign w:val="subscript"/>
              </w:rPr>
              <w:t>232nm</w:t>
            </w:r>
          </w:p>
        </w:tc>
        <w:tc>
          <w:tcPr>
            <w:tcW w:w="1263" w:type="dxa"/>
            <w:tcBorders>
              <w:top w:val="single" w:sz="12" w:space="0" w:color="008000"/>
              <w:left w:val="nil"/>
              <w:bottom w:val="single" w:sz="6" w:space="0" w:color="008000"/>
              <w:right w:val="nil"/>
            </w:tcBorders>
            <w:shd w:val="clear" w:color="auto" w:fill="FFFFFF"/>
            <w:hideMark/>
          </w:tcPr>
          <w:p w:rsidR="003F32E6" w:rsidRPr="008F4603" w:rsidRDefault="00B2403F" w:rsidP="007759F0">
            <w:pPr>
              <w:pStyle w:val="CETBodytext"/>
              <w:jc w:val="left"/>
            </w:pPr>
            <w:r w:rsidRPr="008F4603">
              <w:t xml:space="preserve">  </w:t>
            </w:r>
            <w:proofErr w:type="spellStart"/>
            <w:r w:rsidR="003F32E6" w:rsidRPr="008F4603">
              <w:t>Trienes</w:t>
            </w:r>
            <w:proofErr w:type="spellEnd"/>
          </w:p>
          <w:p w:rsidR="003F32E6" w:rsidRPr="008F4603" w:rsidRDefault="00B2403F" w:rsidP="007759F0">
            <w:pPr>
              <w:pStyle w:val="CETBodytext"/>
              <w:jc w:val="left"/>
            </w:pPr>
            <w:r w:rsidRPr="008F4603">
              <w:t xml:space="preserve">   </w:t>
            </w:r>
            <w:r w:rsidR="003F32E6" w:rsidRPr="008F4603">
              <w:t>K</w:t>
            </w:r>
            <w:r w:rsidR="003F32E6" w:rsidRPr="008F4603">
              <w:rPr>
                <w:vertAlign w:val="subscript"/>
              </w:rPr>
              <w:t>270nm</w:t>
            </w:r>
          </w:p>
        </w:tc>
        <w:tc>
          <w:tcPr>
            <w:tcW w:w="919" w:type="dxa"/>
            <w:tcBorders>
              <w:top w:val="single" w:sz="12" w:space="0" w:color="008000"/>
              <w:left w:val="nil"/>
              <w:bottom w:val="single" w:sz="6" w:space="0" w:color="008000"/>
              <w:right w:val="nil"/>
            </w:tcBorders>
            <w:shd w:val="clear" w:color="auto" w:fill="FFFFFF"/>
            <w:hideMark/>
          </w:tcPr>
          <w:p w:rsidR="003F32E6" w:rsidRPr="008F4603" w:rsidRDefault="003F32E6" w:rsidP="007759F0">
            <w:pPr>
              <w:pStyle w:val="CETBodytext"/>
              <w:jc w:val="left"/>
            </w:pPr>
            <w:r w:rsidRPr="008F4603">
              <w:t>Peroxides</w:t>
            </w:r>
          </w:p>
          <w:p w:rsidR="003F32E6" w:rsidRPr="008F4603" w:rsidRDefault="003F32E6" w:rsidP="007759F0">
            <w:pPr>
              <w:pStyle w:val="CETBodytext"/>
              <w:jc w:val="left"/>
            </w:pPr>
            <w:r w:rsidRPr="008F4603">
              <w:t>m</w:t>
            </w:r>
            <w:r w:rsidRPr="008F4603">
              <w:rPr>
                <w:vertAlign w:val="subscript"/>
              </w:rPr>
              <w:t>eq</w:t>
            </w:r>
            <w:r w:rsidRPr="008F4603">
              <w:t>O</w:t>
            </w:r>
            <w:r w:rsidRPr="008F4603">
              <w:rPr>
                <w:vertAlign w:val="subscript"/>
              </w:rPr>
              <w:t>2</w:t>
            </w:r>
            <w:r w:rsidRPr="008F4603">
              <w:t>/</w:t>
            </w:r>
            <w:proofErr w:type="spellStart"/>
            <w:r w:rsidRPr="008F4603">
              <w:t>kg</w:t>
            </w:r>
            <w:r w:rsidRPr="008F4603">
              <w:rPr>
                <w:vertAlign w:val="subscript"/>
              </w:rPr>
              <w:t>oil</w:t>
            </w:r>
            <w:proofErr w:type="spellEnd"/>
          </w:p>
        </w:tc>
        <w:tc>
          <w:tcPr>
            <w:tcW w:w="1134" w:type="dxa"/>
            <w:tcBorders>
              <w:top w:val="single" w:sz="12" w:space="0" w:color="008000"/>
              <w:left w:val="nil"/>
              <w:bottom w:val="single" w:sz="6" w:space="0" w:color="008000"/>
              <w:right w:val="nil"/>
            </w:tcBorders>
            <w:shd w:val="clear" w:color="auto" w:fill="FFFFFF"/>
            <w:hideMark/>
          </w:tcPr>
          <w:p w:rsidR="00B2403F" w:rsidRPr="008F4603" w:rsidRDefault="00A959E3" w:rsidP="007759F0">
            <w:pPr>
              <w:pStyle w:val="CETBodytext"/>
              <w:jc w:val="left"/>
            </w:pPr>
            <w:r>
              <w:t xml:space="preserve">Total </w:t>
            </w:r>
            <w:r w:rsidR="00B2403F" w:rsidRPr="008F4603">
              <w:t>phenols</w:t>
            </w:r>
          </w:p>
          <w:p w:rsidR="003F32E6" w:rsidRPr="008F4603" w:rsidRDefault="003F32E6" w:rsidP="007759F0">
            <w:pPr>
              <w:pStyle w:val="CETBodytext"/>
              <w:jc w:val="left"/>
            </w:pPr>
            <w:proofErr w:type="spellStart"/>
            <w:r w:rsidRPr="008F4603">
              <w:t>mg</w:t>
            </w:r>
            <w:r w:rsidRPr="008F4603">
              <w:rPr>
                <w:vertAlign w:val="subscript"/>
              </w:rPr>
              <w:t>GAE</w:t>
            </w:r>
            <w:proofErr w:type="spellEnd"/>
            <w:r w:rsidRPr="008F4603">
              <w:t>/100g</w:t>
            </w:r>
            <w:r w:rsidR="00172AEB" w:rsidRPr="008D7235">
              <w:rPr>
                <w:vertAlign w:val="subscript"/>
              </w:rPr>
              <w:t>dm</w:t>
            </w:r>
          </w:p>
        </w:tc>
        <w:tc>
          <w:tcPr>
            <w:tcW w:w="907" w:type="dxa"/>
            <w:tcBorders>
              <w:top w:val="single" w:sz="12" w:space="0" w:color="008000"/>
              <w:left w:val="nil"/>
              <w:bottom w:val="single" w:sz="6" w:space="0" w:color="008000"/>
              <w:right w:val="nil"/>
            </w:tcBorders>
            <w:shd w:val="clear" w:color="auto" w:fill="FFFFFF"/>
            <w:hideMark/>
          </w:tcPr>
          <w:p w:rsidR="003F32E6" w:rsidRPr="008F4603" w:rsidRDefault="003F32E6" w:rsidP="007759F0">
            <w:pPr>
              <w:pStyle w:val="CETBodytext"/>
              <w:jc w:val="left"/>
              <w:rPr>
                <w:lang w:val="pt-BR"/>
              </w:rPr>
            </w:pPr>
            <w:r w:rsidRPr="008F4603">
              <w:t>α</w:t>
            </w:r>
            <w:r w:rsidRPr="008F4603">
              <w:rPr>
                <w:lang w:val="pt-BR"/>
              </w:rPr>
              <w:t>-toco*</w:t>
            </w:r>
          </w:p>
          <w:p w:rsidR="003F32E6" w:rsidRPr="008F4603" w:rsidRDefault="003F32E6" w:rsidP="007759F0">
            <w:pPr>
              <w:pStyle w:val="CETBodytext"/>
              <w:jc w:val="left"/>
              <w:rPr>
                <w:lang w:val="pt-BR"/>
              </w:rPr>
            </w:pPr>
            <w:r w:rsidRPr="008F4603">
              <w:rPr>
                <w:lang w:val="pt-BR"/>
              </w:rPr>
              <w:t>mg/kg</w:t>
            </w:r>
            <w:r w:rsidR="00172AEB" w:rsidRPr="008F4603">
              <w:rPr>
                <w:vertAlign w:val="subscript"/>
                <w:lang w:val="pt-BR"/>
              </w:rPr>
              <w:t>dm</w:t>
            </w:r>
          </w:p>
        </w:tc>
        <w:tc>
          <w:tcPr>
            <w:tcW w:w="1134" w:type="dxa"/>
            <w:tcBorders>
              <w:top w:val="single" w:sz="12" w:space="0" w:color="008000"/>
              <w:left w:val="nil"/>
              <w:bottom w:val="single" w:sz="6" w:space="0" w:color="008000"/>
              <w:right w:val="nil"/>
            </w:tcBorders>
            <w:shd w:val="clear" w:color="auto" w:fill="FFFFFF"/>
            <w:hideMark/>
          </w:tcPr>
          <w:p w:rsidR="003F32E6" w:rsidRPr="008F4603" w:rsidRDefault="003F32E6" w:rsidP="007759F0">
            <w:pPr>
              <w:pStyle w:val="CETBodytext"/>
              <w:jc w:val="left"/>
              <w:rPr>
                <w:lang w:val="pt-BR"/>
              </w:rPr>
            </w:pPr>
            <w:r w:rsidRPr="008F4603">
              <w:t>γ</w:t>
            </w:r>
            <w:r w:rsidRPr="008F4603">
              <w:rPr>
                <w:lang w:val="pt-BR"/>
              </w:rPr>
              <w:t>-toco</w:t>
            </w:r>
          </w:p>
          <w:p w:rsidR="003F32E6" w:rsidRPr="008F4603" w:rsidRDefault="003F32E6" w:rsidP="007759F0">
            <w:pPr>
              <w:pStyle w:val="CETBodytext"/>
              <w:jc w:val="left"/>
              <w:rPr>
                <w:lang w:val="it-IT"/>
              </w:rPr>
            </w:pPr>
            <w:r w:rsidRPr="008F4603">
              <w:rPr>
                <w:lang w:val="pt-BR"/>
              </w:rPr>
              <w:t>mg/kg</w:t>
            </w:r>
            <w:r w:rsidRPr="008D7235">
              <w:rPr>
                <w:vertAlign w:val="subscript"/>
              </w:rPr>
              <w:t>d</w:t>
            </w:r>
            <w:r w:rsidR="00172AEB" w:rsidRPr="008D7235">
              <w:rPr>
                <w:vertAlign w:val="subscript"/>
              </w:rPr>
              <w:t>m</w:t>
            </w:r>
          </w:p>
        </w:tc>
        <w:tc>
          <w:tcPr>
            <w:tcW w:w="962" w:type="dxa"/>
            <w:tcBorders>
              <w:top w:val="single" w:sz="12" w:space="0" w:color="008000"/>
              <w:left w:val="nil"/>
              <w:bottom w:val="single" w:sz="6" w:space="0" w:color="008000"/>
              <w:right w:val="nil"/>
            </w:tcBorders>
            <w:shd w:val="clear" w:color="auto" w:fill="FFFFFF"/>
            <w:hideMark/>
          </w:tcPr>
          <w:p w:rsidR="003F32E6" w:rsidRPr="008F4603" w:rsidRDefault="003F32E6" w:rsidP="007759F0">
            <w:pPr>
              <w:pStyle w:val="CETBodytext"/>
              <w:jc w:val="left"/>
              <w:rPr>
                <w:lang w:val="it-IT"/>
              </w:rPr>
            </w:pPr>
            <w:r w:rsidRPr="008F4603">
              <w:t>δ</w:t>
            </w:r>
            <w:r w:rsidRPr="008F4603">
              <w:rPr>
                <w:lang w:val="it-IT"/>
              </w:rPr>
              <w:t>-toco</w:t>
            </w:r>
          </w:p>
          <w:p w:rsidR="003F32E6" w:rsidRPr="008F4603" w:rsidRDefault="003F32E6" w:rsidP="007759F0">
            <w:pPr>
              <w:pStyle w:val="CETBodytext"/>
              <w:jc w:val="left"/>
              <w:rPr>
                <w:lang w:val="it-IT"/>
              </w:rPr>
            </w:pPr>
            <w:r w:rsidRPr="008F4603">
              <w:rPr>
                <w:lang w:val="it-IT"/>
              </w:rPr>
              <w:t>mg/kg</w:t>
            </w:r>
            <w:r w:rsidR="00172AEB" w:rsidRPr="008D7235">
              <w:rPr>
                <w:vertAlign w:val="subscript"/>
              </w:rPr>
              <w:t>dm</w:t>
            </w:r>
          </w:p>
        </w:tc>
      </w:tr>
      <w:tr w:rsidR="003F32E6" w:rsidRPr="008F4603" w:rsidTr="005B76EC">
        <w:trPr>
          <w:trHeight w:val="249"/>
        </w:trPr>
        <w:tc>
          <w:tcPr>
            <w:tcW w:w="633"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1</w:t>
            </w:r>
          </w:p>
        </w:tc>
        <w:tc>
          <w:tcPr>
            <w:tcW w:w="805" w:type="dxa"/>
            <w:tcBorders>
              <w:top w:val="nil"/>
              <w:left w:val="nil"/>
              <w:bottom w:val="nil"/>
              <w:right w:val="nil"/>
            </w:tcBorders>
            <w:shd w:val="clear" w:color="auto" w:fill="FFFFFF"/>
            <w:hideMark/>
          </w:tcPr>
          <w:p w:rsidR="003F32E6" w:rsidRPr="008F4603" w:rsidRDefault="00B2403F" w:rsidP="007759F0">
            <w:pPr>
              <w:pStyle w:val="CETBodytext"/>
              <w:jc w:val="left"/>
            </w:pPr>
            <w:r w:rsidRPr="008F4603">
              <w:t xml:space="preserve">  </w:t>
            </w:r>
            <w:r w:rsidR="00172AEB" w:rsidRPr="008F4603">
              <w:t xml:space="preserve"> </w:t>
            </w:r>
            <w:r w:rsidR="003F32E6" w:rsidRPr="008F4603">
              <w:t>n.d.*</w:t>
            </w:r>
          </w:p>
        </w:tc>
        <w:tc>
          <w:tcPr>
            <w:tcW w:w="1149"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1.072±0.053</w:t>
            </w:r>
            <w:r w:rsidRPr="008F4603">
              <w:rPr>
                <w:vertAlign w:val="superscript"/>
              </w:rPr>
              <w:t>c</w:t>
            </w:r>
          </w:p>
        </w:tc>
        <w:tc>
          <w:tcPr>
            <w:tcW w:w="1263"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0.036±0.006</w:t>
            </w:r>
            <w:r w:rsidRPr="008F4603">
              <w:rPr>
                <w:vertAlign w:val="superscript"/>
              </w:rPr>
              <w:t>c</w:t>
            </w:r>
          </w:p>
        </w:tc>
        <w:tc>
          <w:tcPr>
            <w:tcW w:w="919" w:type="dxa"/>
            <w:tcBorders>
              <w:top w:val="nil"/>
              <w:left w:val="nil"/>
              <w:bottom w:val="nil"/>
              <w:right w:val="nil"/>
            </w:tcBorders>
            <w:shd w:val="clear" w:color="auto" w:fill="FFFFFF"/>
            <w:hideMark/>
          </w:tcPr>
          <w:p w:rsidR="003F32E6" w:rsidRPr="008F4603" w:rsidRDefault="00B2403F" w:rsidP="007759F0">
            <w:pPr>
              <w:pStyle w:val="CETBodytext"/>
              <w:jc w:val="left"/>
            </w:pPr>
            <w:r w:rsidRPr="008F4603">
              <w:t xml:space="preserve">    </w:t>
            </w:r>
            <w:proofErr w:type="spellStart"/>
            <w:r w:rsidR="003F32E6" w:rsidRPr="008F4603">
              <w:t>n.d.</w:t>
            </w:r>
            <w:proofErr w:type="spellEnd"/>
          </w:p>
        </w:tc>
        <w:tc>
          <w:tcPr>
            <w:tcW w:w="1134"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18.97±3.00</w:t>
            </w:r>
            <w:r w:rsidR="005B76EC" w:rsidRPr="008F4603">
              <w:rPr>
                <w:vertAlign w:val="superscript"/>
              </w:rPr>
              <w:t>d</w:t>
            </w:r>
          </w:p>
        </w:tc>
        <w:tc>
          <w:tcPr>
            <w:tcW w:w="907"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1.75±0.06</w:t>
            </w:r>
            <w:r w:rsidR="005B76EC" w:rsidRPr="008F4603">
              <w:rPr>
                <w:vertAlign w:val="superscript"/>
              </w:rPr>
              <w:t>a</w:t>
            </w:r>
          </w:p>
        </w:tc>
        <w:tc>
          <w:tcPr>
            <w:tcW w:w="1134"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141.04±0.89</w:t>
            </w:r>
            <w:r w:rsidR="005B76EC" w:rsidRPr="008F4603">
              <w:rPr>
                <w:vertAlign w:val="superscript"/>
              </w:rPr>
              <w:t>a</w:t>
            </w:r>
          </w:p>
        </w:tc>
        <w:tc>
          <w:tcPr>
            <w:tcW w:w="962"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0.52±0.02</w:t>
            </w:r>
            <w:r w:rsidR="005B76EC" w:rsidRPr="008F4603">
              <w:rPr>
                <w:vertAlign w:val="superscript"/>
              </w:rPr>
              <w:t>a</w:t>
            </w:r>
          </w:p>
        </w:tc>
      </w:tr>
      <w:tr w:rsidR="003F32E6" w:rsidRPr="008F4603" w:rsidTr="005B76EC">
        <w:trPr>
          <w:trHeight w:val="249"/>
        </w:trPr>
        <w:tc>
          <w:tcPr>
            <w:tcW w:w="633"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2</w:t>
            </w:r>
          </w:p>
        </w:tc>
        <w:tc>
          <w:tcPr>
            <w:tcW w:w="805" w:type="dxa"/>
            <w:tcBorders>
              <w:top w:val="nil"/>
              <w:left w:val="nil"/>
              <w:bottom w:val="nil"/>
              <w:right w:val="nil"/>
            </w:tcBorders>
            <w:shd w:val="clear" w:color="auto" w:fill="FFFFFF"/>
            <w:hideMark/>
          </w:tcPr>
          <w:p w:rsidR="003F32E6" w:rsidRPr="008F4603" w:rsidRDefault="00B2403F" w:rsidP="007759F0">
            <w:pPr>
              <w:pStyle w:val="CETBodytext"/>
              <w:jc w:val="left"/>
            </w:pPr>
            <w:r w:rsidRPr="008F4603">
              <w:t xml:space="preserve">  </w:t>
            </w:r>
            <w:r w:rsidR="00172AEB" w:rsidRPr="008F4603">
              <w:t xml:space="preserve"> </w:t>
            </w:r>
            <w:proofErr w:type="spellStart"/>
            <w:r w:rsidR="003F32E6" w:rsidRPr="008F4603">
              <w:t>n.d.</w:t>
            </w:r>
            <w:proofErr w:type="spellEnd"/>
          </w:p>
        </w:tc>
        <w:tc>
          <w:tcPr>
            <w:tcW w:w="1149"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1.157±0.024</w:t>
            </w:r>
            <w:r w:rsidRPr="008F4603">
              <w:rPr>
                <w:vertAlign w:val="superscript"/>
              </w:rPr>
              <w:t>bc</w:t>
            </w:r>
          </w:p>
        </w:tc>
        <w:tc>
          <w:tcPr>
            <w:tcW w:w="1263"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0.065±0.008</w:t>
            </w:r>
            <w:r w:rsidRPr="008F4603">
              <w:rPr>
                <w:vertAlign w:val="superscript"/>
              </w:rPr>
              <w:t>bc</w:t>
            </w:r>
          </w:p>
        </w:tc>
        <w:tc>
          <w:tcPr>
            <w:tcW w:w="919" w:type="dxa"/>
            <w:tcBorders>
              <w:top w:val="nil"/>
              <w:left w:val="nil"/>
              <w:bottom w:val="nil"/>
              <w:right w:val="nil"/>
            </w:tcBorders>
            <w:shd w:val="clear" w:color="auto" w:fill="FFFFFF"/>
            <w:hideMark/>
          </w:tcPr>
          <w:p w:rsidR="003F32E6" w:rsidRPr="008F4603" w:rsidRDefault="00B2403F" w:rsidP="007759F0">
            <w:pPr>
              <w:pStyle w:val="CETBodytext"/>
              <w:jc w:val="left"/>
            </w:pPr>
            <w:r w:rsidRPr="008F4603">
              <w:t xml:space="preserve">    </w:t>
            </w:r>
            <w:proofErr w:type="spellStart"/>
            <w:r w:rsidR="003F32E6" w:rsidRPr="008F4603">
              <w:t>n.d.</w:t>
            </w:r>
            <w:proofErr w:type="spellEnd"/>
          </w:p>
        </w:tc>
        <w:tc>
          <w:tcPr>
            <w:tcW w:w="1134"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30.28±0.67</w:t>
            </w:r>
            <w:r w:rsidR="005B76EC" w:rsidRPr="008F4603">
              <w:rPr>
                <w:vertAlign w:val="superscript"/>
              </w:rPr>
              <w:t>bc</w:t>
            </w:r>
          </w:p>
        </w:tc>
        <w:tc>
          <w:tcPr>
            <w:tcW w:w="907"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1.62±0.39</w:t>
            </w:r>
            <w:r w:rsidR="005B76EC" w:rsidRPr="008F4603">
              <w:rPr>
                <w:vertAlign w:val="superscript"/>
              </w:rPr>
              <w:t>a</w:t>
            </w:r>
          </w:p>
        </w:tc>
        <w:tc>
          <w:tcPr>
            <w:tcW w:w="1134"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89.97±26.69</w:t>
            </w:r>
            <w:r w:rsidR="005B76EC" w:rsidRPr="008F4603">
              <w:rPr>
                <w:vertAlign w:val="superscript"/>
              </w:rPr>
              <w:t>b</w:t>
            </w:r>
          </w:p>
        </w:tc>
        <w:tc>
          <w:tcPr>
            <w:tcW w:w="962"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0.48±0.11</w:t>
            </w:r>
            <w:r w:rsidR="005B76EC" w:rsidRPr="008F4603">
              <w:rPr>
                <w:vertAlign w:val="superscript"/>
              </w:rPr>
              <w:t>a</w:t>
            </w:r>
          </w:p>
        </w:tc>
      </w:tr>
      <w:tr w:rsidR="003F32E6" w:rsidRPr="008F4603" w:rsidTr="005B76EC">
        <w:trPr>
          <w:trHeight w:val="249"/>
        </w:trPr>
        <w:tc>
          <w:tcPr>
            <w:tcW w:w="633"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3</w:t>
            </w:r>
          </w:p>
        </w:tc>
        <w:tc>
          <w:tcPr>
            <w:tcW w:w="805" w:type="dxa"/>
            <w:tcBorders>
              <w:top w:val="nil"/>
              <w:left w:val="nil"/>
              <w:bottom w:val="nil"/>
              <w:right w:val="nil"/>
            </w:tcBorders>
            <w:shd w:val="clear" w:color="auto" w:fill="FFFFFF"/>
            <w:hideMark/>
          </w:tcPr>
          <w:p w:rsidR="003F32E6" w:rsidRPr="008F4603" w:rsidRDefault="00B2403F" w:rsidP="007759F0">
            <w:pPr>
              <w:pStyle w:val="CETBodytext"/>
              <w:jc w:val="left"/>
            </w:pPr>
            <w:r w:rsidRPr="008F4603">
              <w:t xml:space="preserve">  </w:t>
            </w:r>
            <w:r w:rsidR="00172AEB" w:rsidRPr="008F4603">
              <w:t xml:space="preserve"> </w:t>
            </w:r>
            <w:proofErr w:type="spellStart"/>
            <w:r w:rsidR="003F32E6" w:rsidRPr="008F4603">
              <w:t>n.d.</w:t>
            </w:r>
            <w:proofErr w:type="spellEnd"/>
          </w:p>
        </w:tc>
        <w:tc>
          <w:tcPr>
            <w:tcW w:w="1149"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1.218±0.037</w:t>
            </w:r>
            <w:r w:rsidRPr="008F4603">
              <w:rPr>
                <w:vertAlign w:val="superscript"/>
              </w:rPr>
              <w:t>b</w:t>
            </w:r>
          </w:p>
        </w:tc>
        <w:tc>
          <w:tcPr>
            <w:tcW w:w="1263"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0.082±0.016</w:t>
            </w:r>
            <w:r w:rsidRPr="008F4603">
              <w:rPr>
                <w:vertAlign w:val="superscript"/>
              </w:rPr>
              <w:t>abc</w:t>
            </w:r>
          </w:p>
        </w:tc>
        <w:tc>
          <w:tcPr>
            <w:tcW w:w="919" w:type="dxa"/>
            <w:tcBorders>
              <w:top w:val="nil"/>
              <w:left w:val="nil"/>
              <w:bottom w:val="nil"/>
              <w:right w:val="nil"/>
            </w:tcBorders>
            <w:shd w:val="clear" w:color="auto" w:fill="FFFFFF"/>
            <w:hideMark/>
          </w:tcPr>
          <w:p w:rsidR="003F32E6" w:rsidRPr="008F4603" w:rsidRDefault="00B2403F" w:rsidP="007759F0">
            <w:pPr>
              <w:pStyle w:val="CETBodytext"/>
              <w:jc w:val="left"/>
            </w:pPr>
            <w:r w:rsidRPr="008F4603">
              <w:t xml:space="preserve">    </w:t>
            </w:r>
            <w:proofErr w:type="spellStart"/>
            <w:r w:rsidR="003F32E6" w:rsidRPr="008F4603">
              <w:t>n.d.</w:t>
            </w:r>
            <w:proofErr w:type="spellEnd"/>
          </w:p>
        </w:tc>
        <w:tc>
          <w:tcPr>
            <w:tcW w:w="1134"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23.23±2.12</w:t>
            </w:r>
            <w:r w:rsidR="005B76EC" w:rsidRPr="008F4603">
              <w:rPr>
                <w:vertAlign w:val="superscript"/>
              </w:rPr>
              <w:t>cd</w:t>
            </w:r>
          </w:p>
        </w:tc>
        <w:tc>
          <w:tcPr>
            <w:tcW w:w="907"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1.86±0.04</w:t>
            </w:r>
            <w:r w:rsidR="005B76EC" w:rsidRPr="008F4603">
              <w:rPr>
                <w:vertAlign w:val="superscript"/>
              </w:rPr>
              <w:t>a</w:t>
            </w:r>
          </w:p>
        </w:tc>
        <w:tc>
          <w:tcPr>
            <w:tcW w:w="1134"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55.41±0.66</w:t>
            </w:r>
            <w:r w:rsidR="005B76EC" w:rsidRPr="008F4603">
              <w:rPr>
                <w:vertAlign w:val="superscript"/>
              </w:rPr>
              <w:t>c</w:t>
            </w:r>
          </w:p>
        </w:tc>
        <w:tc>
          <w:tcPr>
            <w:tcW w:w="962"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0.46±0.02</w:t>
            </w:r>
            <w:r w:rsidR="005B76EC" w:rsidRPr="008F4603">
              <w:rPr>
                <w:vertAlign w:val="superscript"/>
              </w:rPr>
              <w:t>a</w:t>
            </w:r>
          </w:p>
        </w:tc>
      </w:tr>
      <w:tr w:rsidR="003F32E6" w:rsidRPr="008F4603" w:rsidTr="005B76EC">
        <w:trPr>
          <w:trHeight w:val="249"/>
        </w:trPr>
        <w:tc>
          <w:tcPr>
            <w:tcW w:w="633"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4</w:t>
            </w:r>
          </w:p>
        </w:tc>
        <w:tc>
          <w:tcPr>
            <w:tcW w:w="805" w:type="dxa"/>
            <w:tcBorders>
              <w:top w:val="nil"/>
              <w:left w:val="nil"/>
              <w:bottom w:val="nil"/>
              <w:right w:val="nil"/>
            </w:tcBorders>
            <w:shd w:val="clear" w:color="auto" w:fill="FFFFFF"/>
            <w:hideMark/>
          </w:tcPr>
          <w:p w:rsidR="003F32E6" w:rsidRPr="008F4603" w:rsidRDefault="00B2403F" w:rsidP="007759F0">
            <w:pPr>
              <w:pStyle w:val="CETBodytext"/>
              <w:jc w:val="left"/>
            </w:pPr>
            <w:r w:rsidRPr="008F4603">
              <w:t xml:space="preserve">  </w:t>
            </w:r>
            <w:r w:rsidR="00172AEB" w:rsidRPr="008F4603">
              <w:t xml:space="preserve"> </w:t>
            </w:r>
            <w:proofErr w:type="spellStart"/>
            <w:r w:rsidR="003F32E6" w:rsidRPr="008F4603">
              <w:t>n.d.</w:t>
            </w:r>
            <w:proofErr w:type="spellEnd"/>
          </w:p>
        </w:tc>
        <w:tc>
          <w:tcPr>
            <w:tcW w:w="1149"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1.245±0.041</w:t>
            </w:r>
            <w:r w:rsidRPr="008F4603">
              <w:rPr>
                <w:vertAlign w:val="superscript"/>
              </w:rPr>
              <w:t>b</w:t>
            </w:r>
          </w:p>
        </w:tc>
        <w:tc>
          <w:tcPr>
            <w:tcW w:w="1263"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0.068±0.013</w:t>
            </w:r>
            <w:r w:rsidRPr="008F4603">
              <w:rPr>
                <w:vertAlign w:val="superscript"/>
              </w:rPr>
              <w:t>abc</w:t>
            </w:r>
          </w:p>
        </w:tc>
        <w:tc>
          <w:tcPr>
            <w:tcW w:w="919" w:type="dxa"/>
            <w:tcBorders>
              <w:top w:val="nil"/>
              <w:left w:val="nil"/>
              <w:bottom w:val="nil"/>
              <w:right w:val="nil"/>
            </w:tcBorders>
            <w:shd w:val="clear" w:color="auto" w:fill="FFFFFF"/>
            <w:hideMark/>
          </w:tcPr>
          <w:p w:rsidR="003F32E6" w:rsidRPr="008F4603" w:rsidRDefault="00B2403F" w:rsidP="007759F0">
            <w:pPr>
              <w:pStyle w:val="CETBodytext"/>
              <w:jc w:val="left"/>
            </w:pPr>
            <w:r w:rsidRPr="008F4603">
              <w:t xml:space="preserve">    </w:t>
            </w:r>
            <w:proofErr w:type="spellStart"/>
            <w:r w:rsidR="003F32E6" w:rsidRPr="008F4603">
              <w:t>n.d.</w:t>
            </w:r>
            <w:proofErr w:type="spellEnd"/>
          </w:p>
        </w:tc>
        <w:tc>
          <w:tcPr>
            <w:tcW w:w="1134"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34.83±8.55</w:t>
            </w:r>
            <w:r w:rsidR="005B76EC" w:rsidRPr="008F4603">
              <w:rPr>
                <w:vertAlign w:val="superscript"/>
              </w:rPr>
              <w:t>b</w:t>
            </w:r>
          </w:p>
        </w:tc>
        <w:tc>
          <w:tcPr>
            <w:tcW w:w="907"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0.43±0.04</w:t>
            </w:r>
            <w:r w:rsidR="005B76EC" w:rsidRPr="008F4603">
              <w:rPr>
                <w:vertAlign w:val="superscript"/>
              </w:rPr>
              <w:t>b</w:t>
            </w:r>
          </w:p>
        </w:tc>
        <w:tc>
          <w:tcPr>
            <w:tcW w:w="1134"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31.46±13.39</w:t>
            </w:r>
            <w:r w:rsidR="005B76EC" w:rsidRPr="008F4603">
              <w:rPr>
                <w:vertAlign w:val="superscript"/>
              </w:rPr>
              <w:t>cd</w:t>
            </w:r>
          </w:p>
        </w:tc>
        <w:tc>
          <w:tcPr>
            <w:tcW w:w="962"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0.26±0.09</w:t>
            </w:r>
            <w:r w:rsidR="005B76EC" w:rsidRPr="008F4603">
              <w:rPr>
                <w:vertAlign w:val="superscript"/>
              </w:rPr>
              <w:t>bc</w:t>
            </w:r>
          </w:p>
        </w:tc>
      </w:tr>
      <w:tr w:rsidR="003F32E6" w:rsidRPr="008F4603" w:rsidTr="005B76EC">
        <w:trPr>
          <w:trHeight w:val="249"/>
        </w:trPr>
        <w:tc>
          <w:tcPr>
            <w:tcW w:w="633"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5</w:t>
            </w:r>
          </w:p>
        </w:tc>
        <w:tc>
          <w:tcPr>
            <w:tcW w:w="805" w:type="dxa"/>
            <w:tcBorders>
              <w:top w:val="nil"/>
              <w:left w:val="nil"/>
              <w:bottom w:val="nil"/>
              <w:right w:val="nil"/>
            </w:tcBorders>
            <w:shd w:val="clear" w:color="auto" w:fill="FFFFFF"/>
            <w:hideMark/>
          </w:tcPr>
          <w:p w:rsidR="003F32E6" w:rsidRPr="008F4603" w:rsidRDefault="00B2403F" w:rsidP="007759F0">
            <w:pPr>
              <w:pStyle w:val="CETBodytext"/>
              <w:jc w:val="left"/>
            </w:pPr>
            <w:r w:rsidRPr="008F4603">
              <w:t xml:space="preserve">  </w:t>
            </w:r>
            <w:r w:rsidR="00172AEB" w:rsidRPr="008F4603">
              <w:t xml:space="preserve"> </w:t>
            </w:r>
            <w:proofErr w:type="spellStart"/>
            <w:r w:rsidR="003F32E6" w:rsidRPr="008F4603">
              <w:t>n.d.</w:t>
            </w:r>
            <w:proofErr w:type="spellEnd"/>
          </w:p>
        </w:tc>
        <w:tc>
          <w:tcPr>
            <w:tcW w:w="1149"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1.212±0.295</w:t>
            </w:r>
            <w:r w:rsidRPr="008F4603">
              <w:rPr>
                <w:vertAlign w:val="superscript"/>
              </w:rPr>
              <w:t>b</w:t>
            </w:r>
          </w:p>
        </w:tc>
        <w:tc>
          <w:tcPr>
            <w:tcW w:w="1263"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0.101±0.019</w:t>
            </w:r>
            <w:r w:rsidRPr="008F4603">
              <w:rPr>
                <w:vertAlign w:val="superscript"/>
              </w:rPr>
              <w:t>ab</w:t>
            </w:r>
          </w:p>
        </w:tc>
        <w:tc>
          <w:tcPr>
            <w:tcW w:w="919" w:type="dxa"/>
            <w:tcBorders>
              <w:top w:val="nil"/>
              <w:left w:val="nil"/>
              <w:bottom w:val="nil"/>
              <w:right w:val="nil"/>
            </w:tcBorders>
            <w:shd w:val="clear" w:color="auto" w:fill="FFFFFF"/>
            <w:hideMark/>
          </w:tcPr>
          <w:p w:rsidR="003F32E6" w:rsidRPr="008F4603" w:rsidRDefault="00B2403F" w:rsidP="007759F0">
            <w:pPr>
              <w:pStyle w:val="CETBodytext"/>
              <w:jc w:val="left"/>
            </w:pPr>
            <w:r w:rsidRPr="008F4603">
              <w:t xml:space="preserve">    </w:t>
            </w:r>
            <w:proofErr w:type="spellStart"/>
            <w:r w:rsidR="003F32E6" w:rsidRPr="008F4603">
              <w:t>n.d.</w:t>
            </w:r>
            <w:proofErr w:type="spellEnd"/>
          </w:p>
        </w:tc>
        <w:tc>
          <w:tcPr>
            <w:tcW w:w="1134"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74.61±2.31</w:t>
            </w:r>
            <w:r w:rsidR="005B76EC" w:rsidRPr="008F4603">
              <w:rPr>
                <w:vertAlign w:val="superscript"/>
              </w:rPr>
              <w:t>a</w:t>
            </w:r>
          </w:p>
        </w:tc>
        <w:tc>
          <w:tcPr>
            <w:tcW w:w="907"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0.56±0.02</w:t>
            </w:r>
            <w:r w:rsidR="005B76EC" w:rsidRPr="008F4603">
              <w:rPr>
                <w:vertAlign w:val="superscript"/>
              </w:rPr>
              <w:t>b</w:t>
            </w:r>
          </w:p>
        </w:tc>
        <w:tc>
          <w:tcPr>
            <w:tcW w:w="1134"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99.17±6.64</w:t>
            </w:r>
            <w:r w:rsidR="005B76EC" w:rsidRPr="008F4603">
              <w:rPr>
                <w:vertAlign w:val="superscript"/>
              </w:rPr>
              <w:t>b</w:t>
            </w:r>
          </w:p>
        </w:tc>
        <w:tc>
          <w:tcPr>
            <w:tcW w:w="962"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0.58±0.03</w:t>
            </w:r>
            <w:r w:rsidR="005B76EC" w:rsidRPr="008F4603">
              <w:rPr>
                <w:vertAlign w:val="superscript"/>
              </w:rPr>
              <w:t>a</w:t>
            </w:r>
          </w:p>
        </w:tc>
      </w:tr>
      <w:tr w:rsidR="003F32E6" w:rsidRPr="008F4603" w:rsidTr="005B76EC">
        <w:trPr>
          <w:trHeight w:val="249"/>
        </w:trPr>
        <w:tc>
          <w:tcPr>
            <w:tcW w:w="633"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6</w:t>
            </w:r>
          </w:p>
        </w:tc>
        <w:tc>
          <w:tcPr>
            <w:tcW w:w="805"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0.62±0.3</w:t>
            </w:r>
            <w:r w:rsidRPr="008F4603">
              <w:rPr>
                <w:vertAlign w:val="superscript"/>
              </w:rPr>
              <w:t>a</w:t>
            </w:r>
          </w:p>
        </w:tc>
        <w:tc>
          <w:tcPr>
            <w:tcW w:w="1149"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1.252±0.029</w:t>
            </w:r>
            <w:r w:rsidRPr="008F4603">
              <w:rPr>
                <w:vertAlign w:val="superscript"/>
              </w:rPr>
              <w:t>b</w:t>
            </w:r>
          </w:p>
        </w:tc>
        <w:tc>
          <w:tcPr>
            <w:tcW w:w="1263"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0.081±0.351</w:t>
            </w:r>
            <w:r w:rsidRPr="008F4603">
              <w:rPr>
                <w:vertAlign w:val="superscript"/>
              </w:rPr>
              <w:t>abc</w:t>
            </w:r>
          </w:p>
        </w:tc>
        <w:tc>
          <w:tcPr>
            <w:tcW w:w="919" w:type="dxa"/>
            <w:tcBorders>
              <w:top w:val="nil"/>
              <w:left w:val="nil"/>
              <w:bottom w:val="nil"/>
              <w:right w:val="nil"/>
            </w:tcBorders>
            <w:shd w:val="clear" w:color="auto" w:fill="FFFFFF"/>
            <w:hideMark/>
          </w:tcPr>
          <w:p w:rsidR="003F32E6" w:rsidRPr="008F4603" w:rsidRDefault="00B2403F" w:rsidP="007759F0">
            <w:pPr>
              <w:pStyle w:val="CETBodytext"/>
              <w:jc w:val="left"/>
            </w:pPr>
            <w:r w:rsidRPr="008F4603">
              <w:t xml:space="preserve">    </w:t>
            </w:r>
            <w:proofErr w:type="spellStart"/>
            <w:r w:rsidR="003F32E6" w:rsidRPr="008F4603">
              <w:t>n.d.</w:t>
            </w:r>
            <w:proofErr w:type="spellEnd"/>
          </w:p>
        </w:tc>
        <w:tc>
          <w:tcPr>
            <w:tcW w:w="1134"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36.51±1.16</w:t>
            </w:r>
            <w:r w:rsidR="005B76EC" w:rsidRPr="008F4603">
              <w:rPr>
                <w:vertAlign w:val="superscript"/>
              </w:rPr>
              <w:t>b</w:t>
            </w:r>
          </w:p>
        </w:tc>
        <w:tc>
          <w:tcPr>
            <w:tcW w:w="907"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0.51±0.02</w:t>
            </w:r>
            <w:r w:rsidR="005B76EC" w:rsidRPr="008F4603">
              <w:rPr>
                <w:vertAlign w:val="superscript"/>
              </w:rPr>
              <w:t>b</w:t>
            </w:r>
          </w:p>
        </w:tc>
        <w:tc>
          <w:tcPr>
            <w:tcW w:w="1134"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25</w:t>
            </w:r>
            <w:r w:rsidR="00517B6A" w:rsidRPr="008F4603">
              <w:t>.</w:t>
            </w:r>
            <w:r w:rsidRPr="008F4603">
              <w:t>7±0.32</w:t>
            </w:r>
            <w:r w:rsidR="005B76EC" w:rsidRPr="008F4603">
              <w:rPr>
                <w:vertAlign w:val="superscript"/>
              </w:rPr>
              <w:t>d</w:t>
            </w:r>
          </w:p>
        </w:tc>
        <w:tc>
          <w:tcPr>
            <w:tcW w:w="962"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0.12±0.01</w:t>
            </w:r>
            <w:r w:rsidR="005B76EC" w:rsidRPr="008F4603">
              <w:rPr>
                <w:vertAlign w:val="superscript"/>
              </w:rPr>
              <w:t>cd</w:t>
            </w:r>
          </w:p>
        </w:tc>
      </w:tr>
      <w:tr w:rsidR="003F32E6" w:rsidRPr="008F4603" w:rsidTr="005B76EC">
        <w:trPr>
          <w:trHeight w:val="249"/>
        </w:trPr>
        <w:tc>
          <w:tcPr>
            <w:tcW w:w="633"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7</w:t>
            </w:r>
          </w:p>
        </w:tc>
        <w:tc>
          <w:tcPr>
            <w:tcW w:w="805"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0.49±0.4</w:t>
            </w:r>
            <w:r w:rsidRPr="008F4603">
              <w:rPr>
                <w:vertAlign w:val="superscript"/>
              </w:rPr>
              <w:t>a</w:t>
            </w:r>
          </w:p>
        </w:tc>
        <w:tc>
          <w:tcPr>
            <w:tcW w:w="1149"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1.108±0.036</w:t>
            </w:r>
            <w:r w:rsidRPr="008F4603">
              <w:rPr>
                <w:vertAlign w:val="superscript"/>
              </w:rPr>
              <w:t>c</w:t>
            </w:r>
          </w:p>
        </w:tc>
        <w:tc>
          <w:tcPr>
            <w:tcW w:w="1263"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0.116±0.015</w:t>
            </w:r>
            <w:r w:rsidRPr="008F4603">
              <w:rPr>
                <w:vertAlign w:val="superscript"/>
              </w:rPr>
              <w:t>a</w:t>
            </w:r>
          </w:p>
        </w:tc>
        <w:tc>
          <w:tcPr>
            <w:tcW w:w="919"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1.74±2.47</w:t>
            </w:r>
            <w:r w:rsidRPr="008F4603">
              <w:rPr>
                <w:vertAlign w:val="superscript"/>
              </w:rPr>
              <w:t>a</w:t>
            </w:r>
          </w:p>
        </w:tc>
        <w:tc>
          <w:tcPr>
            <w:tcW w:w="1134"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30.34±1.78</w:t>
            </w:r>
            <w:r w:rsidR="005B76EC" w:rsidRPr="008F4603">
              <w:rPr>
                <w:vertAlign w:val="superscript"/>
              </w:rPr>
              <w:t>bc</w:t>
            </w:r>
          </w:p>
        </w:tc>
        <w:tc>
          <w:tcPr>
            <w:tcW w:w="907"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1.70±0.23</w:t>
            </w:r>
            <w:r w:rsidR="005B76EC" w:rsidRPr="008F4603">
              <w:rPr>
                <w:vertAlign w:val="superscript"/>
              </w:rPr>
              <w:t>a</w:t>
            </w:r>
          </w:p>
        </w:tc>
        <w:tc>
          <w:tcPr>
            <w:tcW w:w="1134"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14.25±0.92</w:t>
            </w:r>
            <w:r w:rsidR="005B76EC" w:rsidRPr="008F4603">
              <w:rPr>
                <w:vertAlign w:val="superscript"/>
              </w:rPr>
              <w:t>d</w:t>
            </w:r>
          </w:p>
        </w:tc>
        <w:tc>
          <w:tcPr>
            <w:tcW w:w="962" w:type="dxa"/>
            <w:tcBorders>
              <w:top w:val="nil"/>
              <w:left w:val="nil"/>
              <w:bottom w:val="nil"/>
              <w:right w:val="nil"/>
            </w:tcBorders>
            <w:shd w:val="clear" w:color="auto" w:fill="FFFFFF"/>
            <w:hideMark/>
          </w:tcPr>
          <w:p w:rsidR="003F32E6" w:rsidRPr="008F4603" w:rsidRDefault="003F32E6" w:rsidP="007759F0">
            <w:pPr>
              <w:pStyle w:val="CETBodytext"/>
              <w:jc w:val="left"/>
            </w:pPr>
            <w:r w:rsidRPr="008F4603">
              <w:t>0.31±0.01</w:t>
            </w:r>
            <w:r w:rsidR="005B76EC" w:rsidRPr="008F4603">
              <w:rPr>
                <w:vertAlign w:val="superscript"/>
              </w:rPr>
              <w:t>b</w:t>
            </w:r>
          </w:p>
        </w:tc>
      </w:tr>
      <w:tr w:rsidR="003F32E6" w:rsidRPr="008F4603" w:rsidTr="005B76EC">
        <w:trPr>
          <w:trHeight w:val="249"/>
        </w:trPr>
        <w:tc>
          <w:tcPr>
            <w:tcW w:w="633" w:type="dxa"/>
            <w:tcBorders>
              <w:top w:val="nil"/>
              <w:left w:val="nil"/>
              <w:bottom w:val="single" w:sz="12" w:space="0" w:color="008000"/>
              <w:right w:val="nil"/>
            </w:tcBorders>
            <w:shd w:val="clear" w:color="auto" w:fill="FFFFFF"/>
            <w:hideMark/>
          </w:tcPr>
          <w:p w:rsidR="003F32E6" w:rsidRPr="008F4603" w:rsidRDefault="003F32E6" w:rsidP="007759F0">
            <w:pPr>
              <w:pStyle w:val="CETBodytext"/>
              <w:jc w:val="left"/>
            </w:pPr>
            <w:r w:rsidRPr="008F4603">
              <w:t>8</w:t>
            </w:r>
          </w:p>
        </w:tc>
        <w:tc>
          <w:tcPr>
            <w:tcW w:w="805" w:type="dxa"/>
            <w:tcBorders>
              <w:top w:val="nil"/>
              <w:left w:val="nil"/>
              <w:bottom w:val="single" w:sz="12" w:space="0" w:color="008000"/>
              <w:right w:val="nil"/>
            </w:tcBorders>
            <w:shd w:val="clear" w:color="auto" w:fill="FFFFFF"/>
            <w:hideMark/>
          </w:tcPr>
          <w:p w:rsidR="003F32E6" w:rsidRPr="008F4603" w:rsidRDefault="003F32E6" w:rsidP="007759F0">
            <w:pPr>
              <w:pStyle w:val="CETBodytext"/>
              <w:jc w:val="left"/>
            </w:pPr>
            <w:r w:rsidRPr="008F4603">
              <w:t>0.53±0.5</w:t>
            </w:r>
            <w:r w:rsidRPr="008F4603">
              <w:rPr>
                <w:vertAlign w:val="superscript"/>
              </w:rPr>
              <w:t>a</w:t>
            </w:r>
          </w:p>
        </w:tc>
        <w:tc>
          <w:tcPr>
            <w:tcW w:w="1149" w:type="dxa"/>
            <w:tcBorders>
              <w:top w:val="nil"/>
              <w:left w:val="nil"/>
              <w:bottom w:val="single" w:sz="12" w:space="0" w:color="008000"/>
              <w:right w:val="nil"/>
            </w:tcBorders>
            <w:shd w:val="clear" w:color="auto" w:fill="FFFFFF"/>
            <w:hideMark/>
          </w:tcPr>
          <w:p w:rsidR="003F32E6" w:rsidRPr="008F4603" w:rsidRDefault="003F32E6" w:rsidP="007759F0">
            <w:pPr>
              <w:pStyle w:val="CETBodytext"/>
              <w:jc w:val="left"/>
            </w:pPr>
            <w:r w:rsidRPr="008F4603">
              <w:t>1.362±0.019</w:t>
            </w:r>
            <w:r w:rsidRPr="008F4603">
              <w:rPr>
                <w:vertAlign w:val="superscript"/>
              </w:rPr>
              <w:t>a</w:t>
            </w:r>
          </w:p>
        </w:tc>
        <w:tc>
          <w:tcPr>
            <w:tcW w:w="1263" w:type="dxa"/>
            <w:tcBorders>
              <w:top w:val="nil"/>
              <w:left w:val="nil"/>
              <w:bottom w:val="single" w:sz="12" w:space="0" w:color="008000"/>
              <w:right w:val="nil"/>
            </w:tcBorders>
            <w:shd w:val="clear" w:color="auto" w:fill="FFFFFF"/>
            <w:hideMark/>
          </w:tcPr>
          <w:p w:rsidR="003F32E6" w:rsidRPr="008F4603" w:rsidRDefault="003F32E6" w:rsidP="007759F0">
            <w:pPr>
              <w:pStyle w:val="CETBodytext"/>
              <w:jc w:val="left"/>
            </w:pPr>
            <w:r w:rsidRPr="008F4603">
              <w:t>0.090±0.014</w:t>
            </w:r>
            <w:r w:rsidRPr="008F4603">
              <w:rPr>
                <w:vertAlign w:val="superscript"/>
              </w:rPr>
              <w:t>ab</w:t>
            </w:r>
          </w:p>
        </w:tc>
        <w:tc>
          <w:tcPr>
            <w:tcW w:w="919" w:type="dxa"/>
            <w:tcBorders>
              <w:top w:val="nil"/>
              <w:left w:val="nil"/>
              <w:bottom w:val="single" w:sz="12" w:space="0" w:color="008000"/>
              <w:right w:val="nil"/>
            </w:tcBorders>
            <w:shd w:val="clear" w:color="auto" w:fill="FFFFFF"/>
            <w:hideMark/>
          </w:tcPr>
          <w:p w:rsidR="003F32E6" w:rsidRPr="008F4603" w:rsidRDefault="003F32E6" w:rsidP="007759F0">
            <w:pPr>
              <w:pStyle w:val="CETBodytext"/>
              <w:jc w:val="left"/>
            </w:pPr>
            <w:r w:rsidRPr="008F4603">
              <w:t>1.24±1.75</w:t>
            </w:r>
            <w:r w:rsidRPr="008F4603">
              <w:rPr>
                <w:vertAlign w:val="superscript"/>
              </w:rPr>
              <w:t>a</w:t>
            </w:r>
          </w:p>
        </w:tc>
        <w:tc>
          <w:tcPr>
            <w:tcW w:w="1134" w:type="dxa"/>
            <w:tcBorders>
              <w:top w:val="nil"/>
              <w:left w:val="nil"/>
              <w:bottom w:val="single" w:sz="12" w:space="0" w:color="008000"/>
              <w:right w:val="nil"/>
            </w:tcBorders>
            <w:shd w:val="clear" w:color="auto" w:fill="FFFFFF"/>
            <w:hideMark/>
          </w:tcPr>
          <w:p w:rsidR="003F32E6" w:rsidRPr="008F4603" w:rsidRDefault="003F32E6" w:rsidP="007759F0">
            <w:pPr>
              <w:pStyle w:val="CETBodytext"/>
              <w:jc w:val="left"/>
            </w:pPr>
            <w:r w:rsidRPr="008F4603">
              <w:t>28.69±2.78</w:t>
            </w:r>
            <w:r w:rsidR="005B76EC" w:rsidRPr="008F4603">
              <w:rPr>
                <w:vertAlign w:val="superscript"/>
              </w:rPr>
              <w:t>bcd</w:t>
            </w:r>
          </w:p>
        </w:tc>
        <w:tc>
          <w:tcPr>
            <w:tcW w:w="907" w:type="dxa"/>
            <w:tcBorders>
              <w:top w:val="nil"/>
              <w:left w:val="nil"/>
              <w:bottom w:val="single" w:sz="12" w:space="0" w:color="008000"/>
              <w:right w:val="nil"/>
            </w:tcBorders>
            <w:shd w:val="clear" w:color="auto" w:fill="FFFFFF"/>
            <w:hideMark/>
          </w:tcPr>
          <w:p w:rsidR="003F32E6" w:rsidRPr="008F4603" w:rsidRDefault="003F32E6" w:rsidP="007759F0">
            <w:pPr>
              <w:pStyle w:val="CETBodytext"/>
              <w:jc w:val="left"/>
            </w:pPr>
            <w:r w:rsidRPr="008F4603">
              <w:t>0.23±0.00</w:t>
            </w:r>
            <w:r w:rsidR="005B76EC" w:rsidRPr="008F4603">
              <w:rPr>
                <w:vertAlign w:val="superscript"/>
              </w:rPr>
              <w:t>b</w:t>
            </w:r>
          </w:p>
        </w:tc>
        <w:tc>
          <w:tcPr>
            <w:tcW w:w="1134" w:type="dxa"/>
            <w:tcBorders>
              <w:top w:val="nil"/>
              <w:left w:val="nil"/>
              <w:bottom w:val="single" w:sz="12" w:space="0" w:color="008000"/>
              <w:right w:val="nil"/>
            </w:tcBorders>
            <w:shd w:val="clear" w:color="auto" w:fill="FFFFFF"/>
            <w:hideMark/>
          </w:tcPr>
          <w:p w:rsidR="003F32E6" w:rsidRPr="008F4603" w:rsidRDefault="003F32E6" w:rsidP="007759F0">
            <w:pPr>
              <w:pStyle w:val="CETBodytext"/>
              <w:jc w:val="left"/>
            </w:pPr>
            <w:r w:rsidRPr="008F4603">
              <w:t>11.31±0.33</w:t>
            </w:r>
            <w:r w:rsidR="005B76EC" w:rsidRPr="008F4603">
              <w:rPr>
                <w:vertAlign w:val="superscript"/>
              </w:rPr>
              <w:t>d</w:t>
            </w:r>
          </w:p>
        </w:tc>
        <w:tc>
          <w:tcPr>
            <w:tcW w:w="962" w:type="dxa"/>
            <w:tcBorders>
              <w:top w:val="nil"/>
              <w:left w:val="nil"/>
              <w:bottom w:val="single" w:sz="12" w:space="0" w:color="008000"/>
              <w:right w:val="nil"/>
            </w:tcBorders>
            <w:shd w:val="clear" w:color="auto" w:fill="FFFFFF"/>
            <w:hideMark/>
          </w:tcPr>
          <w:p w:rsidR="003F32E6" w:rsidRPr="008F4603" w:rsidRDefault="003F32E6" w:rsidP="007759F0">
            <w:pPr>
              <w:pStyle w:val="CETBodytext"/>
              <w:jc w:val="left"/>
            </w:pPr>
            <w:r w:rsidRPr="008F4603">
              <w:t>0.07±0.00</w:t>
            </w:r>
            <w:r w:rsidR="005B76EC" w:rsidRPr="008F4603">
              <w:rPr>
                <w:vertAlign w:val="superscript"/>
              </w:rPr>
              <w:t>d</w:t>
            </w:r>
          </w:p>
        </w:tc>
      </w:tr>
    </w:tbl>
    <w:p w:rsidR="003F32E6" w:rsidRPr="005D526F" w:rsidRDefault="003F32E6" w:rsidP="003F32E6">
      <w:pPr>
        <w:pStyle w:val="CETBodytext"/>
      </w:pPr>
    </w:p>
    <w:p w:rsidR="00141DD7" w:rsidRDefault="00F11B57" w:rsidP="00AB1D3D">
      <w:pPr>
        <w:pStyle w:val="CETBodytext"/>
      </w:pPr>
      <w:r>
        <w:t xml:space="preserve">On the basis of conjugated </w:t>
      </w:r>
      <w:proofErr w:type="spellStart"/>
      <w:r>
        <w:t>trienes</w:t>
      </w:r>
      <w:proofErr w:type="spellEnd"/>
      <w:r>
        <w:t xml:space="preserve"> and peroxide values</w:t>
      </w:r>
      <w:r w:rsidR="004F43ED">
        <w:t xml:space="preserve"> (Table 4)</w:t>
      </w:r>
      <w:r>
        <w:t>, samples containing maltodex</w:t>
      </w:r>
      <w:r w:rsidR="00442C66">
        <w:t>trins, tragacanth gum and fiber</w:t>
      </w:r>
      <w:r>
        <w:t xml:space="preserve"> (3, 4, and 5) showed the highest levels of oxidation. This could be due </w:t>
      </w:r>
      <w:r w:rsidR="008F4603">
        <w:t>to</w:t>
      </w:r>
      <w:r>
        <w:t xml:space="preserve"> the strong network formed with maltodextrin and gum, that can act as a barrier, slowing and/or limiting the activity of the antioxidant compounds naturally present in the product, </w:t>
      </w:r>
      <w:r w:rsidR="00A959E3">
        <w:t xml:space="preserve">such as total </w:t>
      </w:r>
      <w:r>
        <w:t xml:space="preserve">phenols and tocopherols. </w:t>
      </w:r>
      <w:r w:rsidR="006E06A2">
        <w:t>As a matter of fact, e</w:t>
      </w:r>
      <w:r w:rsidR="006E06A2" w:rsidRPr="006E06A2">
        <w:t xml:space="preserve">ven after storage, </w:t>
      </w:r>
      <w:r w:rsidR="006E06A2">
        <w:t xml:space="preserve">these </w:t>
      </w:r>
      <w:r w:rsidR="006E06A2" w:rsidRPr="006E06A2">
        <w:t xml:space="preserve">samples showed higher amounts of tocopherols compared to sample formulations </w:t>
      </w:r>
      <w:r w:rsidR="006E06A2">
        <w:t>including</w:t>
      </w:r>
      <w:r w:rsidR="00442C66">
        <w:t xml:space="preserve"> only fiber</w:t>
      </w:r>
      <w:r w:rsidR="006E06A2" w:rsidRPr="006E06A2">
        <w:t>.</w:t>
      </w:r>
      <w:r w:rsidR="00BC3277">
        <w:t xml:space="preserve"> </w:t>
      </w:r>
      <w:r w:rsidR="00650EC2">
        <w:t>However</w:t>
      </w:r>
      <w:r w:rsidR="00141DD7">
        <w:t>,</w:t>
      </w:r>
      <w:r w:rsidR="00141DD7" w:rsidRPr="00141DD7">
        <w:t xml:space="preserve"> </w:t>
      </w:r>
      <w:r w:rsidR="00141DD7">
        <w:t>in samples 2, 3, and 7</w:t>
      </w:r>
      <w:r w:rsidR="00650EC2">
        <w:t xml:space="preserve"> </w:t>
      </w:r>
      <w:r w:rsidR="00141DD7">
        <w:t xml:space="preserve">after storage, </w:t>
      </w:r>
      <w:r>
        <w:t xml:space="preserve">the </w:t>
      </w:r>
      <w:r w:rsidR="008F4603">
        <w:t xml:space="preserve">total </w:t>
      </w:r>
      <w:r>
        <w:t xml:space="preserve">phenols </w:t>
      </w:r>
      <w:r w:rsidR="008F4603">
        <w:t>were</w:t>
      </w:r>
      <w:r>
        <w:t xml:space="preserve"> higher than just after lyophilization</w:t>
      </w:r>
      <w:r w:rsidR="00650EC2">
        <w:t xml:space="preserve">. </w:t>
      </w:r>
      <w:r w:rsidR="001D1C78">
        <w:t xml:space="preserve">This could be explained by a </w:t>
      </w:r>
      <w:r w:rsidR="001D1C78" w:rsidRPr="001D1C78">
        <w:t>t</w:t>
      </w:r>
      <w:r w:rsidR="001D1C78">
        <w:t>hermal effect during storage on</w:t>
      </w:r>
      <w:r w:rsidR="001D1C78" w:rsidRPr="001D1C78">
        <w:t xml:space="preserve"> the po</w:t>
      </w:r>
      <w:r w:rsidR="001D1C78">
        <w:t>lysaccharide network leading to</w:t>
      </w:r>
      <w:r w:rsidR="001D1C78" w:rsidRPr="001D1C78">
        <w:t xml:space="preserve"> reduction of noncovalent interactions with negative effect on </w:t>
      </w:r>
      <w:r w:rsidR="001D1C78">
        <w:t>total phenols</w:t>
      </w:r>
      <w:r w:rsidR="001D1C78" w:rsidRPr="001D1C78">
        <w:t xml:space="preserve"> extraction by the </w:t>
      </w:r>
      <w:proofErr w:type="spellStart"/>
      <w:r w:rsidR="001D1C78" w:rsidRPr="001D1C78">
        <w:t>Belskak’s</w:t>
      </w:r>
      <w:proofErr w:type="spellEnd"/>
      <w:r w:rsidR="001D1C78" w:rsidRPr="001D1C78">
        <w:t xml:space="preserve"> method </w:t>
      </w:r>
      <w:r w:rsidR="00F813EE" w:rsidRPr="007759F0">
        <w:t>(Zhu, 2018)</w:t>
      </w:r>
      <w:r w:rsidRPr="007759F0">
        <w:t>.</w:t>
      </w:r>
      <w:r w:rsidR="00AB1D3D" w:rsidRPr="007759F0">
        <w:t xml:space="preserve"> To endorse this hypothesis, additional analyses were carried </w:t>
      </w:r>
      <w:r w:rsidR="001D1C78">
        <w:t xml:space="preserve">out </w:t>
      </w:r>
      <w:r w:rsidR="00AB1D3D" w:rsidRPr="007759F0">
        <w:t xml:space="preserve">to evaluate the </w:t>
      </w:r>
      <w:r w:rsidR="001D1C78">
        <w:t xml:space="preserve">total </w:t>
      </w:r>
      <w:r w:rsidR="00AB1D3D" w:rsidRPr="007759F0">
        <w:t>phenol</w:t>
      </w:r>
      <w:r w:rsidR="0023250B">
        <w:t>s</w:t>
      </w:r>
      <w:r w:rsidR="00AB1D3D" w:rsidRPr="007759F0">
        <w:t xml:space="preserve"> content on supernatants of freeze dried samples subjected to ethanol precipitation. Since ethanol addition limits the hydrophobic interaction</w:t>
      </w:r>
      <w:r w:rsidR="001D1C78">
        <w:t>s</w:t>
      </w:r>
      <w:r w:rsidR="00AB1D3D" w:rsidRPr="007759F0">
        <w:t xml:space="preserve"> between polysaccharides and polyphenols</w:t>
      </w:r>
      <w:r w:rsidR="0059289D" w:rsidRPr="007759F0">
        <w:t xml:space="preserve"> (Renard et al., 2016)</w:t>
      </w:r>
      <w:r w:rsidR="00AB1D3D" w:rsidRPr="007759F0">
        <w:t>,</w:t>
      </w:r>
      <w:r w:rsidR="00AB1D3D">
        <w:t xml:space="preserve"> it was </w:t>
      </w:r>
      <w:r w:rsidR="00141DD7">
        <w:t>attempted</w:t>
      </w:r>
      <w:r w:rsidR="00AB1D3D">
        <w:t xml:space="preserve"> to assess the increase in phenol solubility after storage (Table 5). </w:t>
      </w:r>
      <w:r w:rsidR="00583A4F">
        <w:t>Nevertheless, v</w:t>
      </w:r>
      <w:r w:rsidR="00AB1D3D">
        <w:t xml:space="preserve">alues significantly rose only in samples 2, 5, and 8, containing maltodextrin, tragacanth gum and / or pectin. </w:t>
      </w:r>
    </w:p>
    <w:p w:rsidR="00361724" w:rsidRPr="00361724" w:rsidRDefault="00141DD7" w:rsidP="00AB1D3D">
      <w:pPr>
        <w:pStyle w:val="CETBodytext"/>
      </w:pPr>
      <w:r w:rsidRPr="00141DD7">
        <w:t>By comparing the initial walnut paste (</w:t>
      </w:r>
      <w:r w:rsidR="00A1264A">
        <w:t xml:space="preserve">WP before, </w:t>
      </w:r>
      <w:r w:rsidRPr="00141DD7">
        <w:t xml:space="preserve">Table 2) with the just lyophilized </w:t>
      </w:r>
      <w:r w:rsidR="00A1264A">
        <w:t xml:space="preserve">one (Sample 1, </w:t>
      </w:r>
      <w:r w:rsidRPr="00141DD7">
        <w:t xml:space="preserve">Table 3) it can be observed that freeze-drying process exerted an important effect on depletion of </w:t>
      </w:r>
      <w:r w:rsidR="001D1C78">
        <w:t xml:space="preserve">total </w:t>
      </w:r>
      <w:r w:rsidRPr="00141DD7">
        <w:t xml:space="preserve">phenols and increase </w:t>
      </w:r>
      <w:r w:rsidR="001D1C78">
        <w:t>in</w:t>
      </w:r>
      <w:r w:rsidRPr="00141DD7">
        <w:t xml:space="preserve"> γ-tocopherol content.</w:t>
      </w:r>
      <w:r w:rsidR="00640CFF">
        <w:t xml:space="preserve"> </w:t>
      </w:r>
      <w:r w:rsidR="00FE6EC9">
        <w:t xml:space="preserve">Even after storage (Table 4), the </w:t>
      </w:r>
      <w:r w:rsidR="00640CFF">
        <w:t>sample</w:t>
      </w:r>
      <w:r w:rsidR="00FE6EC9">
        <w:t xml:space="preserve"> 1</w:t>
      </w:r>
      <w:r w:rsidR="00640CFF">
        <w:t xml:space="preserve"> showed a limited oxidative damage</w:t>
      </w:r>
      <w:r w:rsidR="00FE6EC9">
        <w:t xml:space="preserve"> and</w:t>
      </w:r>
      <w:r w:rsidR="00640CFF">
        <w:t xml:space="preserve"> the </w:t>
      </w:r>
      <w:r w:rsidR="001D1C78">
        <w:t>highes</w:t>
      </w:r>
      <w:r w:rsidR="00640CFF">
        <w:t xml:space="preserve">t tocopherol </w:t>
      </w:r>
      <w:r w:rsidR="00FE6EC9">
        <w:t>levels</w:t>
      </w:r>
      <w:r w:rsidR="00640CFF">
        <w:t>.</w:t>
      </w:r>
    </w:p>
    <w:p w:rsidR="00361724" w:rsidRDefault="00361724" w:rsidP="003F32E6">
      <w:pPr>
        <w:pStyle w:val="CETBodytext"/>
        <w:rPr>
          <w:i/>
        </w:rPr>
      </w:pPr>
    </w:p>
    <w:p w:rsidR="00450054" w:rsidRDefault="003F32E6" w:rsidP="003F32E6">
      <w:pPr>
        <w:pStyle w:val="CETBodytext"/>
        <w:rPr>
          <w:i/>
        </w:rPr>
      </w:pPr>
      <w:r w:rsidRPr="005D526F">
        <w:rPr>
          <w:i/>
        </w:rPr>
        <w:t xml:space="preserve">Table 4: </w:t>
      </w:r>
      <w:r w:rsidR="001D1C78">
        <w:rPr>
          <w:i/>
        </w:rPr>
        <w:t>Characterization of walnut paste</w:t>
      </w:r>
      <w:r w:rsidRPr="005D526F">
        <w:rPr>
          <w:i/>
        </w:rPr>
        <w:t xml:space="preserve"> freeze dried sample</w:t>
      </w:r>
      <w:r w:rsidR="00790C55">
        <w:rPr>
          <w:i/>
        </w:rPr>
        <w:t>s</w:t>
      </w:r>
      <w:r w:rsidRPr="005D526F">
        <w:t xml:space="preserve"> </w:t>
      </w:r>
      <w:r w:rsidRPr="005D526F">
        <w:rPr>
          <w:i/>
        </w:rPr>
        <w:t>after storage</w:t>
      </w:r>
      <w:r w:rsidR="00790C55">
        <w:rPr>
          <w:i/>
        </w:rPr>
        <w:t xml:space="preserve"> at 60 °C for 15 days</w:t>
      </w:r>
      <w:r w:rsidRPr="005D526F">
        <w:rPr>
          <w:i/>
        </w:rPr>
        <w:t>. Different superscript letters indicate statistically different values within each column</w:t>
      </w:r>
      <w:r w:rsidR="00450054">
        <w:rPr>
          <w:i/>
        </w:rPr>
        <w:t xml:space="preserve"> </w:t>
      </w:r>
      <w:r w:rsidR="00450054" w:rsidRPr="00450054">
        <w:rPr>
          <w:i/>
        </w:rPr>
        <w:t>(Tukey’s test)</w:t>
      </w:r>
      <w:r w:rsidRPr="005D526F">
        <w:rPr>
          <w:i/>
        </w:rPr>
        <w:t>.*n.d.: not determined.</w:t>
      </w:r>
    </w:p>
    <w:p w:rsidR="003F32E6" w:rsidRPr="005D526F" w:rsidRDefault="003F32E6" w:rsidP="003F32E6">
      <w:pPr>
        <w:pStyle w:val="CETBodytext"/>
        <w:rPr>
          <w:i/>
        </w:rPr>
      </w:pPr>
      <w:r w:rsidRPr="005D526F">
        <w:rPr>
          <w:i/>
        </w:rPr>
        <w:t>**</w:t>
      </w:r>
      <w:r w:rsidRPr="005D526F">
        <w:t xml:space="preserve"> </w:t>
      </w:r>
      <w:proofErr w:type="spellStart"/>
      <w:r w:rsidRPr="005D526F">
        <w:rPr>
          <w:i/>
        </w:rPr>
        <w:t>toco</w:t>
      </w:r>
      <w:proofErr w:type="spellEnd"/>
      <w:r w:rsidRPr="005D526F">
        <w:rPr>
          <w:i/>
        </w:rPr>
        <w:t>: tocopherol.</w:t>
      </w:r>
    </w:p>
    <w:tbl>
      <w:tblPr>
        <w:tblW w:w="8744"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625"/>
        <w:gridCol w:w="739"/>
        <w:gridCol w:w="1081"/>
        <w:gridCol w:w="1196"/>
        <w:gridCol w:w="1001"/>
        <w:gridCol w:w="1191"/>
        <w:gridCol w:w="959"/>
        <w:gridCol w:w="1077"/>
        <w:gridCol w:w="875"/>
      </w:tblGrid>
      <w:tr w:rsidR="003F32E6" w:rsidRPr="00C0717C" w:rsidTr="006E2F99">
        <w:trPr>
          <w:trHeight w:val="240"/>
        </w:trPr>
        <w:tc>
          <w:tcPr>
            <w:tcW w:w="625" w:type="dxa"/>
            <w:tcBorders>
              <w:top w:val="single" w:sz="12" w:space="0" w:color="008000"/>
              <w:left w:val="nil"/>
              <w:bottom w:val="single" w:sz="6" w:space="0" w:color="008000"/>
              <w:right w:val="nil"/>
            </w:tcBorders>
            <w:shd w:val="clear" w:color="auto" w:fill="FFFFFF"/>
            <w:hideMark/>
          </w:tcPr>
          <w:p w:rsidR="003F32E6" w:rsidRPr="00C0717C" w:rsidRDefault="003F32E6" w:rsidP="007759F0">
            <w:pPr>
              <w:pStyle w:val="CETBodytext"/>
              <w:jc w:val="left"/>
            </w:pPr>
            <w:r w:rsidRPr="00C0717C">
              <w:t xml:space="preserve">Sample </w:t>
            </w:r>
          </w:p>
        </w:tc>
        <w:tc>
          <w:tcPr>
            <w:tcW w:w="739" w:type="dxa"/>
            <w:tcBorders>
              <w:top w:val="single" w:sz="12" w:space="0" w:color="008000"/>
              <w:left w:val="nil"/>
              <w:bottom w:val="single" w:sz="6" w:space="0" w:color="008000"/>
              <w:right w:val="nil"/>
            </w:tcBorders>
            <w:shd w:val="clear" w:color="auto" w:fill="FFFFFF"/>
            <w:hideMark/>
          </w:tcPr>
          <w:p w:rsidR="003F32E6" w:rsidRPr="00C0717C" w:rsidRDefault="003F32E6" w:rsidP="007759F0">
            <w:pPr>
              <w:pStyle w:val="CETBodytext"/>
              <w:jc w:val="left"/>
            </w:pPr>
            <w:r w:rsidRPr="00C0717C">
              <w:t>Moisture</w:t>
            </w:r>
          </w:p>
          <w:p w:rsidR="003F32E6" w:rsidRPr="00C0717C" w:rsidRDefault="00172AEB" w:rsidP="007759F0">
            <w:pPr>
              <w:pStyle w:val="CETBodytext"/>
              <w:jc w:val="left"/>
            </w:pPr>
            <w:r w:rsidRPr="00C0717C">
              <w:t xml:space="preserve">     </w:t>
            </w:r>
            <w:r w:rsidR="003F32E6" w:rsidRPr="00C0717C">
              <w:t>%</w:t>
            </w:r>
          </w:p>
        </w:tc>
        <w:tc>
          <w:tcPr>
            <w:tcW w:w="1081" w:type="dxa"/>
            <w:tcBorders>
              <w:top w:val="single" w:sz="12" w:space="0" w:color="008000"/>
              <w:left w:val="nil"/>
              <w:bottom w:val="single" w:sz="6" w:space="0" w:color="008000"/>
              <w:right w:val="nil"/>
            </w:tcBorders>
            <w:shd w:val="clear" w:color="auto" w:fill="FFFFFF"/>
            <w:hideMark/>
          </w:tcPr>
          <w:p w:rsidR="003F32E6" w:rsidRPr="00C0717C" w:rsidRDefault="00172AEB" w:rsidP="007759F0">
            <w:pPr>
              <w:pStyle w:val="CETBodytext"/>
              <w:jc w:val="left"/>
            </w:pPr>
            <w:r w:rsidRPr="00C0717C">
              <w:t xml:space="preserve">    </w:t>
            </w:r>
            <w:r w:rsidR="003F32E6" w:rsidRPr="00C0717C">
              <w:t>Dienes</w:t>
            </w:r>
          </w:p>
          <w:p w:rsidR="003F32E6" w:rsidRPr="00C0717C" w:rsidRDefault="00172AEB" w:rsidP="007759F0">
            <w:pPr>
              <w:pStyle w:val="CETBodytext"/>
              <w:jc w:val="left"/>
            </w:pPr>
            <w:r w:rsidRPr="00C0717C">
              <w:t xml:space="preserve">    </w:t>
            </w:r>
            <w:r w:rsidR="003F32E6" w:rsidRPr="00C0717C">
              <w:t>K</w:t>
            </w:r>
            <w:r w:rsidR="003F32E6" w:rsidRPr="00C0717C">
              <w:rPr>
                <w:vertAlign w:val="subscript"/>
              </w:rPr>
              <w:t>232nm</w:t>
            </w:r>
          </w:p>
        </w:tc>
        <w:tc>
          <w:tcPr>
            <w:tcW w:w="1196" w:type="dxa"/>
            <w:tcBorders>
              <w:top w:val="single" w:sz="12" w:space="0" w:color="008000"/>
              <w:left w:val="nil"/>
              <w:bottom w:val="single" w:sz="6" w:space="0" w:color="008000"/>
              <w:right w:val="nil"/>
            </w:tcBorders>
            <w:shd w:val="clear" w:color="auto" w:fill="FFFFFF"/>
            <w:hideMark/>
          </w:tcPr>
          <w:p w:rsidR="003F32E6" w:rsidRPr="00C0717C" w:rsidRDefault="00172AEB" w:rsidP="007759F0">
            <w:pPr>
              <w:pStyle w:val="CETBodytext"/>
              <w:jc w:val="left"/>
            </w:pPr>
            <w:r w:rsidRPr="00C0717C">
              <w:t xml:space="preserve">   </w:t>
            </w:r>
            <w:proofErr w:type="spellStart"/>
            <w:r w:rsidR="003F32E6" w:rsidRPr="00C0717C">
              <w:t>Trienes</w:t>
            </w:r>
            <w:proofErr w:type="spellEnd"/>
          </w:p>
          <w:p w:rsidR="003F32E6" w:rsidRPr="00C0717C" w:rsidRDefault="00172AEB" w:rsidP="007759F0">
            <w:pPr>
              <w:pStyle w:val="CETBodytext"/>
              <w:jc w:val="left"/>
            </w:pPr>
            <w:r w:rsidRPr="00C0717C">
              <w:t xml:space="preserve">    </w:t>
            </w:r>
            <w:r w:rsidR="003F32E6" w:rsidRPr="00C0717C">
              <w:t>K</w:t>
            </w:r>
            <w:r w:rsidR="003F32E6" w:rsidRPr="00C0717C">
              <w:rPr>
                <w:vertAlign w:val="subscript"/>
              </w:rPr>
              <w:t>270nm</w:t>
            </w:r>
          </w:p>
        </w:tc>
        <w:tc>
          <w:tcPr>
            <w:tcW w:w="1001" w:type="dxa"/>
            <w:tcBorders>
              <w:top w:val="single" w:sz="12" w:space="0" w:color="008000"/>
              <w:left w:val="nil"/>
              <w:bottom w:val="single" w:sz="6" w:space="0" w:color="008000"/>
              <w:right w:val="nil"/>
            </w:tcBorders>
            <w:shd w:val="clear" w:color="auto" w:fill="FFFFFF"/>
            <w:hideMark/>
          </w:tcPr>
          <w:p w:rsidR="003F32E6" w:rsidRPr="00C0717C" w:rsidRDefault="003F32E6" w:rsidP="007759F0">
            <w:pPr>
              <w:pStyle w:val="CETBodytext"/>
              <w:jc w:val="left"/>
            </w:pPr>
            <w:r w:rsidRPr="00C0717C">
              <w:t>Peroxides</w:t>
            </w:r>
          </w:p>
          <w:p w:rsidR="003F32E6" w:rsidRPr="00C0717C" w:rsidRDefault="003F32E6" w:rsidP="007759F0">
            <w:pPr>
              <w:pStyle w:val="CETBodytext"/>
              <w:jc w:val="left"/>
            </w:pPr>
            <w:r w:rsidRPr="00C0717C">
              <w:t>m</w:t>
            </w:r>
            <w:r w:rsidRPr="00C0717C">
              <w:rPr>
                <w:vertAlign w:val="subscript"/>
              </w:rPr>
              <w:t>eqO2</w:t>
            </w:r>
            <w:r w:rsidRPr="00C0717C">
              <w:t>/</w:t>
            </w:r>
            <w:proofErr w:type="spellStart"/>
            <w:r w:rsidRPr="00C0717C">
              <w:t>kg</w:t>
            </w:r>
            <w:r w:rsidRPr="00C0717C">
              <w:rPr>
                <w:vertAlign w:val="subscript"/>
              </w:rPr>
              <w:t>oil</w:t>
            </w:r>
            <w:proofErr w:type="spellEnd"/>
          </w:p>
        </w:tc>
        <w:tc>
          <w:tcPr>
            <w:tcW w:w="1191" w:type="dxa"/>
            <w:tcBorders>
              <w:top w:val="single" w:sz="12" w:space="0" w:color="008000"/>
              <w:left w:val="nil"/>
              <w:bottom w:val="single" w:sz="6" w:space="0" w:color="008000"/>
              <w:right w:val="nil"/>
            </w:tcBorders>
            <w:shd w:val="clear" w:color="auto" w:fill="FFFFFF"/>
            <w:hideMark/>
          </w:tcPr>
          <w:p w:rsidR="003F32E6" w:rsidRPr="00C0717C" w:rsidRDefault="00A959E3" w:rsidP="007759F0">
            <w:pPr>
              <w:pStyle w:val="CETBodytext"/>
              <w:jc w:val="left"/>
            </w:pPr>
            <w:r>
              <w:t xml:space="preserve">Total </w:t>
            </w:r>
            <w:r w:rsidR="003F32E6" w:rsidRPr="00C0717C">
              <w:t xml:space="preserve">phenols </w:t>
            </w:r>
            <w:proofErr w:type="spellStart"/>
            <w:r w:rsidR="003F32E6" w:rsidRPr="00C0717C">
              <w:t>mg</w:t>
            </w:r>
            <w:r w:rsidR="003F32E6" w:rsidRPr="00C0717C">
              <w:rPr>
                <w:vertAlign w:val="subscript"/>
              </w:rPr>
              <w:t>GAE</w:t>
            </w:r>
            <w:proofErr w:type="spellEnd"/>
            <w:r w:rsidR="003F32E6" w:rsidRPr="00C0717C">
              <w:t>/100g</w:t>
            </w:r>
            <w:r w:rsidR="00850C4C" w:rsidRPr="00C0717C">
              <w:rPr>
                <w:vertAlign w:val="subscript"/>
              </w:rPr>
              <w:t>dm</w:t>
            </w:r>
          </w:p>
        </w:tc>
        <w:tc>
          <w:tcPr>
            <w:tcW w:w="959" w:type="dxa"/>
            <w:tcBorders>
              <w:top w:val="single" w:sz="12" w:space="0" w:color="008000"/>
              <w:left w:val="nil"/>
              <w:bottom w:val="single" w:sz="6" w:space="0" w:color="008000"/>
              <w:right w:val="nil"/>
            </w:tcBorders>
            <w:shd w:val="clear" w:color="auto" w:fill="FFFFFF"/>
            <w:hideMark/>
          </w:tcPr>
          <w:p w:rsidR="003F32E6" w:rsidRPr="00C0717C" w:rsidRDefault="00850C4C" w:rsidP="007759F0">
            <w:pPr>
              <w:pStyle w:val="CETBodytext"/>
              <w:jc w:val="left"/>
              <w:rPr>
                <w:lang w:val="it-IT"/>
              </w:rPr>
            </w:pPr>
            <w:r w:rsidRPr="00C0717C">
              <w:t xml:space="preserve"> </w:t>
            </w:r>
            <w:r w:rsidR="003F32E6" w:rsidRPr="00C0717C">
              <w:t>α</w:t>
            </w:r>
            <w:r w:rsidR="003F32E6" w:rsidRPr="00C0717C">
              <w:rPr>
                <w:lang w:val="it-IT"/>
              </w:rPr>
              <w:t>-toco**</w:t>
            </w:r>
          </w:p>
          <w:p w:rsidR="003F32E6" w:rsidRPr="00C0717C" w:rsidRDefault="00850C4C" w:rsidP="00850C4C">
            <w:pPr>
              <w:pStyle w:val="CETBodytext"/>
              <w:jc w:val="left"/>
              <w:rPr>
                <w:lang w:val="it-IT"/>
              </w:rPr>
            </w:pPr>
            <w:r w:rsidRPr="00C0717C">
              <w:rPr>
                <w:lang w:val="it-IT"/>
              </w:rPr>
              <w:t xml:space="preserve"> </w:t>
            </w:r>
            <w:r w:rsidR="003F32E6" w:rsidRPr="00C0717C">
              <w:rPr>
                <w:lang w:val="it-IT"/>
              </w:rPr>
              <w:t>mg/kg</w:t>
            </w:r>
            <w:r w:rsidRPr="00C0717C">
              <w:rPr>
                <w:vertAlign w:val="subscript"/>
                <w:lang w:val="it-IT"/>
              </w:rPr>
              <w:t>d</w:t>
            </w:r>
            <w:r w:rsidR="003F32E6" w:rsidRPr="00C0717C">
              <w:rPr>
                <w:vertAlign w:val="subscript"/>
                <w:lang w:val="it-IT"/>
              </w:rPr>
              <w:t>m</w:t>
            </w:r>
          </w:p>
        </w:tc>
        <w:tc>
          <w:tcPr>
            <w:tcW w:w="1077" w:type="dxa"/>
            <w:tcBorders>
              <w:top w:val="single" w:sz="12" w:space="0" w:color="008000"/>
              <w:left w:val="nil"/>
              <w:bottom w:val="single" w:sz="6" w:space="0" w:color="008000"/>
              <w:right w:val="nil"/>
            </w:tcBorders>
            <w:shd w:val="clear" w:color="auto" w:fill="FFFFFF"/>
            <w:hideMark/>
          </w:tcPr>
          <w:p w:rsidR="003F32E6" w:rsidRPr="00C0717C" w:rsidRDefault="00850C4C" w:rsidP="007759F0">
            <w:pPr>
              <w:pStyle w:val="CETBodytext"/>
              <w:jc w:val="left"/>
              <w:rPr>
                <w:lang w:val="it-IT"/>
              </w:rPr>
            </w:pPr>
            <w:r w:rsidRPr="00C0717C">
              <w:t xml:space="preserve"> </w:t>
            </w:r>
            <w:r w:rsidR="003F32E6" w:rsidRPr="00C0717C">
              <w:t>γ</w:t>
            </w:r>
            <w:r w:rsidR="003F32E6" w:rsidRPr="00C0717C">
              <w:rPr>
                <w:lang w:val="it-IT"/>
              </w:rPr>
              <w:t>-toco</w:t>
            </w:r>
          </w:p>
          <w:p w:rsidR="003F32E6" w:rsidRPr="00C0717C" w:rsidRDefault="00850C4C" w:rsidP="00850C4C">
            <w:pPr>
              <w:pStyle w:val="CETBodytext"/>
              <w:jc w:val="left"/>
              <w:rPr>
                <w:lang w:val="it-IT"/>
              </w:rPr>
            </w:pPr>
            <w:r w:rsidRPr="00C0717C">
              <w:rPr>
                <w:lang w:val="it-IT"/>
              </w:rPr>
              <w:t xml:space="preserve"> </w:t>
            </w:r>
            <w:r w:rsidR="003F32E6" w:rsidRPr="00C0717C">
              <w:rPr>
                <w:lang w:val="it-IT"/>
              </w:rPr>
              <w:t>mg/kg</w:t>
            </w:r>
            <w:r w:rsidR="003F32E6" w:rsidRPr="00C0717C">
              <w:rPr>
                <w:vertAlign w:val="subscript"/>
                <w:lang w:val="it-IT"/>
              </w:rPr>
              <w:t>dm</w:t>
            </w:r>
          </w:p>
        </w:tc>
        <w:tc>
          <w:tcPr>
            <w:tcW w:w="875" w:type="dxa"/>
            <w:tcBorders>
              <w:top w:val="single" w:sz="12" w:space="0" w:color="008000"/>
              <w:left w:val="nil"/>
              <w:bottom w:val="single" w:sz="6" w:space="0" w:color="008000"/>
              <w:right w:val="nil"/>
            </w:tcBorders>
            <w:shd w:val="clear" w:color="auto" w:fill="FFFFFF"/>
            <w:hideMark/>
          </w:tcPr>
          <w:p w:rsidR="003F32E6" w:rsidRPr="00C0717C" w:rsidRDefault="00850C4C" w:rsidP="007759F0">
            <w:pPr>
              <w:pStyle w:val="CETBodytext"/>
              <w:jc w:val="left"/>
              <w:rPr>
                <w:lang w:val="it-IT"/>
              </w:rPr>
            </w:pPr>
            <w:r w:rsidRPr="00C0717C">
              <w:t xml:space="preserve">  </w:t>
            </w:r>
            <w:r w:rsidR="003F32E6" w:rsidRPr="00C0717C">
              <w:t>δ</w:t>
            </w:r>
            <w:r w:rsidR="003F32E6" w:rsidRPr="00C0717C">
              <w:rPr>
                <w:lang w:val="it-IT"/>
              </w:rPr>
              <w:t>-toco</w:t>
            </w:r>
          </w:p>
          <w:p w:rsidR="003F32E6" w:rsidRPr="00C0717C" w:rsidRDefault="00850C4C" w:rsidP="00850C4C">
            <w:pPr>
              <w:pStyle w:val="CETBodytext"/>
              <w:jc w:val="left"/>
              <w:rPr>
                <w:lang w:val="it-IT"/>
              </w:rPr>
            </w:pPr>
            <w:r w:rsidRPr="00C0717C">
              <w:rPr>
                <w:lang w:val="it-IT"/>
              </w:rPr>
              <w:t xml:space="preserve">  </w:t>
            </w:r>
            <w:r w:rsidR="003F32E6" w:rsidRPr="00C0717C">
              <w:rPr>
                <w:lang w:val="it-IT"/>
              </w:rPr>
              <w:t>mg/kg</w:t>
            </w:r>
            <w:r w:rsidR="003F32E6" w:rsidRPr="00C0717C">
              <w:rPr>
                <w:vertAlign w:val="subscript"/>
                <w:lang w:val="it-IT"/>
              </w:rPr>
              <w:t>d</w:t>
            </w:r>
            <w:r w:rsidRPr="00C0717C">
              <w:rPr>
                <w:vertAlign w:val="subscript"/>
                <w:lang w:val="it-IT"/>
              </w:rPr>
              <w:t>m</w:t>
            </w:r>
          </w:p>
        </w:tc>
      </w:tr>
      <w:tr w:rsidR="003F32E6" w:rsidRPr="00C0717C" w:rsidTr="006E2F99">
        <w:trPr>
          <w:trHeight w:val="252"/>
        </w:trPr>
        <w:tc>
          <w:tcPr>
            <w:tcW w:w="625"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1</w:t>
            </w:r>
          </w:p>
        </w:tc>
        <w:tc>
          <w:tcPr>
            <w:tcW w:w="739" w:type="dxa"/>
            <w:tcBorders>
              <w:top w:val="nil"/>
              <w:left w:val="nil"/>
              <w:bottom w:val="nil"/>
              <w:right w:val="nil"/>
            </w:tcBorders>
            <w:shd w:val="clear" w:color="auto" w:fill="FFFFFF"/>
            <w:hideMark/>
          </w:tcPr>
          <w:p w:rsidR="003F32E6" w:rsidRPr="00C0717C" w:rsidRDefault="00172AEB" w:rsidP="007759F0">
            <w:pPr>
              <w:pStyle w:val="CETBodytext"/>
              <w:jc w:val="left"/>
            </w:pPr>
            <w:r w:rsidRPr="00C0717C">
              <w:t xml:space="preserve">  </w:t>
            </w:r>
            <w:r w:rsidR="003F32E6" w:rsidRPr="00C0717C">
              <w:t>n.d.*</w:t>
            </w:r>
          </w:p>
        </w:tc>
        <w:tc>
          <w:tcPr>
            <w:tcW w:w="1081"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3.349±0.116</w:t>
            </w:r>
            <w:r w:rsidRPr="00C0717C">
              <w:rPr>
                <w:vertAlign w:val="superscript"/>
              </w:rPr>
              <w:t>a</w:t>
            </w:r>
          </w:p>
        </w:tc>
        <w:tc>
          <w:tcPr>
            <w:tcW w:w="1196"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0.274±0.038</w:t>
            </w:r>
            <w:r w:rsidRPr="00C0717C">
              <w:rPr>
                <w:vertAlign w:val="superscript"/>
              </w:rPr>
              <w:t>bc</w:t>
            </w:r>
          </w:p>
        </w:tc>
        <w:tc>
          <w:tcPr>
            <w:tcW w:w="1001"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5.67±0.33</w:t>
            </w:r>
            <w:r w:rsidRPr="00C0717C">
              <w:rPr>
                <w:vertAlign w:val="superscript"/>
              </w:rPr>
              <w:t>de</w:t>
            </w:r>
          </w:p>
        </w:tc>
        <w:tc>
          <w:tcPr>
            <w:tcW w:w="1191"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21.84±2.41</w:t>
            </w:r>
            <w:r w:rsidR="006E2F99" w:rsidRPr="00C0717C">
              <w:rPr>
                <w:vertAlign w:val="superscript"/>
              </w:rPr>
              <w:t>de</w:t>
            </w:r>
          </w:p>
        </w:tc>
        <w:tc>
          <w:tcPr>
            <w:tcW w:w="959"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0.98±0.07</w:t>
            </w:r>
            <w:r w:rsidR="006E2F99" w:rsidRPr="00C0717C">
              <w:rPr>
                <w:vertAlign w:val="superscript"/>
              </w:rPr>
              <w:t>d</w:t>
            </w:r>
          </w:p>
        </w:tc>
        <w:tc>
          <w:tcPr>
            <w:tcW w:w="1077"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114.91±0.09</w:t>
            </w:r>
            <w:r w:rsidR="006E2F99" w:rsidRPr="00C0717C">
              <w:rPr>
                <w:vertAlign w:val="superscript"/>
              </w:rPr>
              <w:t>a</w:t>
            </w:r>
          </w:p>
        </w:tc>
        <w:tc>
          <w:tcPr>
            <w:tcW w:w="875"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0.51±0.02</w:t>
            </w:r>
            <w:r w:rsidR="006E2F99" w:rsidRPr="00C0717C">
              <w:rPr>
                <w:vertAlign w:val="superscript"/>
              </w:rPr>
              <w:t>a</w:t>
            </w:r>
          </w:p>
        </w:tc>
      </w:tr>
      <w:tr w:rsidR="003F32E6" w:rsidRPr="00C0717C" w:rsidTr="006E2F99">
        <w:trPr>
          <w:trHeight w:val="252"/>
        </w:trPr>
        <w:tc>
          <w:tcPr>
            <w:tcW w:w="625"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2</w:t>
            </w:r>
          </w:p>
        </w:tc>
        <w:tc>
          <w:tcPr>
            <w:tcW w:w="739" w:type="dxa"/>
            <w:tcBorders>
              <w:top w:val="nil"/>
              <w:left w:val="nil"/>
              <w:bottom w:val="nil"/>
              <w:right w:val="nil"/>
            </w:tcBorders>
            <w:shd w:val="clear" w:color="auto" w:fill="FFFFFF"/>
            <w:hideMark/>
          </w:tcPr>
          <w:p w:rsidR="003F32E6" w:rsidRPr="00C0717C" w:rsidRDefault="00172AEB" w:rsidP="007759F0">
            <w:pPr>
              <w:pStyle w:val="CETBodytext"/>
              <w:jc w:val="left"/>
            </w:pPr>
            <w:r w:rsidRPr="00C0717C">
              <w:t xml:space="preserve">  </w:t>
            </w:r>
            <w:proofErr w:type="spellStart"/>
            <w:r w:rsidR="003F32E6" w:rsidRPr="00C0717C">
              <w:t>n.d.</w:t>
            </w:r>
            <w:proofErr w:type="spellEnd"/>
          </w:p>
        </w:tc>
        <w:tc>
          <w:tcPr>
            <w:tcW w:w="1081"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3.255±0.214</w:t>
            </w:r>
            <w:r w:rsidRPr="00C0717C">
              <w:rPr>
                <w:vertAlign w:val="superscript"/>
              </w:rPr>
              <w:t>a</w:t>
            </w:r>
          </w:p>
        </w:tc>
        <w:tc>
          <w:tcPr>
            <w:tcW w:w="1196"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0.210±0.008</w:t>
            </w:r>
            <w:r w:rsidRPr="00C0717C">
              <w:rPr>
                <w:vertAlign w:val="superscript"/>
              </w:rPr>
              <w:t>d</w:t>
            </w:r>
          </w:p>
        </w:tc>
        <w:tc>
          <w:tcPr>
            <w:tcW w:w="1001"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5.72±0.36</w:t>
            </w:r>
            <w:r w:rsidRPr="00C0717C">
              <w:rPr>
                <w:vertAlign w:val="superscript"/>
              </w:rPr>
              <w:t>de</w:t>
            </w:r>
          </w:p>
        </w:tc>
        <w:tc>
          <w:tcPr>
            <w:tcW w:w="1191"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35.58±0.87</w:t>
            </w:r>
            <w:r w:rsidR="006E2F99" w:rsidRPr="00C0717C">
              <w:rPr>
                <w:vertAlign w:val="superscript"/>
              </w:rPr>
              <w:t>de</w:t>
            </w:r>
          </w:p>
        </w:tc>
        <w:tc>
          <w:tcPr>
            <w:tcW w:w="959"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0.73±0.07</w:t>
            </w:r>
            <w:r w:rsidR="006E2F99" w:rsidRPr="00C0717C">
              <w:rPr>
                <w:vertAlign w:val="superscript"/>
              </w:rPr>
              <w:t>b</w:t>
            </w:r>
          </w:p>
        </w:tc>
        <w:tc>
          <w:tcPr>
            <w:tcW w:w="1077"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41.13±4.22</w:t>
            </w:r>
            <w:r w:rsidR="006E2F99" w:rsidRPr="00C0717C">
              <w:rPr>
                <w:vertAlign w:val="superscript"/>
              </w:rPr>
              <w:t>d</w:t>
            </w:r>
          </w:p>
        </w:tc>
        <w:tc>
          <w:tcPr>
            <w:tcW w:w="875"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0.37±0.02</w:t>
            </w:r>
            <w:r w:rsidR="006E2F99" w:rsidRPr="00C0717C">
              <w:rPr>
                <w:vertAlign w:val="superscript"/>
              </w:rPr>
              <w:t>c</w:t>
            </w:r>
          </w:p>
        </w:tc>
      </w:tr>
      <w:tr w:rsidR="003F32E6" w:rsidRPr="00C0717C" w:rsidTr="006E2F99">
        <w:trPr>
          <w:trHeight w:val="252"/>
        </w:trPr>
        <w:tc>
          <w:tcPr>
            <w:tcW w:w="625"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3</w:t>
            </w:r>
          </w:p>
        </w:tc>
        <w:tc>
          <w:tcPr>
            <w:tcW w:w="739" w:type="dxa"/>
            <w:tcBorders>
              <w:top w:val="nil"/>
              <w:left w:val="nil"/>
              <w:bottom w:val="nil"/>
              <w:right w:val="nil"/>
            </w:tcBorders>
            <w:shd w:val="clear" w:color="auto" w:fill="FFFFFF"/>
            <w:hideMark/>
          </w:tcPr>
          <w:p w:rsidR="003F32E6" w:rsidRPr="00C0717C" w:rsidRDefault="00172AEB" w:rsidP="007759F0">
            <w:pPr>
              <w:pStyle w:val="CETBodytext"/>
              <w:jc w:val="left"/>
            </w:pPr>
            <w:r w:rsidRPr="00C0717C">
              <w:t xml:space="preserve">  </w:t>
            </w:r>
            <w:proofErr w:type="spellStart"/>
            <w:r w:rsidR="003F32E6" w:rsidRPr="00C0717C">
              <w:t>n.d.</w:t>
            </w:r>
            <w:proofErr w:type="spellEnd"/>
          </w:p>
        </w:tc>
        <w:tc>
          <w:tcPr>
            <w:tcW w:w="1081"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3.466±0.076</w:t>
            </w:r>
            <w:r w:rsidRPr="00C0717C">
              <w:rPr>
                <w:vertAlign w:val="superscript"/>
              </w:rPr>
              <w:t>a</w:t>
            </w:r>
          </w:p>
        </w:tc>
        <w:tc>
          <w:tcPr>
            <w:tcW w:w="1196"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0.320±0.017</w:t>
            </w:r>
            <w:r w:rsidRPr="00C0717C">
              <w:rPr>
                <w:vertAlign w:val="superscript"/>
              </w:rPr>
              <w:t>ab</w:t>
            </w:r>
          </w:p>
        </w:tc>
        <w:tc>
          <w:tcPr>
            <w:tcW w:w="1001"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14.06±1.06</w:t>
            </w:r>
            <w:r w:rsidRPr="00C0717C">
              <w:rPr>
                <w:vertAlign w:val="superscript"/>
              </w:rPr>
              <w:t>c</w:t>
            </w:r>
          </w:p>
        </w:tc>
        <w:tc>
          <w:tcPr>
            <w:tcW w:w="1191"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58.20±9.27</w:t>
            </w:r>
            <w:r w:rsidR="006E2F99" w:rsidRPr="00C0717C">
              <w:rPr>
                <w:vertAlign w:val="superscript"/>
              </w:rPr>
              <w:t>c</w:t>
            </w:r>
          </w:p>
        </w:tc>
        <w:tc>
          <w:tcPr>
            <w:tcW w:w="959"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0.94±0.08</w:t>
            </w:r>
            <w:r w:rsidR="006E2F99" w:rsidRPr="00C0717C">
              <w:rPr>
                <w:vertAlign w:val="superscript"/>
              </w:rPr>
              <w:t>a</w:t>
            </w:r>
          </w:p>
        </w:tc>
        <w:tc>
          <w:tcPr>
            <w:tcW w:w="1077"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53.42±0.19</w:t>
            </w:r>
            <w:r w:rsidR="006E2F99" w:rsidRPr="00C0717C">
              <w:rPr>
                <w:vertAlign w:val="superscript"/>
              </w:rPr>
              <w:t>c</w:t>
            </w:r>
          </w:p>
        </w:tc>
        <w:tc>
          <w:tcPr>
            <w:tcW w:w="875"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0.47±0.01</w:t>
            </w:r>
            <w:r w:rsidR="006E2F99" w:rsidRPr="00C0717C">
              <w:rPr>
                <w:vertAlign w:val="superscript"/>
              </w:rPr>
              <w:t>b</w:t>
            </w:r>
          </w:p>
        </w:tc>
      </w:tr>
      <w:tr w:rsidR="003F32E6" w:rsidRPr="00C0717C" w:rsidTr="006E2F99">
        <w:trPr>
          <w:trHeight w:val="252"/>
        </w:trPr>
        <w:tc>
          <w:tcPr>
            <w:tcW w:w="625"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4</w:t>
            </w:r>
          </w:p>
        </w:tc>
        <w:tc>
          <w:tcPr>
            <w:tcW w:w="739" w:type="dxa"/>
            <w:tcBorders>
              <w:top w:val="nil"/>
              <w:left w:val="nil"/>
              <w:bottom w:val="nil"/>
              <w:right w:val="nil"/>
            </w:tcBorders>
            <w:shd w:val="clear" w:color="auto" w:fill="FFFFFF"/>
            <w:hideMark/>
          </w:tcPr>
          <w:p w:rsidR="003F32E6" w:rsidRPr="00C0717C" w:rsidRDefault="00172AEB" w:rsidP="007759F0">
            <w:pPr>
              <w:pStyle w:val="CETBodytext"/>
              <w:jc w:val="left"/>
            </w:pPr>
            <w:r w:rsidRPr="00C0717C">
              <w:t xml:space="preserve">  </w:t>
            </w:r>
            <w:proofErr w:type="spellStart"/>
            <w:r w:rsidR="003F32E6" w:rsidRPr="00C0717C">
              <w:t>n.d.</w:t>
            </w:r>
            <w:proofErr w:type="spellEnd"/>
          </w:p>
        </w:tc>
        <w:tc>
          <w:tcPr>
            <w:tcW w:w="1081"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3.486±0.066</w:t>
            </w:r>
            <w:r w:rsidRPr="00C0717C">
              <w:rPr>
                <w:vertAlign w:val="superscript"/>
              </w:rPr>
              <w:t>a</w:t>
            </w:r>
          </w:p>
        </w:tc>
        <w:tc>
          <w:tcPr>
            <w:tcW w:w="1196"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0.305±0.017</w:t>
            </w:r>
            <w:r w:rsidRPr="00C0717C">
              <w:rPr>
                <w:vertAlign w:val="superscript"/>
              </w:rPr>
              <w:t>b</w:t>
            </w:r>
          </w:p>
        </w:tc>
        <w:tc>
          <w:tcPr>
            <w:tcW w:w="1001"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22.35±0.68</w:t>
            </w:r>
            <w:r w:rsidRPr="00C0717C">
              <w:rPr>
                <w:vertAlign w:val="superscript"/>
              </w:rPr>
              <w:t>b</w:t>
            </w:r>
          </w:p>
        </w:tc>
        <w:tc>
          <w:tcPr>
            <w:tcW w:w="1191"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22.96±0.53</w:t>
            </w:r>
            <w:r w:rsidR="006E2F99" w:rsidRPr="00C0717C">
              <w:rPr>
                <w:vertAlign w:val="superscript"/>
              </w:rPr>
              <w:t>b</w:t>
            </w:r>
          </w:p>
        </w:tc>
        <w:tc>
          <w:tcPr>
            <w:tcW w:w="959"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0.39±0.01</w:t>
            </w:r>
            <w:r w:rsidR="006E2F99" w:rsidRPr="00C0717C">
              <w:rPr>
                <w:vertAlign w:val="superscript"/>
              </w:rPr>
              <w:t>d</w:t>
            </w:r>
          </w:p>
        </w:tc>
        <w:tc>
          <w:tcPr>
            <w:tcW w:w="1077"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26.54±1.71</w:t>
            </w:r>
            <w:r w:rsidR="006E2F99" w:rsidRPr="00C0717C">
              <w:rPr>
                <w:vertAlign w:val="superscript"/>
              </w:rPr>
              <w:t>e</w:t>
            </w:r>
          </w:p>
        </w:tc>
        <w:tc>
          <w:tcPr>
            <w:tcW w:w="875"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0.34±0.00</w:t>
            </w:r>
            <w:r w:rsidR="006E2F99" w:rsidRPr="00C0717C">
              <w:rPr>
                <w:vertAlign w:val="superscript"/>
              </w:rPr>
              <w:t>c</w:t>
            </w:r>
          </w:p>
        </w:tc>
      </w:tr>
      <w:tr w:rsidR="003F32E6" w:rsidRPr="00C0717C" w:rsidTr="006E2F99">
        <w:trPr>
          <w:trHeight w:val="252"/>
        </w:trPr>
        <w:tc>
          <w:tcPr>
            <w:tcW w:w="625"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5</w:t>
            </w:r>
          </w:p>
        </w:tc>
        <w:tc>
          <w:tcPr>
            <w:tcW w:w="739" w:type="dxa"/>
            <w:tcBorders>
              <w:top w:val="nil"/>
              <w:left w:val="nil"/>
              <w:bottom w:val="nil"/>
              <w:right w:val="nil"/>
            </w:tcBorders>
            <w:shd w:val="clear" w:color="auto" w:fill="FFFFFF"/>
            <w:hideMark/>
          </w:tcPr>
          <w:p w:rsidR="003F32E6" w:rsidRPr="00C0717C" w:rsidRDefault="00172AEB" w:rsidP="007759F0">
            <w:pPr>
              <w:pStyle w:val="CETBodytext"/>
              <w:jc w:val="left"/>
            </w:pPr>
            <w:r w:rsidRPr="00C0717C">
              <w:t xml:space="preserve">  </w:t>
            </w:r>
            <w:proofErr w:type="spellStart"/>
            <w:r w:rsidR="003F32E6" w:rsidRPr="00C0717C">
              <w:t>n.d.</w:t>
            </w:r>
            <w:proofErr w:type="spellEnd"/>
          </w:p>
        </w:tc>
        <w:tc>
          <w:tcPr>
            <w:tcW w:w="1081"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3.495±0.019</w:t>
            </w:r>
            <w:r w:rsidRPr="00C0717C">
              <w:rPr>
                <w:vertAlign w:val="superscript"/>
              </w:rPr>
              <w:t>a</w:t>
            </w:r>
          </w:p>
        </w:tc>
        <w:tc>
          <w:tcPr>
            <w:tcW w:w="1196"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0.369±0.02</w:t>
            </w:r>
            <w:r w:rsidRPr="00C0717C">
              <w:rPr>
                <w:vertAlign w:val="superscript"/>
              </w:rPr>
              <w:t>a</w:t>
            </w:r>
          </w:p>
        </w:tc>
        <w:tc>
          <w:tcPr>
            <w:tcW w:w="1001"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33.36±2.18</w:t>
            </w:r>
            <w:r w:rsidRPr="00C0717C">
              <w:rPr>
                <w:vertAlign w:val="superscript"/>
              </w:rPr>
              <w:t>a</w:t>
            </w:r>
          </w:p>
        </w:tc>
        <w:tc>
          <w:tcPr>
            <w:tcW w:w="1191"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49.92±1.05</w:t>
            </w:r>
            <w:r w:rsidR="006E2F99" w:rsidRPr="00C0717C">
              <w:rPr>
                <w:vertAlign w:val="superscript"/>
              </w:rPr>
              <w:t>a</w:t>
            </w:r>
          </w:p>
        </w:tc>
        <w:tc>
          <w:tcPr>
            <w:tcW w:w="959"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0.38±0.01</w:t>
            </w:r>
            <w:r w:rsidR="006E2F99" w:rsidRPr="00C0717C">
              <w:rPr>
                <w:vertAlign w:val="superscript"/>
              </w:rPr>
              <w:t>a</w:t>
            </w:r>
          </w:p>
        </w:tc>
        <w:tc>
          <w:tcPr>
            <w:tcW w:w="1077"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63.79±3.41</w:t>
            </w:r>
            <w:r w:rsidR="006E2F99" w:rsidRPr="00C0717C">
              <w:rPr>
                <w:vertAlign w:val="superscript"/>
              </w:rPr>
              <w:t>b</w:t>
            </w:r>
          </w:p>
        </w:tc>
        <w:tc>
          <w:tcPr>
            <w:tcW w:w="875"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0.46±0.00</w:t>
            </w:r>
            <w:r w:rsidR="006E2F99" w:rsidRPr="00C0717C">
              <w:rPr>
                <w:vertAlign w:val="superscript"/>
              </w:rPr>
              <w:t>b</w:t>
            </w:r>
          </w:p>
        </w:tc>
      </w:tr>
      <w:tr w:rsidR="003F32E6" w:rsidRPr="00C0717C" w:rsidTr="006E2F99">
        <w:trPr>
          <w:trHeight w:val="252"/>
        </w:trPr>
        <w:tc>
          <w:tcPr>
            <w:tcW w:w="625"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6</w:t>
            </w:r>
          </w:p>
        </w:tc>
        <w:tc>
          <w:tcPr>
            <w:tcW w:w="739" w:type="dxa"/>
            <w:tcBorders>
              <w:top w:val="nil"/>
              <w:left w:val="nil"/>
              <w:bottom w:val="nil"/>
              <w:right w:val="nil"/>
            </w:tcBorders>
            <w:shd w:val="clear" w:color="auto" w:fill="FFFFFF"/>
            <w:hideMark/>
          </w:tcPr>
          <w:p w:rsidR="003F32E6" w:rsidRPr="00C0717C" w:rsidRDefault="00172AEB" w:rsidP="007759F0">
            <w:pPr>
              <w:pStyle w:val="CETBodytext"/>
              <w:jc w:val="left"/>
            </w:pPr>
            <w:r w:rsidRPr="00C0717C">
              <w:t xml:space="preserve">  </w:t>
            </w:r>
            <w:proofErr w:type="spellStart"/>
            <w:r w:rsidR="003F32E6" w:rsidRPr="00C0717C">
              <w:t>n.d.</w:t>
            </w:r>
            <w:proofErr w:type="spellEnd"/>
          </w:p>
        </w:tc>
        <w:tc>
          <w:tcPr>
            <w:tcW w:w="1081"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3.201±1.094</w:t>
            </w:r>
            <w:r w:rsidRPr="00C0717C">
              <w:rPr>
                <w:vertAlign w:val="superscript"/>
              </w:rPr>
              <w:t>a</w:t>
            </w:r>
          </w:p>
        </w:tc>
        <w:tc>
          <w:tcPr>
            <w:tcW w:w="1196"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0.245±0.017</w:t>
            </w:r>
            <w:r w:rsidRPr="00C0717C">
              <w:rPr>
                <w:vertAlign w:val="superscript"/>
              </w:rPr>
              <w:t>cd</w:t>
            </w:r>
          </w:p>
        </w:tc>
        <w:tc>
          <w:tcPr>
            <w:tcW w:w="1001"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9.90±4.99</w:t>
            </w:r>
            <w:r w:rsidRPr="00C0717C">
              <w:rPr>
                <w:vertAlign w:val="superscript"/>
              </w:rPr>
              <w:t>cd</w:t>
            </w:r>
          </w:p>
        </w:tc>
        <w:tc>
          <w:tcPr>
            <w:tcW w:w="1191"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28.87±1.80</w:t>
            </w:r>
            <w:r w:rsidR="006E2F99" w:rsidRPr="00C0717C">
              <w:rPr>
                <w:vertAlign w:val="superscript"/>
              </w:rPr>
              <w:t>cd</w:t>
            </w:r>
          </w:p>
        </w:tc>
        <w:tc>
          <w:tcPr>
            <w:tcW w:w="959"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0.06±0.00</w:t>
            </w:r>
            <w:r w:rsidR="006E2F99" w:rsidRPr="00C0717C">
              <w:rPr>
                <w:vertAlign w:val="superscript"/>
              </w:rPr>
              <w:t>bc</w:t>
            </w:r>
          </w:p>
        </w:tc>
        <w:tc>
          <w:tcPr>
            <w:tcW w:w="1077"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4.05±0.49</w:t>
            </w:r>
            <w:r w:rsidR="006E2F99" w:rsidRPr="00C0717C">
              <w:rPr>
                <w:vertAlign w:val="superscript"/>
              </w:rPr>
              <w:t>f</w:t>
            </w:r>
          </w:p>
        </w:tc>
        <w:tc>
          <w:tcPr>
            <w:tcW w:w="875"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0.05±0.00</w:t>
            </w:r>
            <w:r w:rsidR="006E2F99" w:rsidRPr="00C0717C">
              <w:rPr>
                <w:vertAlign w:val="superscript"/>
              </w:rPr>
              <w:t>f</w:t>
            </w:r>
          </w:p>
        </w:tc>
      </w:tr>
      <w:tr w:rsidR="003F32E6" w:rsidRPr="00C0717C" w:rsidTr="006E2F99">
        <w:trPr>
          <w:trHeight w:val="252"/>
        </w:trPr>
        <w:tc>
          <w:tcPr>
            <w:tcW w:w="625"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7</w:t>
            </w:r>
          </w:p>
        </w:tc>
        <w:tc>
          <w:tcPr>
            <w:tcW w:w="739" w:type="dxa"/>
            <w:tcBorders>
              <w:top w:val="nil"/>
              <w:left w:val="nil"/>
              <w:bottom w:val="nil"/>
              <w:right w:val="nil"/>
            </w:tcBorders>
            <w:shd w:val="clear" w:color="auto" w:fill="FFFFFF"/>
            <w:hideMark/>
          </w:tcPr>
          <w:p w:rsidR="003F32E6" w:rsidRPr="00C0717C" w:rsidRDefault="00172AEB" w:rsidP="007759F0">
            <w:pPr>
              <w:pStyle w:val="CETBodytext"/>
              <w:jc w:val="left"/>
            </w:pPr>
            <w:r w:rsidRPr="00C0717C">
              <w:t xml:space="preserve">  </w:t>
            </w:r>
            <w:proofErr w:type="spellStart"/>
            <w:r w:rsidR="003F32E6" w:rsidRPr="00C0717C">
              <w:t>n.d.</w:t>
            </w:r>
            <w:proofErr w:type="spellEnd"/>
          </w:p>
        </w:tc>
        <w:tc>
          <w:tcPr>
            <w:tcW w:w="1081"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3.083±0.034</w:t>
            </w:r>
            <w:r w:rsidRPr="00C0717C">
              <w:rPr>
                <w:vertAlign w:val="superscript"/>
              </w:rPr>
              <w:t>a</w:t>
            </w:r>
          </w:p>
        </w:tc>
        <w:tc>
          <w:tcPr>
            <w:tcW w:w="1196"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0.223±0.001</w:t>
            </w:r>
            <w:r w:rsidRPr="00C0717C">
              <w:rPr>
                <w:vertAlign w:val="superscript"/>
              </w:rPr>
              <w:t>cd</w:t>
            </w:r>
          </w:p>
        </w:tc>
        <w:tc>
          <w:tcPr>
            <w:tcW w:w="1001"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6.72±0.38</w:t>
            </w:r>
            <w:r w:rsidRPr="00C0717C">
              <w:rPr>
                <w:vertAlign w:val="superscript"/>
              </w:rPr>
              <w:t>de</w:t>
            </w:r>
          </w:p>
        </w:tc>
        <w:tc>
          <w:tcPr>
            <w:tcW w:w="1191"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35.74±0.48</w:t>
            </w:r>
            <w:r w:rsidR="006E2F99" w:rsidRPr="00C0717C">
              <w:rPr>
                <w:vertAlign w:val="superscript"/>
              </w:rPr>
              <w:t>de</w:t>
            </w:r>
          </w:p>
        </w:tc>
        <w:tc>
          <w:tcPr>
            <w:tcW w:w="959"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0.08±0.01</w:t>
            </w:r>
            <w:r w:rsidR="006E2F99" w:rsidRPr="00C0717C">
              <w:rPr>
                <w:vertAlign w:val="superscript"/>
              </w:rPr>
              <w:t>b</w:t>
            </w:r>
          </w:p>
        </w:tc>
        <w:tc>
          <w:tcPr>
            <w:tcW w:w="1077"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10.33±0.70</w:t>
            </w:r>
            <w:r w:rsidR="006E2F99" w:rsidRPr="00C0717C">
              <w:rPr>
                <w:vertAlign w:val="superscript"/>
              </w:rPr>
              <w:t>f</w:t>
            </w:r>
          </w:p>
        </w:tc>
        <w:tc>
          <w:tcPr>
            <w:tcW w:w="875" w:type="dxa"/>
            <w:tcBorders>
              <w:top w:val="nil"/>
              <w:left w:val="nil"/>
              <w:bottom w:val="nil"/>
              <w:right w:val="nil"/>
            </w:tcBorders>
            <w:shd w:val="clear" w:color="auto" w:fill="FFFFFF"/>
            <w:hideMark/>
          </w:tcPr>
          <w:p w:rsidR="003F32E6" w:rsidRPr="00C0717C" w:rsidRDefault="003F32E6" w:rsidP="007759F0">
            <w:pPr>
              <w:pStyle w:val="CETBodytext"/>
              <w:jc w:val="left"/>
            </w:pPr>
            <w:r w:rsidRPr="00C0717C">
              <w:t>0.10±0.00</w:t>
            </w:r>
            <w:r w:rsidR="006E2F99" w:rsidRPr="00C0717C">
              <w:rPr>
                <w:vertAlign w:val="superscript"/>
              </w:rPr>
              <w:t>e</w:t>
            </w:r>
          </w:p>
        </w:tc>
      </w:tr>
      <w:tr w:rsidR="003F32E6" w:rsidRPr="00C0717C" w:rsidTr="006E2F99">
        <w:trPr>
          <w:trHeight w:val="252"/>
        </w:trPr>
        <w:tc>
          <w:tcPr>
            <w:tcW w:w="625" w:type="dxa"/>
            <w:tcBorders>
              <w:top w:val="nil"/>
              <w:left w:val="nil"/>
              <w:bottom w:val="single" w:sz="12" w:space="0" w:color="008000"/>
              <w:right w:val="nil"/>
            </w:tcBorders>
            <w:shd w:val="clear" w:color="auto" w:fill="FFFFFF"/>
            <w:hideMark/>
          </w:tcPr>
          <w:p w:rsidR="003F32E6" w:rsidRPr="00C0717C" w:rsidRDefault="003F32E6" w:rsidP="007759F0">
            <w:pPr>
              <w:pStyle w:val="CETBodytext"/>
              <w:jc w:val="left"/>
            </w:pPr>
            <w:r w:rsidRPr="00C0717C">
              <w:t>8</w:t>
            </w:r>
          </w:p>
        </w:tc>
        <w:tc>
          <w:tcPr>
            <w:tcW w:w="739" w:type="dxa"/>
            <w:tcBorders>
              <w:top w:val="nil"/>
              <w:left w:val="nil"/>
              <w:bottom w:val="single" w:sz="12" w:space="0" w:color="008000"/>
              <w:right w:val="nil"/>
            </w:tcBorders>
            <w:shd w:val="clear" w:color="auto" w:fill="FFFFFF"/>
            <w:hideMark/>
          </w:tcPr>
          <w:p w:rsidR="003F32E6" w:rsidRPr="00C0717C" w:rsidRDefault="00172AEB" w:rsidP="007759F0">
            <w:pPr>
              <w:pStyle w:val="CETBodytext"/>
              <w:jc w:val="left"/>
            </w:pPr>
            <w:r w:rsidRPr="00C0717C">
              <w:t xml:space="preserve">  </w:t>
            </w:r>
            <w:proofErr w:type="spellStart"/>
            <w:r w:rsidR="003F32E6" w:rsidRPr="00C0717C">
              <w:t>n.d.</w:t>
            </w:r>
            <w:proofErr w:type="spellEnd"/>
          </w:p>
        </w:tc>
        <w:tc>
          <w:tcPr>
            <w:tcW w:w="1081" w:type="dxa"/>
            <w:tcBorders>
              <w:top w:val="nil"/>
              <w:left w:val="nil"/>
              <w:bottom w:val="single" w:sz="12" w:space="0" w:color="008000"/>
              <w:right w:val="nil"/>
            </w:tcBorders>
            <w:shd w:val="clear" w:color="auto" w:fill="FFFFFF"/>
            <w:hideMark/>
          </w:tcPr>
          <w:p w:rsidR="003F32E6" w:rsidRPr="00C0717C" w:rsidRDefault="003F32E6" w:rsidP="007759F0">
            <w:pPr>
              <w:pStyle w:val="CETBodytext"/>
              <w:jc w:val="left"/>
            </w:pPr>
            <w:r w:rsidRPr="00C0717C">
              <w:t>1.102±0.038</w:t>
            </w:r>
            <w:r w:rsidRPr="00C0717C">
              <w:rPr>
                <w:vertAlign w:val="superscript"/>
              </w:rPr>
              <w:t>b</w:t>
            </w:r>
          </w:p>
        </w:tc>
        <w:tc>
          <w:tcPr>
            <w:tcW w:w="1196" w:type="dxa"/>
            <w:tcBorders>
              <w:top w:val="nil"/>
              <w:left w:val="nil"/>
              <w:bottom w:val="single" w:sz="12" w:space="0" w:color="008000"/>
              <w:right w:val="nil"/>
            </w:tcBorders>
            <w:shd w:val="clear" w:color="auto" w:fill="FFFFFF"/>
            <w:hideMark/>
          </w:tcPr>
          <w:p w:rsidR="003F32E6" w:rsidRPr="00C0717C" w:rsidRDefault="003F32E6" w:rsidP="007759F0">
            <w:pPr>
              <w:pStyle w:val="CETBodytext"/>
              <w:jc w:val="left"/>
            </w:pPr>
            <w:r w:rsidRPr="00C0717C">
              <w:t>0.116±0.015</w:t>
            </w:r>
            <w:r w:rsidRPr="00C0717C">
              <w:rPr>
                <w:vertAlign w:val="superscript"/>
              </w:rPr>
              <w:t>e</w:t>
            </w:r>
          </w:p>
        </w:tc>
        <w:tc>
          <w:tcPr>
            <w:tcW w:w="1001" w:type="dxa"/>
            <w:tcBorders>
              <w:top w:val="nil"/>
              <w:left w:val="nil"/>
              <w:bottom w:val="single" w:sz="12" w:space="0" w:color="008000"/>
              <w:right w:val="nil"/>
            </w:tcBorders>
            <w:shd w:val="clear" w:color="auto" w:fill="FFFFFF"/>
            <w:hideMark/>
          </w:tcPr>
          <w:p w:rsidR="003F32E6" w:rsidRPr="00C0717C" w:rsidRDefault="003F32E6" w:rsidP="007759F0">
            <w:pPr>
              <w:pStyle w:val="CETBodytext"/>
              <w:jc w:val="left"/>
            </w:pPr>
            <w:r w:rsidRPr="00C0717C">
              <w:t>1.74±2.47</w:t>
            </w:r>
            <w:r w:rsidRPr="00C0717C">
              <w:rPr>
                <w:vertAlign w:val="superscript"/>
              </w:rPr>
              <w:t>e</w:t>
            </w:r>
          </w:p>
        </w:tc>
        <w:tc>
          <w:tcPr>
            <w:tcW w:w="1191" w:type="dxa"/>
            <w:tcBorders>
              <w:top w:val="nil"/>
              <w:left w:val="nil"/>
              <w:bottom w:val="single" w:sz="12" w:space="0" w:color="008000"/>
              <w:right w:val="nil"/>
            </w:tcBorders>
            <w:shd w:val="clear" w:color="auto" w:fill="FFFFFF"/>
            <w:hideMark/>
          </w:tcPr>
          <w:p w:rsidR="003F32E6" w:rsidRPr="00C0717C" w:rsidRDefault="003F32E6" w:rsidP="007759F0">
            <w:pPr>
              <w:pStyle w:val="CETBodytext"/>
              <w:jc w:val="left"/>
            </w:pPr>
            <w:r w:rsidRPr="00C0717C">
              <w:t>28.87±1.80</w:t>
            </w:r>
            <w:r w:rsidR="006E2F99" w:rsidRPr="00C0717C">
              <w:rPr>
                <w:vertAlign w:val="superscript"/>
              </w:rPr>
              <w:t>e</w:t>
            </w:r>
          </w:p>
        </w:tc>
        <w:tc>
          <w:tcPr>
            <w:tcW w:w="959" w:type="dxa"/>
            <w:tcBorders>
              <w:top w:val="nil"/>
              <w:left w:val="nil"/>
              <w:bottom w:val="single" w:sz="12" w:space="0" w:color="008000"/>
              <w:right w:val="nil"/>
            </w:tcBorders>
            <w:shd w:val="clear" w:color="auto" w:fill="FFFFFF"/>
            <w:hideMark/>
          </w:tcPr>
          <w:p w:rsidR="003F32E6" w:rsidRPr="00C0717C" w:rsidRDefault="003F32E6" w:rsidP="007759F0">
            <w:pPr>
              <w:pStyle w:val="CETBodytext"/>
              <w:jc w:val="left"/>
            </w:pPr>
            <w:r w:rsidRPr="00C0717C">
              <w:t>0.23±0.01</w:t>
            </w:r>
            <w:r w:rsidR="006E2F99" w:rsidRPr="00C0717C">
              <w:rPr>
                <w:vertAlign w:val="superscript"/>
              </w:rPr>
              <w:t>bc</w:t>
            </w:r>
          </w:p>
        </w:tc>
        <w:tc>
          <w:tcPr>
            <w:tcW w:w="1077" w:type="dxa"/>
            <w:tcBorders>
              <w:top w:val="nil"/>
              <w:left w:val="nil"/>
              <w:bottom w:val="single" w:sz="12" w:space="0" w:color="008000"/>
              <w:right w:val="nil"/>
            </w:tcBorders>
            <w:shd w:val="clear" w:color="auto" w:fill="FFFFFF"/>
            <w:hideMark/>
          </w:tcPr>
          <w:p w:rsidR="003F32E6" w:rsidRPr="00C0717C" w:rsidRDefault="003F32E6" w:rsidP="007759F0">
            <w:pPr>
              <w:pStyle w:val="CETBodytext"/>
              <w:jc w:val="left"/>
            </w:pPr>
            <w:r w:rsidRPr="00C0717C">
              <w:t>26.02±2.95</w:t>
            </w:r>
            <w:r w:rsidR="006E2F99" w:rsidRPr="00C0717C">
              <w:rPr>
                <w:vertAlign w:val="superscript"/>
              </w:rPr>
              <w:t>e</w:t>
            </w:r>
          </w:p>
        </w:tc>
        <w:tc>
          <w:tcPr>
            <w:tcW w:w="875" w:type="dxa"/>
            <w:tcBorders>
              <w:top w:val="nil"/>
              <w:left w:val="nil"/>
              <w:bottom w:val="single" w:sz="12" w:space="0" w:color="008000"/>
              <w:right w:val="nil"/>
            </w:tcBorders>
            <w:shd w:val="clear" w:color="auto" w:fill="FFFFFF"/>
            <w:hideMark/>
          </w:tcPr>
          <w:p w:rsidR="003F32E6" w:rsidRPr="00C0717C" w:rsidRDefault="003F32E6" w:rsidP="007759F0">
            <w:pPr>
              <w:pStyle w:val="CETBodytext"/>
              <w:jc w:val="left"/>
            </w:pPr>
            <w:r w:rsidRPr="00C0717C">
              <w:t>0.17±0.02</w:t>
            </w:r>
            <w:r w:rsidR="006E2F99" w:rsidRPr="00C0717C">
              <w:rPr>
                <w:vertAlign w:val="superscript"/>
              </w:rPr>
              <w:t>d</w:t>
            </w:r>
          </w:p>
        </w:tc>
      </w:tr>
    </w:tbl>
    <w:p w:rsidR="004F43ED" w:rsidRDefault="004F43ED" w:rsidP="004F43ED">
      <w:pPr>
        <w:pStyle w:val="CETBodytext"/>
      </w:pPr>
    </w:p>
    <w:p w:rsidR="004F43ED" w:rsidRPr="005078EA" w:rsidRDefault="004F43ED" w:rsidP="004F43ED">
      <w:pPr>
        <w:pStyle w:val="CETBodytext"/>
      </w:pPr>
      <w:r w:rsidRPr="005078EA">
        <w:t>Analy</w:t>
      </w:r>
      <w:r w:rsidR="00C0717C">
        <w:t>sis</w:t>
      </w:r>
      <w:r w:rsidRPr="005078EA">
        <w:t xml:space="preserve"> of chemical parameter w</w:t>
      </w:r>
      <w:r w:rsidR="00C0717C">
        <w:t>as</w:t>
      </w:r>
      <w:r w:rsidRPr="005078EA">
        <w:t xml:space="preserve"> integrated with color evaluations (Tables 6 and 7</w:t>
      </w:r>
      <w:r w:rsidRPr="007759F0">
        <w:t>). In detail, 410 and 420 nm absorption was determined as indicator of possible browning polymer</w:t>
      </w:r>
      <w:r w:rsidR="00C0717C">
        <w:t>s</w:t>
      </w:r>
      <w:r w:rsidRPr="007759F0">
        <w:t xml:space="preserve"> formation (Xu et al., 2017), that</w:t>
      </w:r>
      <w:r w:rsidRPr="005078EA">
        <w:t xml:space="preserve"> could have interfered with </w:t>
      </w:r>
      <w:r w:rsidR="00C0717C">
        <w:t xml:space="preserve">total </w:t>
      </w:r>
      <w:r w:rsidRPr="005078EA">
        <w:t>phenol</w:t>
      </w:r>
      <w:r w:rsidR="00C0717C">
        <w:t>s</w:t>
      </w:r>
      <w:r w:rsidRPr="005078EA">
        <w:t xml:space="preserve"> dosage. However, most of the samples showed a reduction in abso</w:t>
      </w:r>
      <w:r w:rsidR="00850C4C">
        <w:t xml:space="preserve">rption at 420 nm after the 60 </w:t>
      </w:r>
      <w:r w:rsidR="00850C4C" w:rsidRPr="00C0717C">
        <w:t>°</w:t>
      </w:r>
      <w:r w:rsidRPr="00C0717C">
        <w:t xml:space="preserve">C </w:t>
      </w:r>
      <w:r w:rsidR="00C0717C">
        <w:t>storage</w:t>
      </w:r>
      <w:r w:rsidRPr="005078EA">
        <w:t xml:space="preserve"> (Table 7). Therefore, the evaluation of </w:t>
      </w:r>
      <w:r w:rsidR="00C0717C">
        <w:t xml:space="preserve">total </w:t>
      </w:r>
      <w:r w:rsidRPr="005078EA">
        <w:t>phenols level was not influenced by the formation of new compounds. This is also confirmed by the com</w:t>
      </w:r>
      <w:r w:rsidR="00850C4C">
        <w:t xml:space="preserve">parison between the CIE L*a*b* </w:t>
      </w:r>
      <w:r w:rsidRPr="00C0717C">
        <w:t>coordinates,</w:t>
      </w:r>
      <w:r w:rsidRPr="00850C4C">
        <w:rPr>
          <w:color w:val="FF0000"/>
        </w:rPr>
        <w:t xml:space="preserve"> </w:t>
      </w:r>
      <w:r w:rsidRPr="005078EA">
        <w:t>where only minimal variations were observed.</w:t>
      </w:r>
    </w:p>
    <w:p w:rsidR="00031ABC" w:rsidRPr="005D526F" w:rsidRDefault="00031ABC" w:rsidP="00031ABC">
      <w:pPr>
        <w:keepNext/>
        <w:spacing w:before="240" w:after="80" w:line="240" w:lineRule="exact"/>
        <w:rPr>
          <w:i/>
        </w:rPr>
      </w:pPr>
      <w:r w:rsidRPr="005D526F">
        <w:rPr>
          <w:i/>
        </w:rPr>
        <w:lastRenderedPageBreak/>
        <w:t xml:space="preserve">Table 5: </w:t>
      </w:r>
      <w:r w:rsidR="00C0717C">
        <w:rPr>
          <w:i/>
        </w:rPr>
        <w:t>Total phenols content</w:t>
      </w:r>
      <w:r w:rsidRPr="005D526F">
        <w:rPr>
          <w:i/>
        </w:rPr>
        <w:t xml:space="preserve"> measured on superna</w:t>
      </w:r>
      <w:r w:rsidR="00C0717C">
        <w:rPr>
          <w:i/>
        </w:rPr>
        <w:t xml:space="preserve">tants of freeze </w:t>
      </w:r>
      <w:r w:rsidRPr="005D526F">
        <w:rPr>
          <w:i/>
        </w:rPr>
        <w:t>dried samples subjected to ethanol precipitation.</w:t>
      </w:r>
      <w:r w:rsidRPr="005D526F">
        <w:rPr>
          <w:lang w:val="en-US"/>
        </w:rPr>
        <w:t xml:space="preserve"> </w:t>
      </w:r>
      <w:r w:rsidRPr="005D526F">
        <w:rPr>
          <w:i/>
        </w:rPr>
        <w:t>Different superscript letters indicate statistically different values within each row</w:t>
      </w:r>
      <w:r w:rsidR="00450054">
        <w:rPr>
          <w:i/>
        </w:rPr>
        <w:t xml:space="preserve"> (Student’s test)</w:t>
      </w:r>
      <w:r w:rsidRPr="005D526F">
        <w:rPr>
          <w:i/>
        </w:rPr>
        <w:t>, and different subscript letters indicate statistically different values within each column</w:t>
      </w:r>
      <w:r w:rsidR="00450054">
        <w:rPr>
          <w:i/>
        </w:rPr>
        <w:t xml:space="preserve"> (Tukey’s test)</w:t>
      </w:r>
      <w:r w:rsidRPr="005D526F">
        <w:rPr>
          <w:i/>
        </w:rPr>
        <w:t>.</w:t>
      </w:r>
    </w:p>
    <w:tbl>
      <w:tblPr>
        <w:tblW w:w="5529"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062"/>
        <w:gridCol w:w="2233"/>
        <w:gridCol w:w="2205"/>
        <w:gridCol w:w="29"/>
      </w:tblGrid>
      <w:tr w:rsidR="00031ABC" w:rsidRPr="005D526F" w:rsidTr="000D1E60">
        <w:trPr>
          <w:trHeight w:val="265"/>
        </w:trPr>
        <w:tc>
          <w:tcPr>
            <w:tcW w:w="1062" w:type="dxa"/>
            <w:tcBorders>
              <w:top w:val="single" w:sz="12" w:space="0" w:color="008000"/>
              <w:left w:val="nil"/>
              <w:bottom w:val="nil"/>
              <w:right w:val="nil"/>
            </w:tcBorders>
            <w:shd w:val="clear" w:color="auto" w:fill="FFFFFF"/>
            <w:hideMark/>
          </w:tcPr>
          <w:p w:rsidR="00031ABC" w:rsidRPr="005D526F" w:rsidRDefault="00031ABC" w:rsidP="007759F0">
            <w:pPr>
              <w:jc w:val="left"/>
              <w:rPr>
                <w:szCs w:val="18"/>
              </w:rPr>
            </w:pPr>
            <w:r w:rsidRPr="005D526F">
              <w:rPr>
                <w:szCs w:val="18"/>
              </w:rPr>
              <w:t xml:space="preserve">Sample </w:t>
            </w:r>
          </w:p>
        </w:tc>
        <w:tc>
          <w:tcPr>
            <w:tcW w:w="4438" w:type="dxa"/>
            <w:gridSpan w:val="2"/>
            <w:tcBorders>
              <w:top w:val="single" w:sz="12" w:space="0" w:color="008000"/>
              <w:left w:val="nil"/>
              <w:bottom w:val="nil"/>
              <w:right w:val="nil"/>
            </w:tcBorders>
            <w:shd w:val="clear" w:color="auto" w:fill="FFFFFF"/>
            <w:hideMark/>
          </w:tcPr>
          <w:p w:rsidR="00031ABC" w:rsidRPr="005D526F" w:rsidRDefault="00C0717C" w:rsidP="007759F0">
            <w:pPr>
              <w:jc w:val="left"/>
              <w:rPr>
                <w:szCs w:val="18"/>
              </w:rPr>
            </w:pPr>
            <w:r>
              <w:rPr>
                <w:szCs w:val="18"/>
              </w:rPr>
              <w:t xml:space="preserve">Total </w:t>
            </w:r>
            <w:r w:rsidR="00031ABC" w:rsidRPr="005D526F">
              <w:rPr>
                <w:szCs w:val="18"/>
              </w:rPr>
              <w:t>p</w:t>
            </w:r>
            <w:r>
              <w:rPr>
                <w:szCs w:val="18"/>
              </w:rPr>
              <w:t xml:space="preserve">henols after </w:t>
            </w:r>
            <w:proofErr w:type="spellStart"/>
            <w:r>
              <w:rPr>
                <w:szCs w:val="18"/>
              </w:rPr>
              <w:t>EtOH</w:t>
            </w:r>
            <w:proofErr w:type="spellEnd"/>
            <w:r>
              <w:rPr>
                <w:szCs w:val="18"/>
              </w:rPr>
              <w:t xml:space="preserve"> precipitation </w:t>
            </w:r>
            <w:r w:rsidR="00031ABC" w:rsidRPr="005D526F">
              <w:rPr>
                <w:szCs w:val="18"/>
              </w:rPr>
              <w:t>(</w:t>
            </w:r>
            <w:proofErr w:type="spellStart"/>
            <w:r w:rsidR="00031ABC" w:rsidRPr="005D526F">
              <w:rPr>
                <w:szCs w:val="18"/>
              </w:rPr>
              <w:t>mg</w:t>
            </w:r>
            <w:r w:rsidR="00031ABC" w:rsidRPr="005D526F">
              <w:rPr>
                <w:szCs w:val="18"/>
                <w:vertAlign w:val="subscript"/>
              </w:rPr>
              <w:t>GAE</w:t>
            </w:r>
            <w:proofErr w:type="spellEnd"/>
            <w:r w:rsidR="00031ABC" w:rsidRPr="005D526F">
              <w:rPr>
                <w:szCs w:val="18"/>
              </w:rPr>
              <w:t xml:space="preserve">/100 </w:t>
            </w:r>
            <w:proofErr w:type="spellStart"/>
            <w:r w:rsidR="00031ABC" w:rsidRPr="00C0717C">
              <w:rPr>
                <w:szCs w:val="18"/>
              </w:rPr>
              <w:t>g</w:t>
            </w:r>
            <w:r w:rsidR="00850C4C" w:rsidRPr="00C0717C">
              <w:rPr>
                <w:szCs w:val="18"/>
                <w:vertAlign w:val="subscript"/>
              </w:rPr>
              <w:t>dm</w:t>
            </w:r>
            <w:proofErr w:type="spellEnd"/>
            <w:r w:rsidR="00031ABC" w:rsidRPr="00C0717C">
              <w:rPr>
                <w:szCs w:val="18"/>
              </w:rPr>
              <w:t xml:space="preserve">)  </w:t>
            </w:r>
          </w:p>
        </w:tc>
        <w:tc>
          <w:tcPr>
            <w:tcW w:w="29" w:type="dxa"/>
            <w:tcBorders>
              <w:top w:val="single" w:sz="12" w:space="0" w:color="008000"/>
              <w:left w:val="nil"/>
              <w:bottom w:val="nil"/>
              <w:right w:val="nil"/>
            </w:tcBorders>
            <w:shd w:val="clear" w:color="auto" w:fill="FFFFFF"/>
          </w:tcPr>
          <w:p w:rsidR="00031ABC" w:rsidRPr="005D526F" w:rsidRDefault="00031ABC" w:rsidP="007759F0">
            <w:pPr>
              <w:jc w:val="left"/>
              <w:rPr>
                <w:szCs w:val="18"/>
              </w:rPr>
            </w:pPr>
          </w:p>
        </w:tc>
      </w:tr>
      <w:tr w:rsidR="00031ABC" w:rsidRPr="005D526F" w:rsidTr="000D1E60">
        <w:trPr>
          <w:trHeight w:val="265"/>
        </w:trPr>
        <w:tc>
          <w:tcPr>
            <w:tcW w:w="1062" w:type="dxa"/>
            <w:tcBorders>
              <w:top w:val="nil"/>
              <w:left w:val="nil"/>
              <w:bottom w:val="single" w:sz="6" w:space="0" w:color="008000"/>
              <w:right w:val="nil"/>
            </w:tcBorders>
            <w:shd w:val="clear" w:color="auto" w:fill="FFFFFF"/>
          </w:tcPr>
          <w:p w:rsidR="00031ABC" w:rsidRPr="005D526F" w:rsidRDefault="00031ABC" w:rsidP="007759F0">
            <w:pPr>
              <w:jc w:val="left"/>
              <w:rPr>
                <w:szCs w:val="18"/>
              </w:rPr>
            </w:pPr>
          </w:p>
        </w:tc>
        <w:tc>
          <w:tcPr>
            <w:tcW w:w="2233" w:type="dxa"/>
            <w:tcBorders>
              <w:top w:val="nil"/>
              <w:left w:val="nil"/>
              <w:bottom w:val="single" w:sz="6" w:space="0" w:color="008000"/>
              <w:right w:val="nil"/>
            </w:tcBorders>
            <w:shd w:val="clear" w:color="auto" w:fill="FFFFFF"/>
            <w:hideMark/>
          </w:tcPr>
          <w:p w:rsidR="00031ABC" w:rsidRPr="005D526F" w:rsidRDefault="00C0717C" w:rsidP="007759F0">
            <w:pPr>
              <w:jc w:val="left"/>
              <w:rPr>
                <w:szCs w:val="18"/>
              </w:rPr>
            </w:pPr>
            <w:r>
              <w:rPr>
                <w:szCs w:val="18"/>
              </w:rPr>
              <w:t xml:space="preserve">After </w:t>
            </w:r>
            <w:r w:rsidR="00031ABC" w:rsidRPr="005D526F">
              <w:rPr>
                <w:szCs w:val="18"/>
              </w:rPr>
              <w:t>lyophilisation</w:t>
            </w:r>
          </w:p>
        </w:tc>
        <w:tc>
          <w:tcPr>
            <w:tcW w:w="2234" w:type="dxa"/>
            <w:gridSpan w:val="2"/>
            <w:tcBorders>
              <w:top w:val="nil"/>
              <w:left w:val="nil"/>
              <w:bottom w:val="single" w:sz="6" w:space="0" w:color="008000"/>
              <w:right w:val="nil"/>
            </w:tcBorders>
            <w:shd w:val="clear" w:color="auto" w:fill="FFFFFF"/>
            <w:hideMark/>
          </w:tcPr>
          <w:p w:rsidR="00031ABC" w:rsidRPr="005D526F" w:rsidRDefault="00C0717C" w:rsidP="007759F0">
            <w:pPr>
              <w:jc w:val="left"/>
              <w:rPr>
                <w:szCs w:val="18"/>
              </w:rPr>
            </w:pPr>
            <w:r>
              <w:rPr>
                <w:szCs w:val="18"/>
              </w:rPr>
              <w:t xml:space="preserve">After </w:t>
            </w:r>
            <w:r w:rsidR="00031ABC" w:rsidRPr="005D526F">
              <w:rPr>
                <w:szCs w:val="18"/>
              </w:rPr>
              <w:t>storage</w:t>
            </w:r>
          </w:p>
        </w:tc>
      </w:tr>
      <w:tr w:rsidR="00031ABC" w:rsidRPr="005D526F" w:rsidTr="000D1E60">
        <w:trPr>
          <w:trHeight w:val="279"/>
        </w:trPr>
        <w:tc>
          <w:tcPr>
            <w:tcW w:w="1062" w:type="dxa"/>
            <w:tcBorders>
              <w:top w:val="nil"/>
              <w:left w:val="nil"/>
              <w:bottom w:val="nil"/>
              <w:right w:val="nil"/>
            </w:tcBorders>
            <w:shd w:val="clear" w:color="auto" w:fill="FFFFFF"/>
            <w:hideMark/>
          </w:tcPr>
          <w:p w:rsidR="00031ABC" w:rsidRPr="005D526F" w:rsidRDefault="00031ABC" w:rsidP="007759F0">
            <w:pPr>
              <w:jc w:val="left"/>
              <w:rPr>
                <w:szCs w:val="18"/>
              </w:rPr>
            </w:pPr>
            <w:r w:rsidRPr="005D526F">
              <w:rPr>
                <w:szCs w:val="18"/>
              </w:rPr>
              <w:t>1</w:t>
            </w:r>
          </w:p>
        </w:tc>
        <w:tc>
          <w:tcPr>
            <w:tcW w:w="2233" w:type="dxa"/>
            <w:tcBorders>
              <w:top w:val="nil"/>
              <w:left w:val="nil"/>
              <w:bottom w:val="nil"/>
              <w:right w:val="nil"/>
            </w:tcBorders>
            <w:shd w:val="clear" w:color="auto" w:fill="FFFFFF"/>
            <w:hideMark/>
          </w:tcPr>
          <w:p w:rsidR="00031ABC" w:rsidRPr="005D526F" w:rsidRDefault="00031ABC" w:rsidP="007759F0">
            <w:pPr>
              <w:jc w:val="left"/>
              <w:rPr>
                <w:szCs w:val="18"/>
              </w:rPr>
            </w:pPr>
            <w:r w:rsidRPr="005D526F">
              <w:rPr>
                <w:rFonts w:cs="Arial"/>
                <w:szCs w:val="18"/>
              </w:rPr>
              <w:t>20.15±1.29</w:t>
            </w:r>
            <w:r w:rsidRPr="005D526F">
              <w:rPr>
                <w:rFonts w:cs="Arial"/>
                <w:szCs w:val="18"/>
                <w:vertAlign w:val="superscript"/>
              </w:rPr>
              <w:t>a</w:t>
            </w:r>
            <w:r w:rsidRPr="005D526F">
              <w:rPr>
                <w:rFonts w:cs="Arial"/>
                <w:szCs w:val="18"/>
                <w:vertAlign w:val="subscript"/>
              </w:rPr>
              <w:t>a</w:t>
            </w:r>
          </w:p>
        </w:tc>
        <w:tc>
          <w:tcPr>
            <w:tcW w:w="2234" w:type="dxa"/>
            <w:gridSpan w:val="2"/>
            <w:tcBorders>
              <w:top w:val="nil"/>
              <w:left w:val="nil"/>
              <w:bottom w:val="nil"/>
              <w:right w:val="nil"/>
            </w:tcBorders>
            <w:shd w:val="clear" w:color="auto" w:fill="FFFFFF"/>
            <w:hideMark/>
          </w:tcPr>
          <w:p w:rsidR="00031ABC" w:rsidRPr="005D526F" w:rsidRDefault="00031ABC" w:rsidP="007759F0">
            <w:pPr>
              <w:jc w:val="left"/>
              <w:rPr>
                <w:szCs w:val="18"/>
              </w:rPr>
            </w:pPr>
            <w:r w:rsidRPr="005D526F">
              <w:rPr>
                <w:rFonts w:cs="Arial"/>
                <w:szCs w:val="18"/>
              </w:rPr>
              <w:t>21.70±0.54</w:t>
            </w:r>
            <w:r w:rsidRPr="005D526F">
              <w:rPr>
                <w:rFonts w:cs="Arial"/>
                <w:szCs w:val="18"/>
                <w:vertAlign w:val="superscript"/>
              </w:rPr>
              <w:t>a</w:t>
            </w:r>
            <w:r w:rsidRPr="005D526F">
              <w:rPr>
                <w:rFonts w:cs="Arial"/>
                <w:szCs w:val="18"/>
                <w:vertAlign w:val="subscript"/>
              </w:rPr>
              <w:t>c</w:t>
            </w:r>
          </w:p>
        </w:tc>
      </w:tr>
      <w:tr w:rsidR="00031ABC" w:rsidRPr="005D526F" w:rsidTr="000D1E60">
        <w:trPr>
          <w:trHeight w:val="279"/>
        </w:trPr>
        <w:tc>
          <w:tcPr>
            <w:tcW w:w="1062" w:type="dxa"/>
            <w:tcBorders>
              <w:top w:val="nil"/>
              <w:left w:val="nil"/>
              <w:bottom w:val="nil"/>
              <w:right w:val="nil"/>
            </w:tcBorders>
            <w:shd w:val="clear" w:color="auto" w:fill="FFFFFF"/>
            <w:hideMark/>
          </w:tcPr>
          <w:p w:rsidR="00031ABC" w:rsidRPr="005D526F" w:rsidRDefault="00031ABC" w:rsidP="007759F0">
            <w:pPr>
              <w:jc w:val="left"/>
              <w:rPr>
                <w:szCs w:val="18"/>
              </w:rPr>
            </w:pPr>
            <w:r w:rsidRPr="005D526F">
              <w:rPr>
                <w:szCs w:val="18"/>
              </w:rPr>
              <w:t>2</w:t>
            </w:r>
          </w:p>
        </w:tc>
        <w:tc>
          <w:tcPr>
            <w:tcW w:w="2233" w:type="dxa"/>
            <w:tcBorders>
              <w:top w:val="nil"/>
              <w:left w:val="nil"/>
              <w:bottom w:val="nil"/>
              <w:right w:val="nil"/>
            </w:tcBorders>
            <w:shd w:val="clear" w:color="auto" w:fill="FFFFFF"/>
            <w:hideMark/>
          </w:tcPr>
          <w:p w:rsidR="00031ABC" w:rsidRPr="005D526F" w:rsidRDefault="00031ABC" w:rsidP="007759F0">
            <w:pPr>
              <w:jc w:val="left"/>
              <w:rPr>
                <w:szCs w:val="18"/>
              </w:rPr>
            </w:pPr>
            <w:r w:rsidRPr="005D526F">
              <w:rPr>
                <w:rFonts w:cs="Arial"/>
                <w:szCs w:val="18"/>
              </w:rPr>
              <w:t>22.46±1.66</w:t>
            </w:r>
            <w:r w:rsidRPr="005D526F">
              <w:rPr>
                <w:rFonts w:cs="Arial"/>
                <w:szCs w:val="18"/>
                <w:vertAlign w:val="superscript"/>
              </w:rPr>
              <w:t>b</w:t>
            </w:r>
            <w:r w:rsidRPr="005D526F">
              <w:rPr>
                <w:rFonts w:cs="Arial"/>
                <w:szCs w:val="18"/>
                <w:vertAlign w:val="subscript"/>
              </w:rPr>
              <w:t>a</w:t>
            </w:r>
          </w:p>
        </w:tc>
        <w:tc>
          <w:tcPr>
            <w:tcW w:w="2234" w:type="dxa"/>
            <w:gridSpan w:val="2"/>
            <w:tcBorders>
              <w:top w:val="nil"/>
              <w:left w:val="nil"/>
              <w:bottom w:val="nil"/>
              <w:right w:val="nil"/>
            </w:tcBorders>
            <w:shd w:val="clear" w:color="auto" w:fill="FFFFFF"/>
            <w:hideMark/>
          </w:tcPr>
          <w:p w:rsidR="00031ABC" w:rsidRPr="005D526F" w:rsidRDefault="00031ABC" w:rsidP="007759F0">
            <w:pPr>
              <w:jc w:val="left"/>
              <w:rPr>
                <w:szCs w:val="18"/>
              </w:rPr>
            </w:pPr>
            <w:r w:rsidRPr="005D526F">
              <w:rPr>
                <w:rFonts w:cs="Arial"/>
                <w:szCs w:val="18"/>
              </w:rPr>
              <w:t>27.64±1.27</w:t>
            </w:r>
            <w:r w:rsidRPr="005D526F">
              <w:rPr>
                <w:rFonts w:cs="Arial"/>
                <w:szCs w:val="18"/>
                <w:vertAlign w:val="superscript"/>
              </w:rPr>
              <w:t>a</w:t>
            </w:r>
            <w:r w:rsidRPr="005D526F">
              <w:rPr>
                <w:rFonts w:cs="Arial"/>
                <w:szCs w:val="18"/>
                <w:vertAlign w:val="subscript"/>
              </w:rPr>
              <w:t>ab</w:t>
            </w:r>
          </w:p>
        </w:tc>
      </w:tr>
      <w:tr w:rsidR="00031ABC" w:rsidRPr="005D526F" w:rsidTr="000D1E60">
        <w:trPr>
          <w:trHeight w:val="279"/>
        </w:trPr>
        <w:tc>
          <w:tcPr>
            <w:tcW w:w="1062" w:type="dxa"/>
            <w:tcBorders>
              <w:top w:val="nil"/>
              <w:left w:val="nil"/>
              <w:bottom w:val="nil"/>
              <w:right w:val="nil"/>
            </w:tcBorders>
            <w:shd w:val="clear" w:color="auto" w:fill="FFFFFF"/>
            <w:hideMark/>
          </w:tcPr>
          <w:p w:rsidR="00031ABC" w:rsidRPr="005D526F" w:rsidRDefault="00031ABC" w:rsidP="007759F0">
            <w:pPr>
              <w:jc w:val="left"/>
              <w:rPr>
                <w:szCs w:val="18"/>
              </w:rPr>
            </w:pPr>
            <w:r w:rsidRPr="005D526F">
              <w:rPr>
                <w:szCs w:val="18"/>
              </w:rPr>
              <w:t>3</w:t>
            </w:r>
          </w:p>
        </w:tc>
        <w:tc>
          <w:tcPr>
            <w:tcW w:w="2233" w:type="dxa"/>
            <w:tcBorders>
              <w:top w:val="nil"/>
              <w:left w:val="nil"/>
              <w:bottom w:val="nil"/>
              <w:right w:val="nil"/>
            </w:tcBorders>
            <w:shd w:val="clear" w:color="auto" w:fill="FFFFFF"/>
            <w:hideMark/>
          </w:tcPr>
          <w:p w:rsidR="00031ABC" w:rsidRPr="005D526F" w:rsidRDefault="00031ABC" w:rsidP="007759F0">
            <w:pPr>
              <w:jc w:val="left"/>
              <w:rPr>
                <w:szCs w:val="18"/>
              </w:rPr>
            </w:pPr>
            <w:r w:rsidRPr="005D526F">
              <w:rPr>
                <w:rFonts w:cs="Arial"/>
                <w:szCs w:val="18"/>
              </w:rPr>
              <w:t>23.11±2.58</w:t>
            </w:r>
            <w:r w:rsidRPr="005D526F">
              <w:rPr>
                <w:rFonts w:cs="Arial"/>
                <w:szCs w:val="18"/>
                <w:vertAlign w:val="superscript"/>
              </w:rPr>
              <w:t>a</w:t>
            </w:r>
            <w:r w:rsidRPr="005D526F">
              <w:rPr>
                <w:rFonts w:cs="Arial"/>
                <w:szCs w:val="18"/>
                <w:vertAlign w:val="subscript"/>
              </w:rPr>
              <w:t>a</w:t>
            </w:r>
          </w:p>
        </w:tc>
        <w:tc>
          <w:tcPr>
            <w:tcW w:w="2234" w:type="dxa"/>
            <w:gridSpan w:val="2"/>
            <w:tcBorders>
              <w:top w:val="nil"/>
              <w:left w:val="nil"/>
              <w:bottom w:val="nil"/>
              <w:right w:val="nil"/>
            </w:tcBorders>
            <w:shd w:val="clear" w:color="auto" w:fill="FFFFFF"/>
            <w:hideMark/>
          </w:tcPr>
          <w:p w:rsidR="00031ABC" w:rsidRPr="005D526F" w:rsidRDefault="00031ABC" w:rsidP="007759F0">
            <w:pPr>
              <w:jc w:val="left"/>
              <w:rPr>
                <w:szCs w:val="18"/>
              </w:rPr>
            </w:pPr>
            <w:r w:rsidRPr="005D526F">
              <w:rPr>
                <w:rFonts w:cs="Arial"/>
                <w:szCs w:val="18"/>
              </w:rPr>
              <w:t>27.19±3.18</w:t>
            </w:r>
            <w:r w:rsidRPr="005D526F">
              <w:rPr>
                <w:rFonts w:cs="Arial"/>
                <w:szCs w:val="18"/>
                <w:vertAlign w:val="superscript"/>
              </w:rPr>
              <w:t>a</w:t>
            </w:r>
            <w:r w:rsidRPr="005D526F">
              <w:rPr>
                <w:rFonts w:cs="Arial"/>
                <w:szCs w:val="18"/>
                <w:vertAlign w:val="subscript"/>
              </w:rPr>
              <w:t>ab</w:t>
            </w:r>
          </w:p>
        </w:tc>
      </w:tr>
      <w:tr w:rsidR="00031ABC" w:rsidRPr="005D526F" w:rsidTr="000D1E60">
        <w:trPr>
          <w:trHeight w:val="279"/>
        </w:trPr>
        <w:tc>
          <w:tcPr>
            <w:tcW w:w="1062" w:type="dxa"/>
            <w:tcBorders>
              <w:top w:val="nil"/>
              <w:left w:val="nil"/>
              <w:bottom w:val="nil"/>
              <w:right w:val="nil"/>
            </w:tcBorders>
            <w:shd w:val="clear" w:color="auto" w:fill="FFFFFF"/>
            <w:hideMark/>
          </w:tcPr>
          <w:p w:rsidR="00031ABC" w:rsidRPr="005D526F" w:rsidRDefault="00031ABC" w:rsidP="007759F0">
            <w:pPr>
              <w:jc w:val="left"/>
              <w:rPr>
                <w:szCs w:val="18"/>
              </w:rPr>
            </w:pPr>
            <w:r w:rsidRPr="005D526F">
              <w:rPr>
                <w:szCs w:val="18"/>
              </w:rPr>
              <w:t>4</w:t>
            </w:r>
          </w:p>
        </w:tc>
        <w:tc>
          <w:tcPr>
            <w:tcW w:w="2233" w:type="dxa"/>
            <w:tcBorders>
              <w:top w:val="nil"/>
              <w:left w:val="nil"/>
              <w:bottom w:val="nil"/>
              <w:right w:val="nil"/>
            </w:tcBorders>
            <w:shd w:val="clear" w:color="auto" w:fill="FFFFFF"/>
            <w:hideMark/>
          </w:tcPr>
          <w:p w:rsidR="00031ABC" w:rsidRPr="005D526F" w:rsidRDefault="00031ABC" w:rsidP="007759F0">
            <w:pPr>
              <w:jc w:val="left"/>
              <w:rPr>
                <w:szCs w:val="18"/>
              </w:rPr>
            </w:pPr>
            <w:r w:rsidRPr="005D526F">
              <w:rPr>
                <w:rFonts w:cs="Arial"/>
                <w:szCs w:val="18"/>
              </w:rPr>
              <w:t>23.88±0.30</w:t>
            </w:r>
            <w:r w:rsidRPr="005D526F">
              <w:rPr>
                <w:rFonts w:cs="Arial"/>
                <w:szCs w:val="18"/>
                <w:vertAlign w:val="superscript"/>
              </w:rPr>
              <w:t>a</w:t>
            </w:r>
            <w:r w:rsidRPr="005D526F">
              <w:rPr>
                <w:rFonts w:cs="Arial"/>
                <w:szCs w:val="18"/>
                <w:vertAlign w:val="subscript"/>
              </w:rPr>
              <w:t>a</w:t>
            </w:r>
          </w:p>
        </w:tc>
        <w:tc>
          <w:tcPr>
            <w:tcW w:w="2234" w:type="dxa"/>
            <w:gridSpan w:val="2"/>
            <w:tcBorders>
              <w:top w:val="nil"/>
              <w:left w:val="nil"/>
              <w:bottom w:val="nil"/>
              <w:right w:val="nil"/>
            </w:tcBorders>
            <w:shd w:val="clear" w:color="auto" w:fill="FFFFFF"/>
            <w:hideMark/>
          </w:tcPr>
          <w:p w:rsidR="00031ABC" w:rsidRPr="005D526F" w:rsidRDefault="00031ABC" w:rsidP="007759F0">
            <w:pPr>
              <w:jc w:val="left"/>
              <w:rPr>
                <w:szCs w:val="18"/>
              </w:rPr>
            </w:pPr>
            <w:r w:rsidRPr="005D526F">
              <w:rPr>
                <w:rFonts w:cs="Arial"/>
                <w:szCs w:val="18"/>
              </w:rPr>
              <w:t>24.01±0.76</w:t>
            </w:r>
            <w:r w:rsidRPr="005D526F">
              <w:rPr>
                <w:rFonts w:cs="Arial"/>
                <w:szCs w:val="18"/>
                <w:vertAlign w:val="superscript"/>
              </w:rPr>
              <w:t>a</w:t>
            </w:r>
            <w:r w:rsidRPr="005D526F">
              <w:rPr>
                <w:rFonts w:cs="Arial"/>
                <w:szCs w:val="18"/>
                <w:vertAlign w:val="subscript"/>
              </w:rPr>
              <w:t>abc</w:t>
            </w:r>
          </w:p>
        </w:tc>
      </w:tr>
      <w:tr w:rsidR="00031ABC" w:rsidRPr="005D526F" w:rsidTr="000D1E60">
        <w:trPr>
          <w:trHeight w:val="279"/>
        </w:trPr>
        <w:tc>
          <w:tcPr>
            <w:tcW w:w="1062" w:type="dxa"/>
            <w:tcBorders>
              <w:top w:val="nil"/>
              <w:left w:val="nil"/>
              <w:bottom w:val="nil"/>
              <w:right w:val="nil"/>
            </w:tcBorders>
            <w:shd w:val="clear" w:color="auto" w:fill="FFFFFF"/>
            <w:hideMark/>
          </w:tcPr>
          <w:p w:rsidR="00031ABC" w:rsidRPr="005D526F" w:rsidRDefault="00031ABC" w:rsidP="007759F0">
            <w:pPr>
              <w:jc w:val="left"/>
              <w:rPr>
                <w:szCs w:val="18"/>
              </w:rPr>
            </w:pPr>
            <w:r w:rsidRPr="005D526F">
              <w:rPr>
                <w:szCs w:val="18"/>
              </w:rPr>
              <w:t>5</w:t>
            </w:r>
          </w:p>
        </w:tc>
        <w:tc>
          <w:tcPr>
            <w:tcW w:w="2233" w:type="dxa"/>
            <w:tcBorders>
              <w:top w:val="nil"/>
              <w:left w:val="nil"/>
              <w:bottom w:val="nil"/>
              <w:right w:val="nil"/>
            </w:tcBorders>
            <w:shd w:val="clear" w:color="auto" w:fill="FFFFFF"/>
            <w:hideMark/>
          </w:tcPr>
          <w:p w:rsidR="00031ABC" w:rsidRPr="005D526F" w:rsidRDefault="00031ABC" w:rsidP="007759F0">
            <w:pPr>
              <w:jc w:val="left"/>
              <w:rPr>
                <w:szCs w:val="18"/>
              </w:rPr>
            </w:pPr>
            <w:r w:rsidRPr="005D526F">
              <w:rPr>
                <w:rFonts w:cs="Arial"/>
                <w:szCs w:val="18"/>
              </w:rPr>
              <w:t>24.01±2.12</w:t>
            </w:r>
            <w:r w:rsidRPr="005D526F">
              <w:rPr>
                <w:rFonts w:cs="Arial"/>
                <w:szCs w:val="18"/>
                <w:vertAlign w:val="superscript"/>
              </w:rPr>
              <w:t>b</w:t>
            </w:r>
            <w:r w:rsidRPr="005D526F">
              <w:rPr>
                <w:rFonts w:cs="Arial"/>
                <w:szCs w:val="18"/>
                <w:vertAlign w:val="subscript"/>
              </w:rPr>
              <w:t>a</w:t>
            </w:r>
          </w:p>
        </w:tc>
        <w:tc>
          <w:tcPr>
            <w:tcW w:w="2234" w:type="dxa"/>
            <w:gridSpan w:val="2"/>
            <w:tcBorders>
              <w:top w:val="nil"/>
              <w:left w:val="nil"/>
              <w:bottom w:val="nil"/>
              <w:right w:val="nil"/>
            </w:tcBorders>
            <w:shd w:val="clear" w:color="auto" w:fill="FFFFFF"/>
            <w:hideMark/>
          </w:tcPr>
          <w:p w:rsidR="00031ABC" w:rsidRPr="005D526F" w:rsidRDefault="00031ABC" w:rsidP="007759F0">
            <w:pPr>
              <w:jc w:val="left"/>
              <w:rPr>
                <w:szCs w:val="18"/>
              </w:rPr>
            </w:pPr>
            <w:r w:rsidRPr="005D526F">
              <w:rPr>
                <w:rFonts w:cs="Arial"/>
                <w:szCs w:val="18"/>
              </w:rPr>
              <w:t>29.06±2.03</w:t>
            </w:r>
            <w:r w:rsidRPr="005D526F">
              <w:rPr>
                <w:rFonts w:cs="Arial"/>
                <w:szCs w:val="18"/>
                <w:vertAlign w:val="superscript"/>
              </w:rPr>
              <w:t>a</w:t>
            </w:r>
            <w:r w:rsidRPr="005D526F">
              <w:rPr>
                <w:rFonts w:cs="Arial"/>
                <w:szCs w:val="18"/>
                <w:vertAlign w:val="subscript"/>
              </w:rPr>
              <w:t>a</w:t>
            </w:r>
          </w:p>
        </w:tc>
      </w:tr>
      <w:tr w:rsidR="00031ABC" w:rsidRPr="005D526F" w:rsidTr="000D1E60">
        <w:trPr>
          <w:trHeight w:val="279"/>
        </w:trPr>
        <w:tc>
          <w:tcPr>
            <w:tcW w:w="1062" w:type="dxa"/>
            <w:tcBorders>
              <w:top w:val="nil"/>
              <w:left w:val="nil"/>
              <w:bottom w:val="nil"/>
              <w:right w:val="nil"/>
            </w:tcBorders>
            <w:shd w:val="clear" w:color="auto" w:fill="FFFFFF"/>
            <w:hideMark/>
          </w:tcPr>
          <w:p w:rsidR="00031ABC" w:rsidRPr="005D526F" w:rsidRDefault="00031ABC" w:rsidP="007759F0">
            <w:pPr>
              <w:jc w:val="left"/>
              <w:rPr>
                <w:szCs w:val="18"/>
              </w:rPr>
            </w:pPr>
            <w:r w:rsidRPr="005D526F">
              <w:rPr>
                <w:szCs w:val="18"/>
              </w:rPr>
              <w:t>6</w:t>
            </w:r>
          </w:p>
        </w:tc>
        <w:tc>
          <w:tcPr>
            <w:tcW w:w="2233" w:type="dxa"/>
            <w:tcBorders>
              <w:top w:val="nil"/>
              <w:left w:val="nil"/>
              <w:bottom w:val="nil"/>
              <w:right w:val="nil"/>
            </w:tcBorders>
            <w:shd w:val="clear" w:color="auto" w:fill="FFFFFF"/>
            <w:hideMark/>
          </w:tcPr>
          <w:p w:rsidR="00031ABC" w:rsidRPr="005D526F" w:rsidRDefault="00031ABC" w:rsidP="007759F0">
            <w:pPr>
              <w:jc w:val="left"/>
              <w:rPr>
                <w:szCs w:val="18"/>
              </w:rPr>
            </w:pPr>
            <w:r w:rsidRPr="005D526F">
              <w:rPr>
                <w:rFonts w:cs="Arial"/>
                <w:szCs w:val="18"/>
              </w:rPr>
              <w:t>19.97±2.79</w:t>
            </w:r>
            <w:r w:rsidRPr="005D526F">
              <w:rPr>
                <w:rFonts w:cs="Arial"/>
                <w:szCs w:val="18"/>
                <w:vertAlign w:val="superscript"/>
              </w:rPr>
              <w:t>a</w:t>
            </w:r>
            <w:r w:rsidRPr="005D526F">
              <w:rPr>
                <w:rFonts w:cs="Arial"/>
                <w:szCs w:val="18"/>
                <w:vertAlign w:val="subscript"/>
              </w:rPr>
              <w:t>a</w:t>
            </w:r>
          </w:p>
        </w:tc>
        <w:tc>
          <w:tcPr>
            <w:tcW w:w="2234" w:type="dxa"/>
            <w:gridSpan w:val="2"/>
            <w:tcBorders>
              <w:top w:val="nil"/>
              <w:left w:val="nil"/>
              <w:bottom w:val="nil"/>
              <w:right w:val="nil"/>
            </w:tcBorders>
            <w:shd w:val="clear" w:color="auto" w:fill="FFFFFF"/>
            <w:hideMark/>
          </w:tcPr>
          <w:p w:rsidR="00031ABC" w:rsidRPr="005D526F" w:rsidRDefault="00031ABC" w:rsidP="007759F0">
            <w:pPr>
              <w:jc w:val="left"/>
              <w:rPr>
                <w:szCs w:val="18"/>
              </w:rPr>
            </w:pPr>
            <w:r w:rsidRPr="005D526F">
              <w:rPr>
                <w:rFonts w:cs="Arial"/>
                <w:szCs w:val="18"/>
              </w:rPr>
              <w:t>23.68±2.58</w:t>
            </w:r>
            <w:r w:rsidRPr="005D526F">
              <w:rPr>
                <w:rFonts w:cs="Arial"/>
                <w:szCs w:val="18"/>
                <w:vertAlign w:val="superscript"/>
              </w:rPr>
              <w:t>a</w:t>
            </w:r>
            <w:r w:rsidRPr="005D526F">
              <w:rPr>
                <w:rFonts w:cs="Arial"/>
                <w:szCs w:val="18"/>
                <w:vertAlign w:val="subscript"/>
              </w:rPr>
              <w:t>bc</w:t>
            </w:r>
          </w:p>
        </w:tc>
      </w:tr>
      <w:tr w:rsidR="00031ABC" w:rsidRPr="005D526F" w:rsidTr="000D1E60">
        <w:trPr>
          <w:trHeight w:val="279"/>
        </w:trPr>
        <w:tc>
          <w:tcPr>
            <w:tcW w:w="1062" w:type="dxa"/>
            <w:tcBorders>
              <w:top w:val="nil"/>
              <w:left w:val="nil"/>
              <w:bottom w:val="nil"/>
              <w:right w:val="nil"/>
            </w:tcBorders>
            <w:shd w:val="clear" w:color="auto" w:fill="FFFFFF"/>
            <w:hideMark/>
          </w:tcPr>
          <w:p w:rsidR="00031ABC" w:rsidRPr="005D526F" w:rsidRDefault="00031ABC" w:rsidP="007759F0">
            <w:pPr>
              <w:jc w:val="left"/>
              <w:rPr>
                <w:szCs w:val="18"/>
              </w:rPr>
            </w:pPr>
            <w:r w:rsidRPr="005D526F">
              <w:rPr>
                <w:szCs w:val="18"/>
              </w:rPr>
              <w:t>7</w:t>
            </w:r>
          </w:p>
        </w:tc>
        <w:tc>
          <w:tcPr>
            <w:tcW w:w="2233" w:type="dxa"/>
            <w:tcBorders>
              <w:top w:val="nil"/>
              <w:left w:val="nil"/>
              <w:bottom w:val="nil"/>
              <w:right w:val="nil"/>
            </w:tcBorders>
            <w:shd w:val="clear" w:color="auto" w:fill="FFFFFF"/>
            <w:hideMark/>
          </w:tcPr>
          <w:p w:rsidR="00031ABC" w:rsidRPr="005D526F" w:rsidRDefault="00031ABC" w:rsidP="007759F0">
            <w:pPr>
              <w:jc w:val="left"/>
              <w:rPr>
                <w:szCs w:val="18"/>
              </w:rPr>
            </w:pPr>
            <w:r w:rsidRPr="005D526F">
              <w:rPr>
                <w:rFonts w:cs="Arial"/>
                <w:szCs w:val="18"/>
              </w:rPr>
              <w:t>20.28±1.85</w:t>
            </w:r>
            <w:r w:rsidRPr="005D526F">
              <w:rPr>
                <w:rFonts w:cs="Arial"/>
                <w:szCs w:val="18"/>
                <w:vertAlign w:val="superscript"/>
              </w:rPr>
              <w:t>a</w:t>
            </w:r>
            <w:r w:rsidRPr="005D526F">
              <w:rPr>
                <w:rFonts w:cs="Arial"/>
                <w:szCs w:val="18"/>
                <w:vertAlign w:val="subscript"/>
              </w:rPr>
              <w:t>a</w:t>
            </w:r>
          </w:p>
        </w:tc>
        <w:tc>
          <w:tcPr>
            <w:tcW w:w="2234" w:type="dxa"/>
            <w:gridSpan w:val="2"/>
            <w:tcBorders>
              <w:top w:val="nil"/>
              <w:left w:val="nil"/>
              <w:bottom w:val="nil"/>
              <w:right w:val="nil"/>
            </w:tcBorders>
            <w:shd w:val="clear" w:color="auto" w:fill="FFFFFF"/>
            <w:hideMark/>
          </w:tcPr>
          <w:p w:rsidR="00031ABC" w:rsidRPr="005D526F" w:rsidRDefault="00031ABC" w:rsidP="007759F0">
            <w:pPr>
              <w:jc w:val="left"/>
              <w:rPr>
                <w:szCs w:val="18"/>
              </w:rPr>
            </w:pPr>
            <w:r w:rsidRPr="005D526F">
              <w:rPr>
                <w:rFonts w:cs="Arial"/>
                <w:szCs w:val="18"/>
              </w:rPr>
              <w:t>21.77±1.62</w:t>
            </w:r>
            <w:r w:rsidRPr="005D526F">
              <w:rPr>
                <w:rFonts w:cs="Arial"/>
                <w:szCs w:val="18"/>
                <w:vertAlign w:val="superscript"/>
              </w:rPr>
              <w:t>a</w:t>
            </w:r>
            <w:r w:rsidRPr="005D526F">
              <w:rPr>
                <w:rFonts w:cs="Arial"/>
                <w:szCs w:val="18"/>
                <w:vertAlign w:val="subscript"/>
              </w:rPr>
              <w:t>c</w:t>
            </w:r>
          </w:p>
        </w:tc>
      </w:tr>
      <w:tr w:rsidR="00031ABC" w:rsidRPr="005D526F" w:rsidTr="000D1E60">
        <w:trPr>
          <w:trHeight w:val="279"/>
        </w:trPr>
        <w:tc>
          <w:tcPr>
            <w:tcW w:w="1062" w:type="dxa"/>
            <w:tcBorders>
              <w:top w:val="nil"/>
              <w:left w:val="nil"/>
              <w:bottom w:val="single" w:sz="12" w:space="0" w:color="008000"/>
              <w:right w:val="nil"/>
            </w:tcBorders>
            <w:shd w:val="clear" w:color="auto" w:fill="FFFFFF"/>
            <w:hideMark/>
          </w:tcPr>
          <w:p w:rsidR="00031ABC" w:rsidRPr="005D526F" w:rsidRDefault="00031ABC" w:rsidP="007759F0">
            <w:pPr>
              <w:jc w:val="left"/>
              <w:rPr>
                <w:szCs w:val="18"/>
              </w:rPr>
            </w:pPr>
            <w:r w:rsidRPr="005D526F">
              <w:rPr>
                <w:szCs w:val="18"/>
              </w:rPr>
              <w:t>8</w:t>
            </w:r>
          </w:p>
        </w:tc>
        <w:tc>
          <w:tcPr>
            <w:tcW w:w="2233" w:type="dxa"/>
            <w:tcBorders>
              <w:top w:val="nil"/>
              <w:left w:val="nil"/>
              <w:bottom w:val="single" w:sz="12" w:space="0" w:color="008000"/>
              <w:right w:val="nil"/>
            </w:tcBorders>
            <w:shd w:val="clear" w:color="auto" w:fill="FFFFFF"/>
            <w:vAlign w:val="center"/>
            <w:hideMark/>
          </w:tcPr>
          <w:p w:rsidR="00031ABC" w:rsidRPr="005D526F" w:rsidRDefault="00031ABC" w:rsidP="007759F0">
            <w:pPr>
              <w:jc w:val="left"/>
              <w:rPr>
                <w:szCs w:val="18"/>
              </w:rPr>
            </w:pPr>
            <w:r w:rsidRPr="005D526F">
              <w:rPr>
                <w:rFonts w:cs="Arial"/>
                <w:szCs w:val="18"/>
              </w:rPr>
              <w:t>21.37±1.77</w:t>
            </w:r>
            <w:r w:rsidRPr="005D526F">
              <w:rPr>
                <w:rFonts w:cs="Arial"/>
                <w:szCs w:val="18"/>
                <w:vertAlign w:val="superscript"/>
              </w:rPr>
              <w:t>b</w:t>
            </w:r>
            <w:r w:rsidRPr="005D526F">
              <w:rPr>
                <w:rFonts w:cs="Arial"/>
                <w:szCs w:val="18"/>
                <w:vertAlign w:val="subscript"/>
              </w:rPr>
              <w:t>a</w:t>
            </w:r>
          </w:p>
        </w:tc>
        <w:tc>
          <w:tcPr>
            <w:tcW w:w="2234" w:type="dxa"/>
            <w:gridSpan w:val="2"/>
            <w:tcBorders>
              <w:top w:val="nil"/>
              <w:left w:val="nil"/>
              <w:bottom w:val="single" w:sz="12" w:space="0" w:color="008000"/>
              <w:right w:val="nil"/>
            </w:tcBorders>
            <w:shd w:val="clear" w:color="auto" w:fill="FFFFFF"/>
            <w:hideMark/>
          </w:tcPr>
          <w:p w:rsidR="00031ABC" w:rsidRPr="005D526F" w:rsidRDefault="00031ABC" w:rsidP="007759F0">
            <w:pPr>
              <w:jc w:val="left"/>
              <w:rPr>
                <w:szCs w:val="18"/>
              </w:rPr>
            </w:pPr>
            <w:r w:rsidRPr="005D526F">
              <w:rPr>
                <w:rFonts w:cs="Arial"/>
                <w:szCs w:val="18"/>
              </w:rPr>
              <w:t>26.77±0.76</w:t>
            </w:r>
            <w:r w:rsidRPr="005D526F">
              <w:rPr>
                <w:rFonts w:cs="Arial"/>
                <w:szCs w:val="18"/>
                <w:vertAlign w:val="superscript"/>
              </w:rPr>
              <w:t>a</w:t>
            </w:r>
            <w:r w:rsidRPr="005D526F">
              <w:rPr>
                <w:rFonts w:cs="Arial"/>
                <w:szCs w:val="18"/>
                <w:vertAlign w:val="subscript"/>
              </w:rPr>
              <w:t>abc</w:t>
            </w:r>
          </w:p>
        </w:tc>
      </w:tr>
    </w:tbl>
    <w:p w:rsidR="001752D1" w:rsidRPr="005D526F" w:rsidRDefault="001752D1" w:rsidP="001752D1">
      <w:pPr>
        <w:keepNext/>
        <w:spacing w:before="240" w:after="80" w:line="240" w:lineRule="exact"/>
        <w:rPr>
          <w:i/>
        </w:rPr>
      </w:pPr>
      <w:r w:rsidRPr="005D526F">
        <w:rPr>
          <w:i/>
        </w:rPr>
        <w:t xml:space="preserve">Table 6: </w:t>
      </w:r>
      <w:proofErr w:type="spellStart"/>
      <w:r w:rsidRPr="005D526F">
        <w:rPr>
          <w:i/>
        </w:rPr>
        <w:t>Color</w:t>
      </w:r>
      <w:proofErr w:type="spellEnd"/>
      <w:r w:rsidRPr="005D526F">
        <w:rPr>
          <w:i/>
        </w:rPr>
        <w:t xml:space="preserve"> evaluation </w:t>
      </w:r>
      <w:r w:rsidR="000D1E60">
        <w:rPr>
          <w:i/>
        </w:rPr>
        <w:t>of walnut paste</w:t>
      </w:r>
      <w:r w:rsidRPr="005D526F">
        <w:rPr>
          <w:i/>
        </w:rPr>
        <w:t xml:space="preserve"> freeze dried samples just</w:t>
      </w:r>
      <w:r w:rsidRPr="005D526F">
        <w:rPr>
          <w:lang w:val="en-US"/>
        </w:rPr>
        <w:t xml:space="preserve"> </w:t>
      </w:r>
      <w:r w:rsidRPr="005D526F">
        <w:rPr>
          <w:i/>
        </w:rPr>
        <w:t>after lyophilisation. Different superscript letters indicate statistically different values within each column</w:t>
      </w:r>
      <w:r w:rsidR="00450054">
        <w:rPr>
          <w:i/>
        </w:rPr>
        <w:t xml:space="preserve"> (Tukey’s test)</w:t>
      </w:r>
      <w:r w:rsidRPr="005D526F">
        <w:rPr>
          <w:i/>
        </w:rPr>
        <w:t>.</w:t>
      </w:r>
    </w:p>
    <w:tbl>
      <w:tblPr>
        <w:tblW w:w="7361"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691"/>
        <w:gridCol w:w="1334"/>
        <w:gridCol w:w="1334"/>
        <w:gridCol w:w="1334"/>
        <w:gridCol w:w="1334"/>
        <w:gridCol w:w="1334"/>
      </w:tblGrid>
      <w:tr w:rsidR="001752D1" w:rsidRPr="005D526F" w:rsidTr="00997FD0">
        <w:trPr>
          <w:trHeight w:val="246"/>
        </w:trPr>
        <w:tc>
          <w:tcPr>
            <w:tcW w:w="691" w:type="dxa"/>
            <w:tcBorders>
              <w:top w:val="single" w:sz="12" w:space="0" w:color="008000"/>
              <w:left w:val="nil"/>
              <w:bottom w:val="single" w:sz="6" w:space="0" w:color="008000"/>
              <w:right w:val="nil"/>
            </w:tcBorders>
            <w:shd w:val="clear" w:color="auto" w:fill="FFFFFF"/>
            <w:hideMark/>
          </w:tcPr>
          <w:p w:rsidR="001752D1" w:rsidRPr="005D526F" w:rsidRDefault="001752D1" w:rsidP="007759F0">
            <w:pPr>
              <w:jc w:val="left"/>
              <w:rPr>
                <w:szCs w:val="18"/>
              </w:rPr>
            </w:pPr>
            <w:r w:rsidRPr="005D526F">
              <w:rPr>
                <w:szCs w:val="18"/>
              </w:rPr>
              <w:t xml:space="preserve">Sample </w:t>
            </w:r>
          </w:p>
        </w:tc>
        <w:tc>
          <w:tcPr>
            <w:tcW w:w="1334" w:type="dxa"/>
            <w:tcBorders>
              <w:top w:val="single" w:sz="12" w:space="0" w:color="008000"/>
              <w:left w:val="nil"/>
              <w:bottom w:val="single" w:sz="6" w:space="0" w:color="008000"/>
              <w:right w:val="nil"/>
            </w:tcBorders>
            <w:shd w:val="clear" w:color="auto" w:fill="FFFFFF"/>
            <w:hideMark/>
          </w:tcPr>
          <w:p w:rsidR="001752D1" w:rsidRPr="005D526F" w:rsidRDefault="001752D1" w:rsidP="007759F0">
            <w:pPr>
              <w:jc w:val="left"/>
              <w:rPr>
                <w:szCs w:val="18"/>
              </w:rPr>
            </w:pPr>
            <w:r w:rsidRPr="005D526F">
              <w:rPr>
                <w:szCs w:val="18"/>
              </w:rPr>
              <w:t>L</w:t>
            </w:r>
            <w:r w:rsidR="000D1E60">
              <w:rPr>
                <w:szCs w:val="18"/>
              </w:rPr>
              <w:t>*</w:t>
            </w:r>
          </w:p>
        </w:tc>
        <w:tc>
          <w:tcPr>
            <w:tcW w:w="1334" w:type="dxa"/>
            <w:tcBorders>
              <w:top w:val="single" w:sz="12" w:space="0" w:color="008000"/>
              <w:left w:val="nil"/>
              <w:bottom w:val="single" w:sz="6" w:space="0" w:color="008000"/>
              <w:right w:val="nil"/>
            </w:tcBorders>
            <w:shd w:val="clear" w:color="auto" w:fill="FFFFFF"/>
            <w:hideMark/>
          </w:tcPr>
          <w:p w:rsidR="001752D1" w:rsidRPr="005D526F" w:rsidRDefault="001752D1" w:rsidP="007759F0">
            <w:pPr>
              <w:jc w:val="left"/>
              <w:rPr>
                <w:szCs w:val="18"/>
              </w:rPr>
            </w:pPr>
            <w:r w:rsidRPr="005D526F">
              <w:rPr>
                <w:szCs w:val="18"/>
              </w:rPr>
              <w:t>a</w:t>
            </w:r>
            <w:r w:rsidR="000D1E60">
              <w:rPr>
                <w:szCs w:val="18"/>
              </w:rPr>
              <w:t>*</w:t>
            </w:r>
          </w:p>
        </w:tc>
        <w:tc>
          <w:tcPr>
            <w:tcW w:w="1334" w:type="dxa"/>
            <w:tcBorders>
              <w:top w:val="single" w:sz="12" w:space="0" w:color="008000"/>
              <w:left w:val="nil"/>
              <w:bottom w:val="single" w:sz="6" w:space="0" w:color="008000"/>
              <w:right w:val="nil"/>
            </w:tcBorders>
            <w:shd w:val="clear" w:color="auto" w:fill="FFFFFF"/>
            <w:hideMark/>
          </w:tcPr>
          <w:p w:rsidR="001752D1" w:rsidRPr="005D526F" w:rsidRDefault="001752D1" w:rsidP="007759F0">
            <w:pPr>
              <w:jc w:val="left"/>
              <w:rPr>
                <w:szCs w:val="18"/>
              </w:rPr>
            </w:pPr>
            <w:r w:rsidRPr="005D526F">
              <w:rPr>
                <w:szCs w:val="18"/>
              </w:rPr>
              <w:t>b</w:t>
            </w:r>
            <w:r w:rsidR="000D1E60">
              <w:rPr>
                <w:szCs w:val="18"/>
              </w:rPr>
              <w:t>*</w:t>
            </w:r>
          </w:p>
        </w:tc>
        <w:tc>
          <w:tcPr>
            <w:tcW w:w="1334" w:type="dxa"/>
            <w:tcBorders>
              <w:top w:val="single" w:sz="12" w:space="0" w:color="008000"/>
              <w:left w:val="nil"/>
              <w:bottom w:val="single" w:sz="6" w:space="0" w:color="008000"/>
              <w:right w:val="nil"/>
            </w:tcBorders>
            <w:shd w:val="clear" w:color="auto" w:fill="FFFFFF"/>
            <w:hideMark/>
          </w:tcPr>
          <w:p w:rsidR="001752D1" w:rsidRPr="005D526F" w:rsidRDefault="001752D1" w:rsidP="007759F0">
            <w:pPr>
              <w:jc w:val="left"/>
              <w:rPr>
                <w:szCs w:val="18"/>
              </w:rPr>
            </w:pPr>
            <w:r w:rsidRPr="005D526F">
              <w:rPr>
                <w:szCs w:val="18"/>
              </w:rPr>
              <w:t>410nm</w:t>
            </w:r>
          </w:p>
          <w:p w:rsidR="001752D1" w:rsidRPr="005D526F" w:rsidRDefault="00B404A0" w:rsidP="007759F0">
            <w:pPr>
              <w:jc w:val="left"/>
              <w:rPr>
                <w:szCs w:val="18"/>
              </w:rPr>
            </w:pPr>
            <w:r>
              <w:rPr>
                <w:szCs w:val="18"/>
              </w:rPr>
              <w:t>(</w:t>
            </w:r>
            <w:proofErr w:type="spellStart"/>
            <w:r w:rsidR="001752D1" w:rsidRPr="005D526F">
              <w:rPr>
                <w:szCs w:val="18"/>
              </w:rPr>
              <w:t>a.u</w:t>
            </w:r>
            <w:proofErr w:type="spellEnd"/>
            <w:r w:rsidR="001752D1" w:rsidRPr="005D526F">
              <w:rPr>
                <w:szCs w:val="18"/>
              </w:rPr>
              <w:t>.</w:t>
            </w:r>
            <w:r>
              <w:rPr>
                <w:szCs w:val="18"/>
              </w:rPr>
              <w:t>)</w:t>
            </w:r>
          </w:p>
        </w:tc>
        <w:tc>
          <w:tcPr>
            <w:tcW w:w="1334" w:type="dxa"/>
            <w:tcBorders>
              <w:top w:val="single" w:sz="12" w:space="0" w:color="008000"/>
              <w:left w:val="nil"/>
              <w:bottom w:val="single" w:sz="6" w:space="0" w:color="008000"/>
              <w:right w:val="nil"/>
            </w:tcBorders>
            <w:shd w:val="clear" w:color="auto" w:fill="FFFFFF"/>
            <w:hideMark/>
          </w:tcPr>
          <w:p w:rsidR="001752D1" w:rsidRPr="005D526F" w:rsidRDefault="001752D1" w:rsidP="007759F0">
            <w:pPr>
              <w:jc w:val="left"/>
              <w:rPr>
                <w:szCs w:val="18"/>
              </w:rPr>
            </w:pPr>
            <w:r w:rsidRPr="005D526F">
              <w:rPr>
                <w:szCs w:val="18"/>
              </w:rPr>
              <w:t>420nm</w:t>
            </w:r>
          </w:p>
          <w:p w:rsidR="001752D1" w:rsidRPr="005D526F" w:rsidRDefault="00B404A0" w:rsidP="007759F0">
            <w:pPr>
              <w:jc w:val="left"/>
              <w:rPr>
                <w:szCs w:val="18"/>
              </w:rPr>
            </w:pPr>
            <w:r>
              <w:rPr>
                <w:szCs w:val="18"/>
              </w:rPr>
              <w:t>(</w:t>
            </w:r>
            <w:proofErr w:type="spellStart"/>
            <w:r w:rsidR="001752D1" w:rsidRPr="005D526F">
              <w:rPr>
                <w:szCs w:val="18"/>
              </w:rPr>
              <w:t>a.u</w:t>
            </w:r>
            <w:proofErr w:type="spellEnd"/>
            <w:r w:rsidR="001752D1" w:rsidRPr="005D526F">
              <w:rPr>
                <w:szCs w:val="18"/>
              </w:rPr>
              <w:t>.</w:t>
            </w:r>
            <w:r>
              <w:rPr>
                <w:szCs w:val="18"/>
              </w:rPr>
              <w:t>)</w:t>
            </w:r>
          </w:p>
        </w:tc>
      </w:tr>
      <w:tr w:rsidR="001752D1" w:rsidRPr="005D526F" w:rsidTr="00997FD0">
        <w:trPr>
          <w:trHeight w:val="258"/>
        </w:trPr>
        <w:tc>
          <w:tcPr>
            <w:tcW w:w="691"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szCs w:val="18"/>
              </w:rPr>
              <w:t>1</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48.73±0.60</w:t>
            </w:r>
            <w:r w:rsidRPr="005D526F">
              <w:rPr>
                <w:rFonts w:cs="Arial"/>
                <w:szCs w:val="18"/>
                <w:vertAlign w:val="superscript"/>
              </w:rPr>
              <w:t>d</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6.45±0.14</w:t>
            </w:r>
            <w:r w:rsidRPr="005D526F">
              <w:rPr>
                <w:rFonts w:cs="Arial"/>
                <w:szCs w:val="18"/>
                <w:vertAlign w:val="superscript"/>
              </w:rPr>
              <w:t>a</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23.17±0.07</w:t>
            </w:r>
            <w:r w:rsidRPr="005D526F">
              <w:rPr>
                <w:rFonts w:cs="Arial"/>
                <w:szCs w:val="18"/>
                <w:vertAlign w:val="superscript"/>
              </w:rPr>
              <w:t>bcd</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0.360±0.000</w:t>
            </w:r>
            <w:r w:rsidRPr="005D526F">
              <w:rPr>
                <w:rFonts w:cs="Arial"/>
                <w:szCs w:val="18"/>
                <w:vertAlign w:val="superscript"/>
              </w:rPr>
              <w:t>e</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0.300±0.000</w:t>
            </w:r>
            <w:r w:rsidRPr="005D526F">
              <w:rPr>
                <w:rFonts w:cs="Arial"/>
                <w:szCs w:val="18"/>
                <w:vertAlign w:val="superscript"/>
              </w:rPr>
              <w:t>d</w:t>
            </w:r>
          </w:p>
        </w:tc>
      </w:tr>
      <w:tr w:rsidR="001752D1" w:rsidRPr="005D526F" w:rsidTr="00997FD0">
        <w:trPr>
          <w:trHeight w:val="258"/>
        </w:trPr>
        <w:tc>
          <w:tcPr>
            <w:tcW w:w="691"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szCs w:val="18"/>
              </w:rPr>
              <w:t>2</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53.81±0.24</w:t>
            </w:r>
            <w:r w:rsidRPr="005D526F">
              <w:rPr>
                <w:rFonts w:cs="Arial"/>
                <w:szCs w:val="18"/>
                <w:vertAlign w:val="superscript"/>
              </w:rPr>
              <w:t>b</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5.40±0.10</w:t>
            </w:r>
            <w:r w:rsidRPr="005D526F">
              <w:rPr>
                <w:rFonts w:cs="Arial"/>
                <w:szCs w:val="18"/>
                <w:vertAlign w:val="superscript"/>
              </w:rPr>
              <w:t>de</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23.21±0.05</w:t>
            </w:r>
            <w:r w:rsidRPr="005D526F">
              <w:rPr>
                <w:rFonts w:cs="Arial"/>
                <w:szCs w:val="18"/>
                <w:vertAlign w:val="superscript"/>
              </w:rPr>
              <w:t>bcd</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0.700±0.180</w:t>
            </w:r>
            <w:r w:rsidRPr="005D526F">
              <w:rPr>
                <w:rFonts w:cs="Arial"/>
                <w:szCs w:val="18"/>
                <w:vertAlign w:val="superscript"/>
              </w:rPr>
              <w:t>bc</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0.930±0.040</w:t>
            </w:r>
            <w:r w:rsidRPr="005D526F">
              <w:rPr>
                <w:rFonts w:cs="Arial"/>
                <w:szCs w:val="18"/>
                <w:vertAlign w:val="superscript"/>
              </w:rPr>
              <w:t>a</w:t>
            </w:r>
          </w:p>
        </w:tc>
      </w:tr>
      <w:tr w:rsidR="001752D1" w:rsidRPr="005D526F" w:rsidTr="00997FD0">
        <w:trPr>
          <w:trHeight w:val="258"/>
        </w:trPr>
        <w:tc>
          <w:tcPr>
            <w:tcW w:w="691"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szCs w:val="18"/>
              </w:rPr>
              <w:t>3</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54.19±0.32</w:t>
            </w:r>
            <w:r w:rsidRPr="005D526F">
              <w:rPr>
                <w:rFonts w:cs="Arial"/>
                <w:szCs w:val="18"/>
                <w:vertAlign w:val="superscript"/>
              </w:rPr>
              <w:t>b</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5.34±0.08</w:t>
            </w:r>
            <w:r w:rsidRPr="005D526F">
              <w:rPr>
                <w:rFonts w:cs="Arial"/>
                <w:szCs w:val="18"/>
                <w:vertAlign w:val="superscript"/>
              </w:rPr>
              <w:t>de</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23.41±0.11</w:t>
            </w:r>
            <w:r w:rsidRPr="005D526F">
              <w:rPr>
                <w:rFonts w:cs="Arial"/>
                <w:szCs w:val="18"/>
                <w:vertAlign w:val="superscript"/>
              </w:rPr>
              <w:t>bc</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0.660±0.040</w:t>
            </w:r>
            <w:r w:rsidRPr="005D526F">
              <w:rPr>
                <w:rFonts w:cs="Arial"/>
                <w:szCs w:val="18"/>
                <w:vertAlign w:val="superscript"/>
              </w:rPr>
              <w:t>bc</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0.697±0.045</w:t>
            </w:r>
            <w:r w:rsidRPr="005D526F">
              <w:rPr>
                <w:rFonts w:cs="Arial"/>
                <w:szCs w:val="18"/>
                <w:vertAlign w:val="superscript"/>
              </w:rPr>
              <w:t>b</w:t>
            </w:r>
          </w:p>
        </w:tc>
      </w:tr>
      <w:tr w:rsidR="001752D1" w:rsidRPr="005D526F" w:rsidTr="00997FD0">
        <w:trPr>
          <w:trHeight w:val="258"/>
        </w:trPr>
        <w:tc>
          <w:tcPr>
            <w:tcW w:w="691"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szCs w:val="18"/>
              </w:rPr>
              <w:t>4</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53.63±0.68</w:t>
            </w:r>
            <w:r w:rsidRPr="005D526F">
              <w:rPr>
                <w:rFonts w:cs="Arial"/>
                <w:szCs w:val="18"/>
                <w:vertAlign w:val="superscript"/>
              </w:rPr>
              <w:t>b</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5.15±0.11</w:t>
            </w:r>
            <w:r w:rsidRPr="005D526F">
              <w:rPr>
                <w:rFonts w:cs="Arial"/>
                <w:szCs w:val="18"/>
                <w:vertAlign w:val="superscript"/>
              </w:rPr>
              <w:t>e</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23.02±0.24</w:t>
            </w:r>
            <w:r w:rsidRPr="005D526F">
              <w:rPr>
                <w:rFonts w:cs="Arial"/>
                <w:szCs w:val="18"/>
                <w:vertAlign w:val="superscript"/>
              </w:rPr>
              <w:t>cd</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0.570±0.000</w:t>
            </w:r>
            <w:r w:rsidRPr="005D526F">
              <w:rPr>
                <w:rFonts w:cs="Arial"/>
                <w:szCs w:val="18"/>
                <w:vertAlign w:val="superscript"/>
              </w:rPr>
              <w:t>cd</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0.540±0.010</w:t>
            </w:r>
            <w:r w:rsidRPr="005D526F">
              <w:rPr>
                <w:rFonts w:cs="Arial"/>
                <w:szCs w:val="18"/>
                <w:vertAlign w:val="superscript"/>
              </w:rPr>
              <w:t>c</w:t>
            </w:r>
          </w:p>
        </w:tc>
      </w:tr>
      <w:tr w:rsidR="001752D1" w:rsidRPr="005D526F" w:rsidTr="00997FD0">
        <w:trPr>
          <w:trHeight w:val="258"/>
        </w:trPr>
        <w:tc>
          <w:tcPr>
            <w:tcW w:w="691"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szCs w:val="18"/>
              </w:rPr>
              <w:t>5</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55.48±0.26</w:t>
            </w:r>
            <w:r w:rsidRPr="005D526F">
              <w:rPr>
                <w:rFonts w:cs="Arial"/>
                <w:szCs w:val="18"/>
                <w:vertAlign w:val="superscript"/>
              </w:rPr>
              <w:t>a</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5.38±0.10</w:t>
            </w:r>
            <w:r w:rsidRPr="005D526F">
              <w:rPr>
                <w:rFonts w:cs="Arial"/>
                <w:szCs w:val="18"/>
                <w:vertAlign w:val="superscript"/>
              </w:rPr>
              <w:t>de</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22.85±0.08</w:t>
            </w:r>
            <w:r w:rsidRPr="005D526F">
              <w:rPr>
                <w:rFonts w:cs="Arial"/>
                <w:szCs w:val="18"/>
                <w:vertAlign w:val="superscript"/>
              </w:rPr>
              <w:t>de</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0.970±0.010</w:t>
            </w:r>
            <w:r w:rsidRPr="005D526F">
              <w:rPr>
                <w:rFonts w:cs="Arial"/>
                <w:szCs w:val="18"/>
                <w:vertAlign w:val="superscript"/>
              </w:rPr>
              <w:t>a</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0.910±0.010</w:t>
            </w:r>
            <w:r w:rsidRPr="005D526F">
              <w:rPr>
                <w:rFonts w:cs="Arial"/>
                <w:szCs w:val="18"/>
                <w:vertAlign w:val="superscript"/>
              </w:rPr>
              <w:t>a</w:t>
            </w:r>
          </w:p>
        </w:tc>
      </w:tr>
      <w:tr w:rsidR="001752D1" w:rsidRPr="005D526F" w:rsidTr="00997FD0">
        <w:trPr>
          <w:trHeight w:val="258"/>
        </w:trPr>
        <w:tc>
          <w:tcPr>
            <w:tcW w:w="691"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szCs w:val="18"/>
              </w:rPr>
              <w:t>6</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54.31±0.13</w:t>
            </w:r>
            <w:r w:rsidRPr="005D526F">
              <w:rPr>
                <w:rFonts w:cs="Arial"/>
                <w:szCs w:val="18"/>
                <w:vertAlign w:val="superscript"/>
              </w:rPr>
              <w:t>ab</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5.69±0.03</w:t>
            </w:r>
            <w:r w:rsidRPr="005D526F">
              <w:rPr>
                <w:rFonts w:cs="Arial"/>
                <w:szCs w:val="18"/>
                <w:vertAlign w:val="superscript"/>
              </w:rPr>
              <w:t>c</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23.90±0.11</w:t>
            </w:r>
            <w:r w:rsidRPr="005D526F">
              <w:rPr>
                <w:rFonts w:cs="Arial"/>
                <w:szCs w:val="18"/>
                <w:vertAlign w:val="superscript"/>
              </w:rPr>
              <w:t>a</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0.707±0.015</w:t>
            </w:r>
            <w:r w:rsidRPr="005D526F">
              <w:rPr>
                <w:rFonts w:cs="Arial"/>
                <w:szCs w:val="18"/>
                <w:vertAlign w:val="superscript"/>
              </w:rPr>
              <w:t>bc</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0.690±0.010</w:t>
            </w:r>
            <w:r w:rsidRPr="005D526F">
              <w:rPr>
                <w:rFonts w:cs="Arial"/>
                <w:szCs w:val="18"/>
                <w:vertAlign w:val="superscript"/>
              </w:rPr>
              <w:t>b</w:t>
            </w:r>
          </w:p>
        </w:tc>
      </w:tr>
      <w:tr w:rsidR="001752D1" w:rsidRPr="005D526F" w:rsidTr="00997FD0">
        <w:trPr>
          <w:trHeight w:val="258"/>
        </w:trPr>
        <w:tc>
          <w:tcPr>
            <w:tcW w:w="691"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szCs w:val="18"/>
              </w:rPr>
              <w:t>7</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51.75±0.27</w:t>
            </w:r>
            <w:r w:rsidRPr="005D526F">
              <w:rPr>
                <w:rFonts w:cs="Arial"/>
                <w:szCs w:val="18"/>
                <w:vertAlign w:val="superscript"/>
              </w:rPr>
              <w:t>c</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6.09±0.09</w:t>
            </w:r>
            <w:r w:rsidRPr="005D526F">
              <w:rPr>
                <w:rFonts w:cs="Arial"/>
                <w:szCs w:val="18"/>
                <w:vertAlign w:val="superscript"/>
              </w:rPr>
              <w:t>b</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23.51±0.27</w:t>
            </w:r>
            <w:r w:rsidRPr="005D526F">
              <w:rPr>
                <w:rFonts w:cs="Arial"/>
                <w:szCs w:val="18"/>
                <w:vertAlign w:val="superscript"/>
              </w:rPr>
              <w:t>ab</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0.410±0.020</w:t>
            </w:r>
            <w:r w:rsidRPr="005D526F">
              <w:rPr>
                <w:rFonts w:cs="Arial"/>
                <w:szCs w:val="18"/>
                <w:vertAlign w:val="superscript"/>
              </w:rPr>
              <w:t>de</w:t>
            </w:r>
          </w:p>
        </w:tc>
        <w:tc>
          <w:tcPr>
            <w:tcW w:w="1334"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0.320±0.000</w:t>
            </w:r>
            <w:r w:rsidRPr="005D526F">
              <w:rPr>
                <w:rFonts w:cs="Arial"/>
                <w:szCs w:val="18"/>
                <w:vertAlign w:val="superscript"/>
              </w:rPr>
              <w:t>d</w:t>
            </w:r>
          </w:p>
        </w:tc>
      </w:tr>
      <w:tr w:rsidR="001752D1" w:rsidRPr="005D526F" w:rsidTr="00997FD0">
        <w:trPr>
          <w:trHeight w:val="258"/>
        </w:trPr>
        <w:tc>
          <w:tcPr>
            <w:tcW w:w="691" w:type="dxa"/>
            <w:tcBorders>
              <w:top w:val="nil"/>
              <w:left w:val="nil"/>
              <w:bottom w:val="single" w:sz="12" w:space="0" w:color="008000"/>
              <w:right w:val="nil"/>
            </w:tcBorders>
            <w:shd w:val="clear" w:color="auto" w:fill="FFFFFF"/>
            <w:hideMark/>
          </w:tcPr>
          <w:p w:rsidR="001752D1" w:rsidRPr="005D526F" w:rsidRDefault="001752D1" w:rsidP="007759F0">
            <w:pPr>
              <w:jc w:val="left"/>
              <w:rPr>
                <w:szCs w:val="18"/>
              </w:rPr>
            </w:pPr>
            <w:r w:rsidRPr="005D526F">
              <w:rPr>
                <w:szCs w:val="18"/>
              </w:rPr>
              <w:t>8</w:t>
            </w:r>
          </w:p>
        </w:tc>
        <w:tc>
          <w:tcPr>
            <w:tcW w:w="1334" w:type="dxa"/>
            <w:tcBorders>
              <w:top w:val="nil"/>
              <w:left w:val="nil"/>
              <w:bottom w:val="single" w:sz="12" w:space="0" w:color="008000"/>
              <w:right w:val="nil"/>
            </w:tcBorders>
            <w:shd w:val="clear" w:color="auto" w:fill="FFFFFF"/>
            <w:hideMark/>
          </w:tcPr>
          <w:p w:rsidR="001752D1" w:rsidRPr="005D526F" w:rsidRDefault="001752D1" w:rsidP="007759F0">
            <w:pPr>
              <w:jc w:val="left"/>
              <w:rPr>
                <w:szCs w:val="18"/>
              </w:rPr>
            </w:pPr>
            <w:r w:rsidRPr="005D526F">
              <w:rPr>
                <w:rFonts w:cs="Arial"/>
                <w:szCs w:val="18"/>
              </w:rPr>
              <w:t>54.22±0.53</w:t>
            </w:r>
            <w:r w:rsidRPr="005D526F">
              <w:rPr>
                <w:rFonts w:cs="Arial"/>
                <w:szCs w:val="18"/>
                <w:vertAlign w:val="superscript"/>
              </w:rPr>
              <w:t>b</w:t>
            </w:r>
          </w:p>
        </w:tc>
        <w:tc>
          <w:tcPr>
            <w:tcW w:w="1334" w:type="dxa"/>
            <w:tcBorders>
              <w:top w:val="nil"/>
              <w:left w:val="nil"/>
              <w:bottom w:val="single" w:sz="12" w:space="0" w:color="008000"/>
              <w:right w:val="nil"/>
            </w:tcBorders>
            <w:shd w:val="clear" w:color="auto" w:fill="FFFFFF"/>
            <w:hideMark/>
          </w:tcPr>
          <w:p w:rsidR="001752D1" w:rsidRPr="005D526F" w:rsidRDefault="001752D1" w:rsidP="007759F0">
            <w:pPr>
              <w:jc w:val="left"/>
              <w:rPr>
                <w:szCs w:val="18"/>
              </w:rPr>
            </w:pPr>
            <w:r w:rsidRPr="005D526F">
              <w:rPr>
                <w:rFonts w:cs="Arial"/>
                <w:szCs w:val="18"/>
              </w:rPr>
              <w:t>5.50±0.04</w:t>
            </w:r>
            <w:r w:rsidRPr="005D526F">
              <w:rPr>
                <w:rFonts w:cs="Arial"/>
                <w:szCs w:val="18"/>
                <w:vertAlign w:val="superscript"/>
              </w:rPr>
              <w:t>cd</w:t>
            </w:r>
          </w:p>
        </w:tc>
        <w:tc>
          <w:tcPr>
            <w:tcW w:w="1334" w:type="dxa"/>
            <w:tcBorders>
              <w:top w:val="nil"/>
              <w:left w:val="nil"/>
              <w:bottom w:val="single" w:sz="12" w:space="0" w:color="008000"/>
              <w:right w:val="nil"/>
            </w:tcBorders>
            <w:shd w:val="clear" w:color="auto" w:fill="FFFFFF"/>
            <w:hideMark/>
          </w:tcPr>
          <w:p w:rsidR="001752D1" w:rsidRPr="005D526F" w:rsidRDefault="001752D1" w:rsidP="007759F0">
            <w:pPr>
              <w:jc w:val="left"/>
              <w:rPr>
                <w:szCs w:val="18"/>
              </w:rPr>
            </w:pPr>
            <w:r w:rsidRPr="005D526F">
              <w:rPr>
                <w:rFonts w:cs="Arial"/>
                <w:szCs w:val="18"/>
              </w:rPr>
              <w:t>22.53±0.18</w:t>
            </w:r>
            <w:r w:rsidRPr="005D526F">
              <w:rPr>
                <w:rFonts w:cs="Arial"/>
                <w:szCs w:val="18"/>
                <w:vertAlign w:val="superscript"/>
              </w:rPr>
              <w:t>e</w:t>
            </w:r>
          </w:p>
        </w:tc>
        <w:tc>
          <w:tcPr>
            <w:tcW w:w="1334" w:type="dxa"/>
            <w:tcBorders>
              <w:top w:val="nil"/>
              <w:left w:val="nil"/>
              <w:bottom w:val="single" w:sz="12" w:space="0" w:color="008000"/>
              <w:right w:val="nil"/>
            </w:tcBorders>
            <w:shd w:val="clear" w:color="auto" w:fill="FFFFFF"/>
            <w:hideMark/>
          </w:tcPr>
          <w:p w:rsidR="001752D1" w:rsidRPr="005D526F" w:rsidRDefault="001752D1" w:rsidP="007759F0">
            <w:pPr>
              <w:jc w:val="left"/>
              <w:rPr>
                <w:szCs w:val="18"/>
              </w:rPr>
            </w:pPr>
            <w:r w:rsidRPr="005D526F">
              <w:rPr>
                <w:rFonts w:cs="Arial"/>
                <w:szCs w:val="18"/>
              </w:rPr>
              <w:t>0.807±0.006</w:t>
            </w:r>
            <w:r w:rsidRPr="005D526F">
              <w:rPr>
                <w:rFonts w:cs="Arial"/>
                <w:szCs w:val="18"/>
                <w:vertAlign w:val="superscript"/>
              </w:rPr>
              <w:t>ab</w:t>
            </w:r>
          </w:p>
        </w:tc>
        <w:tc>
          <w:tcPr>
            <w:tcW w:w="1334" w:type="dxa"/>
            <w:tcBorders>
              <w:top w:val="nil"/>
              <w:left w:val="nil"/>
              <w:bottom w:val="single" w:sz="12" w:space="0" w:color="008000"/>
              <w:right w:val="nil"/>
            </w:tcBorders>
            <w:shd w:val="clear" w:color="auto" w:fill="FFFFFF"/>
            <w:hideMark/>
          </w:tcPr>
          <w:p w:rsidR="001752D1" w:rsidRPr="005D526F" w:rsidRDefault="001752D1" w:rsidP="007759F0">
            <w:pPr>
              <w:jc w:val="left"/>
              <w:rPr>
                <w:szCs w:val="18"/>
              </w:rPr>
            </w:pPr>
            <w:r w:rsidRPr="005D526F">
              <w:rPr>
                <w:rFonts w:cs="Arial"/>
                <w:szCs w:val="18"/>
              </w:rPr>
              <w:t>0.727±0.006</w:t>
            </w:r>
            <w:r w:rsidRPr="005D526F">
              <w:rPr>
                <w:rFonts w:cs="Arial"/>
                <w:szCs w:val="18"/>
                <w:vertAlign w:val="superscript"/>
              </w:rPr>
              <w:t>b</w:t>
            </w:r>
          </w:p>
        </w:tc>
      </w:tr>
    </w:tbl>
    <w:p w:rsidR="001752D1" w:rsidRPr="005D526F" w:rsidRDefault="001752D1" w:rsidP="001752D1">
      <w:pPr>
        <w:keepNext/>
        <w:spacing w:before="240" w:after="80" w:line="240" w:lineRule="exact"/>
        <w:rPr>
          <w:i/>
        </w:rPr>
      </w:pPr>
      <w:r w:rsidRPr="005D526F">
        <w:rPr>
          <w:i/>
        </w:rPr>
        <w:t xml:space="preserve">Table 7: </w:t>
      </w:r>
      <w:proofErr w:type="spellStart"/>
      <w:r w:rsidRPr="005D526F">
        <w:rPr>
          <w:i/>
        </w:rPr>
        <w:t>Color</w:t>
      </w:r>
      <w:proofErr w:type="spellEnd"/>
      <w:r w:rsidRPr="005D526F">
        <w:rPr>
          <w:i/>
        </w:rPr>
        <w:t xml:space="preserve"> </w:t>
      </w:r>
      <w:r w:rsidR="000D1E60">
        <w:rPr>
          <w:i/>
        </w:rPr>
        <w:t>evaluation of</w:t>
      </w:r>
      <w:r w:rsidRPr="005D526F">
        <w:rPr>
          <w:i/>
        </w:rPr>
        <w:t xml:space="preserve"> freeze dried samples after storage. Different superscript letters indicate statistically different values within each column</w:t>
      </w:r>
      <w:r w:rsidR="00450054">
        <w:rPr>
          <w:i/>
        </w:rPr>
        <w:t xml:space="preserve"> (Tukey’s test)</w:t>
      </w:r>
      <w:r w:rsidRPr="005D526F">
        <w:rPr>
          <w:i/>
        </w:rPr>
        <w:t>.</w:t>
      </w:r>
    </w:p>
    <w:tbl>
      <w:tblPr>
        <w:tblW w:w="7334"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719"/>
        <w:gridCol w:w="1323"/>
        <w:gridCol w:w="1323"/>
        <w:gridCol w:w="1323"/>
        <w:gridCol w:w="1323"/>
        <w:gridCol w:w="1323"/>
      </w:tblGrid>
      <w:tr w:rsidR="001752D1" w:rsidRPr="005D526F" w:rsidTr="00997FD0">
        <w:trPr>
          <w:trHeight w:val="241"/>
        </w:trPr>
        <w:tc>
          <w:tcPr>
            <w:tcW w:w="719" w:type="dxa"/>
            <w:tcBorders>
              <w:top w:val="single" w:sz="12" w:space="0" w:color="008000"/>
              <w:left w:val="nil"/>
              <w:bottom w:val="single" w:sz="6" w:space="0" w:color="008000"/>
              <w:right w:val="nil"/>
            </w:tcBorders>
            <w:shd w:val="clear" w:color="auto" w:fill="FFFFFF"/>
            <w:hideMark/>
          </w:tcPr>
          <w:p w:rsidR="001752D1" w:rsidRPr="005D526F" w:rsidRDefault="001752D1" w:rsidP="007759F0">
            <w:pPr>
              <w:jc w:val="left"/>
              <w:rPr>
                <w:szCs w:val="18"/>
              </w:rPr>
            </w:pPr>
            <w:r w:rsidRPr="005D526F">
              <w:rPr>
                <w:szCs w:val="18"/>
              </w:rPr>
              <w:t xml:space="preserve">Sample </w:t>
            </w:r>
          </w:p>
        </w:tc>
        <w:tc>
          <w:tcPr>
            <w:tcW w:w="1323" w:type="dxa"/>
            <w:tcBorders>
              <w:top w:val="single" w:sz="12" w:space="0" w:color="008000"/>
              <w:left w:val="nil"/>
              <w:bottom w:val="single" w:sz="6" w:space="0" w:color="008000"/>
              <w:right w:val="nil"/>
            </w:tcBorders>
            <w:shd w:val="clear" w:color="auto" w:fill="FFFFFF"/>
            <w:hideMark/>
          </w:tcPr>
          <w:p w:rsidR="001752D1" w:rsidRPr="005D526F" w:rsidRDefault="001752D1" w:rsidP="007759F0">
            <w:pPr>
              <w:jc w:val="left"/>
              <w:rPr>
                <w:szCs w:val="18"/>
              </w:rPr>
            </w:pPr>
            <w:r w:rsidRPr="005D526F">
              <w:rPr>
                <w:szCs w:val="18"/>
              </w:rPr>
              <w:t>L</w:t>
            </w:r>
            <w:r w:rsidR="000D1E60">
              <w:rPr>
                <w:szCs w:val="18"/>
              </w:rPr>
              <w:t>*</w:t>
            </w:r>
          </w:p>
        </w:tc>
        <w:tc>
          <w:tcPr>
            <w:tcW w:w="1323" w:type="dxa"/>
            <w:tcBorders>
              <w:top w:val="single" w:sz="12" w:space="0" w:color="008000"/>
              <w:left w:val="nil"/>
              <w:bottom w:val="single" w:sz="6" w:space="0" w:color="008000"/>
              <w:right w:val="nil"/>
            </w:tcBorders>
            <w:shd w:val="clear" w:color="auto" w:fill="FFFFFF"/>
            <w:hideMark/>
          </w:tcPr>
          <w:p w:rsidR="001752D1" w:rsidRPr="005D526F" w:rsidRDefault="001752D1" w:rsidP="007759F0">
            <w:pPr>
              <w:jc w:val="left"/>
              <w:rPr>
                <w:szCs w:val="18"/>
              </w:rPr>
            </w:pPr>
            <w:r w:rsidRPr="005D526F">
              <w:rPr>
                <w:szCs w:val="18"/>
              </w:rPr>
              <w:t>a</w:t>
            </w:r>
            <w:r w:rsidR="000D1E60">
              <w:rPr>
                <w:szCs w:val="18"/>
              </w:rPr>
              <w:t>*</w:t>
            </w:r>
          </w:p>
        </w:tc>
        <w:tc>
          <w:tcPr>
            <w:tcW w:w="1323" w:type="dxa"/>
            <w:tcBorders>
              <w:top w:val="single" w:sz="12" w:space="0" w:color="008000"/>
              <w:left w:val="nil"/>
              <w:bottom w:val="single" w:sz="6" w:space="0" w:color="008000"/>
              <w:right w:val="nil"/>
            </w:tcBorders>
            <w:shd w:val="clear" w:color="auto" w:fill="FFFFFF"/>
            <w:hideMark/>
          </w:tcPr>
          <w:p w:rsidR="001752D1" w:rsidRPr="005D526F" w:rsidRDefault="001752D1" w:rsidP="007759F0">
            <w:pPr>
              <w:jc w:val="left"/>
              <w:rPr>
                <w:szCs w:val="18"/>
              </w:rPr>
            </w:pPr>
            <w:r w:rsidRPr="005D526F">
              <w:rPr>
                <w:szCs w:val="18"/>
              </w:rPr>
              <w:t>b</w:t>
            </w:r>
            <w:r w:rsidR="000D1E60">
              <w:rPr>
                <w:szCs w:val="18"/>
              </w:rPr>
              <w:t>*</w:t>
            </w:r>
          </w:p>
        </w:tc>
        <w:tc>
          <w:tcPr>
            <w:tcW w:w="1323" w:type="dxa"/>
            <w:tcBorders>
              <w:top w:val="single" w:sz="12" w:space="0" w:color="008000"/>
              <w:left w:val="nil"/>
              <w:bottom w:val="single" w:sz="6" w:space="0" w:color="008000"/>
              <w:right w:val="nil"/>
            </w:tcBorders>
            <w:shd w:val="clear" w:color="auto" w:fill="FFFFFF"/>
            <w:hideMark/>
          </w:tcPr>
          <w:p w:rsidR="001752D1" w:rsidRPr="005D526F" w:rsidRDefault="001752D1" w:rsidP="007759F0">
            <w:pPr>
              <w:jc w:val="left"/>
              <w:rPr>
                <w:szCs w:val="18"/>
              </w:rPr>
            </w:pPr>
            <w:r w:rsidRPr="005D526F">
              <w:rPr>
                <w:szCs w:val="18"/>
              </w:rPr>
              <w:t>410nm</w:t>
            </w:r>
          </w:p>
          <w:p w:rsidR="001752D1" w:rsidRPr="005D526F" w:rsidRDefault="00B404A0" w:rsidP="007759F0">
            <w:pPr>
              <w:jc w:val="left"/>
              <w:rPr>
                <w:szCs w:val="18"/>
              </w:rPr>
            </w:pPr>
            <w:r>
              <w:rPr>
                <w:szCs w:val="18"/>
              </w:rPr>
              <w:t>(</w:t>
            </w:r>
            <w:proofErr w:type="spellStart"/>
            <w:r w:rsidR="001752D1" w:rsidRPr="005D526F">
              <w:rPr>
                <w:szCs w:val="18"/>
              </w:rPr>
              <w:t>a.u</w:t>
            </w:r>
            <w:proofErr w:type="spellEnd"/>
            <w:r w:rsidR="001752D1" w:rsidRPr="005D526F">
              <w:rPr>
                <w:szCs w:val="18"/>
              </w:rPr>
              <w:t>.</w:t>
            </w:r>
            <w:r>
              <w:rPr>
                <w:szCs w:val="18"/>
              </w:rPr>
              <w:t>)</w:t>
            </w:r>
          </w:p>
        </w:tc>
        <w:tc>
          <w:tcPr>
            <w:tcW w:w="1323" w:type="dxa"/>
            <w:tcBorders>
              <w:top w:val="single" w:sz="12" w:space="0" w:color="008000"/>
              <w:left w:val="nil"/>
              <w:bottom w:val="single" w:sz="6" w:space="0" w:color="008000"/>
              <w:right w:val="nil"/>
            </w:tcBorders>
            <w:shd w:val="clear" w:color="auto" w:fill="FFFFFF"/>
            <w:hideMark/>
          </w:tcPr>
          <w:p w:rsidR="001752D1" w:rsidRPr="005D526F" w:rsidRDefault="001752D1" w:rsidP="007759F0">
            <w:pPr>
              <w:jc w:val="left"/>
              <w:rPr>
                <w:szCs w:val="18"/>
              </w:rPr>
            </w:pPr>
            <w:r w:rsidRPr="005D526F">
              <w:rPr>
                <w:szCs w:val="18"/>
              </w:rPr>
              <w:t>420nm</w:t>
            </w:r>
          </w:p>
          <w:p w:rsidR="001752D1" w:rsidRPr="005D526F" w:rsidRDefault="00B404A0" w:rsidP="007759F0">
            <w:pPr>
              <w:jc w:val="left"/>
              <w:rPr>
                <w:szCs w:val="18"/>
              </w:rPr>
            </w:pPr>
            <w:r>
              <w:rPr>
                <w:szCs w:val="18"/>
              </w:rPr>
              <w:t>(</w:t>
            </w:r>
            <w:proofErr w:type="spellStart"/>
            <w:r w:rsidR="001752D1" w:rsidRPr="005D526F">
              <w:rPr>
                <w:szCs w:val="18"/>
              </w:rPr>
              <w:t>a.u</w:t>
            </w:r>
            <w:proofErr w:type="spellEnd"/>
            <w:r w:rsidR="001752D1" w:rsidRPr="005D526F">
              <w:rPr>
                <w:szCs w:val="18"/>
              </w:rPr>
              <w:t>.</w:t>
            </w:r>
            <w:r>
              <w:rPr>
                <w:szCs w:val="18"/>
              </w:rPr>
              <w:t>)</w:t>
            </w:r>
          </w:p>
        </w:tc>
      </w:tr>
      <w:tr w:rsidR="001752D1" w:rsidRPr="005D526F" w:rsidTr="00997FD0">
        <w:trPr>
          <w:trHeight w:val="253"/>
        </w:trPr>
        <w:tc>
          <w:tcPr>
            <w:tcW w:w="719"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szCs w:val="18"/>
              </w:rPr>
              <w:t>1</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44.06±0.34</w:t>
            </w:r>
            <w:r w:rsidRPr="005D526F">
              <w:rPr>
                <w:rFonts w:cs="Arial"/>
                <w:szCs w:val="18"/>
                <w:vertAlign w:val="superscript"/>
              </w:rPr>
              <w:t>d</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6.59±0.01</w:t>
            </w:r>
            <w:r w:rsidRPr="005D526F">
              <w:rPr>
                <w:rFonts w:cs="Arial"/>
                <w:szCs w:val="18"/>
                <w:vertAlign w:val="superscript"/>
              </w:rPr>
              <w:t>b</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21.36±0.19</w:t>
            </w:r>
            <w:r w:rsidRPr="005D526F">
              <w:rPr>
                <w:rFonts w:cs="Arial"/>
                <w:szCs w:val="18"/>
                <w:vertAlign w:val="superscript"/>
              </w:rPr>
              <w:t>c</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0.425±0.005</w:t>
            </w:r>
            <w:r w:rsidRPr="005D526F">
              <w:rPr>
                <w:rFonts w:cs="Arial"/>
                <w:szCs w:val="18"/>
                <w:vertAlign w:val="superscript"/>
              </w:rPr>
              <w:t>g</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0.330±0.010</w:t>
            </w:r>
            <w:r w:rsidRPr="005D526F">
              <w:rPr>
                <w:rFonts w:cs="Arial"/>
                <w:szCs w:val="18"/>
                <w:vertAlign w:val="superscript"/>
              </w:rPr>
              <w:t>e</w:t>
            </w:r>
          </w:p>
        </w:tc>
      </w:tr>
      <w:tr w:rsidR="001752D1" w:rsidRPr="005D526F" w:rsidTr="00997FD0">
        <w:trPr>
          <w:trHeight w:val="253"/>
        </w:trPr>
        <w:tc>
          <w:tcPr>
            <w:tcW w:w="719"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szCs w:val="18"/>
              </w:rPr>
              <w:t>2</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48.84±0.28</w:t>
            </w:r>
            <w:r w:rsidRPr="005D526F">
              <w:rPr>
                <w:rFonts w:cs="Arial"/>
                <w:szCs w:val="18"/>
                <w:vertAlign w:val="superscript"/>
              </w:rPr>
              <w:t>c</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5.93±0.01</w:t>
            </w:r>
            <w:r w:rsidRPr="005D526F">
              <w:rPr>
                <w:rFonts w:cs="Arial"/>
                <w:szCs w:val="18"/>
                <w:vertAlign w:val="superscript"/>
              </w:rPr>
              <w:t>d</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22.73±0.16</w:t>
            </w:r>
            <w:r w:rsidRPr="005D526F">
              <w:rPr>
                <w:rFonts w:cs="Arial"/>
                <w:szCs w:val="18"/>
                <w:vertAlign w:val="superscript"/>
              </w:rPr>
              <w:t>a</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0.485±0.005</w:t>
            </w:r>
            <w:r w:rsidRPr="005D526F">
              <w:rPr>
                <w:rFonts w:cs="Arial"/>
                <w:szCs w:val="18"/>
                <w:vertAlign w:val="superscript"/>
              </w:rPr>
              <w:t>f</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0.430±0.000</w:t>
            </w:r>
            <w:r w:rsidRPr="005D526F">
              <w:rPr>
                <w:rFonts w:cs="Arial"/>
                <w:szCs w:val="18"/>
                <w:vertAlign w:val="superscript"/>
              </w:rPr>
              <w:t>d</w:t>
            </w:r>
          </w:p>
        </w:tc>
      </w:tr>
      <w:tr w:rsidR="001752D1" w:rsidRPr="005D526F" w:rsidTr="00997FD0">
        <w:trPr>
          <w:trHeight w:val="253"/>
        </w:trPr>
        <w:tc>
          <w:tcPr>
            <w:tcW w:w="719"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szCs w:val="18"/>
              </w:rPr>
              <w:t>3</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49.25±0.10</w:t>
            </w:r>
            <w:r w:rsidRPr="005D526F">
              <w:rPr>
                <w:rFonts w:cs="Arial"/>
                <w:szCs w:val="18"/>
                <w:vertAlign w:val="superscript"/>
              </w:rPr>
              <w:t>c</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5.67±0.05</w:t>
            </w:r>
            <w:r w:rsidRPr="005D526F">
              <w:rPr>
                <w:rFonts w:cs="Arial"/>
                <w:szCs w:val="18"/>
                <w:vertAlign w:val="superscript"/>
              </w:rPr>
              <w:t>e</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22.53±0.13</w:t>
            </w:r>
            <w:r w:rsidRPr="005D526F">
              <w:rPr>
                <w:rFonts w:cs="Arial"/>
                <w:szCs w:val="18"/>
                <w:vertAlign w:val="superscript"/>
              </w:rPr>
              <w:t>ab</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0.790±0.010</w:t>
            </w:r>
            <w:r w:rsidRPr="005D526F">
              <w:rPr>
                <w:rFonts w:cs="Arial"/>
                <w:szCs w:val="18"/>
                <w:vertAlign w:val="superscript"/>
              </w:rPr>
              <w:t>c</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0.430±0.010</w:t>
            </w:r>
            <w:r w:rsidRPr="005D526F">
              <w:rPr>
                <w:rFonts w:cs="Arial"/>
                <w:szCs w:val="18"/>
                <w:vertAlign w:val="superscript"/>
              </w:rPr>
              <w:t>d</w:t>
            </w:r>
          </w:p>
        </w:tc>
      </w:tr>
      <w:tr w:rsidR="001752D1" w:rsidRPr="005D526F" w:rsidTr="00997FD0">
        <w:trPr>
          <w:trHeight w:val="253"/>
        </w:trPr>
        <w:tc>
          <w:tcPr>
            <w:tcW w:w="719"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szCs w:val="18"/>
              </w:rPr>
              <w:t>4</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50.31±0.57</w:t>
            </w:r>
            <w:r w:rsidRPr="005D526F">
              <w:rPr>
                <w:rFonts w:cs="Arial"/>
                <w:szCs w:val="18"/>
                <w:vertAlign w:val="superscript"/>
              </w:rPr>
              <w:t>b</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5.76±0.04</w:t>
            </w:r>
            <w:r w:rsidRPr="005D526F">
              <w:rPr>
                <w:rFonts w:cs="Arial"/>
                <w:szCs w:val="18"/>
                <w:vertAlign w:val="superscript"/>
              </w:rPr>
              <w:t>e</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23.04±0.25</w:t>
            </w:r>
            <w:r w:rsidRPr="005D526F">
              <w:rPr>
                <w:rFonts w:cs="Arial"/>
                <w:szCs w:val="18"/>
                <w:vertAlign w:val="superscript"/>
              </w:rPr>
              <w:t>a</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0.645±0.015</w:t>
            </w:r>
            <w:r w:rsidRPr="005D526F">
              <w:rPr>
                <w:rFonts w:cs="Arial"/>
                <w:szCs w:val="18"/>
                <w:vertAlign w:val="superscript"/>
              </w:rPr>
              <w:t>d</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0.465±0.005</w:t>
            </w:r>
            <w:r w:rsidRPr="005D526F">
              <w:rPr>
                <w:rFonts w:cs="Arial"/>
                <w:szCs w:val="18"/>
                <w:vertAlign w:val="superscript"/>
              </w:rPr>
              <w:t>c</w:t>
            </w:r>
          </w:p>
        </w:tc>
      </w:tr>
      <w:tr w:rsidR="001752D1" w:rsidRPr="005D526F" w:rsidTr="00997FD0">
        <w:trPr>
          <w:trHeight w:val="253"/>
        </w:trPr>
        <w:tc>
          <w:tcPr>
            <w:tcW w:w="719"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szCs w:val="18"/>
              </w:rPr>
              <w:t>5</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51.31±0.21</w:t>
            </w:r>
            <w:r w:rsidRPr="005D526F">
              <w:rPr>
                <w:rFonts w:cs="Arial"/>
                <w:szCs w:val="18"/>
                <w:vertAlign w:val="superscript"/>
              </w:rPr>
              <w:t>a</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5.66±0.06</w:t>
            </w:r>
            <w:r w:rsidRPr="005D526F">
              <w:rPr>
                <w:rFonts w:cs="Arial"/>
                <w:szCs w:val="18"/>
                <w:vertAlign w:val="superscript"/>
              </w:rPr>
              <w:t>e</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22.54±0.22</w:t>
            </w:r>
            <w:r w:rsidRPr="005D526F">
              <w:rPr>
                <w:rFonts w:cs="Arial"/>
                <w:szCs w:val="18"/>
                <w:vertAlign w:val="superscript"/>
              </w:rPr>
              <w:t>ab</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0.955±0.005</w:t>
            </w:r>
            <w:r w:rsidRPr="005D526F">
              <w:rPr>
                <w:rFonts w:cs="Arial"/>
                <w:szCs w:val="18"/>
                <w:vertAlign w:val="superscript"/>
              </w:rPr>
              <w:t>a</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0.795±0.005</w:t>
            </w:r>
            <w:r w:rsidRPr="005D526F">
              <w:rPr>
                <w:rFonts w:cs="Arial"/>
                <w:szCs w:val="18"/>
                <w:vertAlign w:val="superscript"/>
              </w:rPr>
              <w:t>a</w:t>
            </w:r>
          </w:p>
        </w:tc>
      </w:tr>
      <w:tr w:rsidR="001752D1" w:rsidRPr="005D526F" w:rsidTr="00997FD0">
        <w:trPr>
          <w:trHeight w:val="253"/>
        </w:trPr>
        <w:tc>
          <w:tcPr>
            <w:tcW w:w="719"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szCs w:val="18"/>
              </w:rPr>
              <w:t>6</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48.70±0.09</w:t>
            </w:r>
            <w:r w:rsidRPr="005D526F">
              <w:rPr>
                <w:rFonts w:cs="Arial"/>
                <w:szCs w:val="18"/>
                <w:vertAlign w:val="superscript"/>
              </w:rPr>
              <w:t>c</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6.25±0.04</w:t>
            </w:r>
            <w:r w:rsidRPr="005D526F">
              <w:rPr>
                <w:rFonts w:cs="Arial"/>
                <w:szCs w:val="18"/>
                <w:vertAlign w:val="superscript"/>
              </w:rPr>
              <w:t>c</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22.75±0.08</w:t>
            </w:r>
            <w:r w:rsidRPr="005D526F">
              <w:rPr>
                <w:rFonts w:cs="Arial"/>
                <w:szCs w:val="18"/>
                <w:vertAlign w:val="superscript"/>
              </w:rPr>
              <w:t>a</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0.575±0.035</w:t>
            </w:r>
            <w:r w:rsidRPr="005D526F">
              <w:rPr>
                <w:rFonts w:cs="Arial"/>
                <w:szCs w:val="18"/>
                <w:vertAlign w:val="superscript"/>
              </w:rPr>
              <w:t>e</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0.465±0.005</w:t>
            </w:r>
            <w:r w:rsidRPr="005D526F">
              <w:rPr>
                <w:rFonts w:cs="Arial"/>
                <w:szCs w:val="18"/>
                <w:vertAlign w:val="superscript"/>
              </w:rPr>
              <w:t>c</w:t>
            </w:r>
          </w:p>
        </w:tc>
      </w:tr>
      <w:tr w:rsidR="001752D1" w:rsidRPr="005D526F" w:rsidTr="00997FD0">
        <w:trPr>
          <w:trHeight w:val="253"/>
        </w:trPr>
        <w:tc>
          <w:tcPr>
            <w:tcW w:w="719"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szCs w:val="18"/>
              </w:rPr>
              <w:t>7</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44.94±0.58</w:t>
            </w:r>
            <w:r w:rsidRPr="005D526F">
              <w:rPr>
                <w:rFonts w:cs="Arial"/>
                <w:szCs w:val="18"/>
                <w:vertAlign w:val="superscript"/>
              </w:rPr>
              <w:t>d</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6.80±0.04</w:t>
            </w:r>
            <w:r w:rsidRPr="005D526F">
              <w:rPr>
                <w:rFonts w:cs="Arial"/>
                <w:szCs w:val="18"/>
                <w:vertAlign w:val="superscript"/>
              </w:rPr>
              <w:t>a</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22.11±0.23</w:t>
            </w:r>
            <w:r w:rsidRPr="005D526F">
              <w:rPr>
                <w:rFonts w:cs="Arial"/>
                <w:szCs w:val="18"/>
                <w:vertAlign w:val="superscript"/>
              </w:rPr>
              <w:t>b</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0.420±0.000</w:t>
            </w:r>
            <w:r w:rsidRPr="005D526F">
              <w:rPr>
                <w:rFonts w:cs="Arial"/>
                <w:szCs w:val="18"/>
                <w:vertAlign w:val="superscript"/>
              </w:rPr>
              <w:t>g</w:t>
            </w:r>
          </w:p>
        </w:tc>
        <w:tc>
          <w:tcPr>
            <w:tcW w:w="1323" w:type="dxa"/>
            <w:tcBorders>
              <w:top w:val="nil"/>
              <w:left w:val="nil"/>
              <w:bottom w:val="nil"/>
              <w:right w:val="nil"/>
            </w:tcBorders>
            <w:shd w:val="clear" w:color="auto" w:fill="FFFFFF"/>
            <w:hideMark/>
          </w:tcPr>
          <w:p w:rsidR="001752D1" w:rsidRPr="005D526F" w:rsidRDefault="001752D1" w:rsidP="007759F0">
            <w:pPr>
              <w:jc w:val="left"/>
              <w:rPr>
                <w:szCs w:val="18"/>
              </w:rPr>
            </w:pPr>
            <w:r w:rsidRPr="005D526F">
              <w:rPr>
                <w:rFonts w:cs="Arial"/>
                <w:szCs w:val="18"/>
              </w:rPr>
              <w:t>0.350±0.000</w:t>
            </w:r>
            <w:r w:rsidRPr="005D526F">
              <w:rPr>
                <w:rFonts w:cs="Arial"/>
                <w:szCs w:val="18"/>
                <w:vertAlign w:val="superscript"/>
              </w:rPr>
              <w:t>e</w:t>
            </w:r>
          </w:p>
        </w:tc>
      </w:tr>
      <w:tr w:rsidR="001752D1" w:rsidTr="00997FD0">
        <w:trPr>
          <w:trHeight w:val="253"/>
        </w:trPr>
        <w:tc>
          <w:tcPr>
            <w:tcW w:w="719" w:type="dxa"/>
            <w:tcBorders>
              <w:top w:val="nil"/>
              <w:left w:val="nil"/>
              <w:bottom w:val="single" w:sz="12" w:space="0" w:color="008000"/>
              <w:right w:val="nil"/>
            </w:tcBorders>
            <w:shd w:val="clear" w:color="auto" w:fill="FFFFFF"/>
            <w:hideMark/>
          </w:tcPr>
          <w:p w:rsidR="001752D1" w:rsidRPr="005D526F" w:rsidRDefault="001752D1" w:rsidP="007759F0">
            <w:pPr>
              <w:jc w:val="left"/>
              <w:rPr>
                <w:szCs w:val="18"/>
              </w:rPr>
            </w:pPr>
            <w:r w:rsidRPr="005D526F">
              <w:rPr>
                <w:szCs w:val="18"/>
              </w:rPr>
              <w:t>8</w:t>
            </w:r>
          </w:p>
        </w:tc>
        <w:tc>
          <w:tcPr>
            <w:tcW w:w="1323" w:type="dxa"/>
            <w:tcBorders>
              <w:top w:val="nil"/>
              <w:left w:val="nil"/>
              <w:bottom w:val="single" w:sz="12" w:space="0" w:color="008000"/>
              <w:right w:val="nil"/>
            </w:tcBorders>
            <w:shd w:val="clear" w:color="auto" w:fill="FFFFFF"/>
            <w:hideMark/>
          </w:tcPr>
          <w:p w:rsidR="001752D1" w:rsidRPr="005D526F" w:rsidRDefault="001752D1" w:rsidP="007759F0">
            <w:pPr>
              <w:jc w:val="left"/>
              <w:rPr>
                <w:szCs w:val="18"/>
              </w:rPr>
            </w:pPr>
            <w:r w:rsidRPr="005D526F">
              <w:rPr>
                <w:rFonts w:cs="Arial"/>
                <w:szCs w:val="18"/>
              </w:rPr>
              <w:t>51.27±0.14</w:t>
            </w:r>
            <w:r w:rsidRPr="005D526F">
              <w:rPr>
                <w:rFonts w:cs="Arial"/>
                <w:szCs w:val="18"/>
                <w:vertAlign w:val="superscript"/>
              </w:rPr>
              <w:t>ab</w:t>
            </w:r>
          </w:p>
        </w:tc>
        <w:tc>
          <w:tcPr>
            <w:tcW w:w="1323" w:type="dxa"/>
            <w:tcBorders>
              <w:top w:val="nil"/>
              <w:left w:val="nil"/>
              <w:bottom w:val="single" w:sz="12" w:space="0" w:color="008000"/>
              <w:right w:val="nil"/>
            </w:tcBorders>
            <w:shd w:val="clear" w:color="auto" w:fill="FFFFFF"/>
            <w:hideMark/>
          </w:tcPr>
          <w:p w:rsidR="001752D1" w:rsidRPr="005D526F" w:rsidRDefault="001752D1" w:rsidP="007759F0">
            <w:pPr>
              <w:jc w:val="left"/>
              <w:rPr>
                <w:szCs w:val="18"/>
              </w:rPr>
            </w:pPr>
            <w:r w:rsidRPr="005D526F">
              <w:rPr>
                <w:rFonts w:cs="Arial"/>
                <w:szCs w:val="18"/>
              </w:rPr>
              <w:t>5.93±0.09</w:t>
            </w:r>
            <w:r w:rsidRPr="005D526F">
              <w:rPr>
                <w:rFonts w:cs="Arial"/>
                <w:szCs w:val="18"/>
                <w:vertAlign w:val="superscript"/>
              </w:rPr>
              <w:t>d</w:t>
            </w:r>
          </w:p>
        </w:tc>
        <w:tc>
          <w:tcPr>
            <w:tcW w:w="1323" w:type="dxa"/>
            <w:tcBorders>
              <w:top w:val="nil"/>
              <w:left w:val="nil"/>
              <w:bottom w:val="single" w:sz="12" w:space="0" w:color="008000"/>
              <w:right w:val="nil"/>
            </w:tcBorders>
            <w:shd w:val="clear" w:color="auto" w:fill="FFFFFF"/>
            <w:hideMark/>
          </w:tcPr>
          <w:p w:rsidR="001752D1" w:rsidRPr="005D526F" w:rsidRDefault="001752D1" w:rsidP="007759F0">
            <w:pPr>
              <w:jc w:val="left"/>
              <w:rPr>
                <w:szCs w:val="18"/>
              </w:rPr>
            </w:pPr>
            <w:r w:rsidRPr="005D526F">
              <w:rPr>
                <w:rFonts w:cs="Arial"/>
                <w:szCs w:val="18"/>
              </w:rPr>
              <w:t>22.77±0.14</w:t>
            </w:r>
            <w:r w:rsidRPr="005D526F">
              <w:rPr>
                <w:rFonts w:cs="Arial"/>
                <w:szCs w:val="18"/>
                <w:vertAlign w:val="superscript"/>
              </w:rPr>
              <w:t>a</w:t>
            </w:r>
          </w:p>
        </w:tc>
        <w:tc>
          <w:tcPr>
            <w:tcW w:w="1323" w:type="dxa"/>
            <w:tcBorders>
              <w:top w:val="nil"/>
              <w:left w:val="nil"/>
              <w:bottom w:val="single" w:sz="12" w:space="0" w:color="008000"/>
              <w:right w:val="nil"/>
            </w:tcBorders>
            <w:shd w:val="clear" w:color="auto" w:fill="FFFFFF"/>
            <w:hideMark/>
          </w:tcPr>
          <w:p w:rsidR="001752D1" w:rsidRPr="005D526F" w:rsidRDefault="001752D1" w:rsidP="007759F0">
            <w:pPr>
              <w:jc w:val="left"/>
              <w:rPr>
                <w:szCs w:val="18"/>
              </w:rPr>
            </w:pPr>
            <w:r w:rsidRPr="005D526F">
              <w:rPr>
                <w:rFonts w:cs="Arial"/>
                <w:szCs w:val="18"/>
              </w:rPr>
              <w:t>0.845±0.015</w:t>
            </w:r>
            <w:r w:rsidRPr="005D526F">
              <w:rPr>
                <w:rFonts w:cs="Arial"/>
                <w:szCs w:val="18"/>
                <w:vertAlign w:val="superscript"/>
              </w:rPr>
              <w:t>b</w:t>
            </w:r>
          </w:p>
        </w:tc>
        <w:tc>
          <w:tcPr>
            <w:tcW w:w="1323" w:type="dxa"/>
            <w:tcBorders>
              <w:top w:val="nil"/>
              <w:left w:val="nil"/>
              <w:bottom w:val="single" w:sz="12" w:space="0" w:color="008000"/>
              <w:right w:val="nil"/>
            </w:tcBorders>
            <w:shd w:val="clear" w:color="auto" w:fill="FFFFFF"/>
            <w:hideMark/>
          </w:tcPr>
          <w:p w:rsidR="001752D1" w:rsidRDefault="001752D1" w:rsidP="007759F0">
            <w:pPr>
              <w:jc w:val="left"/>
              <w:rPr>
                <w:szCs w:val="18"/>
              </w:rPr>
            </w:pPr>
            <w:r w:rsidRPr="005D526F">
              <w:rPr>
                <w:rFonts w:cs="Arial"/>
                <w:szCs w:val="18"/>
              </w:rPr>
              <w:t>0.670±0.020</w:t>
            </w:r>
            <w:r w:rsidRPr="005D526F">
              <w:rPr>
                <w:rFonts w:cs="Arial"/>
                <w:szCs w:val="18"/>
                <w:vertAlign w:val="superscript"/>
              </w:rPr>
              <w:t>b</w:t>
            </w:r>
          </w:p>
        </w:tc>
      </w:tr>
    </w:tbl>
    <w:p w:rsidR="00DB14F5" w:rsidRPr="00442C66" w:rsidRDefault="00E61B24" w:rsidP="00EB024F">
      <w:pPr>
        <w:pStyle w:val="CETHeading1"/>
        <w:rPr>
          <w:lang w:val="en-GB"/>
        </w:rPr>
      </w:pPr>
      <w:r>
        <w:rPr>
          <w:lang w:val="en-GB"/>
        </w:rPr>
        <w:t xml:space="preserve">4. </w:t>
      </w:r>
      <w:r w:rsidR="00EB024F" w:rsidRPr="00442C66">
        <w:rPr>
          <w:lang w:val="en-GB"/>
        </w:rPr>
        <w:t>Conclusions</w:t>
      </w:r>
    </w:p>
    <w:p w:rsidR="00814291" w:rsidRPr="00814291" w:rsidRDefault="00455E18" w:rsidP="00814291">
      <w:pPr>
        <w:pStyle w:val="CETBodytext"/>
        <w:rPr>
          <w:lang w:val="en-GB"/>
        </w:rPr>
      </w:pPr>
      <w:r>
        <w:rPr>
          <w:lang w:val="en-GB"/>
        </w:rPr>
        <w:t>Freeze-dried products based on w</w:t>
      </w:r>
      <w:r w:rsidR="00700ECA" w:rsidRPr="00700ECA">
        <w:rPr>
          <w:lang w:val="en-GB"/>
        </w:rPr>
        <w:t>alnut</w:t>
      </w:r>
      <w:r>
        <w:rPr>
          <w:lang w:val="en-GB"/>
        </w:rPr>
        <w:t>s</w:t>
      </w:r>
      <w:r w:rsidR="00700ECA" w:rsidRPr="00700ECA">
        <w:rPr>
          <w:lang w:val="en-GB"/>
        </w:rPr>
        <w:t xml:space="preserve"> </w:t>
      </w:r>
      <w:r>
        <w:rPr>
          <w:lang w:val="en-GB"/>
        </w:rPr>
        <w:t>were</w:t>
      </w:r>
      <w:r w:rsidR="00700ECA" w:rsidRPr="00700ECA">
        <w:rPr>
          <w:lang w:val="en-GB"/>
        </w:rPr>
        <w:t xml:space="preserve"> specifically obtained by roasting and grinding of kernels</w:t>
      </w:r>
      <w:r w:rsidR="000D1E60">
        <w:rPr>
          <w:lang w:val="en-GB"/>
        </w:rPr>
        <w:t>,</w:t>
      </w:r>
      <w:r>
        <w:rPr>
          <w:lang w:val="en-GB"/>
        </w:rPr>
        <w:t xml:space="preserve"> and encapsulation of the resulting</w:t>
      </w:r>
      <w:r w:rsidR="00393EC7">
        <w:rPr>
          <w:lang w:val="en-GB"/>
        </w:rPr>
        <w:t xml:space="preserve"> paste. </w:t>
      </w:r>
      <w:r w:rsidR="00920E96" w:rsidRPr="00393EC7">
        <w:rPr>
          <w:lang w:val="en-GB"/>
        </w:rPr>
        <w:t xml:space="preserve">Product stability seemed to be linked to the three-dimensional network that was built during the </w:t>
      </w:r>
      <w:r w:rsidR="00393EC7">
        <w:rPr>
          <w:lang w:val="en-GB"/>
        </w:rPr>
        <w:t>encapsulation/</w:t>
      </w:r>
      <w:r w:rsidR="00920E96" w:rsidRPr="00393EC7">
        <w:rPr>
          <w:lang w:val="en-GB"/>
        </w:rPr>
        <w:t>freeze-drying process and that could be supported by the addit</w:t>
      </w:r>
      <w:r w:rsidR="00116E30" w:rsidRPr="00393EC7">
        <w:rPr>
          <w:lang w:val="en-GB"/>
        </w:rPr>
        <w:t>ion of polysaccharide compounds.</w:t>
      </w:r>
      <w:r w:rsidR="00920E96" w:rsidRPr="00393EC7">
        <w:rPr>
          <w:lang w:val="en-GB"/>
        </w:rPr>
        <w:t xml:space="preserve"> </w:t>
      </w:r>
      <w:r w:rsidR="00116E30" w:rsidRPr="00393EC7">
        <w:rPr>
          <w:lang w:val="en-GB"/>
        </w:rPr>
        <w:t xml:space="preserve">Even after storage, </w:t>
      </w:r>
      <w:r w:rsidR="00393EC7">
        <w:rPr>
          <w:lang w:val="en-GB"/>
        </w:rPr>
        <w:t xml:space="preserve">the </w:t>
      </w:r>
      <w:r w:rsidR="00116E30" w:rsidRPr="00393EC7">
        <w:rPr>
          <w:lang w:val="en-GB"/>
        </w:rPr>
        <w:t xml:space="preserve">only lyophilized walnut paste showed a significantly higher content of </w:t>
      </w:r>
      <w:r w:rsidR="000D1E60">
        <w:rPr>
          <w:lang w:val="en-GB"/>
        </w:rPr>
        <w:t xml:space="preserve">total </w:t>
      </w:r>
      <w:r w:rsidR="004F1611">
        <w:rPr>
          <w:lang w:val="en-GB"/>
        </w:rPr>
        <w:t>phenols</w:t>
      </w:r>
      <w:r w:rsidR="00EB024F">
        <w:rPr>
          <w:lang w:val="en-GB"/>
        </w:rPr>
        <w:t xml:space="preserve"> and </w:t>
      </w:r>
      <w:r w:rsidR="00116E30" w:rsidRPr="00393EC7">
        <w:rPr>
          <w:lang w:val="en-GB"/>
        </w:rPr>
        <w:t>tocopherols, compared to the untreated one. M</w:t>
      </w:r>
      <w:r w:rsidR="000161DF" w:rsidRPr="00393EC7">
        <w:rPr>
          <w:lang w:val="en-GB"/>
        </w:rPr>
        <w:t xml:space="preserve">altodextrin and tragacanth gum </w:t>
      </w:r>
      <w:r w:rsidR="00116E30" w:rsidRPr="00393EC7">
        <w:rPr>
          <w:lang w:val="en-GB"/>
        </w:rPr>
        <w:t xml:space="preserve">addition </w:t>
      </w:r>
      <w:r w:rsidR="001E5EB6" w:rsidRPr="00393EC7">
        <w:rPr>
          <w:lang w:val="en-GB"/>
        </w:rPr>
        <w:t xml:space="preserve">allowed </w:t>
      </w:r>
      <w:r w:rsidR="00EB024F">
        <w:rPr>
          <w:lang w:val="en-GB"/>
        </w:rPr>
        <w:t>a good</w:t>
      </w:r>
      <w:r w:rsidR="001E5EB6" w:rsidRPr="00393EC7">
        <w:rPr>
          <w:lang w:val="en-GB"/>
        </w:rPr>
        <w:t xml:space="preserve"> preserv</w:t>
      </w:r>
      <w:r w:rsidR="00EB024F">
        <w:rPr>
          <w:lang w:val="en-GB"/>
        </w:rPr>
        <w:t>ation of</w:t>
      </w:r>
      <w:r w:rsidR="001E5EB6" w:rsidRPr="00393EC7">
        <w:rPr>
          <w:lang w:val="en-GB"/>
        </w:rPr>
        <w:t xml:space="preserve"> </w:t>
      </w:r>
      <w:r w:rsidR="00116E30" w:rsidRPr="00393EC7">
        <w:rPr>
          <w:lang w:val="en-GB"/>
        </w:rPr>
        <w:t xml:space="preserve">both </w:t>
      </w:r>
      <w:r w:rsidR="000D1E60">
        <w:rPr>
          <w:lang w:val="en-GB"/>
        </w:rPr>
        <w:t xml:space="preserve">total </w:t>
      </w:r>
      <w:r w:rsidR="001E5EB6" w:rsidRPr="00393EC7">
        <w:rPr>
          <w:lang w:val="en-GB"/>
        </w:rPr>
        <w:t>phenols and tocopherol</w:t>
      </w:r>
      <w:r w:rsidR="0023250B">
        <w:rPr>
          <w:lang w:val="en-GB"/>
        </w:rPr>
        <w:t>s</w:t>
      </w:r>
      <w:bookmarkStart w:id="2" w:name="_GoBack"/>
      <w:bookmarkEnd w:id="2"/>
      <w:r w:rsidR="001E5EB6" w:rsidRPr="00393EC7">
        <w:rPr>
          <w:lang w:val="en-GB"/>
        </w:rPr>
        <w:t xml:space="preserve"> content. However, if </w:t>
      </w:r>
      <w:r w:rsidR="00116E30" w:rsidRPr="00393EC7">
        <w:rPr>
          <w:lang w:val="en-GB"/>
        </w:rPr>
        <w:t xml:space="preserve">also </w:t>
      </w:r>
      <w:r w:rsidR="001E5EB6" w:rsidRPr="00393EC7">
        <w:rPr>
          <w:lang w:val="en-GB"/>
        </w:rPr>
        <w:t>dietary fiber</w:t>
      </w:r>
      <w:r w:rsidR="00BC3277">
        <w:rPr>
          <w:lang w:val="en-GB"/>
        </w:rPr>
        <w:t xml:space="preserve"> </w:t>
      </w:r>
      <w:r w:rsidR="00116E30" w:rsidRPr="00393EC7">
        <w:rPr>
          <w:lang w:val="en-GB"/>
        </w:rPr>
        <w:t>were</w:t>
      </w:r>
      <w:r w:rsidR="001E5EB6" w:rsidRPr="00393EC7">
        <w:rPr>
          <w:lang w:val="en-GB"/>
        </w:rPr>
        <w:t xml:space="preserve"> included, lower protection of fat fraction against the oxidation</w:t>
      </w:r>
      <w:r w:rsidR="00116E30" w:rsidRPr="00393EC7">
        <w:rPr>
          <w:lang w:val="en-GB"/>
        </w:rPr>
        <w:t xml:space="preserve"> was observed.</w:t>
      </w:r>
      <w:r w:rsidR="001E5EB6" w:rsidRPr="00393EC7">
        <w:rPr>
          <w:lang w:val="en-GB"/>
        </w:rPr>
        <w:t xml:space="preserve"> </w:t>
      </w:r>
      <w:r w:rsidR="00393EC7">
        <w:rPr>
          <w:lang w:val="en-GB"/>
        </w:rPr>
        <w:t>Moreover, s</w:t>
      </w:r>
      <w:r w:rsidR="0065045F" w:rsidRPr="00393EC7">
        <w:rPr>
          <w:lang w:val="en-GB"/>
        </w:rPr>
        <w:t>ignificant depletion of tocopherols resulted by using</w:t>
      </w:r>
      <w:r w:rsidR="00FD5607" w:rsidRPr="00393EC7">
        <w:rPr>
          <w:lang w:val="en-GB"/>
        </w:rPr>
        <w:t xml:space="preserve"> </w:t>
      </w:r>
      <w:r w:rsidR="001E5EB6" w:rsidRPr="00393EC7">
        <w:rPr>
          <w:lang w:val="en-GB"/>
        </w:rPr>
        <w:t xml:space="preserve">betaglucan, inulin, or pectin </w:t>
      </w:r>
      <w:r w:rsidR="00FD5607" w:rsidRPr="00393EC7">
        <w:rPr>
          <w:lang w:val="en-GB"/>
        </w:rPr>
        <w:t>individually</w:t>
      </w:r>
      <w:r w:rsidR="0065045F" w:rsidRPr="00393EC7">
        <w:rPr>
          <w:lang w:val="en-GB"/>
        </w:rPr>
        <w:t>.</w:t>
      </w:r>
      <w:r w:rsidR="00EB024F">
        <w:rPr>
          <w:lang w:val="en-GB"/>
        </w:rPr>
        <w:t xml:space="preserve"> </w:t>
      </w:r>
      <w:r w:rsidR="00393EC7" w:rsidRPr="00393EC7">
        <w:rPr>
          <w:lang w:val="en-GB"/>
        </w:rPr>
        <w:t>Among the different formulations, s</w:t>
      </w:r>
      <w:r w:rsidR="00920E96" w:rsidRPr="00393EC7">
        <w:rPr>
          <w:lang w:val="en-GB"/>
        </w:rPr>
        <w:t xml:space="preserve">ample </w:t>
      </w:r>
      <w:r w:rsidR="00FD5607" w:rsidRPr="00393EC7">
        <w:rPr>
          <w:lang w:val="en-GB"/>
        </w:rPr>
        <w:t>with</w:t>
      </w:r>
      <w:r w:rsidR="00920E96" w:rsidRPr="00393EC7">
        <w:rPr>
          <w:lang w:val="en-GB"/>
        </w:rPr>
        <w:t xml:space="preserve"> maltodextrin, tragacanth gum, and betaglucan showed a limited increase in peroxide number, a slight decrease in tocopherols, and high values of </w:t>
      </w:r>
      <w:r w:rsidR="000D1E60">
        <w:rPr>
          <w:lang w:val="en-GB"/>
        </w:rPr>
        <w:t xml:space="preserve">total </w:t>
      </w:r>
      <w:r w:rsidR="00920E96" w:rsidRPr="00393EC7">
        <w:rPr>
          <w:lang w:val="en-GB"/>
        </w:rPr>
        <w:t>phenols, even after storage.</w:t>
      </w:r>
      <w:r w:rsidR="00EB024F">
        <w:rPr>
          <w:lang w:val="en-GB"/>
        </w:rPr>
        <w:t xml:space="preserve"> </w:t>
      </w:r>
      <w:r w:rsidR="00814291" w:rsidRPr="00814291">
        <w:rPr>
          <w:lang w:val="en-GB"/>
        </w:rPr>
        <w:lastRenderedPageBreak/>
        <w:t>Hence, the combination of these ingredients and the performance of the lyophilization process originate a stable and versatile product with an increased nutritional value that can be applied in various food products, from confectionery, to bakery, to the meat industry and more.</w:t>
      </w:r>
    </w:p>
    <w:p w:rsidR="00600535" w:rsidRPr="005D526F" w:rsidRDefault="00600535" w:rsidP="00600535">
      <w:pPr>
        <w:pStyle w:val="CETAcknowledgementstitle"/>
      </w:pPr>
      <w:r w:rsidRPr="005D526F">
        <w:t>Acknowledgments</w:t>
      </w:r>
    </w:p>
    <w:p w:rsidR="00600535" w:rsidRPr="00B57B36" w:rsidRDefault="006E62F8" w:rsidP="00600535">
      <w:pPr>
        <w:pStyle w:val="CETBodytext"/>
        <w:rPr>
          <w:lang w:val="en-GB"/>
        </w:rPr>
      </w:pPr>
      <w:r w:rsidRPr="005D526F">
        <w:rPr>
          <w:lang w:val="en-GB"/>
        </w:rPr>
        <w:t xml:space="preserve">This work was supported by the Fondazione Cariplo and </w:t>
      </w:r>
      <w:proofErr w:type="spellStart"/>
      <w:r w:rsidRPr="005D526F">
        <w:rPr>
          <w:lang w:val="en-GB"/>
        </w:rPr>
        <w:t>Regione</w:t>
      </w:r>
      <w:proofErr w:type="spellEnd"/>
      <w:r w:rsidRPr="005D526F">
        <w:rPr>
          <w:lang w:val="en-GB"/>
        </w:rPr>
        <w:t xml:space="preserve"> </w:t>
      </w:r>
      <w:proofErr w:type="spellStart"/>
      <w:r w:rsidRPr="005D526F">
        <w:rPr>
          <w:lang w:val="en-GB"/>
        </w:rPr>
        <w:t>Lombardia</w:t>
      </w:r>
      <w:proofErr w:type="spellEnd"/>
      <w:r w:rsidRPr="005D526F">
        <w:rPr>
          <w:lang w:val="en-GB"/>
        </w:rPr>
        <w:t xml:space="preserve"> </w:t>
      </w:r>
      <w:r w:rsidR="000D1E60">
        <w:rPr>
          <w:lang w:val="en-GB"/>
        </w:rPr>
        <w:t xml:space="preserve">through the research project </w:t>
      </w:r>
      <w:r w:rsidRPr="005D526F">
        <w:rPr>
          <w:lang w:val="en-GB"/>
        </w:rPr>
        <w:t>Cremona Food-LAB</w:t>
      </w:r>
      <w:r w:rsidR="000D1E60">
        <w:rPr>
          <w:lang w:val="en-GB"/>
        </w:rPr>
        <w:t>, grant n. 2015/1341</w:t>
      </w:r>
      <w:r w:rsidRPr="005D526F">
        <w:rPr>
          <w:lang w:val="en-GB"/>
        </w:rPr>
        <w:t>.</w:t>
      </w:r>
    </w:p>
    <w:p w:rsidR="00600535" w:rsidRPr="00BC3277" w:rsidRDefault="00600535" w:rsidP="00600535">
      <w:pPr>
        <w:pStyle w:val="CETReference"/>
      </w:pPr>
      <w:r w:rsidRPr="00BC3277">
        <w:t>References</w:t>
      </w:r>
    </w:p>
    <w:p w:rsidR="00BC3277" w:rsidRPr="003213F5" w:rsidRDefault="00BC3277" w:rsidP="00BC3277">
      <w:pPr>
        <w:pStyle w:val="CETBodytext"/>
      </w:pPr>
      <w:r w:rsidRPr="003213F5">
        <w:t>AOAC, Official Methods of Analysis of AOAC International, Gaithersburg, MD, USA, 2005.</w:t>
      </w:r>
    </w:p>
    <w:p w:rsidR="00BC3277" w:rsidRPr="003213F5" w:rsidRDefault="00850C4C" w:rsidP="00BC3277">
      <w:pPr>
        <w:pStyle w:val="CETReferencetext"/>
      </w:pPr>
      <w:proofErr w:type="spellStart"/>
      <w:r w:rsidRPr="003213F5">
        <w:t>Belscak</w:t>
      </w:r>
      <w:proofErr w:type="spellEnd"/>
      <w:r w:rsidR="00BC3277" w:rsidRPr="003213F5">
        <w:t xml:space="preserve"> A., </w:t>
      </w:r>
      <w:proofErr w:type="spellStart"/>
      <w:r w:rsidR="00BC3277" w:rsidRPr="003213F5">
        <w:t>Komes</w:t>
      </w:r>
      <w:proofErr w:type="spellEnd"/>
      <w:r w:rsidR="00BC3277" w:rsidRPr="003213F5">
        <w:t xml:space="preserve"> D., </w:t>
      </w:r>
      <w:proofErr w:type="spellStart"/>
      <w:r w:rsidR="00BC3277" w:rsidRPr="003213F5">
        <w:t>Horžić</w:t>
      </w:r>
      <w:proofErr w:type="spellEnd"/>
      <w:r w:rsidR="00BC3277" w:rsidRPr="003213F5">
        <w:t xml:space="preserve"> D., </w:t>
      </w:r>
      <w:proofErr w:type="spellStart"/>
      <w:r w:rsidR="00BC3277" w:rsidRPr="003213F5">
        <w:t>Ganić</w:t>
      </w:r>
      <w:proofErr w:type="spellEnd"/>
      <w:r w:rsidR="00BC3277" w:rsidRPr="003213F5">
        <w:t xml:space="preserve"> K.K., </w:t>
      </w:r>
      <w:proofErr w:type="spellStart"/>
      <w:r w:rsidR="00BC3277" w:rsidRPr="003213F5">
        <w:t>Karlović</w:t>
      </w:r>
      <w:proofErr w:type="spellEnd"/>
      <w:r w:rsidR="00BC3277" w:rsidRPr="003213F5">
        <w:t xml:space="preserve"> D., 2009, Comparative study of commercially available cocoa products in terms of their bioactive composition, Fo</w:t>
      </w:r>
      <w:r w:rsidR="007759F0" w:rsidRPr="003213F5">
        <w:t>od Research International, 42(5-</w:t>
      </w:r>
      <w:r w:rsidR="00BC3277" w:rsidRPr="003213F5">
        <w:t xml:space="preserve">6), 707–716. </w:t>
      </w:r>
    </w:p>
    <w:p w:rsidR="00BC3277" w:rsidRPr="003213F5" w:rsidRDefault="00BC3277" w:rsidP="00BC3277">
      <w:pPr>
        <w:pStyle w:val="CETReferencetext"/>
      </w:pPr>
      <w:proofErr w:type="spellStart"/>
      <w:r w:rsidRPr="003213F5">
        <w:t>Calvo</w:t>
      </w:r>
      <w:proofErr w:type="spellEnd"/>
      <w:r w:rsidRPr="003213F5">
        <w:t xml:space="preserve"> P., </w:t>
      </w:r>
      <w:proofErr w:type="spellStart"/>
      <w:r w:rsidRPr="003213F5">
        <w:t>Castaño</w:t>
      </w:r>
      <w:proofErr w:type="spellEnd"/>
      <w:r w:rsidRPr="003213F5">
        <w:t xml:space="preserve"> Á.L., Hernández M.T., González-Gómez D., 2011, Effects of microcapsule constitution on the quality of microencapsulated walnut oil, European Journal of Lipid Science and Technology, 113(10), 1273–1280.</w:t>
      </w:r>
    </w:p>
    <w:p w:rsidR="00BC3277" w:rsidRPr="003213F5" w:rsidRDefault="00BC3277" w:rsidP="00BC3277">
      <w:pPr>
        <w:pStyle w:val="CETReferencetext"/>
      </w:pPr>
      <w:proofErr w:type="spellStart"/>
      <w:r w:rsidRPr="003213F5">
        <w:t>Dhingra</w:t>
      </w:r>
      <w:proofErr w:type="spellEnd"/>
      <w:r w:rsidRPr="003213F5">
        <w:t xml:space="preserve"> D., Michael M., Rajput H., </w:t>
      </w:r>
      <w:proofErr w:type="spellStart"/>
      <w:r w:rsidRPr="003213F5">
        <w:t>Patil</w:t>
      </w:r>
      <w:proofErr w:type="spellEnd"/>
      <w:r w:rsidRPr="003213F5">
        <w:t xml:space="preserve"> R. T., 2012, Dietary fibre in foods: a review, J Food </w:t>
      </w:r>
      <w:proofErr w:type="spellStart"/>
      <w:r w:rsidRPr="003213F5">
        <w:t>Sci</w:t>
      </w:r>
      <w:proofErr w:type="spellEnd"/>
      <w:r w:rsidRPr="003213F5">
        <w:t xml:space="preserve"> </w:t>
      </w:r>
      <w:proofErr w:type="spellStart"/>
      <w:r w:rsidRPr="003213F5">
        <w:t>Technol</w:t>
      </w:r>
      <w:proofErr w:type="spellEnd"/>
      <w:r w:rsidRPr="003213F5">
        <w:t>, 49(3), 255–266.</w:t>
      </w:r>
    </w:p>
    <w:p w:rsidR="00BC3277" w:rsidRPr="003213F5" w:rsidRDefault="00BC3277" w:rsidP="00BC3277">
      <w:pPr>
        <w:pStyle w:val="CETReferencetext"/>
      </w:pPr>
      <w:proofErr w:type="spellStart"/>
      <w:r w:rsidRPr="003213F5">
        <w:t>Dordoni</w:t>
      </w:r>
      <w:proofErr w:type="spellEnd"/>
      <w:r w:rsidRPr="003213F5">
        <w:t xml:space="preserve"> R, De Cesare S., </w:t>
      </w:r>
      <w:proofErr w:type="spellStart"/>
      <w:r w:rsidRPr="003213F5">
        <w:t>Dioni</w:t>
      </w:r>
      <w:proofErr w:type="spellEnd"/>
      <w:r w:rsidRPr="003213F5">
        <w:t xml:space="preserve"> M., </w:t>
      </w:r>
      <w:proofErr w:type="spellStart"/>
      <w:r w:rsidRPr="003213F5">
        <w:t>Mastrofilippo</w:t>
      </w:r>
      <w:proofErr w:type="spellEnd"/>
      <w:r w:rsidRPr="003213F5">
        <w:t xml:space="preserve"> T., </w:t>
      </w:r>
      <w:proofErr w:type="spellStart"/>
      <w:r w:rsidRPr="003213F5">
        <w:t>Quadrelli</w:t>
      </w:r>
      <w:proofErr w:type="spellEnd"/>
      <w:r w:rsidRPr="003213F5">
        <w:t xml:space="preserve"> D., </w:t>
      </w:r>
      <w:proofErr w:type="spellStart"/>
      <w:r w:rsidRPr="003213F5">
        <w:t>Rizzi</w:t>
      </w:r>
      <w:proofErr w:type="spellEnd"/>
      <w:r w:rsidRPr="003213F5">
        <w:t xml:space="preserve"> R., </w:t>
      </w:r>
      <w:proofErr w:type="spellStart"/>
      <w:r w:rsidRPr="003213F5">
        <w:t>Corrado</w:t>
      </w:r>
      <w:proofErr w:type="spellEnd"/>
      <w:r w:rsidRPr="003213F5">
        <w:t xml:space="preserve"> S., De Faveri D.M., 2015, Design and development of an eco-innovative sorghum snack, Chemical Engineering Transactions, 43, 187-192.</w:t>
      </w:r>
    </w:p>
    <w:p w:rsidR="00BC3277" w:rsidRPr="003213F5" w:rsidRDefault="00BC3277" w:rsidP="00BC3277">
      <w:pPr>
        <w:pStyle w:val="CETReferencetext"/>
      </w:pPr>
      <w:proofErr w:type="spellStart"/>
      <w:r w:rsidRPr="003213F5">
        <w:t>Dordoni</w:t>
      </w:r>
      <w:proofErr w:type="spellEnd"/>
      <w:r w:rsidRPr="003213F5">
        <w:t xml:space="preserve"> R., De Cesare S., </w:t>
      </w:r>
      <w:proofErr w:type="spellStart"/>
      <w:r w:rsidRPr="003213F5">
        <w:t>Casali</w:t>
      </w:r>
      <w:proofErr w:type="spellEnd"/>
      <w:r w:rsidRPr="003213F5">
        <w:t xml:space="preserve"> M., Lambri M., </w:t>
      </w:r>
      <w:proofErr w:type="spellStart"/>
      <w:r w:rsidRPr="003213F5">
        <w:t>Spigno</w:t>
      </w:r>
      <w:proofErr w:type="spellEnd"/>
      <w:r w:rsidRPr="003213F5">
        <w:t xml:space="preserve"> G., De Faveri, D.M., 2017, Stabilization of fat fraction in walnut-based freeze dried products, Chemical Engineering Transactions, 57, 1903-1908.</w:t>
      </w:r>
    </w:p>
    <w:p w:rsidR="00BC3277" w:rsidRPr="003213F5" w:rsidRDefault="00BC3277" w:rsidP="00BC3277">
      <w:pPr>
        <w:pStyle w:val="CETReferencetext"/>
      </w:pPr>
      <w:r w:rsidRPr="003213F5">
        <w:t>European Union Commission Regulation, 1991, Commission Regulation N. 2568/91 of 11 July 1991 on the characteristics of olive oil and olive-residue oil and on the relevant methods of analysis, Official Journal L 248, 5/9/1991, p. 1.</w:t>
      </w:r>
    </w:p>
    <w:p w:rsidR="00BC3277" w:rsidRPr="003213F5" w:rsidRDefault="00BC3277" w:rsidP="00BC3277">
      <w:pPr>
        <w:pStyle w:val="CETReferencetext"/>
      </w:pPr>
      <w:r w:rsidRPr="003213F5">
        <w:t xml:space="preserve">Ferreira A.R.V., </w:t>
      </w:r>
      <w:proofErr w:type="spellStart"/>
      <w:r w:rsidRPr="003213F5">
        <w:t>Bandarra</w:t>
      </w:r>
      <w:proofErr w:type="spellEnd"/>
      <w:r w:rsidRPr="003213F5">
        <w:t xml:space="preserve"> N.M., </w:t>
      </w:r>
      <w:proofErr w:type="spellStart"/>
      <w:r w:rsidRPr="003213F5">
        <w:t>Moldão</w:t>
      </w:r>
      <w:proofErr w:type="spellEnd"/>
      <w:r w:rsidRPr="003213F5">
        <w:t xml:space="preserve">-Martins M., </w:t>
      </w:r>
      <w:proofErr w:type="spellStart"/>
      <w:r w:rsidRPr="003213F5">
        <w:t>Coelhoso</w:t>
      </w:r>
      <w:proofErr w:type="spellEnd"/>
      <w:r w:rsidRPr="003213F5">
        <w:t xml:space="preserve"> I. M., Alves V.D., 2018, </w:t>
      </w:r>
      <w:proofErr w:type="spellStart"/>
      <w:r w:rsidRPr="003213F5">
        <w:t>FucoPol</w:t>
      </w:r>
      <w:proofErr w:type="spellEnd"/>
      <w:r w:rsidRPr="003213F5">
        <w:t xml:space="preserve"> and chitosan bilayer films for walnut kernels and oil preservation, LWT - Food Science and Technology, 91, 34–39. </w:t>
      </w:r>
    </w:p>
    <w:p w:rsidR="00BC3277" w:rsidRPr="003213F5" w:rsidRDefault="007E0766" w:rsidP="00BC3277">
      <w:pPr>
        <w:pStyle w:val="CETReferencetext"/>
      </w:pPr>
      <w:r w:rsidRPr="003213F5">
        <w:t>Marti</w:t>
      </w:r>
      <w:r w:rsidR="00BC3277" w:rsidRPr="003213F5">
        <w:t xml:space="preserve">nez M.L., </w:t>
      </w:r>
      <w:proofErr w:type="spellStart"/>
      <w:r w:rsidR="00BC3277" w:rsidRPr="003213F5">
        <w:t>Labuckas</w:t>
      </w:r>
      <w:proofErr w:type="spellEnd"/>
      <w:r w:rsidR="00BC3277" w:rsidRPr="003213F5">
        <w:t xml:space="preserve"> D.O., </w:t>
      </w:r>
      <w:proofErr w:type="spellStart"/>
      <w:r w:rsidR="00BC3277" w:rsidRPr="003213F5">
        <w:t>Lamarque</w:t>
      </w:r>
      <w:proofErr w:type="spellEnd"/>
      <w:r w:rsidR="00BC3277" w:rsidRPr="003213F5">
        <w:t xml:space="preserve"> A.L., Maestri D.M., 2010, Walnut (</w:t>
      </w:r>
      <w:proofErr w:type="spellStart"/>
      <w:r w:rsidR="00BC3277" w:rsidRPr="003213F5">
        <w:rPr>
          <w:i/>
        </w:rPr>
        <w:t>Juglans</w:t>
      </w:r>
      <w:proofErr w:type="spellEnd"/>
      <w:r w:rsidR="00BC3277" w:rsidRPr="003213F5">
        <w:rPr>
          <w:i/>
        </w:rPr>
        <w:t xml:space="preserve"> </w:t>
      </w:r>
      <w:proofErr w:type="spellStart"/>
      <w:r w:rsidR="00BC3277" w:rsidRPr="003213F5">
        <w:rPr>
          <w:i/>
        </w:rPr>
        <w:t>regia</w:t>
      </w:r>
      <w:proofErr w:type="spellEnd"/>
      <w:r w:rsidR="00BC3277" w:rsidRPr="003213F5">
        <w:t xml:space="preserve"> L.): Genetic resources, chemistry, by-products, Journal of the Science of Food and Agriculture, 90(12), 1959–1967. </w:t>
      </w:r>
    </w:p>
    <w:p w:rsidR="00BC3277" w:rsidRPr="003213F5" w:rsidRDefault="00BC3277" w:rsidP="00BC3277">
      <w:pPr>
        <w:pStyle w:val="CETReferencetext"/>
      </w:pPr>
      <w:proofErr w:type="spellStart"/>
      <w:r w:rsidRPr="003213F5">
        <w:t>Moncalvo</w:t>
      </w:r>
      <w:proofErr w:type="spellEnd"/>
      <w:r w:rsidRPr="003213F5">
        <w:t xml:space="preserve"> A., Marinoni L., </w:t>
      </w:r>
      <w:proofErr w:type="spellStart"/>
      <w:r w:rsidRPr="003213F5">
        <w:t>Dordoni</w:t>
      </w:r>
      <w:proofErr w:type="spellEnd"/>
      <w:r w:rsidRPr="003213F5">
        <w:t xml:space="preserve"> R., </w:t>
      </w:r>
      <w:proofErr w:type="spellStart"/>
      <w:r w:rsidRPr="003213F5">
        <w:t>Garrido</w:t>
      </w:r>
      <w:proofErr w:type="spellEnd"/>
      <w:r w:rsidRPr="003213F5">
        <w:t xml:space="preserve"> G.D., </w:t>
      </w:r>
      <w:proofErr w:type="spellStart"/>
      <w:r w:rsidRPr="003213F5">
        <w:t>Lavelli</w:t>
      </w:r>
      <w:proofErr w:type="spellEnd"/>
      <w:r w:rsidRPr="003213F5">
        <w:t xml:space="preserve"> V., </w:t>
      </w:r>
      <w:proofErr w:type="spellStart"/>
      <w:r w:rsidRPr="003213F5">
        <w:t>Spigno</w:t>
      </w:r>
      <w:proofErr w:type="spellEnd"/>
      <w:r w:rsidRPr="003213F5">
        <w:t xml:space="preserve"> G., 2016, Waste grape skins: Evaluation of safety aspects for the production of functional powders and extracts for the food sector, Food Additives &amp; Contaminants: Part A, 33(7), 1116-1126.</w:t>
      </w:r>
    </w:p>
    <w:p w:rsidR="00BC3277" w:rsidRPr="003213F5" w:rsidRDefault="00BC3277" w:rsidP="00BC3277">
      <w:pPr>
        <w:pStyle w:val="CETReferencetext"/>
      </w:pPr>
      <w:r w:rsidRPr="003213F5">
        <w:t xml:space="preserve">OICCC Analytical method of the Office International du Cacao et du </w:t>
      </w:r>
      <w:proofErr w:type="spellStart"/>
      <w:r w:rsidRPr="003213F5">
        <w:t>Chocolat</w:t>
      </w:r>
      <w:proofErr w:type="spellEnd"/>
      <w:r w:rsidRPr="003213F5">
        <w:t>, 1972, Electrometric pH Determination of Cocoa and Chocolate Products, Page 9 – E/1972.</w:t>
      </w:r>
    </w:p>
    <w:p w:rsidR="00BC3277" w:rsidRPr="003213F5" w:rsidRDefault="00BC3277" w:rsidP="00BC3277">
      <w:pPr>
        <w:pStyle w:val="CETReferencetext"/>
      </w:pPr>
      <w:r w:rsidRPr="003213F5">
        <w:t xml:space="preserve">Othman N.Z., </w:t>
      </w:r>
      <w:proofErr w:type="spellStart"/>
      <w:r w:rsidRPr="003213F5">
        <w:t>Shadan</w:t>
      </w:r>
      <w:proofErr w:type="spellEnd"/>
      <w:r w:rsidRPr="003213F5">
        <w:t xml:space="preserve"> N.H., </w:t>
      </w:r>
      <w:proofErr w:type="spellStart"/>
      <w:r w:rsidRPr="003213F5">
        <w:t>Ramli</w:t>
      </w:r>
      <w:proofErr w:type="spellEnd"/>
      <w:r w:rsidRPr="003213F5">
        <w:t xml:space="preserve"> S., </w:t>
      </w:r>
      <w:proofErr w:type="spellStart"/>
      <w:r w:rsidRPr="003213F5">
        <w:t>Sarmidi</w:t>
      </w:r>
      <w:proofErr w:type="spellEnd"/>
      <w:r w:rsidRPr="003213F5">
        <w:t xml:space="preserve"> M.R., 2018, Study on the effects of Carbohydrate-Protein-Coconut Oil on the Viability of Lactobacillus bulgaricus during Spray Drying, Simulated Gastrointestinal Conditions and Unrefrigerated Storage by Simplex-Lattice Mixture Design, Chemical Engineering Transaction, 64, 553-558.</w:t>
      </w:r>
    </w:p>
    <w:p w:rsidR="00BC3277" w:rsidRPr="003213F5" w:rsidRDefault="00BC3277" w:rsidP="00BC3277">
      <w:pPr>
        <w:pStyle w:val="CETReferencetext"/>
      </w:pPr>
      <w:proofErr w:type="spellStart"/>
      <w:r w:rsidRPr="003213F5">
        <w:t>Renard</w:t>
      </w:r>
      <w:proofErr w:type="spellEnd"/>
      <w:r w:rsidRPr="003213F5">
        <w:t xml:space="preserve"> C., </w:t>
      </w:r>
      <w:proofErr w:type="spellStart"/>
      <w:r w:rsidRPr="003213F5">
        <w:t>Watrelot</w:t>
      </w:r>
      <w:proofErr w:type="spellEnd"/>
      <w:r w:rsidRPr="003213F5">
        <w:t xml:space="preserve"> A., Le </w:t>
      </w:r>
      <w:proofErr w:type="spellStart"/>
      <w:r w:rsidRPr="003213F5">
        <w:t>Bourvellec</w:t>
      </w:r>
      <w:proofErr w:type="spellEnd"/>
      <w:r w:rsidRPr="003213F5">
        <w:t xml:space="preserve"> C., 2017, Interactions between polyphenols and polysaccharides: Mechanisms and consequences in food processing and digestion, Trends in Food Science and Technology, 60, 43-51.</w:t>
      </w:r>
    </w:p>
    <w:p w:rsidR="00BC3277" w:rsidRPr="003213F5" w:rsidRDefault="00BC3277" w:rsidP="00BC3277">
      <w:pPr>
        <w:pStyle w:val="CETReferencetext"/>
      </w:pPr>
      <w:proofErr w:type="spellStart"/>
      <w:r w:rsidRPr="003213F5">
        <w:t>Tahmasebi</w:t>
      </w:r>
      <w:proofErr w:type="spellEnd"/>
      <w:r w:rsidRPr="003213F5">
        <w:t xml:space="preserve"> M., </w:t>
      </w:r>
      <w:proofErr w:type="spellStart"/>
      <w:r w:rsidRPr="003213F5">
        <w:t>Labbafi</w:t>
      </w:r>
      <w:proofErr w:type="spellEnd"/>
      <w:r w:rsidRPr="003213F5">
        <w:t xml:space="preserve"> M., </w:t>
      </w:r>
      <w:proofErr w:type="spellStart"/>
      <w:r w:rsidRPr="003213F5">
        <w:t>Emam-Djomeh</w:t>
      </w:r>
      <w:proofErr w:type="spellEnd"/>
      <w:r w:rsidRPr="003213F5">
        <w:t xml:space="preserve"> Z., </w:t>
      </w:r>
      <w:proofErr w:type="spellStart"/>
      <w:r w:rsidRPr="003213F5">
        <w:t>Yarmand</w:t>
      </w:r>
      <w:proofErr w:type="spellEnd"/>
      <w:r w:rsidRPr="003213F5">
        <w:t>, M.S. 2016, Manufacturing the novel sausages with reduced quantity of meat and fat: The product development, formulation optimization, emulsion stability and textural characterization, LWT - Food Science and Technology 68, pp. 76-84</w:t>
      </w:r>
    </w:p>
    <w:p w:rsidR="00BC3277" w:rsidRPr="003213F5" w:rsidRDefault="00BC3277" w:rsidP="00BC3277">
      <w:pPr>
        <w:pStyle w:val="CETReferencetext"/>
      </w:pPr>
      <w:r w:rsidRPr="003213F5">
        <w:t xml:space="preserve">Vaidya B., </w:t>
      </w:r>
      <w:proofErr w:type="spellStart"/>
      <w:r w:rsidRPr="003213F5">
        <w:t>Eun</w:t>
      </w:r>
      <w:proofErr w:type="spellEnd"/>
      <w:r w:rsidRPr="003213F5">
        <w:t xml:space="preserve"> J.B., 2013, Effect of roasting on oxidative and tocopherol stability of walnut oil during storage in the dark, European Journal of Lipid Science and Technology, 115(3), 348–355. </w:t>
      </w:r>
    </w:p>
    <w:p w:rsidR="00BC3277" w:rsidRPr="003213F5" w:rsidRDefault="00BC3277" w:rsidP="00BC3277">
      <w:pPr>
        <w:pStyle w:val="CETReferencetext"/>
      </w:pPr>
      <w:proofErr w:type="spellStart"/>
      <w:r w:rsidRPr="003213F5">
        <w:t>Vasisht</w:t>
      </w:r>
      <w:proofErr w:type="spellEnd"/>
      <w:r w:rsidRPr="003213F5">
        <w:t xml:space="preserve"> N., 2014, Selection of Materials for Microencapsulation, Chapter In: </w:t>
      </w:r>
      <w:proofErr w:type="spellStart"/>
      <w:r w:rsidRPr="003213F5">
        <w:t>Gaonkar</w:t>
      </w:r>
      <w:proofErr w:type="spellEnd"/>
      <w:r w:rsidRPr="003213F5">
        <w:t xml:space="preserve"> A., </w:t>
      </w:r>
      <w:proofErr w:type="spellStart"/>
      <w:r w:rsidRPr="003213F5">
        <w:t>Vasisht</w:t>
      </w:r>
      <w:proofErr w:type="spellEnd"/>
      <w:r w:rsidRPr="003213F5">
        <w:t xml:space="preserve"> N., </w:t>
      </w:r>
      <w:proofErr w:type="spellStart"/>
      <w:r w:rsidRPr="003213F5">
        <w:t>Khare</w:t>
      </w:r>
      <w:proofErr w:type="spellEnd"/>
      <w:r w:rsidRPr="003213F5">
        <w:t xml:space="preserve"> A., Sobel R. (Eds.), Microencapsulation in the Food Industry - A practical Implementation Guide, Elsevier, 173-180.</w:t>
      </w:r>
    </w:p>
    <w:p w:rsidR="00BC3277" w:rsidRPr="003213F5" w:rsidRDefault="00BC3277" w:rsidP="00BC3277">
      <w:pPr>
        <w:pStyle w:val="CETReferencetext"/>
      </w:pPr>
      <w:r w:rsidRPr="003213F5">
        <w:t xml:space="preserve">Xu H., Zhang X., </w:t>
      </w:r>
      <w:proofErr w:type="spellStart"/>
      <w:r w:rsidRPr="003213F5">
        <w:t>Karangwa</w:t>
      </w:r>
      <w:proofErr w:type="spellEnd"/>
      <w:r w:rsidRPr="003213F5">
        <w:t xml:space="preserve"> E., Xia S., 2017, Correlating enzymatic browning inhibition and antioxidant ability of Maillard reaction products derived from different amino acids, Journal of the Science of Food and Agriculture, 97(12), 4210-4218.</w:t>
      </w:r>
    </w:p>
    <w:p w:rsidR="00BC3277" w:rsidRPr="003213F5" w:rsidRDefault="00BC3277" w:rsidP="00BC3277">
      <w:pPr>
        <w:pStyle w:val="CETReferencetext"/>
      </w:pPr>
      <w:r w:rsidRPr="003213F5">
        <w:t>Zhu F., 2018, Interactions between cell wall polysaccharides and polyphenols, Critical Reviews in Food Science and Nutrition, 58(11), 1808-1831.</w:t>
      </w:r>
    </w:p>
    <w:p w:rsidR="00BC3277" w:rsidRPr="003213F5" w:rsidRDefault="00BC3277" w:rsidP="007759F0">
      <w:pPr>
        <w:pStyle w:val="CETReferencetext"/>
      </w:pPr>
      <w:proofErr w:type="spellStart"/>
      <w:r w:rsidRPr="003213F5">
        <w:t>Ziaolhagh</w:t>
      </w:r>
      <w:proofErr w:type="spellEnd"/>
      <w:r w:rsidRPr="003213F5">
        <w:t xml:space="preserve"> S.H., Tehrani M.M., </w:t>
      </w:r>
      <w:proofErr w:type="spellStart"/>
      <w:r w:rsidRPr="003213F5">
        <w:t>Razavi</w:t>
      </w:r>
      <w:proofErr w:type="spellEnd"/>
      <w:r w:rsidRPr="003213F5">
        <w:t xml:space="preserve"> S.M.A., </w:t>
      </w:r>
      <w:proofErr w:type="spellStart"/>
      <w:r w:rsidRPr="003213F5">
        <w:t>Rashidi</w:t>
      </w:r>
      <w:proofErr w:type="spellEnd"/>
      <w:r w:rsidRPr="003213F5">
        <w:t xml:space="preserve"> H., 2017, Roasting process optimization of walnut kernels for the preparation of walnut cream using response surface methodology, Journal of Nuts, 8(1), 31–40.</w:t>
      </w:r>
    </w:p>
    <w:sectPr w:rsidR="00BC3277" w:rsidRPr="003213F5"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B8B" w:rsidRDefault="00AC0B8B" w:rsidP="004F5E36">
      <w:r>
        <w:separator/>
      </w:r>
    </w:p>
  </w:endnote>
  <w:endnote w:type="continuationSeparator" w:id="0">
    <w:p w:rsidR="00AC0B8B" w:rsidRDefault="00AC0B8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B8B" w:rsidRDefault="00AC0B8B" w:rsidP="004F5E36">
      <w:r>
        <w:separator/>
      </w:r>
    </w:p>
  </w:footnote>
  <w:footnote w:type="continuationSeparator" w:id="0">
    <w:p w:rsidR="00AC0B8B" w:rsidRDefault="00AC0B8B"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EE0612C"/>
    <w:multiLevelType w:val="multilevel"/>
    <w:tmpl w:val="432C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38217E"/>
    <w:multiLevelType w:val="multilevel"/>
    <w:tmpl w:val="978ED2BC"/>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4222C96"/>
    <w:multiLevelType w:val="multilevel"/>
    <w:tmpl w:val="5DA6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5BB402E"/>
    <w:multiLevelType w:val="multilevel"/>
    <w:tmpl w:val="D4A6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4"/>
  </w:num>
  <w:num w:numId="14">
    <w:abstractNumId w:val="20"/>
  </w:num>
  <w:num w:numId="15">
    <w:abstractNumId w:val="22"/>
  </w:num>
  <w:num w:numId="16">
    <w:abstractNumId w:val="21"/>
  </w:num>
  <w:num w:numId="17">
    <w:abstractNumId w:val="12"/>
  </w:num>
  <w:num w:numId="18">
    <w:abstractNumId w:val="14"/>
    <w:lvlOverride w:ilvl="0">
      <w:startOverride w:val="1"/>
    </w:lvlOverride>
  </w:num>
  <w:num w:numId="19">
    <w:abstractNumId w:val="17"/>
  </w:num>
  <w:num w:numId="20">
    <w:abstractNumId w:val="16"/>
  </w:num>
  <w:num w:numId="21">
    <w:abstractNumId w:val="15"/>
  </w:num>
  <w:num w:numId="22">
    <w:abstractNumId w:val="11"/>
  </w:num>
  <w:num w:numId="23">
    <w:abstractNumId w:val="11"/>
  </w:num>
  <w:num w:numId="24">
    <w:abstractNumId w:val="11"/>
  </w:num>
  <w:num w:numId="25">
    <w:abstractNumId w:val="10"/>
  </w:num>
  <w:num w:numId="26">
    <w:abstractNumId w:val="1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1310E"/>
    <w:rsid w:val="000161DF"/>
    <w:rsid w:val="0003148D"/>
    <w:rsid w:val="00031ABC"/>
    <w:rsid w:val="00033E72"/>
    <w:rsid w:val="0004183D"/>
    <w:rsid w:val="000461F3"/>
    <w:rsid w:val="00046458"/>
    <w:rsid w:val="00047D7F"/>
    <w:rsid w:val="00051566"/>
    <w:rsid w:val="00054E02"/>
    <w:rsid w:val="00062A9A"/>
    <w:rsid w:val="000646CE"/>
    <w:rsid w:val="00065058"/>
    <w:rsid w:val="00070D48"/>
    <w:rsid w:val="00075D00"/>
    <w:rsid w:val="00086C39"/>
    <w:rsid w:val="00096CCC"/>
    <w:rsid w:val="000A03B2"/>
    <w:rsid w:val="000A3B79"/>
    <w:rsid w:val="000A78AB"/>
    <w:rsid w:val="000C3D0C"/>
    <w:rsid w:val="000D1E60"/>
    <w:rsid w:val="000D34BE"/>
    <w:rsid w:val="000D5F98"/>
    <w:rsid w:val="000D6E6D"/>
    <w:rsid w:val="000E102F"/>
    <w:rsid w:val="000E36F1"/>
    <w:rsid w:val="000E3A73"/>
    <w:rsid w:val="000E414A"/>
    <w:rsid w:val="000F093C"/>
    <w:rsid w:val="000F16BD"/>
    <w:rsid w:val="000F787B"/>
    <w:rsid w:val="001054F9"/>
    <w:rsid w:val="00116E30"/>
    <w:rsid w:val="0012091F"/>
    <w:rsid w:val="00123C2D"/>
    <w:rsid w:val="00126BC2"/>
    <w:rsid w:val="001308B6"/>
    <w:rsid w:val="00130C4C"/>
    <w:rsid w:val="0013121F"/>
    <w:rsid w:val="001314AA"/>
    <w:rsid w:val="00131FAB"/>
    <w:rsid w:val="00131FE6"/>
    <w:rsid w:val="0013263F"/>
    <w:rsid w:val="00134DE4"/>
    <w:rsid w:val="0014034D"/>
    <w:rsid w:val="00141DD7"/>
    <w:rsid w:val="00150E59"/>
    <w:rsid w:val="00152DE3"/>
    <w:rsid w:val="00164CF9"/>
    <w:rsid w:val="00172AEB"/>
    <w:rsid w:val="001752D1"/>
    <w:rsid w:val="00184AD6"/>
    <w:rsid w:val="001A3A12"/>
    <w:rsid w:val="001B0349"/>
    <w:rsid w:val="001B09CC"/>
    <w:rsid w:val="001B65C1"/>
    <w:rsid w:val="001C489A"/>
    <w:rsid w:val="001C684B"/>
    <w:rsid w:val="001D1C78"/>
    <w:rsid w:val="001D53FC"/>
    <w:rsid w:val="001E5EB6"/>
    <w:rsid w:val="001F1743"/>
    <w:rsid w:val="001F42A5"/>
    <w:rsid w:val="001F7B9D"/>
    <w:rsid w:val="00200536"/>
    <w:rsid w:val="002224B4"/>
    <w:rsid w:val="0023250B"/>
    <w:rsid w:val="00234129"/>
    <w:rsid w:val="002447EF"/>
    <w:rsid w:val="002463E4"/>
    <w:rsid w:val="00250E6B"/>
    <w:rsid w:val="00251550"/>
    <w:rsid w:val="00252C1A"/>
    <w:rsid w:val="00254FEC"/>
    <w:rsid w:val="00260956"/>
    <w:rsid w:val="00263729"/>
    <w:rsid w:val="00263B05"/>
    <w:rsid w:val="0027221A"/>
    <w:rsid w:val="00272D3B"/>
    <w:rsid w:val="00275B61"/>
    <w:rsid w:val="00280AF1"/>
    <w:rsid w:val="00282656"/>
    <w:rsid w:val="00296B83"/>
    <w:rsid w:val="002A7A84"/>
    <w:rsid w:val="002B78CE"/>
    <w:rsid w:val="002C06C5"/>
    <w:rsid w:val="002C2FB6"/>
    <w:rsid w:val="002C65D1"/>
    <w:rsid w:val="002C6F96"/>
    <w:rsid w:val="002D5BCD"/>
    <w:rsid w:val="002F6F77"/>
    <w:rsid w:val="003009B7"/>
    <w:rsid w:val="00300E56"/>
    <w:rsid w:val="0030469C"/>
    <w:rsid w:val="0031603C"/>
    <w:rsid w:val="003213F5"/>
    <w:rsid w:val="00321CA6"/>
    <w:rsid w:val="0033129A"/>
    <w:rsid w:val="00334C09"/>
    <w:rsid w:val="003365E3"/>
    <w:rsid w:val="00361724"/>
    <w:rsid w:val="00361B6F"/>
    <w:rsid w:val="003723D4"/>
    <w:rsid w:val="003744AA"/>
    <w:rsid w:val="00384CC8"/>
    <w:rsid w:val="003871FD"/>
    <w:rsid w:val="00393EC7"/>
    <w:rsid w:val="003A1E30"/>
    <w:rsid w:val="003A7D1C"/>
    <w:rsid w:val="003B304B"/>
    <w:rsid w:val="003B3146"/>
    <w:rsid w:val="003B60F3"/>
    <w:rsid w:val="003F015E"/>
    <w:rsid w:val="003F14F7"/>
    <w:rsid w:val="003F32E6"/>
    <w:rsid w:val="003F43F3"/>
    <w:rsid w:val="00400414"/>
    <w:rsid w:val="00412E5E"/>
    <w:rsid w:val="0041446B"/>
    <w:rsid w:val="00417BF3"/>
    <w:rsid w:val="00426BDD"/>
    <w:rsid w:val="00430418"/>
    <w:rsid w:val="00433125"/>
    <w:rsid w:val="00442C66"/>
    <w:rsid w:val="0044329C"/>
    <w:rsid w:val="00450054"/>
    <w:rsid w:val="0045490F"/>
    <w:rsid w:val="00455E18"/>
    <w:rsid w:val="004577FE"/>
    <w:rsid w:val="00457B9C"/>
    <w:rsid w:val="0046164A"/>
    <w:rsid w:val="00461E29"/>
    <w:rsid w:val="004628D2"/>
    <w:rsid w:val="00462DCD"/>
    <w:rsid w:val="004648AD"/>
    <w:rsid w:val="004703A9"/>
    <w:rsid w:val="004760DE"/>
    <w:rsid w:val="00490979"/>
    <w:rsid w:val="004A004E"/>
    <w:rsid w:val="004A01AC"/>
    <w:rsid w:val="004A24CF"/>
    <w:rsid w:val="004B6478"/>
    <w:rsid w:val="004B6721"/>
    <w:rsid w:val="004C2DAB"/>
    <w:rsid w:val="004C3D1D"/>
    <w:rsid w:val="004C7913"/>
    <w:rsid w:val="004D23C1"/>
    <w:rsid w:val="004D3D9F"/>
    <w:rsid w:val="004E1B2A"/>
    <w:rsid w:val="004E4DD6"/>
    <w:rsid w:val="004E6FB7"/>
    <w:rsid w:val="004E77CA"/>
    <w:rsid w:val="004F0F43"/>
    <w:rsid w:val="004F1611"/>
    <w:rsid w:val="004F43ED"/>
    <w:rsid w:val="004F5E36"/>
    <w:rsid w:val="005078EA"/>
    <w:rsid w:val="00507B47"/>
    <w:rsid w:val="00507CC9"/>
    <w:rsid w:val="005119A5"/>
    <w:rsid w:val="00512E21"/>
    <w:rsid w:val="00517B6A"/>
    <w:rsid w:val="005238AE"/>
    <w:rsid w:val="0052489C"/>
    <w:rsid w:val="005278B7"/>
    <w:rsid w:val="00532016"/>
    <w:rsid w:val="005346C8"/>
    <w:rsid w:val="00543E7D"/>
    <w:rsid w:val="00546B05"/>
    <w:rsid w:val="00547A68"/>
    <w:rsid w:val="005531C9"/>
    <w:rsid w:val="0056395E"/>
    <w:rsid w:val="00571239"/>
    <w:rsid w:val="00583A4F"/>
    <w:rsid w:val="00590354"/>
    <w:rsid w:val="005926EB"/>
    <w:rsid w:val="0059289D"/>
    <w:rsid w:val="005933E2"/>
    <w:rsid w:val="005A47FE"/>
    <w:rsid w:val="005B2110"/>
    <w:rsid w:val="005B61E6"/>
    <w:rsid w:val="005B76EC"/>
    <w:rsid w:val="005C0D62"/>
    <w:rsid w:val="005C4BCB"/>
    <w:rsid w:val="005C77E1"/>
    <w:rsid w:val="005D29CE"/>
    <w:rsid w:val="005D526F"/>
    <w:rsid w:val="005D6A2F"/>
    <w:rsid w:val="005E1A82"/>
    <w:rsid w:val="005E794C"/>
    <w:rsid w:val="005F0A28"/>
    <w:rsid w:val="005F0E5E"/>
    <w:rsid w:val="00600535"/>
    <w:rsid w:val="00610CD6"/>
    <w:rsid w:val="00620DEE"/>
    <w:rsid w:val="00621F92"/>
    <w:rsid w:val="006233F8"/>
    <w:rsid w:val="00625639"/>
    <w:rsid w:val="006301A7"/>
    <w:rsid w:val="00631B33"/>
    <w:rsid w:val="00640CFF"/>
    <w:rsid w:val="0064184D"/>
    <w:rsid w:val="006422CC"/>
    <w:rsid w:val="0065045F"/>
    <w:rsid w:val="00650EC2"/>
    <w:rsid w:val="00652541"/>
    <w:rsid w:val="00660E3E"/>
    <w:rsid w:val="00662E74"/>
    <w:rsid w:val="00665EE4"/>
    <w:rsid w:val="00667C05"/>
    <w:rsid w:val="00670A9C"/>
    <w:rsid w:val="00680C23"/>
    <w:rsid w:val="006918A6"/>
    <w:rsid w:val="00693766"/>
    <w:rsid w:val="006A3281"/>
    <w:rsid w:val="006B4888"/>
    <w:rsid w:val="006B5AB2"/>
    <w:rsid w:val="006B5F0E"/>
    <w:rsid w:val="006C2E45"/>
    <w:rsid w:val="006C359C"/>
    <w:rsid w:val="006C5579"/>
    <w:rsid w:val="006D2431"/>
    <w:rsid w:val="006D57A4"/>
    <w:rsid w:val="006D66CD"/>
    <w:rsid w:val="006E06A2"/>
    <w:rsid w:val="006E2F99"/>
    <w:rsid w:val="006E62F8"/>
    <w:rsid w:val="006E737D"/>
    <w:rsid w:val="00700ECA"/>
    <w:rsid w:val="0070195D"/>
    <w:rsid w:val="00704F8F"/>
    <w:rsid w:val="00720A24"/>
    <w:rsid w:val="00732386"/>
    <w:rsid w:val="00733A52"/>
    <w:rsid w:val="00735650"/>
    <w:rsid w:val="007447F3"/>
    <w:rsid w:val="0075092B"/>
    <w:rsid w:val="0075499F"/>
    <w:rsid w:val="007661C8"/>
    <w:rsid w:val="0077098D"/>
    <w:rsid w:val="007759F0"/>
    <w:rsid w:val="00783BA2"/>
    <w:rsid w:val="00790C55"/>
    <w:rsid w:val="0079280D"/>
    <w:rsid w:val="007931FA"/>
    <w:rsid w:val="007954A9"/>
    <w:rsid w:val="007A7BBA"/>
    <w:rsid w:val="007B0C50"/>
    <w:rsid w:val="007B69E2"/>
    <w:rsid w:val="007B6C3B"/>
    <w:rsid w:val="007C1A43"/>
    <w:rsid w:val="007D47DC"/>
    <w:rsid w:val="007E0766"/>
    <w:rsid w:val="007E1DC6"/>
    <w:rsid w:val="007F30A9"/>
    <w:rsid w:val="0080037B"/>
    <w:rsid w:val="00813288"/>
    <w:rsid w:val="00813AB8"/>
    <w:rsid w:val="008141D3"/>
    <w:rsid w:val="00814291"/>
    <w:rsid w:val="008168FC"/>
    <w:rsid w:val="00830996"/>
    <w:rsid w:val="008345F1"/>
    <w:rsid w:val="00850C4C"/>
    <w:rsid w:val="00865B07"/>
    <w:rsid w:val="008667EA"/>
    <w:rsid w:val="0087637F"/>
    <w:rsid w:val="0088069F"/>
    <w:rsid w:val="008904B9"/>
    <w:rsid w:val="00892AD5"/>
    <w:rsid w:val="008A1512"/>
    <w:rsid w:val="008A3CD2"/>
    <w:rsid w:val="008B00C1"/>
    <w:rsid w:val="008B24EA"/>
    <w:rsid w:val="008C78C1"/>
    <w:rsid w:val="008D32B9"/>
    <w:rsid w:val="008D433B"/>
    <w:rsid w:val="008D6BE6"/>
    <w:rsid w:val="008D7235"/>
    <w:rsid w:val="008E134A"/>
    <w:rsid w:val="008E566E"/>
    <w:rsid w:val="008F4603"/>
    <w:rsid w:val="008F5403"/>
    <w:rsid w:val="008F7D99"/>
    <w:rsid w:val="0090161A"/>
    <w:rsid w:val="00901EB6"/>
    <w:rsid w:val="00904C62"/>
    <w:rsid w:val="00920E96"/>
    <w:rsid w:val="00924DAC"/>
    <w:rsid w:val="00927058"/>
    <w:rsid w:val="009450CE"/>
    <w:rsid w:val="00947179"/>
    <w:rsid w:val="0095164B"/>
    <w:rsid w:val="00954090"/>
    <w:rsid w:val="009573E7"/>
    <w:rsid w:val="009635B9"/>
    <w:rsid w:val="00963E05"/>
    <w:rsid w:val="00966A86"/>
    <w:rsid w:val="00967D54"/>
    <w:rsid w:val="00976059"/>
    <w:rsid w:val="00987480"/>
    <w:rsid w:val="00996483"/>
    <w:rsid w:val="00996F5A"/>
    <w:rsid w:val="00997FD0"/>
    <w:rsid w:val="009A0A3E"/>
    <w:rsid w:val="009A2738"/>
    <w:rsid w:val="009A53EC"/>
    <w:rsid w:val="009B041A"/>
    <w:rsid w:val="009C1FEC"/>
    <w:rsid w:val="009C7C86"/>
    <w:rsid w:val="009D2FF7"/>
    <w:rsid w:val="009E7884"/>
    <w:rsid w:val="009E788A"/>
    <w:rsid w:val="009F0E08"/>
    <w:rsid w:val="00A1264A"/>
    <w:rsid w:val="00A1763D"/>
    <w:rsid w:val="00A17CEC"/>
    <w:rsid w:val="00A27915"/>
    <w:rsid w:val="00A27EF0"/>
    <w:rsid w:val="00A50B20"/>
    <w:rsid w:val="00A51390"/>
    <w:rsid w:val="00A537DE"/>
    <w:rsid w:val="00A60D13"/>
    <w:rsid w:val="00A72745"/>
    <w:rsid w:val="00A76EFC"/>
    <w:rsid w:val="00A91010"/>
    <w:rsid w:val="00A92BA3"/>
    <w:rsid w:val="00A959E3"/>
    <w:rsid w:val="00A9713F"/>
    <w:rsid w:val="00A97F29"/>
    <w:rsid w:val="00AA702E"/>
    <w:rsid w:val="00AB0964"/>
    <w:rsid w:val="00AB1D3D"/>
    <w:rsid w:val="00AB5011"/>
    <w:rsid w:val="00AC042A"/>
    <w:rsid w:val="00AC0B8B"/>
    <w:rsid w:val="00AC7368"/>
    <w:rsid w:val="00AD16B9"/>
    <w:rsid w:val="00AE0DDF"/>
    <w:rsid w:val="00AE377D"/>
    <w:rsid w:val="00AF0945"/>
    <w:rsid w:val="00AF2A25"/>
    <w:rsid w:val="00AF556E"/>
    <w:rsid w:val="00B00C6E"/>
    <w:rsid w:val="00B04C0C"/>
    <w:rsid w:val="00B06E91"/>
    <w:rsid w:val="00B17DA9"/>
    <w:rsid w:val="00B17FBD"/>
    <w:rsid w:val="00B2403F"/>
    <w:rsid w:val="00B315A6"/>
    <w:rsid w:val="00B31813"/>
    <w:rsid w:val="00B33365"/>
    <w:rsid w:val="00B404A0"/>
    <w:rsid w:val="00B43C9A"/>
    <w:rsid w:val="00B50D1F"/>
    <w:rsid w:val="00B57B36"/>
    <w:rsid w:val="00B8024F"/>
    <w:rsid w:val="00B8686D"/>
    <w:rsid w:val="00B94180"/>
    <w:rsid w:val="00B94A6A"/>
    <w:rsid w:val="00BC30C9"/>
    <w:rsid w:val="00BC3277"/>
    <w:rsid w:val="00BD00A9"/>
    <w:rsid w:val="00BE3E58"/>
    <w:rsid w:val="00C01616"/>
    <w:rsid w:val="00C0162B"/>
    <w:rsid w:val="00C044F0"/>
    <w:rsid w:val="00C04B22"/>
    <w:rsid w:val="00C0717C"/>
    <w:rsid w:val="00C27D65"/>
    <w:rsid w:val="00C345B1"/>
    <w:rsid w:val="00C40142"/>
    <w:rsid w:val="00C57182"/>
    <w:rsid w:val="00C57596"/>
    <w:rsid w:val="00C57863"/>
    <w:rsid w:val="00C5791B"/>
    <w:rsid w:val="00C655FD"/>
    <w:rsid w:val="00C77092"/>
    <w:rsid w:val="00C870A8"/>
    <w:rsid w:val="00C91469"/>
    <w:rsid w:val="00C94036"/>
    <w:rsid w:val="00C94434"/>
    <w:rsid w:val="00CA0D75"/>
    <w:rsid w:val="00CA1C95"/>
    <w:rsid w:val="00CA5A9C"/>
    <w:rsid w:val="00CB4084"/>
    <w:rsid w:val="00CD3517"/>
    <w:rsid w:val="00CD5A00"/>
    <w:rsid w:val="00CD5FE2"/>
    <w:rsid w:val="00CE7C68"/>
    <w:rsid w:val="00D02B4C"/>
    <w:rsid w:val="00D040C4"/>
    <w:rsid w:val="00D21070"/>
    <w:rsid w:val="00D36AF0"/>
    <w:rsid w:val="00D410B1"/>
    <w:rsid w:val="00D4650C"/>
    <w:rsid w:val="00D57C84"/>
    <w:rsid w:val="00D6057D"/>
    <w:rsid w:val="00D753F6"/>
    <w:rsid w:val="00D84576"/>
    <w:rsid w:val="00D92551"/>
    <w:rsid w:val="00DA1399"/>
    <w:rsid w:val="00DA24C6"/>
    <w:rsid w:val="00DA3951"/>
    <w:rsid w:val="00DA4D7B"/>
    <w:rsid w:val="00DA5B37"/>
    <w:rsid w:val="00DB14F5"/>
    <w:rsid w:val="00DB1CEE"/>
    <w:rsid w:val="00DB4DC5"/>
    <w:rsid w:val="00DE264A"/>
    <w:rsid w:val="00DF2160"/>
    <w:rsid w:val="00E02D18"/>
    <w:rsid w:val="00E041E7"/>
    <w:rsid w:val="00E22BF8"/>
    <w:rsid w:val="00E23CA1"/>
    <w:rsid w:val="00E377C7"/>
    <w:rsid w:val="00E409A8"/>
    <w:rsid w:val="00E50C12"/>
    <w:rsid w:val="00E578EB"/>
    <w:rsid w:val="00E61B24"/>
    <w:rsid w:val="00E65B91"/>
    <w:rsid w:val="00E7209D"/>
    <w:rsid w:val="00E77223"/>
    <w:rsid w:val="00E8528B"/>
    <w:rsid w:val="00E85B94"/>
    <w:rsid w:val="00E978D0"/>
    <w:rsid w:val="00EA4613"/>
    <w:rsid w:val="00EA7F91"/>
    <w:rsid w:val="00EB024F"/>
    <w:rsid w:val="00EB03A9"/>
    <w:rsid w:val="00EB1523"/>
    <w:rsid w:val="00EB2D6B"/>
    <w:rsid w:val="00EC0E49"/>
    <w:rsid w:val="00EC64FA"/>
    <w:rsid w:val="00EE0131"/>
    <w:rsid w:val="00EE0382"/>
    <w:rsid w:val="00F116AE"/>
    <w:rsid w:val="00F11B57"/>
    <w:rsid w:val="00F155B2"/>
    <w:rsid w:val="00F30C64"/>
    <w:rsid w:val="00F32CDB"/>
    <w:rsid w:val="00F359D3"/>
    <w:rsid w:val="00F52082"/>
    <w:rsid w:val="00F63A70"/>
    <w:rsid w:val="00F737A3"/>
    <w:rsid w:val="00F813EE"/>
    <w:rsid w:val="00FA1DDA"/>
    <w:rsid w:val="00FA1F55"/>
    <w:rsid w:val="00FA21D0"/>
    <w:rsid w:val="00FA5F5F"/>
    <w:rsid w:val="00FB730C"/>
    <w:rsid w:val="00FC2695"/>
    <w:rsid w:val="00FC3E03"/>
    <w:rsid w:val="00FC3FC1"/>
    <w:rsid w:val="00FD2230"/>
    <w:rsid w:val="00FD5607"/>
    <w:rsid w:val="00FE42F3"/>
    <w:rsid w:val="00FE6EC9"/>
    <w:rsid w:val="00FF0CC1"/>
    <w:rsid w:val="00FF2E0E"/>
    <w:rsid w:val="00FF44D2"/>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B04C0C"/>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B04C0C"/>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table" w:customStyle="1" w:styleId="Tabellasemplice11">
    <w:name w:val="Tabella semplice 11"/>
    <w:basedOn w:val="Tabellanormale"/>
    <w:next w:val="Tabellasemplice1"/>
    <w:semiHidden/>
    <w:rsid w:val="00783BA2"/>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Testosegnaposto">
    <w:name w:val="Placeholder Text"/>
    <w:basedOn w:val="Carpredefinitoparagrafo"/>
    <w:uiPriority w:val="99"/>
    <w:semiHidden/>
    <w:rsid w:val="004E77C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B04C0C"/>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B04C0C"/>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table" w:customStyle="1" w:styleId="Tabellasemplice11">
    <w:name w:val="Tabella semplice 11"/>
    <w:basedOn w:val="Tabellanormale"/>
    <w:next w:val="Tabellasemplice1"/>
    <w:semiHidden/>
    <w:rsid w:val="00783BA2"/>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Testosegnaposto">
    <w:name w:val="Placeholder Text"/>
    <w:basedOn w:val="Carpredefinitoparagrafo"/>
    <w:uiPriority w:val="99"/>
    <w:semiHidden/>
    <w:rsid w:val="004E77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5519">
      <w:bodyDiv w:val="1"/>
      <w:marLeft w:val="0"/>
      <w:marRight w:val="0"/>
      <w:marTop w:val="0"/>
      <w:marBottom w:val="0"/>
      <w:divBdr>
        <w:top w:val="none" w:sz="0" w:space="0" w:color="auto"/>
        <w:left w:val="none" w:sz="0" w:space="0" w:color="auto"/>
        <w:bottom w:val="none" w:sz="0" w:space="0" w:color="auto"/>
        <w:right w:val="none" w:sz="0" w:space="0" w:color="auto"/>
      </w:divBdr>
    </w:div>
    <w:div w:id="416290448">
      <w:bodyDiv w:val="1"/>
      <w:marLeft w:val="0"/>
      <w:marRight w:val="0"/>
      <w:marTop w:val="0"/>
      <w:marBottom w:val="0"/>
      <w:divBdr>
        <w:top w:val="none" w:sz="0" w:space="0" w:color="auto"/>
        <w:left w:val="none" w:sz="0" w:space="0" w:color="auto"/>
        <w:bottom w:val="none" w:sz="0" w:space="0" w:color="auto"/>
        <w:right w:val="none" w:sz="0" w:space="0" w:color="auto"/>
      </w:divBdr>
    </w:div>
    <w:div w:id="47160038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46032">
      <w:bodyDiv w:val="1"/>
      <w:marLeft w:val="0"/>
      <w:marRight w:val="0"/>
      <w:marTop w:val="0"/>
      <w:marBottom w:val="0"/>
      <w:divBdr>
        <w:top w:val="none" w:sz="0" w:space="0" w:color="auto"/>
        <w:left w:val="none" w:sz="0" w:space="0" w:color="auto"/>
        <w:bottom w:val="none" w:sz="0" w:space="0" w:color="auto"/>
        <w:right w:val="none" w:sz="0" w:space="0" w:color="auto"/>
      </w:divBdr>
      <w:divsChild>
        <w:div w:id="70926804">
          <w:marLeft w:val="0"/>
          <w:marRight w:val="0"/>
          <w:marTop w:val="0"/>
          <w:marBottom w:val="150"/>
          <w:divBdr>
            <w:top w:val="none" w:sz="0" w:space="0" w:color="auto"/>
            <w:left w:val="none" w:sz="0" w:space="0" w:color="auto"/>
            <w:bottom w:val="none" w:sz="0" w:space="0" w:color="auto"/>
            <w:right w:val="none" w:sz="0" w:space="0" w:color="auto"/>
          </w:divBdr>
        </w:div>
        <w:div w:id="400449003">
          <w:marLeft w:val="0"/>
          <w:marRight w:val="0"/>
          <w:marTop w:val="0"/>
          <w:marBottom w:val="225"/>
          <w:divBdr>
            <w:top w:val="none" w:sz="0" w:space="0" w:color="auto"/>
            <w:left w:val="none" w:sz="0" w:space="0" w:color="auto"/>
            <w:bottom w:val="none" w:sz="0" w:space="0" w:color="auto"/>
            <w:right w:val="none" w:sz="0" w:space="0" w:color="auto"/>
          </w:divBdr>
          <w:divsChild>
            <w:div w:id="1656689616">
              <w:marLeft w:val="0"/>
              <w:marRight w:val="0"/>
              <w:marTop w:val="0"/>
              <w:marBottom w:val="0"/>
              <w:divBdr>
                <w:top w:val="none" w:sz="0" w:space="0" w:color="auto"/>
                <w:left w:val="none" w:sz="0" w:space="0" w:color="auto"/>
                <w:bottom w:val="none" w:sz="0" w:space="0" w:color="auto"/>
                <w:right w:val="none" w:sz="0" w:space="0" w:color="auto"/>
              </w:divBdr>
              <w:divsChild>
                <w:div w:id="2068071161">
                  <w:marLeft w:val="0"/>
                  <w:marRight w:val="0"/>
                  <w:marTop w:val="0"/>
                  <w:marBottom w:val="75"/>
                  <w:divBdr>
                    <w:top w:val="none" w:sz="0" w:space="0" w:color="auto"/>
                    <w:left w:val="none" w:sz="0" w:space="0" w:color="auto"/>
                    <w:bottom w:val="none" w:sz="0" w:space="0" w:color="auto"/>
                    <w:right w:val="none" w:sz="0" w:space="0" w:color="auto"/>
                  </w:divBdr>
                </w:div>
                <w:div w:id="8533463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400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28392">
      <w:bodyDiv w:val="1"/>
      <w:marLeft w:val="0"/>
      <w:marRight w:val="0"/>
      <w:marTop w:val="0"/>
      <w:marBottom w:val="0"/>
      <w:divBdr>
        <w:top w:val="none" w:sz="0" w:space="0" w:color="auto"/>
        <w:left w:val="none" w:sz="0" w:space="0" w:color="auto"/>
        <w:bottom w:val="none" w:sz="0" w:space="0" w:color="auto"/>
        <w:right w:val="none" w:sz="0" w:space="0" w:color="auto"/>
      </w:divBdr>
    </w:div>
    <w:div w:id="1899897074">
      <w:bodyDiv w:val="1"/>
      <w:marLeft w:val="0"/>
      <w:marRight w:val="0"/>
      <w:marTop w:val="0"/>
      <w:marBottom w:val="0"/>
      <w:divBdr>
        <w:top w:val="none" w:sz="0" w:space="0" w:color="auto"/>
        <w:left w:val="none" w:sz="0" w:space="0" w:color="auto"/>
        <w:bottom w:val="none" w:sz="0" w:space="0" w:color="auto"/>
        <w:right w:val="none" w:sz="0" w:space="0" w:color="auto"/>
      </w:divBdr>
    </w:div>
    <w:div w:id="194506491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CEFAB-3AB0-4B8A-A83F-2AC9EC4C7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3934</Words>
  <Characters>22425</Characters>
  <Application>Microsoft Office Word</Application>
  <DocSecurity>0</DocSecurity>
  <Lines>186</Lines>
  <Paragraphs>52</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Dordoni Roberta</cp:lastModifiedBy>
  <cp:revision>2</cp:revision>
  <cp:lastPrinted>2019-04-11T13:30:00Z</cp:lastPrinted>
  <dcterms:created xsi:type="dcterms:W3CDTF">2019-04-11T13:53:00Z</dcterms:created>
  <dcterms:modified xsi:type="dcterms:W3CDTF">2019-04-11T13:53:00Z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