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EEF6F50"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1EF36BED"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52D7B759" w:rsidR="000A03B2" w:rsidRPr="00B57B36" w:rsidRDefault="0014464F" w:rsidP="0014464F">
            <w:pPr>
              <w:tabs>
                <w:tab w:val="left" w:pos="-108"/>
              </w:tabs>
              <w:spacing w:line="140" w:lineRule="atLeast"/>
              <w:ind w:left="-108"/>
              <w:jc w:val="left"/>
            </w:pPr>
            <w:r>
              <w:rPr>
                <w:rFonts w:ascii="Tahoma" w:hAnsi="Tahoma" w:cs="Tahoma"/>
                <w:iCs/>
                <w:color w:val="333333"/>
                <w:sz w:val="14"/>
                <w:szCs w:val="14"/>
                <w:lang w:eastAsia="it-IT"/>
              </w:rPr>
              <w:t xml:space="preserve">Copyright © </w:t>
            </w:r>
            <w:r w:rsidR="00904C62" w:rsidRPr="00B57B36">
              <w:rPr>
                <w:rFonts w:ascii="Tahoma" w:hAnsi="Tahoma" w:cs="Tahoma"/>
                <w:iCs/>
                <w:color w:val="333333"/>
                <w:sz w:val="14"/>
                <w:szCs w:val="14"/>
                <w:lang w:eastAsia="it-IT"/>
              </w:rPr>
              <w:t xml:space="preserve">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29E76CC1" w:rsidR="00E978D0" w:rsidRPr="00B57B36" w:rsidRDefault="009E50DA" w:rsidP="00E978D0">
      <w:pPr>
        <w:pStyle w:val="CETTitle"/>
      </w:pPr>
      <w:r>
        <w:lastRenderedPageBreak/>
        <w:t>Stability of V</w:t>
      </w:r>
      <w:r w:rsidRPr="009E50DA">
        <w:t xml:space="preserve">olatile </w:t>
      </w:r>
      <w:r>
        <w:t>C</w:t>
      </w:r>
      <w:r w:rsidRPr="009E50DA">
        <w:t xml:space="preserve">ompounds </w:t>
      </w:r>
      <w:r>
        <w:t>R</w:t>
      </w:r>
      <w:r w:rsidRPr="009E50DA">
        <w:t xml:space="preserve">ecovered </w:t>
      </w:r>
      <w:r>
        <w:t>D</w:t>
      </w:r>
      <w:r w:rsidRPr="009E50DA">
        <w:t xml:space="preserve">uring the </w:t>
      </w:r>
      <w:r>
        <w:t>W</w:t>
      </w:r>
      <w:r w:rsidRPr="009E50DA">
        <w:t xml:space="preserve">inemaking </w:t>
      </w:r>
      <w:r>
        <w:t>P</w:t>
      </w:r>
      <w:r w:rsidRPr="009E50DA">
        <w:t>rocess</w:t>
      </w:r>
    </w:p>
    <w:p w14:paraId="2B3CA35C" w14:textId="3DAB7077" w:rsidR="00E978D0" w:rsidRPr="009E50DA" w:rsidRDefault="009E50DA" w:rsidP="00AB5011">
      <w:pPr>
        <w:pStyle w:val="CETAuthors"/>
        <w:rPr>
          <w:lang w:val="it-IT"/>
        </w:rPr>
      </w:pPr>
      <w:r w:rsidRPr="009E50DA">
        <w:rPr>
          <w:lang w:val="it-IT"/>
        </w:rPr>
        <w:t>Lorenzo Guerrini</w:t>
      </w:r>
      <w:r w:rsidR="00600535" w:rsidRPr="009E50DA">
        <w:rPr>
          <w:vertAlign w:val="superscript"/>
          <w:lang w:val="it-IT"/>
        </w:rPr>
        <w:t>a</w:t>
      </w:r>
      <w:r w:rsidR="00600535" w:rsidRPr="009E50DA">
        <w:rPr>
          <w:lang w:val="it-IT"/>
        </w:rPr>
        <w:t xml:space="preserve">, </w:t>
      </w:r>
      <w:r w:rsidRPr="009E50DA">
        <w:rPr>
          <w:lang w:val="it-IT"/>
        </w:rPr>
        <w:t>Piernicola Masella</w:t>
      </w:r>
      <w:r w:rsidRPr="009E50DA">
        <w:rPr>
          <w:vertAlign w:val="superscript"/>
          <w:lang w:val="it-IT"/>
        </w:rPr>
        <w:t>a</w:t>
      </w:r>
      <w:r w:rsidRPr="009E50DA">
        <w:rPr>
          <w:lang w:val="it-IT"/>
        </w:rPr>
        <w:t>, Giulia Angeloni</w:t>
      </w:r>
      <w:r w:rsidRPr="009E50DA">
        <w:rPr>
          <w:vertAlign w:val="superscript"/>
          <w:lang w:val="it-IT"/>
        </w:rPr>
        <w:t>a</w:t>
      </w:r>
      <w:r w:rsidRPr="009E50DA">
        <w:rPr>
          <w:lang w:val="it-IT"/>
        </w:rPr>
        <w:t>, Fabio Baldi</w:t>
      </w:r>
      <w:r w:rsidRPr="009E50DA">
        <w:rPr>
          <w:vertAlign w:val="superscript"/>
          <w:lang w:val="it-IT"/>
        </w:rPr>
        <w:t>a</w:t>
      </w:r>
      <w:r w:rsidRPr="009E50DA">
        <w:rPr>
          <w:lang w:val="it-IT"/>
        </w:rPr>
        <w:t>, Luca Calamai</w:t>
      </w:r>
      <w:r w:rsidRPr="009E50DA">
        <w:rPr>
          <w:vertAlign w:val="superscript"/>
          <w:lang w:val="it-IT"/>
        </w:rPr>
        <w:t>a</w:t>
      </w:r>
      <w:r w:rsidRPr="009E50DA">
        <w:rPr>
          <w:lang w:val="it-IT"/>
        </w:rPr>
        <w:t>, Alessandro Parenti</w:t>
      </w:r>
      <w:r w:rsidRPr="009E50DA">
        <w:rPr>
          <w:vertAlign w:val="superscript"/>
          <w:lang w:val="it-IT"/>
        </w:rPr>
        <w:t>a</w:t>
      </w:r>
      <w:r w:rsidRPr="009E50DA">
        <w:rPr>
          <w:lang w:val="it-IT"/>
        </w:rPr>
        <w:t xml:space="preserve"> </w:t>
      </w:r>
    </w:p>
    <w:p w14:paraId="5053C5A8" w14:textId="6C5B4876" w:rsidR="00E978D0" w:rsidRPr="009E50DA" w:rsidRDefault="00E978D0" w:rsidP="00E978D0">
      <w:pPr>
        <w:pStyle w:val="CETAddress"/>
        <w:rPr>
          <w:lang w:val="it-IT"/>
        </w:rPr>
      </w:pPr>
      <w:r w:rsidRPr="009E50DA">
        <w:rPr>
          <w:vertAlign w:val="superscript"/>
          <w:lang w:val="it-IT"/>
        </w:rPr>
        <w:t>a</w:t>
      </w:r>
      <w:r w:rsidR="009E50DA" w:rsidRPr="009E50DA">
        <w:rPr>
          <w:lang w:val="it-IT"/>
        </w:rPr>
        <w:t>Dipartimento di Scienze e Tecnologie Agrarie, Alimentari, Ambientali e Forestali, Università degli Studi di Firenze, Piazzale delle Cascine 16, 50144, Firenze</w:t>
      </w:r>
      <w:r w:rsidRPr="009E50DA">
        <w:rPr>
          <w:lang w:val="it-IT"/>
        </w:rPr>
        <w:t xml:space="preserve"> </w:t>
      </w:r>
    </w:p>
    <w:p w14:paraId="0127A28D" w14:textId="7144B62F" w:rsidR="00E978D0" w:rsidRPr="00B57B36" w:rsidRDefault="009E50DA" w:rsidP="00E978D0">
      <w:pPr>
        <w:pStyle w:val="CETemail"/>
      </w:pPr>
      <w:r>
        <w:t>lorenzo.guerrini</w:t>
      </w:r>
      <w:r w:rsidR="00600535" w:rsidRPr="00B57B36">
        <w:t>@</w:t>
      </w:r>
      <w:r>
        <w:t>unifi.it</w:t>
      </w:r>
    </w:p>
    <w:p w14:paraId="303D7D5D" w14:textId="303C06B6" w:rsidR="00823CD0" w:rsidRDefault="00823CD0" w:rsidP="006B0806">
      <w:pPr>
        <w:pStyle w:val="CETHeading1"/>
        <w:numPr>
          <w:ilvl w:val="0"/>
          <w:numId w:val="0"/>
        </w:numPr>
        <w:jc w:val="both"/>
        <w:rPr>
          <w:b w:val="0"/>
          <w:sz w:val="18"/>
          <w:lang w:val="en-GB"/>
        </w:rPr>
      </w:pPr>
      <w:r w:rsidRPr="00823CD0">
        <w:rPr>
          <w:b w:val="0"/>
          <w:sz w:val="18"/>
          <w:lang w:val="en-GB"/>
        </w:rPr>
        <w:t>The alcoholic fermentation has a marked impact on wine aroma. During this phase, several compounds are produced by yeasts, and they overall constitute the so called “wine secondary aroma”. However, several of these compounds, mainly the esters responsible for the fruity flavo</w:t>
      </w:r>
      <w:r w:rsidR="0095375E">
        <w:rPr>
          <w:b w:val="0"/>
          <w:sz w:val="18"/>
          <w:lang w:val="en-GB"/>
        </w:rPr>
        <w:t>u</w:t>
      </w:r>
      <w:r w:rsidRPr="00823CD0">
        <w:rPr>
          <w:b w:val="0"/>
          <w:sz w:val="18"/>
          <w:lang w:val="en-GB"/>
        </w:rPr>
        <w:t xml:space="preserve">r, are lost during the process. The preservation of beverage aroma and the loss recovery during processing is a key issue that is becoming </w:t>
      </w:r>
      <w:r w:rsidR="0095375E">
        <w:rPr>
          <w:b w:val="0"/>
          <w:sz w:val="18"/>
          <w:lang w:val="en-GB"/>
        </w:rPr>
        <w:t>extremely</w:t>
      </w:r>
      <w:r w:rsidRPr="00823CD0">
        <w:rPr>
          <w:b w:val="0"/>
          <w:sz w:val="18"/>
          <w:lang w:val="en-GB"/>
        </w:rPr>
        <w:t xml:space="preserve"> importan</w:t>
      </w:r>
      <w:r w:rsidR="0095375E">
        <w:rPr>
          <w:b w:val="0"/>
          <w:sz w:val="18"/>
          <w:lang w:val="en-GB"/>
        </w:rPr>
        <w:t>t</w:t>
      </w:r>
      <w:r w:rsidRPr="00823CD0">
        <w:rPr>
          <w:b w:val="0"/>
          <w:sz w:val="18"/>
          <w:lang w:val="en-GB"/>
        </w:rPr>
        <w:t xml:space="preserve"> in the winemaking technology. Thus, in a previous experiment, the aroma fermentation losses were recovered and added back to the wine. The effect of this practice was measured with chemical analysis, and the flavo</w:t>
      </w:r>
      <w:r w:rsidR="0095375E">
        <w:rPr>
          <w:b w:val="0"/>
          <w:sz w:val="18"/>
          <w:lang w:val="en-GB"/>
        </w:rPr>
        <w:t>u</w:t>
      </w:r>
      <w:r w:rsidRPr="00823CD0">
        <w:rPr>
          <w:b w:val="0"/>
          <w:sz w:val="18"/>
          <w:lang w:val="en-GB"/>
        </w:rPr>
        <w:t xml:space="preserve">r difference was perceived at a panel test. Hence, a device </w:t>
      </w:r>
      <w:r w:rsidR="0095375E">
        <w:rPr>
          <w:b w:val="0"/>
          <w:sz w:val="18"/>
          <w:lang w:val="en-GB"/>
        </w:rPr>
        <w:t>was developed</w:t>
      </w:r>
      <w:r w:rsidRPr="00823CD0">
        <w:rPr>
          <w:b w:val="0"/>
          <w:sz w:val="18"/>
          <w:lang w:val="en-GB"/>
        </w:rPr>
        <w:t xml:space="preserve"> to recover these compounds by condensation was developed and patented. The condensation device avoids the escape of aroma compounds from the grape juice during the fermentation. Immediately after the production, the wines made were different from the control wines. However, there is a lack of information about the stability of the recovered compounds during the wine aging. Hence, this study evaluates the aroma of 3 wines produced with the condensation technology during 1 year of storage.</w:t>
      </w:r>
    </w:p>
    <w:p w14:paraId="1021CE92" w14:textId="12A09336" w:rsidR="00823CD0" w:rsidRDefault="00823CD0" w:rsidP="006B0806">
      <w:pPr>
        <w:pStyle w:val="CETHeading1"/>
        <w:numPr>
          <w:ilvl w:val="0"/>
          <w:numId w:val="0"/>
        </w:numPr>
        <w:jc w:val="both"/>
        <w:rPr>
          <w:b w:val="0"/>
          <w:sz w:val="18"/>
          <w:lang w:val="en-GB"/>
        </w:rPr>
      </w:pPr>
      <w:r w:rsidRPr="00823CD0">
        <w:rPr>
          <w:b w:val="0"/>
          <w:sz w:val="18"/>
          <w:lang w:val="en-GB"/>
        </w:rPr>
        <w:t>In this trial, three fermentations on different grapes (cv. Sangiovese, Merlot, and Cabernet Sauvignon) were conducted with and without the condensation device. The fermentations were conducted at industrial scale, using 750 kg of grapes in each one. The produced wines were analy</w:t>
      </w:r>
      <w:r w:rsidR="0095375E">
        <w:rPr>
          <w:b w:val="0"/>
          <w:sz w:val="18"/>
          <w:lang w:val="en-GB"/>
        </w:rPr>
        <w:t>s</w:t>
      </w:r>
      <w:r w:rsidRPr="00823CD0">
        <w:rPr>
          <w:b w:val="0"/>
          <w:sz w:val="18"/>
          <w:lang w:val="en-GB"/>
        </w:rPr>
        <w:t xml:space="preserve">ed immediately after the production, after 8 months of storage and after 1 year. The differences were assessed chromatographically (HS-SPME-GC-MS) and with dedicated discriminant sensory test (i.e. a triangular test). Data were statistically treated with a 2-ways ANOVA, using the treatment (condensed or not) and the storage time as factors. </w:t>
      </w:r>
      <w:r>
        <w:rPr>
          <w:b w:val="0"/>
          <w:sz w:val="18"/>
          <w:lang w:val="en-GB"/>
        </w:rPr>
        <w:t xml:space="preserve">Cultivars were used as blocks. </w:t>
      </w:r>
    </w:p>
    <w:p w14:paraId="35ECF073" w14:textId="621B2BB9" w:rsidR="00823CD0" w:rsidRPr="00823CD0" w:rsidRDefault="00823CD0" w:rsidP="006B0806">
      <w:pPr>
        <w:pStyle w:val="CETHeading1"/>
        <w:numPr>
          <w:ilvl w:val="0"/>
          <w:numId w:val="0"/>
        </w:numPr>
        <w:jc w:val="both"/>
        <w:rPr>
          <w:b w:val="0"/>
          <w:sz w:val="18"/>
          <w:lang w:val="en-GB"/>
        </w:rPr>
      </w:pPr>
      <w:r w:rsidRPr="00823CD0">
        <w:rPr>
          <w:b w:val="0"/>
          <w:sz w:val="18"/>
          <w:lang w:val="en-GB"/>
        </w:rPr>
        <w:t>Immediately after the fermentation, in the condensed wines significantly higher concentrations of esters were found. The interested key esters were: ethyl acetate, ethyl hexanoate, ethyl octanoate, and hexyl acetate. All these compounds are considered positive in wines and responsible for the fruity flavo</w:t>
      </w:r>
      <w:r w:rsidR="0095375E">
        <w:rPr>
          <w:b w:val="0"/>
          <w:sz w:val="18"/>
          <w:lang w:val="en-GB"/>
        </w:rPr>
        <w:t>u</w:t>
      </w:r>
      <w:r w:rsidRPr="00823CD0">
        <w:rPr>
          <w:b w:val="0"/>
          <w:sz w:val="18"/>
          <w:lang w:val="en-GB"/>
        </w:rPr>
        <w:t>r. Furthermore, alcohols (i.e. 1-propanol, and 1-hexanol) were found to increase as well as the hexanoic acid. The differences were perceived at the sensory test immediately after the wines production. During the storage, no significant interaction between treatment and time was assessed; the compounds higher immediately after the fermentation remain higher after 1 year of storage. Furthermore, after 1 year</w:t>
      </w:r>
      <w:r w:rsidR="0095375E">
        <w:rPr>
          <w:b w:val="0"/>
          <w:sz w:val="18"/>
          <w:lang w:val="en-GB"/>
        </w:rPr>
        <w:t>,</w:t>
      </w:r>
      <w:r w:rsidRPr="00823CD0">
        <w:rPr>
          <w:b w:val="0"/>
          <w:sz w:val="18"/>
          <w:lang w:val="en-GB"/>
        </w:rPr>
        <w:t xml:space="preserve"> the differences were still perceived at the sensory test. These results highlights that the recovery of fermentation losses could be an instrument to modulate the wine aroma profile. </w:t>
      </w:r>
    </w:p>
    <w:p w14:paraId="6D039C32" w14:textId="77777777" w:rsidR="00823CD0" w:rsidRDefault="00823CD0" w:rsidP="006B0806">
      <w:pPr>
        <w:pStyle w:val="CETHeading1"/>
        <w:numPr>
          <w:ilvl w:val="0"/>
          <w:numId w:val="0"/>
        </w:numPr>
        <w:jc w:val="both"/>
        <w:rPr>
          <w:b w:val="0"/>
          <w:sz w:val="18"/>
          <w:lang w:val="en-GB"/>
        </w:rPr>
      </w:pPr>
      <w:r w:rsidRPr="00823CD0">
        <w:rPr>
          <w:b w:val="0"/>
          <w:sz w:val="18"/>
          <w:lang w:val="en-GB"/>
        </w:rPr>
        <w:t xml:space="preserve">In conclusion, these compounds are stable during the wine aging, and the produced differences are perceivable by tasters after 1 year of storage. </w:t>
      </w:r>
    </w:p>
    <w:p w14:paraId="476B2F2E" w14:textId="1279BD92" w:rsidR="00600535" w:rsidRPr="00B57B36" w:rsidRDefault="00823CD0" w:rsidP="00823CD0">
      <w:pPr>
        <w:pStyle w:val="CETHeading1"/>
        <w:numPr>
          <w:ilvl w:val="0"/>
          <w:numId w:val="0"/>
        </w:numPr>
        <w:rPr>
          <w:lang w:val="en-GB"/>
        </w:rPr>
      </w:pPr>
      <w:r w:rsidRPr="000C3EE3">
        <w:rPr>
          <w:lang w:val="en-GB"/>
        </w:rPr>
        <w:t xml:space="preserve">1. </w:t>
      </w:r>
      <w:r w:rsidR="00600535" w:rsidRPr="00B57B36">
        <w:rPr>
          <w:lang w:val="en-GB"/>
        </w:rPr>
        <w:t>Introduction</w:t>
      </w:r>
    </w:p>
    <w:p w14:paraId="1AED3853" w14:textId="3E137BBA" w:rsidR="00600535" w:rsidRDefault="00AF66ED" w:rsidP="00B438FA">
      <w:pPr>
        <w:pStyle w:val="CETBodytext"/>
        <w:rPr>
          <w:lang w:val="en-GB"/>
        </w:rPr>
      </w:pPr>
      <w:r>
        <w:rPr>
          <w:lang w:val="en-GB"/>
        </w:rPr>
        <w:t>Wine aroma is composed by a large number of compounds deriving from 3 main sources. The so-called “primary aroma” derived directly from the grapes</w:t>
      </w:r>
      <w:r w:rsidR="009B0084">
        <w:rPr>
          <w:lang w:val="en-GB"/>
        </w:rPr>
        <w:t>, the secondary aroma is mainly produced by yeasts during the alcoholic fermentation, and the tertiary aroma is produced during the wine aging</w:t>
      </w:r>
      <w:r w:rsidR="005071C1">
        <w:rPr>
          <w:lang w:val="en-GB"/>
        </w:rPr>
        <w:t xml:space="preserve"> (Torrens et al., 2008)</w:t>
      </w:r>
      <w:r w:rsidR="009B0084">
        <w:rPr>
          <w:lang w:val="en-GB"/>
        </w:rPr>
        <w:t>.</w:t>
      </w:r>
      <w:r w:rsidR="005071C1">
        <w:rPr>
          <w:lang w:val="en-GB"/>
        </w:rPr>
        <w:t xml:space="preserve"> </w:t>
      </w:r>
    </w:p>
    <w:p w14:paraId="6BC25EE3" w14:textId="44762639" w:rsidR="00B438FA" w:rsidRDefault="009F5603" w:rsidP="00B438FA">
      <w:pPr>
        <w:pStyle w:val="CETBodytext"/>
        <w:rPr>
          <w:lang w:val="en-GB"/>
        </w:rPr>
      </w:pPr>
      <w:r>
        <w:rPr>
          <w:lang w:val="en-GB"/>
        </w:rPr>
        <w:lastRenderedPageBreak/>
        <w:t>A large part of t</w:t>
      </w:r>
      <w:r w:rsidR="0081096B">
        <w:rPr>
          <w:lang w:val="en-GB"/>
        </w:rPr>
        <w:t xml:space="preserve">he secondary aroma derives from the yeasts’ amino acids metabolism. These pathways lead to the formation of hundreds of aroma active compounds belonging to the classes of higher alcohols, esters, aldehydes, organic acids, volatile fatty acids and carbonyl compounds (Gonzalez and Moralez, 2017). </w:t>
      </w:r>
      <w:r w:rsidR="00CE63EA">
        <w:rPr>
          <w:lang w:val="en-GB"/>
        </w:rPr>
        <w:t xml:space="preserve">Thus, the aroma active compounds produced by yeasts have a strong impact on the final wine aroma. </w:t>
      </w:r>
    </w:p>
    <w:p w14:paraId="25C71B77" w14:textId="3D433318" w:rsidR="008109ED" w:rsidRDefault="00CE63EA" w:rsidP="00B438FA">
      <w:pPr>
        <w:pStyle w:val="CETBodytext"/>
        <w:rPr>
          <w:lang w:val="en-GB"/>
        </w:rPr>
      </w:pPr>
      <w:r>
        <w:rPr>
          <w:lang w:val="en-GB"/>
        </w:rPr>
        <w:t xml:space="preserve">A large number of studies focused on the modulation of the secondary aroma. Post-harvest degradation of grapes (Moreno et al., 2008), yeasts inoculum </w:t>
      </w:r>
      <w:r w:rsidRPr="00CE63EA">
        <w:rPr>
          <w:lang w:val="en-GB"/>
        </w:rPr>
        <w:t>(S</w:t>
      </w:r>
      <w:r w:rsidR="000C0E75">
        <w:rPr>
          <w:lang w:val="en-GB"/>
        </w:rPr>
        <w:t xml:space="preserve">tyger et al., </w:t>
      </w:r>
      <w:r w:rsidRPr="00CE63EA">
        <w:rPr>
          <w:lang w:val="en-GB"/>
        </w:rPr>
        <w:t>20</w:t>
      </w:r>
      <w:r w:rsidR="000C0E75">
        <w:rPr>
          <w:lang w:val="en-GB"/>
        </w:rPr>
        <w:t>11</w:t>
      </w:r>
      <w:r w:rsidRPr="00CE63EA">
        <w:rPr>
          <w:lang w:val="en-GB"/>
        </w:rPr>
        <w:t>)</w:t>
      </w:r>
      <w:r>
        <w:rPr>
          <w:lang w:val="en-GB"/>
        </w:rPr>
        <w:t>, fermentation temperature control (Guerrini et al., 2017</w:t>
      </w:r>
      <w:r w:rsidR="004B6FCE">
        <w:rPr>
          <w:lang w:val="en-GB"/>
        </w:rPr>
        <w:t>a</w:t>
      </w:r>
      <w:r>
        <w:rPr>
          <w:lang w:val="en-GB"/>
        </w:rPr>
        <w:t xml:space="preserve">), stem contact fermentation (Guerrini et al., 2018a) can all be considered traditional oenological practices aimed to </w:t>
      </w:r>
      <w:r w:rsidR="00D91E7D">
        <w:rPr>
          <w:lang w:val="en-GB"/>
        </w:rPr>
        <w:t xml:space="preserve">change the final wine aroma. </w:t>
      </w:r>
      <w:r w:rsidRPr="00CE63EA">
        <w:rPr>
          <w:lang w:val="en-GB"/>
        </w:rPr>
        <w:t xml:space="preserve">More recently, other </w:t>
      </w:r>
      <w:r w:rsidR="002A178F">
        <w:rPr>
          <w:lang w:val="en-GB"/>
        </w:rPr>
        <w:t xml:space="preserve">new </w:t>
      </w:r>
      <w:r w:rsidRPr="00CE63EA">
        <w:rPr>
          <w:lang w:val="en-GB"/>
        </w:rPr>
        <w:t>techniques have been developed, for example, the recovery of aroma losses during fermentation (Guerrini et al. 2016; Lezaeta et al. 2018)</w:t>
      </w:r>
      <w:r w:rsidR="002A178F">
        <w:rPr>
          <w:lang w:val="en-GB"/>
        </w:rPr>
        <w:t>.</w:t>
      </w:r>
    </w:p>
    <w:p w14:paraId="0EFC9266" w14:textId="23CF3EDA" w:rsidR="00CE63EA" w:rsidRDefault="008109ED" w:rsidP="00B438FA">
      <w:pPr>
        <w:pStyle w:val="CETBodytext"/>
        <w:rPr>
          <w:lang w:val="en-GB"/>
        </w:rPr>
      </w:pPr>
      <w:r>
        <w:rPr>
          <w:lang w:val="en-GB"/>
        </w:rPr>
        <w:t xml:space="preserve">During the alcoholic fermentation the carbon dioxide plays a key role for the wine flavour. On </w:t>
      </w:r>
      <w:r w:rsidR="004B6FCE">
        <w:rPr>
          <w:lang w:val="en-GB"/>
        </w:rPr>
        <w:t xml:space="preserve">the </w:t>
      </w:r>
      <w:r>
        <w:rPr>
          <w:lang w:val="en-GB"/>
        </w:rPr>
        <w:t>one hand, it has an important role in grape skins macerati</w:t>
      </w:r>
      <w:r w:rsidR="003A01F1">
        <w:rPr>
          <w:lang w:val="en-GB"/>
        </w:rPr>
        <w:t>on and in pomace cap buoyancy, resulting in different extraction of compounds from berry skins</w:t>
      </w:r>
      <w:r w:rsidR="004B6FCE">
        <w:rPr>
          <w:lang w:val="en-GB"/>
        </w:rPr>
        <w:t xml:space="preserve"> (Guerrini et al., 2017b)</w:t>
      </w:r>
      <w:r w:rsidR="003A01F1">
        <w:rPr>
          <w:lang w:val="en-GB"/>
        </w:rPr>
        <w:t xml:space="preserve">. </w:t>
      </w:r>
      <w:r w:rsidR="004B6FCE">
        <w:rPr>
          <w:lang w:val="en-GB"/>
        </w:rPr>
        <w:t>On the other</w:t>
      </w:r>
      <w:r w:rsidR="001539F6">
        <w:rPr>
          <w:lang w:val="en-GB"/>
        </w:rPr>
        <w:t xml:space="preserve"> hand, the carbon dioxide </w:t>
      </w:r>
      <w:r w:rsidR="002B54CD">
        <w:rPr>
          <w:lang w:val="en-GB"/>
        </w:rPr>
        <w:t>escape from the fermentation tank affects</w:t>
      </w:r>
      <w:r w:rsidR="001539F6">
        <w:rPr>
          <w:lang w:val="en-GB"/>
        </w:rPr>
        <w:t xml:space="preserve"> the final quantity of volatiles (Bach, 2001). </w:t>
      </w:r>
      <w:r w:rsidR="00031BAD">
        <w:rPr>
          <w:lang w:val="en-GB"/>
        </w:rPr>
        <w:t>Particularly, during the tumultuous phase of alcoholic fermentation the carbon dioxide causes a stripping of volatile compounds, according to the CO</w:t>
      </w:r>
      <w:r w:rsidR="00031BAD" w:rsidRPr="00031BAD">
        <w:rPr>
          <w:vertAlign w:val="subscript"/>
          <w:lang w:val="en-GB"/>
        </w:rPr>
        <w:t>2</w:t>
      </w:r>
      <w:r w:rsidR="00031BAD">
        <w:rPr>
          <w:lang w:val="en-GB"/>
        </w:rPr>
        <w:t xml:space="preserve"> flow rate and to the concentrations of these compounds (Mouret et al., 2014).</w:t>
      </w:r>
      <w:r w:rsidR="00657219">
        <w:rPr>
          <w:lang w:val="en-GB"/>
        </w:rPr>
        <w:t xml:space="preserve"> Volatile compounds escaping from the fermentation tank can be recovered by condensation. The result is a water-ethanol solution accounting for roughly the 0.13 % of the fermenting mass and containing odour active</w:t>
      </w:r>
      <w:r w:rsidR="00C356A0">
        <w:rPr>
          <w:lang w:val="en-GB"/>
        </w:rPr>
        <w:t xml:space="preserve"> </w:t>
      </w:r>
      <w:r w:rsidR="00657219">
        <w:rPr>
          <w:lang w:val="en-GB"/>
        </w:rPr>
        <w:t xml:space="preserve">compounds belonging to several chemical classes (Guerrini et al., 2016). Esters, acids, terpenes, alcohols, and lactones can be recovered with a condensation device. Furthermore, the simultaneous presence of organic acids and ethanol on the condenser surface led to the production of large amounts of ethyl esters. Thus, the condensation of the gasses escaping during the fermentation could be used as a tool to modulate the wine final aroma (Guerrini et al., 2018b). </w:t>
      </w:r>
      <w:r w:rsidR="001959AF">
        <w:rPr>
          <w:lang w:val="en-GB"/>
        </w:rPr>
        <w:t xml:space="preserve">In fact, the addition-back to the wine of the recovered compounds can be perceived by tasters resulting in a flavour difference. </w:t>
      </w:r>
    </w:p>
    <w:p w14:paraId="0B893969" w14:textId="5DCF8E3F" w:rsidR="001959AF" w:rsidRDefault="001959AF" w:rsidP="00B438FA">
      <w:pPr>
        <w:pStyle w:val="CETBodytext"/>
        <w:rPr>
          <w:lang w:val="en-GB"/>
        </w:rPr>
      </w:pPr>
      <w:r>
        <w:rPr>
          <w:lang w:val="en-GB"/>
        </w:rPr>
        <w:t xml:space="preserve">However, to be suited in the winemaking process, the recovered compounds and the perceived differences have to be stable during the wine aging. Hence, </w:t>
      </w:r>
      <w:r w:rsidR="0095375E">
        <w:rPr>
          <w:lang w:val="en-GB"/>
        </w:rPr>
        <w:t>the</w:t>
      </w:r>
      <w:r>
        <w:rPr>
          <w:lang w:val="en-GB"/>
        </w:rPr>
        <w:t xml:space="preserve"> test </w:t>
      </w:r>
      <w:r w:rsidR="0095375E">
        <w:rPr>
          <w:lang w:val="en-GB"/>
        </w:rPr>
        <w:t>is conducted based on</w:t>
      </w:r>
      <w:r>
        <w:rPr>
          <w:lang w:val="en-GB"/>
        </w:rPr>
        <w:t xml:space="preserve"> chemical analysis and sensory tests</w:t>
      </w:r>
      <w:r w:rsidR="0095375E">
        <w:rPr>
          <w:lang w:val="en-GB"/>
        </w:rPr>
        <w:t>.</w:t>
      </w:r>
      <w:r>
        <w:rPr>
          <w:lang w:val="en-GB"/>
        </w:rPr>
        <w:t xml:space="preserve"> </w:t>
      </w:r>
    </w:p>
    <w:p w14:paraId="1FE6470B" w14:textId="77777777" w:rsidR="000C3EE3" w:rsidRDefault="000C3EE3" w:rsidP="00B438FA">
      <w:pPr>
        <w:pStyle w:val="CETBodytext"/>
        <w:rPr>
          <w:lang w:val="en-GB"/>
        </w:rPr>
      </w:pPr>
    </w:p>
    <w:p w14:paraId="26ED6EBE" w14:textId="104D50BB" w:rsidR="000C3EE3" w:rsidRPr="00B57B36" w:rsidRDefault="000C3EE3" w:rsidP="000C3EE3">
      <w:pPr>
        <w:pStyle w:val="CETHeading1"/>
        <w:numPr>
          <w:ilvl w:val="0"/>
          <w:numId w:val="0"/>
        </w:numPr>
        <w:rPr>
          <w:lang w:val="en-GB"/>
        </w:rPr>
      </w:pPr>
      <w:r>
        <w:rPr>
          <w:lang w:val="en-GB"/>
        </w:rPr>
        <w:t>2</w:t>
      </w:r>
      <w:r w:rsidRPr="000C3EE3">
        <w:rPr>
          <w:lang w:val="en-GB"/>
        </w:rPr>
        <w:t xml:space="preserve">. </w:t>
      </w:r>
      <w:r>
        <w:rPr>
          <w:lang w:val="en-GB"/>
        </w:rPr>
        <w:t>Materials and Methods</w:t>
      </w:r>
    </w:p>
    <w:p w14:paraId="04963A06" w14:textId="18ACDFC7" w:rsidR="00600535" w:rsidRPr="00B57B36" w:rsidRDefault="007A0753" w:rsidP="007A0753">
      <w:pPr>
        <w:pStyle w:val="CETheadingx"/>
        <w:numPr>
          <w:ilvl w:val="0"/>
          <w:numId w:val="0"/>
        </w:numPr>
      </w:pPr>
      <w:r>
        <w:t xml:space="preserve">2.1 </w:t>
      </w:r>
      <w:r w:rsidR="00102468">
        <w:t>Experimental</w:t>
      </w:r>
      <w:r>
        <w:t xml:space="preserve"> procedure</w:t>
      </w:r>
    </w:p>
    <w:p w14:paraId="19749E47" w14:textId="50A60552" w:rsidR="00102468" w:rsidRDefault="00102468" w:rsidP="00600535">
      <w:pPr>
        <w:pStyle w:val="CETBodytext"/>
        <w:rPr>
          <w:lang w:val="en-GB"/>
        </w:rPr>
      </w:pPr>
      <w:r>
        <w:rPr>
          <w:lang w:val="en-GB"/>
        </w:rPr>
        <w:t>The aim of the trails was the comparison between a traditional red grape fermentation, namely “Control”, and a fermentation during which the volatile compounds escaping from the tank were recovered and condensed back into the wine, namely “Condensed”. Fermentations were conducted in stainless steel tanks of nominal capacity of 1000 l. On the top of the tanks of the Condensed samples</w:t>
      </w:r>
      <w:r w:rsidR="0095375E">
        <w:rPr>
          <w:lang w:val="en-GB"/>
        </w:rPr>
        <w:t>,</w:t>
      </w:r>
      <w:r>
        <w:rPr>
          <w:lang w:val="en-GB"/>
        </w:rPr>
        <w:t xml:space="preserve"> heat exchanger</w:t>
      </w:r>
      <w:r w:rsidR="0095375E">
        <w:rPr>
          <w:lang w:val="en-GB"/>
        </w:rPr>
        <w:t>s</w:t>
      </w:r>
      <w:r>
        <w:rPr>
          <w:lang w:val="en-GB"/>
        </w:rPr>
        <w:t xml:space="preserve"> were placed to recover the volatiles (Figure 1). </w:t>
      </w:r>
    </w:p>
    <w:p w14:paraId="0C26F874" w14:textId="77777777" w:rsidR="0095375E" w:rsidRDefault="0095375E" w:rsidP="00600535">
      <w:pPr>
        <w:pStyle w:val="CETBodytext"/>
        <w:rPr>
          <w:lang w:val="en-GB"/>
        </w:rPr>
      </w:pPr>
    </w:p>
    <w:p w14:paraId="0D0881C6" w14:textId="25D00625" w:rsidR="00102468" w:rsidRDefault="002E4E2C" w:rsidP="00600535">
      <w:pPr>
        <w:pStyle w:val="CETBodytext"/>
        <w:rPr>
          <w:lang w:val="en-GB"/>
        </w:rPr>
      </w:pPr>
      <w:r w:rsidRPr="002E4E2C">
        <w:rPr>
          <w:noProof/>
        </w:rPr>
        <w:drawing>
          <wp:inline distT="0" distB="0" distL="0" distR="0" wp14:anchorId="38888B0A" wp14:editId="694AD10D">
            <wp:extent cx="3582670" cy="2167800"/>
            <wp:effectExtent l="0" t="0" r="0" b="4445"/>
            <wp:docPr id="4" name="Immagine 3" descr="C:\Users\Lorenzo\Desktop\recupero aromi di fermentazione\tesi giovanni masi\Condensatore foto tuscania\IMG_2439.JPG"/>
            <wp:cNvGraphicFramePr/>
            <a:graphic xmlns:a="http://schemas.openxmlformats.org/drawingml/2006/main">
              <a:graphicData uri="http://schemas.openxmlformats.org/drawingml/2006/picture">
                <pic:pic xmlns:pic="http://schemas.openxmlformats.org/drawingml/2006/picture">
                  <pic:nvPicPr>
                    <pic:cNvPr id="4" name="Immagine 3" descr="C:\Users\Lorenzo\Desktop\recupero aromi di fermentazione\tesi giovanni masi\Condensatore foto tuscania\IMG_2439.JPG"/>
                    <pic:cNvPicPr/>
                  </pic:nvPicPr>
                  <pic:blipFill rotWithShape="1">
                    <a:blip r:embed="rId11">
                      <a:extLst>
                        <a:ext uri="{BEBA8EAE-BF5A-486C-A8C5-ECC9F3942E4B}">
                          <a14:imgProps xmlns:a14="http://schemas.microsoft.com/office/drawing/2010/main">
                            <a14:imgLayer r:embed="rId12">
                              <a14:imgEffect>
                                <a14:saturation sat="50000"/>
                              </a14:imgEffect>
                            </a14:imgLayer>
                          </a14:imgProps>
                        </a:ext>
                        <a:ext uri="{28A0092B-C50C-407E-A947-70E740481C1C}">
                          <a14:useLocalDpi xmlns:a14="http://schemas.microsoft.com/office/drawing/2010/main" val="0"/>
                        </a:ext>
                      </a:extLst>
                    </a:blip>
                    <a:srcRect t="19351"/>
                    <a:stretch/>
                  </pic:blipFill>
                  <pic:spPr bwMode="auto">
                    <a:xfrm>
                      <a:off x="0" y="0"/>
                      <a:ext cx="3582670" cy="2167800"/>
                    </a:xfrm>
                    <a:prstGeom prst="rect">
                      <a:avLst/>
                    </a:prstGeom>
                    <a:noFill/>
                    <a:ln>
                      <a:noFill/>
                    </a:ln>
                  </pic:spPr>
                </pic:pic>
              </a:graphicData>
            </a:graphic>
          </wp:inline>
        </w:drawing>
      </w:r>
    </w:p>
    <w:p w14:paraId="29A62C9C" w14:textId="02134AF2" w:rsidR="00971FB3" w:rsidRPr="00B57B36" w:rsidRDefault="00971FB3" w:rsidP="00971FB3">
      <w:pPr>
        <w:pStyle w:val="CETCaption"/>
      </w:pPr>
      <w:r w:rsidRPr="00B57B36">
        <w:t xml:space="preserve">Figure 1: </w:t>
      </w:r>
      <w:r>
        <w:t>Condensation system above a fermentation tank.</w:t>
      </w:r>
    </w:p>
    <w:p w14:paraId="15B88C2A" w14:textId="77777777" w:rsidR="00971FB3" w:rsidRDefault="00971FB3" w:rsidP="00C63F2E">
      <w:pPr>
        <w:pStyle w:val="CETBodytext"/>
        <w:rPr>
          <w:lang w:val="en-GB"/>
        </w:rPr>
      </w:pPr>
    </w:p>
    <w:p w14:paraId="2AC9B490" w14:textId="56F4C516" w:rsidR="00751E08" w:rsidRDefault="000A6981" w:rsidP="00C63F2E">
      <w:pPr>
        <w:pStyle w:val="CETBodytext"/>
        <w:rPr>
          <w:lang w:val="en-GB"/>
        </w:rPr>
      </w:pPr>
      <w:r>
        <w:rPr>
          <w:lang w:val="en-GB"/>
        </w:rPr>
        <w:t xml:space="preserve">Each fermentation tank was </w:t>
      </w:r>
      <w:r w:rsidR="00102468">
        <w:rPr>
          <w:lang w:val="en-GB"/>
        </w:rPr>
        <w:t xml:space="preserve">filled with </w:t>
      </w:r>
      <w:r w:rsidR="00751E08">
        <w:rPr>
          <w:lang w:val="en-GB"/>
        </w:rPr>
        <w:t>54</w:t>
      </w:r>
      <w:r w:rsidR="00102468">
        <w:rPr>
          <w:lang w:val="en-GB"/>
        </w:rPr>
        <w:t>0 kg of grapes. During the trials Sangiovese, Cabernet Sauvignon, and Merlot grapes were used</w:t>
      </w:r>
      <w:r>
        <w:rPr>
          <w:lang w:val="en-GB"/>
        </w:rPr>
        <w:t xml:space="preserve"> for a total of 6 fermentations (i.e. 3 Control and 3 Condensed)</w:t>
      </w:r>
      <w:r w:rsidR="00102468">
        <w:rPr>
          <w:lang w:val="en-GB"/>
        </w:rPr>
        <w:t>. The</w:t>
      </w:r>
      <w:r w:rsidR="00C63F2E">
        <w:rPr>
          <w:lang w:val="en-GB"/>
        </w:rPr>
        <w:t xml:space="preserve"> musts were </w:t>
      </w:r>
      <w:r w:rsidR="00C63F2E">
        <w:rPr>
          <w:lang w:val="en-GB"/>
        </w:rPr>
        <w:lastRenderedPageBreak/>
        <w:t xml:space="preserve">inoculated with 20 g/ 100 kg of grapes of a commercial yeast (Red Fruit, Enartis, Italy), and 10 g/100 kg of grapes of potassium </w:t>
      </w:r>
      <w:proofErr w:type="spellStart"/>
      <w:r w:rsidR="00C63F2E">
        <w:rPr>
          <w:lang w:val="en-GB"/>
        </w:rPr>
        <w:t>metabisul</w:t>
      </w:r>
      <w:r w:rsidR="0095375E">
        <w:rPr>
          <w:lang w:val="en-GB"/>
        </w:rPr>
        <w:t>ph</w:t>
      </w:r>
      <w:r w:rsidR="00C63F2E">
        <w:rPr>
          <w:lang w:val="en-GB"/>
        </w:rPr>
        <w:t>ite</w:t>
      </w:r>
      <w:proofErr w:type="spellEnd"/>
      <w:r w:rsidR="00C63F2E">
        <w:rPr>
          <w:lang w:val="en-GB"/>
        </w:rPr>
        <w:t xml:space="preserve"> were added. </w:t>
      </w:r>
      <w:r w:rsidR="00751E08">
        <w:rPr>
          <w:lang w:val="en-GB"/>
        </w:rPr>
        <w:t xml:space="preserve">During the fermentations, the temperature all tanks were controlled at 32 °C, while in the Condensed samples, the condensed temperature was fixed to 5 °C. The cooling fluid was propylene glycol. Two pump-overs every day, of 5 min each were done to all tanks. </w:t>
      </w:r>
    </w:p>
    <w:p w14:paraId="5BEEC50F" w14:textId="77777777" w:rsidR="00751E08" w:rsidRDefault="00751E08" w:rsidP="00C63F2E">
      <w:pPr>
        <w:pStyle w:val="CETBodytext"/>
        <w:rPr>
          <w:lang w:val="en-GB"/>
        </w:rPr>
      </w:pPr>
      <w:r>
        <w:rPr>
          <w:lang w:val="en-GB"/>
        </w:rPr>
        <w:t>The obtained wines were stored for 11 months in 100 l stainless steel tanks.</w:t>
      </w:r>
      <w:r w:rsidR="00102468">
        <w:rPr>
          <w:lang w:val="en-GB"/>
        </w:rPr>
        <w:t xml:space="preserve"> </w:t>
      </w:r>
      <w:r>
        <w:rPr>
          <w:lang w:val="en-GB"/>
        </w:rPr>
        <w:t>The head space of the tanks was blanketed with nitrogen to avoid oxidations. Analyses were done immediately after the fermentations, after 6 months, and after 11 months of storage.</w:t>
      </w:r>
    </w:p>
    <w:p w14:paraId="1749C419" w14:textId="3D9B2666" w:rsidR="00751E08" w:rsidRPr="00B57B36" w:rsidRDefault="00751E08" w:rsidP="00751E08">
      <w:pPr>
        <w:pStyle w:val="CETheadingx"/>
        <w:numPr>
          <w:ilvl w:val="0"/>
          <w:numId w:val="0"/>
        </w:numPr>
      </w:pPr>
      <w:r>
        <w:t>2.2 Chemical analyses</w:t>
      </w:r>
    </w:p>
    <w:p w14:paraId="5D09AD3B" w14:textId="6B2B03D8" w:rsidR="007A0753" w:rsidRDefault="00751E08" w:rsidP="00C63F2E">
      <w:pPr>
        <w:pStyle w:val="CETBodytext"/>
        <w:rPr>
          <w:lang w:val="en-GB"/>
        </w:rPr>
      </w:pPr>
      <w:r>
        <w:rPr>
          <w:lang w:val="en-GB"/>
        </w:rPr>
        <w:t xml:space="preserve">Wines were measured for total ethanol content (OIV-MA-AS312-01A R2016 method), </w:t>
      </w:r>
      <w:r w:rsidR="00840D84">
        <w:rPr>
          <w:lang w:val="en-GB"/>
        </w:rPr>
        <w:t>pH, total acidity (OIV-MA-AS313-15 R2011), volatile acidity (OIV-MA-AS313-02 R2015), free and total sul</w:t>
      </w:r>
      <w:r w:rsidR="0095375E">
        <w:rPr>
          <w:lang w:val="en-GB"/>
        </w:rPr>
        <w:t>phu</w:t>
      </w:r>
      <w:r w:rsidR="00840D84">
        <w:rPr>
          <w:lang w:val="en-GB"/>
        </w:rPr>
        <w:t>r dioxide (OIV-MA-AS323-04B R2009), residual sugars (OIV-MA-AS311-02 R2009). Furthermore, wines were measured for volatiles using the HS-SPME-GC-MS method described in Domizio et al. (2018).</w:t>
      </w:r>
    </w:p>
    <w:p w14:paraId="69EC10B8" w14:textId="7C7BD85E" w:rsidR="00856CF8" w:rsidRPr="00B57B36" w:rsidRDefault="00856CF8" w:rsidP="00856CF8">
      <w:pPr>
        <w:pStyle w:val="CETheadingx"/>
        <w:numPr>
          <w:ilvl w:val="0"/>
          <w:numId w:val="0"/>
        </w:numPr>
      </w:pPr>
      <w:r>
        <w:t>2.3 Sensory analyses</w:t>
      </w:r>
    </w:p>
    <w:p w14:paraId="23C79171" w14:textId="1862B8B8" w:rsidR="00856CF8" w:rsidRDefault="00856CF8" w:rsidP="00C63F2E">
      <w:pPr>
        <w:pStyle w:val="CETBodytext"/>
        <w:rPr>
          <w:lang w:val="en-GB"/>
        </w:rPr>
      </w:pPr>
      <w:r>
        <w:rPr>
          <w:lang w:val="en-GB"/>
        </w:rPr>
        <w:t xml:space="preserve">The differences between the Condensed and the Control samples for each grape cultivar were assessed using a triangular test (UNI 0590 A2520 2001). </w:t>
      </w:r>
    </w:p>
    <w:p w14:paraId="7DE2037A" w14:textId="56A4CF42" w:rsidR="00856CF8" w:rsidRPr="00B57B36" w:rsidRDefault="00856CF8" w:rsidP="00856CF8">
      <w:pPr>
        <w:pStyle w:val="CETheadingx"/>
        <w:numPr>
          <w:ilvl w:val="0"/>
          <w:numId w:val="0"/>
        </w:numPr>
      </w:pPr>
      <w:r>
        <w:t>2.4 Statistical analysis</w:t>
      </w:r>
    </w:p>
    <w:p w14:paraId="1E5527C3" w14:textId="79E40A55" w:rsidR="00856CF8" w:rsidRDefault="00856CF8" w:rsidP="00C63F2E">
      <w:pPr>
        <w:pStyle w:val="CETBodytext"/>
        <w:rPr>
          <w:lang w:val="en-GB"/>
        </w:rPr>
      </w:pPr>
      <w:r>
        <w:rPr>
          <w:lang w:val="en-GB"/>
        </w:rPr>
        <w:t xml:space="preserve">Data were treated with a two way ANOVA considering </w:t>
      </w:r>
      <w:r w:rsidR="00FC168D">
        <w:rPr>
          <w:lang w:val="en-GB"/>
        </w:rPr>
        <w:t xml:space="preserve">the condensation treatment (2 levels, Condensed and Control) and the storage time (3 levels, 0-6-11 months) as independent variables. The grape cultivar has been used as random variable in the final mixed effect model as described in Pinero and Bates (2000). </w:t>
      </w:r>
      <w:r w:rsidR="00FC1EE9">
        <w:rPr>
          <w:lang w:val="en-GB"/>
        </w:rPr>
        <w:t>Data was tested for the two main effects and for their interaction. When p&lt;0.05 a Tukey HSD post-hoc test was used.</w:t>
      </w:r>
    </w:p>
    <w:p w14:paraId="68DAFB75" w14:textId="77777777" w:rsidR="007A0753" w:rsidRDefault="007A0753" w:rsidP="00600535">
      <w:pPr>
        <w:pStyle w:val="CETBodytext"/>
      </w:pPr>
    </w:p>
    <w:p w14:paraId="4736A4CB" w14:textId="45BFA681" w:rsidR="00FC1EE9" w:rsidRDefault="00FC1EE9" w:rsidP="00FC1EE9">
      <w:pPr>
        <w:pStyle w:val="CETHeading1"/>
        <w:numPr>
          <w:ilvl w:val="0"/>
          <w:numId w:val="0"/>
        </w:numPr>
        <w:rPr>
          <w:lang w:val="en-GB"/>
        </w:rPr>
      </w:pPr>
      <w:r>
        <w:rPr>
          <w:lang w:val="en-GB"/>
        </w:rPr>
        <w:t>3</w:t>
      </w:r>
      <w:r w:rsidRPr="000C3EE3">
        <w:rPr>
          <w:lang w:val="en-GB"/>
        </w:rPr>
        <w:t xml:space="preserve">. </w:t>
      </w:r>
      <w:r>
        <w:rPr>
          <w:lang w:val="en-GB"/>
        </w:rPr>
        <w:t>Results and discussion</w:t>
      </w:r>
    </w:p>
    <w:p w14:paraId="277B718B" w14:textId="37DAFB7B" w:rsidR="00FC1EE9" w:rsidRPr="00FC1EE9" w:rsidRDefault="00511F6A" w:rsidP="00FC1EE9">
      <w:pPr>
        <w:pStyle w:val="CETBodytext"/>
        <w:rPr>
          <w:lang w:val="en-GB"/>
        </w:rPr>
      </w:pPr>
      <w:r>
        <w:rPr>
          <w:lang w:val="en-GB"/>
        </w:rPr>
        <w:t>Immediately after the production, no significant difference was found in wines for total ethanol, pH, total acidity, volatile acidity, free and total sul</w:t>
      </w:r>
      <w:r w:rsidR="0095375E">
        <w:rPr>
          <w:lang w:val="en-GB"/>
        </w:rPr>
        <w:t>ph</w:t>
      </w:r>
      <w:r>
        <w:rPr>
          <w:lang w:val="en-GB"/>
        </w:rPr>
        <w:t xml:space="preserve">ur dioxide, and residual sugars (Table 1). </w:t>
      </w:r>
    </w:p>
    <w:p w14:paraId="0ABE3D95" w14:textId="69DA3CC3" w:rsidR="00511F6A" w:rsidRPr="00B57B36" w:rsidRDefault="00511F6A" w:rsidP="00511F6A">
      <w:pPr>
        <w:pStyle w:val="CETTabletitle"/>
      </w:pPr>
      <w:r w:rsidRPr="00B57B36">
        <w:t xml:space="preserve">Table 1: </w:t>
      </w:r>
      <w:r>
        <w:t>mean and standard deviation of wine parameters immediately after the production. Ns=not significant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276"/>
        <w:gridCol w:w="1276"/>
        <w:gridCol w:w="1276"/>
        <w:gridCol w:w="1552"/>
      </w:tblGrid>
      <w:tr w:rsidR="00511F6A" w:rsidRPr="00B57B36" w14:paraId="22C6BA7F" w14:textId="37D14925" w:rsidTr="00511F6A">
        <w:tc>
          <w:tcPr>
            <w:tcW w:w="1701" w:type="dxa"/>
            <w:tcBorders>
              <w:top w:val="single" w:sz="12" w:space="0" w:color="008000"/>
              <w:bottom w:val="single" w:sz="6" w:space="0" w:color="008000"/>
            </w:tcBorders>
            <w:shd w:val="clear" w:color="auto" w:fill="FFFFFF"/>
          </w:tcPr>
          <w:p w14:paraId="3F4D2165" w14:textId="600F6399" w:rsidR="00511F6A" w:rsidRPr="00B57B36" w:rsidRDefault="00511F6A" w:rsidP="00A8718A">
            <w:pPr>
              <w:pStyle w:val="CETBodytext"/>
              <w:rPr>
                <w:lang w:val="en-GB"/>
              </w:rPr>
            </w:pPr>
            <w:r>
              <w:rPr>
                <w:lang w:val="en-GB"/>
              </w:rPr>
              <w:t>Parameter</w:t>
            </w:r>
          </w:p>
        </w:tc>
        <w:tc>
          <w:tcPr>
            <w:tcW w:w="1276" w:type="dxa"/>
            <w:tcBorders>
              <w:top w:val="single" w:sz="12" w:space="0" w:color="008000"/>
              <w:bottom w:val="single" w:sz="6" w:space="0" w:color="008000"/>
            </w:tcBorders>
            <w:shd w:val="clear" w:color="auto" w:fill="FFFFFF"/>
          </w:tcPr>
          <w:p w14:paraId="0D06F63D" w14:textId="28378277" w:rsidR="00511F6A" w:rsidRPr="00B57B36" w:rsidRDefault="00511F6A" w:rsidP="00A8718A">
            <w:pPr>
              <w:pStyle w:val="CETBodytext"/>
              <w:rPr>
                <w:lang w:val="en-GB"/>
              </w:rPr>
            </w:pPr>
            <w:r>
              <w:rPr>
                <w:lang w:val="en-GB"/>
              </w:rPr>
              <w:t>Condensed</w:t>
            </w:r>
          </w:p>
        </w:tc>
        <w:tc>
          <w:tcPr>
            <w:tcW w:w="1276" w:type="dxa"/>
            <w:tcBorders>
              <w:top w:val="single" w:sz="12" w:space="0" w:color="008000"/>
              <w:bottom w:val="single" w:sz="6" w:space="0" w:color="008000"/>
            </w:tcBorders>
            <w:shd w:val="clear" w:color="auto" w:fill="FFFFFF"/>
          </w:tcPr>
          <w:p w14:paraId="5F212DC4" w14:textId="179C1627" w:rsidR="00511F6A" w:rsidRPr="00B57B36" w:rsidRDefault="00511F6A" w:rsidP="00A8718A">
            <w:pPr>
              <w:pStyle w:val="CETBodytext"/>
              <w:rPr>
                <w:lang w:val="en-GB"/>
              </w:rPr>
            </w:pPr>
            <w:r>
              <w:rPr>
                <w:lang w:val="en-GB"/>
              </w:rPr>
              <w:t>Control</w:t>
            </w:r>
          </w:p>
        </w:tc>
        <w:tc>
          <w:tcPr>
            <w:tcW w:w="1276" w:type="dxa"/>
            <w:tcBorders>
              <w:top w:val="single" w:sz="12" w:space="0" w:color="008000"/>
              <w:bottom w:val="single" w:sz="6" w:space="0" w:color="008000"/>
            </w:tcBorders>
            <w:shd w:val="clear" w:color="auto" w:fill="FFFFFF"/>
          </w:tcPr>
          <w:p w14:paraId="1DA8A5A9" w14:textId="09C9C0D0" w:rsidR="00511F6A" w:rsidRDefault="00511F6A" w:rsidP="00A8718A">
            <w:pPr>
              <w:pStyle w:val="CETBodytext"/>
              <w:rPr>
                <w:lang w:val="en-GB"/>
              </w:rPr>
            </w:pPr>
            <w:r>
              <w:rPr>
                <w:lang w:val="en-GB"/>
              </w:rPr>
              <w:t>p</w:t>
            </w:r>
          </w:p>
        </w:tc>
        <w:tc>
          <w:tcPr>
            <w:tcW w:w="1276" w:type="dxa"/>
            <w:tcBorders>
              <w:top w:val="single" w:sz="12" w:space="0" w:color="008000"/>
              <w:bottom w:val="single" w:sz="6" w:space="0" w:color="008000"/>
            </w:tcBorders>
            <w:shd w:val="clear" w:color="auto" w:fill="FFFFFF"/>
          </w:tcPr>
          <w:p w14:paraId="72EFDCB7" w14:textId="3BBD058F" w:rsidR="00511F6A" w:rsidRDefault="00511F6A" w:rsidP="00A8718A">
            <w:pPr>
              <w:pStyle w:val="CETBodytext"/>
              <w:rPr>
                <w:lang w:val="en-GB"/>
              </w:rPr>
            </w:pPr>
            <w:r>
              <w:rPr>
                <w:lang w:val="en-GB"/>
              </w:rPr>
              <w:t>Condensed/Control ratio</w:t>
            </w:r>
          </w:p>
        </w:tc>
      </w:tr>
      <w:tr w:rsidR="00511F6A" w:rsidRPr="00B57B36" w14:paraId="77486F58" w14:textId="76F3553C" w:rsidTr="00511F6A">
        <w:tc>
          <w:tcPr>
            <w:tcW w:w="1701" w:type="dxa"/>
            <w:shd w:val="clear" w:color="auto" w:fill="FFFFFF"/>
          </w:tcPr>
          <w:p w14:paraId="3CED5807" w14:textId="61FC1A90" w:rsidR="00511F6A" w:rsidRPr="00B57B36" w:rsidRDefault="00511F6A" w:rsidP="00A8718A">
            <w:pPr>
              <w:pStyle w:val="CETBodytext"/>
              <w:rPr>
                <w:lang w:val="en-GB"/>
              </w:rPr>
            </w:pPr>
            <w:r>
              <w:rPr>
                <w:lang w:val="en-GB"/>
              </w:rPr>
              <w:t>Ethanol (%w/w)</w:t>
            </w:r>
          </w:p>
        </w:tc>
        <w:tc>
          <w:tcPr>
            <w:tcW w:w="1276" w:type="dxa"/>
            <w:shd w:val="clear" w:color="auto" w:fill="FFFFFF"/>
          </w:tcPr>
          <w:p w14:paraId="7856DFBA" w14:textId="439997C4" w:rsidR="00511F6A" w:rsidRPr="00B57B36" w:rsidRDefault="00511F6A" w:rsidP="00A8718A">
            <w:pPr>
              <w:pStyle w:val="CETBodytext"/>
              <w:rPr>
                <w:lang w:val="en-GB"/>
              </w:rPr>
            </w:pPr>
            <w:r>
              <w:rPr>
                <w:lang w:val="en-GB"/>
              </w:rPr>
              <w:t>14.0 (1.1)</w:t>
            </w:r>
          </w:p>
        </w:tc>
        <w:tc>
          <w:tcPr>
            <w:tcW w:w="1276" w:type="dxa"/>
            <w:shd w:val="clear" w:color="auto" w:fill="FFFFFF"/>
          </w:tcPr>
          <w:p w14:paraId="37D1E4F2" w14:textId="76601F21" w:rsidR="00511F6A" w:rsidRPr="00B57B36" w:rsidRDefault="00511F6A" w:rsidP="00A8718A">
            <w:pPr>
              <w:pStyle w:val="CETBodytext"/>
              <w:rPr>
                <w:lang w:val="en-GB"/>
              </w:rPr>
            </w:pPr>
            <w:r>
              <w:rPr>
                <w:lang w:val="en-GB"/>
              </w:rPr>
              <w:t>14.1 (1.1)</w:t>
            </w:r>
          </w:p>
        </w:tc>
        <w:tc>
          <w:tcPr>
            <w:tcW w:w="1276" w:type="dxa"/>
            <w:shd w:val="clear" w:color="auto" w:fill="FFFFFF"/>
          </w:tcPr>
          <w:p w14:paraId="0305F8B9" w14:textId="2E75B2EB" w:rsidR="00511F6A" w:rsidRDefault="00511F6A" w:rsidP="00A8718A">
            <w:pPr>
              <w:pStyle w:val="CETBodytext"/>
              <w:rPr>
                <w:lang w:val="en-GB"/>
              </w:rPr>
            </w:pPr>
            <w:r>
              <w:rPr>
                <w:lang w:val="en-GB"/>
              </w:rPr>
              <w:t>ns</w:t>
            </w:r>
          </w:p>
        </w:tc>
        <w:tc>
          <w:tcPr>
            <w:tcW w:w="1276" w:type="dxa"/>
            <w:shd w:val="clear" w:color="auto" w:fill="FFFFFF"/>
          </w:tcPr>
          <w:p w14:paraId="7019C944" w14:textId="5D8B1EC8" w:rsidR="00511F6A" w:rsidRDefault="00511F6A" w:rsidP="00A8718A">
            <w:pPr>
              <w:pStyle w:val="CETBodytext"/>
              <w:rPr>
                <w:lang w:val="en-GB"/>
              </w:rPr>
            </w:pPr>
            <w:r>
              <w:rPr>
                <w:lang w:val="en-GB"/>
              </w:rPr>
              <w:t>0.99</w:t>
            </w:r>
          </w:p>
        </w:tc>
      </w:tr>
      <w:tr w:rsidR="00511F6A" w:rsidRPr="00B57B36" w14:paraId="0727C925" w14:textId="284B3A41" w:rsidTr="00511F6A">
        <w:tc>
          <w:tcPr>
            <w:tcW w:w="1701" w:type="dxa"/>
            <w:shd w:val="clear" w:color="auto" w:fill="FFFFFF"/>
          </w:tcPr>
          <w:p w14:paraId="30E4820C" w14:textId="3D28C4B6" w:rsidR="00511F6A" w:rsidRPr="00B57B36" w:rsidRDefault="00511F6A" w:rsidP="00A8718A">
            <w:pPr>
              <w:pStyle w:val="CETBodytext"/>
              <w:ind w:right="-1"/>
              <w:rPr>
                <w:rFonts w:cs="Arial"/>
                <w:szCs w:val="18"/>
                <w:lang w:val="en-GB"/>
              </w:rPr>
            </w:pPr>
            <w:r>
              <w:rPr>
                <w:rFonts w:cs="Arial"/>
                <w:szCs w:val="18"/>
                <w:lang w:val="en-GB"/>
              </w:rPr>
              <w:t>pH</w:t>
            </w:r>
          </w:p>
        </w:tc>
        <w:tc>
          <w:tcPr>
            <w:tcW w:w="1276" w:type="dxa"/>
            <w:shd w:val="clear" w:color="auto" w:fill="FFFFFF"/>
          </w:tcPr>
          <w:p w14:paraId="495DE299" w14:textId="4C4C5C02" w:rsidR="00511F6A" w:rsidRPr="00B57B36" w:rsidRDefault="00511F6A" w:rsidP="00A8718A">
            <w:pPr>
              <w:pStyle w:val="CETBodytext"/>
              <w:ind w:right="-1"/>
              <w:rPr>
                <w:rFonts w:cs="Arial"/>
                <w:szCs w:val="18"/>
                <w:lang w:val="en-GB"/>
              </w:rPr>
            </w:pPr>
            <w:r>
              <w:rPr>
                <w:rFonts w:cs="Arial"/>
                <w:szCs w:val="18"/>
                <w:lang w:val="en-GB"/>
              </w:rPr>
              <w:t>3.2 (0</w:t>
            </w:r>
            <w:r w:rsidR="00887D8D">
              <w:rPr>
                <w:rFonts w:cs="Arial"/>
                <w:szCs w:val="18"/>
                <w:lang w:val="en-GB"/>
              </w:rPr>
              <w:t>.</w:t>
            </w:r>
            <w:r>
              <w:rPr>
                <w:rFonts w:cs="Arial"/>
                <w:szCs w:val="18"/>
                <w:lang w:val="en-GB"/>
              </w:rPr>
              <w:t>1)</w:t>
            </w:r>
          </w:p>
        </w:tc>
        <w:tc>
          <w:tcPr>
            <w:tcW w:w="1276" w:type="dxa"/>
            <w:shd w:val="clear" w:color="auto" w:fill="FFFFFF"/>
          </w:tcPr>
          <w:p w14:paraId="31CAD210" w14:textId="60972887" w:rsidR="00511F6A" w:rsidRPr="00B57B36" w:rsidRDefault="00511F6A" w:rsidP="00A8718A">
            <w:pPr>
              <w:pStyle w:val="CETBodytext"/>
              <w:ind w:right="-1"/>
              <w:rPr>
                <w:rFonts w:cs="Arial"/>
                <w:szCs w:val="18"/>
                <w:lang w:val="en-GB"/>
              </w:rPr>
            </w:pPr>
            <w:r>
              <w:rPr>
                <w:rFonts w:cs="Arial"/>
                <w:szCs w:val="18"/>
                <w:lang w:val="en-GB"/>
              </w:rPr>
              <w:t>3.2 (0.2)</w:t>
            </w:r>
          </w:p>
        </w:tc>
        <w:tc>
          <w:tcPr>
            <w:tcW w:w="1276" w:type="dxa"/>
            <w:shd w:val="clear" w:color="auto" w:fill="FFFFFF"/>
          </w:tcPr>
          <w:p w14:paraId="47C5C956" w14:textId="2FD93655" w:rsidR="00511F6A" w:rsidRPr="00B57B36" w:rsidRDefault="00511F6A" w:rsidP="00A8718A">
            <w:pPr>
              <w:pStyle w:val="CETBodytext"/>
              <w:ind w:right="-1"/>
              <w:rPr>
                <w:rFonts w:cs="Arial"/>
                <w:szCs w:val="18"/>
                <w:lang w:val="en-GB"/>
              </w:rPr>
            </w:pPr>
            <w:r>
              <w:rPr>
                <w:rFonts w:cs="Arial"/>
                <w:szCs w:val="18"/>
                <w:lang w:val="en-GB"/>
              </w:rPr>
              <w:t>ns</w:t>
            </w:r>
          </w:p>
        </w:tc>
        <w:tc>
          <w:tcPr>
            <w:tcW w:w="1276" w:type="dxa"/>
            <w:shd w:val="clear" w:color="auto" w:fill="FFFFFF"/>
          </w:tcPr>
          <w:p w14:paraId="69068F86" w14:textId="26EB5591" w:rsidR="00511F6A" w:rsidRPr="00B57B36" w:rsidRDefault="00511F6A" w:rsidP="00A8718A">
            <w:pPr>
              <w:pStyle w:val="CETBodytext"/>
              <w:ind w:right="-1"/>
              <w:rPr>
                <w:rFonts w:cs="Arial"/>
                <w:szCs w:val="18"/>
                <w:lang w:val="en-GB"/>
              </w:rPr>
            </w:pPr>
            <w:r>
              <w:rPr>
                <w:rFonts w:cs="Arial"/>
                <w:szCs w:val="18"/>
                <w:lang w:val="en-GB"/>
              </w:rPr>
              <w:t>0.98</w:t>
            </w:r>
          </w:p>
        </w:tc>
      </w:tr>
      <w:tr w:rsidR="00511F6A" w:rsidRPr="00B57B36" w14:paraId="3E671B9C" w14:textId="77777777" w:rsidTr="00511F6A">
        <w:tc>
          <w:tcPr>
            <w:tcW w:w="1701" w:type="dxa"/>
            <w:shd w:val="clear" w:color="auto" w:fill="FFFFFF"/>
          </w:tcPr>
          <w:p w14:paraId="1F331409" w14:textId="00C729E7" w:rsidR="00511F6A" w:rsidRDefault="00511F6A" w:rsidP="00A8718A">
            <w:pPr>
              <w:pStyle w:val="CETBodytext"/>
              <w:ind w:right="-1"/>
              <w:rPr>
                <w:rFonts w:cs="Arial"/>
                <w:szCs w:val="18"/>
                <w:lang w:val="en-GB"/>
              </w:rPr>
            </w:pPr>
            <w:r>
              <w:rPr>
                <w:rFonts w:cs="Arial"/>
                <w:szCs w:val="18"/>
                <w:lang w:val="en-GB"/>
              </w:rPr>
              <w:t>Total acidity (g/l)</w:t>
            </w:r>
          </w:p>
        </w:tc>
        <w:tc>
          <w:tcPr>
            <w:tcW w:w="1276" w:type="dxa"/>
            <w:shd w:val="clear" w:color="auto" w:fill="FFFFFF"/>
          </w:tcPr>
          <w:p w14:paraId="05944DE7" w14:textId="739F453A" w:rsidR="00511F6A" w:rsidRDefault="00511F6A" w:rsidP="00A8718A">
            <w:pPr>
              <w:pStyle w:val="CETBodytext"/>
              <w:ind w:right="-1"/>
              <w:rPr>
                <w:rFonts w:cs="Arial"/>
                <w:szCs w:val="18"/>
                <w:lang w:val="en-GB"/>
              </w:rPr>
            </w:pPr>
            <w:r>
              <w:rPr>
                <w:rFonts w:cs="Arial"/>
                <w:szCs w:val="18"/>
                <w:lang w:val="en-GB"/>
              </w:rPr>
              <w:t>6.4 (0.3)</w:t>
            </w:r>
          </w:p>
        </w:tc>
        <w:tc>
          <w:tcPr>
            <w:tcW w:w="1276" w:type="dxa"/>
            <w:shd w:val="clear" w:color="auto" w:fill="FFFFFF"/>
          </w:tcPr>
          <w:p w14:paraId="257D45FA" w14:textId="402FB8C2" w:rsidR="00511F6A" w:rsidRDefault="00511F6A" w:rsidP="00A8718A">
            <w:pPr>
              <w:pStyle w:val="CETBodytext"/>
              <w:ind w:right="-1"/>
              <w:rPr>
                <w:rFonts w:cs="Arial"/>
                <w:szCs w:val="18"/>
                <w:lang w:val="en-GB"/>
              </w:rPr>
            </w:pPr>
            <w:r>
              <w:rPr>
                <w:rFonts w:cs="Arial"/>
                <w:szCs w:val="18"/>
                <w:lang w:val="en-GB"/>
              </w:rPr>
              <w:t>6.3 (0.8)</w:t>
            </w:r>
          </w:p>
        </w:tc>
        <w:tc>
          <w:tcPr>
            <w:tcW w:w="1276" w:type="dxa"/>
            <w:shd w:val="clear" w:color="auto" w:fill="FFFFFF"/>
          </w:tcPr>
          <w:p w14:paraId="51F23DFE" w14:textId="01CFC512" w:rsidR="00511F6A" w:rsidRDefault="00511F6A" w:rsidP="00A8718A">
            <w:pPr>
              <w:pStyle w:val="CETBodytext"/>
              <w:ind w:right="-1"/>
              <w:rPr>
                <w:rFonts w:cs="Arial"/>
                <w:szCs w:val="18"/>
                <w:lang w:val="en-GB"/>
              </w:rPr>
            </w:pPr>
            <w:r>
              <w:rPr>
                <w:rFonts w:cs="Arial"/>
                <w:szCs w:val="18"/>
                <w:lang w:val="en-GB"/>
              </w:rPr>
              <w:t>ns</w:t>
            </w:r>
          </w:p>
        </w:tc>
        <w:tc>
          <w:tcPr>
            <w:tcW w:w="1276" w:type="dxa"/>
            <w:shd w:val="clear" w:color="auto" w:fill="FFFFFF"/>
          </w:tcPr>
          <w:p w14:paraId="55411FA0" w14:textId="315DE092" w:rsidR="00511F6A" w:rsidRDefault="00511F6A" w:rsidP="00A8718A">
            <w:pPr>
              <w:pStyle w:val="CETBodytext"/>
              <w:ind w:right="-1"/>
              <w:rPr>
                <w:rFonts w:cs="Arial"/>
                <w:szCs w:val="18"/>
                <w:lang w:val="en-GB"/>
              </w:rPr>
            </w:pPr>
            <w:r>
              <w:rPr>
                <w:rFonts w:cs="Arial"/>
                <w:szCs w:val="18"/>
                <w:lang w:val="en-GB"/>
              </w:rPr>
              <w:t>1.01</w:t>
            </w:r>
          </w:p>
        </w:tc>
      </w:tr>
      <w:tr w:rsidR="00511F6A" w:rsidRPr="00B57B36" w14:paraId="17E67FF2" w14:textId="77777777" w:rsidTr="00511F6A">
        <w:tc>
          <w:tcPr>
            <w:tcW w:w="1701" w:type="dxa"/>
            <w:shd w:val="clear" w:color="auto" w:fill="FFFFFF"/>
          </w:tcPr>
          <w:p w14:paraId="149B0B63" w14:textId="797D0C1D" w:rsidR="00511F6A" w:rsidRDefault="00511F6A" w:rsidP="00A8718A">
            <w:pPr>
              <w:pStyle w:val="CETBodytext"/>
              <w:ind w:right="-1"/>
              <w:rPr>
                <w:rFonts w:cs="Arial"/>
                <w:szCs w:val="18"/>
                <w:lang w:val="en-GB"/>
              </w:rPr>
            </w:pPr>
            <w:r>
              <w:rPr>
                <w:rFonts w:cs="Arial"/>
                <w:szCs w:val="18"/>
                <w:lang w:val="en-GB"/>
              </w:rPr>
              <w:t>Volatile acidity (g/l)</w:t>
            </w:r>
          </w:p>
        </w:tc>
        <w:tc>
          <w:tcPr>
            <w:tcW w:w="1276" w:type="dxa"/>
            <w:shd w:val="clear" w:color="auto" w:fill="FFFFFF"/>
          </w:tcPr>
          <w:p w14:paraId="1B109508" w14:textId="345870BE" w:rsidR="00511F6A" w:rsidRDefault="00511F6A" w:rsidP="00A8718A">
            <w:pPr>
              <w:pStyle w:val="CETBodytext"/>
              <w:ind w:right="-1"/>
              <w:rPr>
                <w:rFonts w:cs="Arial"/>
                <w:szCs w:val="18"/>
                <w:lang w:val="en-GB"/>
              </w:rPr>
            </w:pPr>
            <w:r>
              <w:rPr>
                <w:rFonts w:cs="Arial"/>
                <w:szCs w:val="18"/>
                <w:lang w:val="en-GB"/>
              </w:rPr>
              <w:t>0.6 (0.1)</w:t>
            </w:r>
          </w:p>
        </w:tc>
        <w:tc>
          <w:tcPr>
            <w:tcW w:w="1276" w:type="dxa"/>
            <w:shd w:val="clear" w:color="auto" w:fill="FFFFFF"/>
          </w:tcPr>
          <w:p w14:paraId="663212FE" w14:textId="3FE9EDCF" w:rsidR="00511F6A" w:rsidRDefault="00511F6A" w:rsidP="00A8718A">
            <w:pPr>
              <w:pStyle w:val="CETBodytext"/>
              <w:ind w:right="-1"/>
              <w:rPr>
                <w:rFonts w:cs="Arial"/>
                <w:szCs w:val="18"/>
                <w:lang w:val="en-GB"/>
              </w:rPr>
            </w:pPr>
            <w:r>
              <w:rPr>
                <w:rFonts w:cs="Arial"/>
                <w:szCs w:val="18"/>
                <w:lang w:val="en-GB"/>
              </w:rPr>
              <w:t>0.5 (0.1)</w:t>
            </w:r>
          </w:p>
        </w:tc>
        <w:tc>
          <w:tcPr>
            <w:tcW w:w="1276" w:type="dxa"/>
            <w:shd w:val="clear" w:color="auto" w:fill="FFFFFF"/>
          </w:tcPr>
          <w:p w14:paraId="2A0F983B" w14:textId="0C54EE4D" w:rsidR="00511F6A" w:rsidRDefault="00511F6A" w:rsidP="00A8718A">
            <w:pPr>
              <w:pStyle w:val="CETBodytext"/>
              <w:ind w:right="-1"/>
              <w:rPr>
                <w:rFonts w:cs="Arial"/>
                <w:szCs w:val="18"/>
                <w:lang w:val="en-GB"/>
              </w:rPr>
            </w:pPr>
            <w:r>
              <w:rPr>
                <w:rFonts w:cs="Arial"/>
                <w:szCs w:val="18"/>
                <w:lang w:val="en-GB"/>
              </w:rPr>
              <w:t>ns</w:t>
            </w:r>
          </w:p>
        </w:tc>
        <w:tc>
          <w:tcPr>
            <w:tcW w:w="1276" w:type="dxa"/>
            <w:shd w:val="clear" w:color="auto" w:fill="FFFFFF"/>
          </w:tcPr>
          <w:p w14:paraId="334FCFDF" w14:textId="3146BA1E" w:rsidR="00511F6A" w:rsidRDefault="00511F6A" w:rsidP="00A8718A">
            <w:pPr>
              <w:pStyle w:val="CETBodytext"/>
              <w:ind w:right="-1"/>
              <w:rPr>
                <w:rFonts w:cs="Arial"/>
                <w:szCs w:val="18"/>
                <w:lang w:val="en-GB"/>
              </w:rPr>
            </w:pPr>
            <w:r>
              <w:rPr>
                <w:rFonts w:cs="Arial"/>
                <w:szCs w:val="18"/>
                <w:lang w:val="en-GB"/>
              </w:rPr>
              <w:t>1.11</w:t>
            </w:r>
          </w:p>
        </w:tc>
      </w:tr>
      <w:tr w:rsidR="00511F6A" w:rsidRPr="00B57B36" w14:paraId="533B30FB" w14:textId="77777777" w:rsidTr="00511F6A">
        <w:tc>
          <w:tcPr>
            <w:tcW w:w="1701" w:type="dxa"/>
            <w:shd w:val="clear" w:color="auto" w:fill="FFFFFF"/>
          </w:tcPr>
          <w:p w14:paraId="35B7BA60" w14:textId="28DF6562" w:rsidR="00511F6A" w:rsidRPr="00511F6A" w:rsidRDefault="00511F6A" w:rsidP="00A8718A">
            <w:pPr>
              <w:pStyle w:val="CETBodytext"/>
              <w:ind w:right="-1"/>
              <w:rPr>
                <w:rFonts w:cs="Arial"/>
                <w:szCs w:val="18"/>
                <w:lang w:val="en-GB"/>
              </w:rPr>
            </w:pPr>
            <w:r>
              <w:rPr>
                <w:rFonts w:cs="Arial"/>
                <w:szCs w:val="18"/>
                <w:lang w:val="en-GB"/>
              </w:rPr>
              <w:t>Free SO</w:t>
            </w:r>
            <w:r w:rsidRPr="00511F6A">
              <w:rPr>
                <w:rFonts w:cs="Arial"/>
                <w:szCs w:val="18"/>
                <w:vertAlign w:val="subscript"/>
                <w:lang w:val="en-GB"/>
              </w:rPr>
              <w:t>2</w:t>
            </w:r>
            <w:r>
              <w:rPr>
                <w:rFonts w:cs="Arial"/>
                <w:szCs w:val="18"/>
                <w:vertAlign w:val="subscript"/>
                <w:lang w:val="en-GB"/>
              </w:rPr>
              <w:t xml:space="preserve"> </w:t>
            </w:r>
            <w:r>
              <w:rPr>
                <w:rFonts w:cs="Arial"/>
                <w:szCs w:val="18"/>
                <w:lang w:val="en-GB"/>
              </w:rPr>
              <w:t>(mg/l)</w:t>
            </w:r>
          </w:p>
        </w:tc>
        <w:tc>
          <w:tcPr>
            <w:tcW w:w="1276" w:type="dxa"/>
            <w:shd w:val="clear" w:color="auto" w:fill="FFFFFF"/>
          </w:tcPr>
          <w:p w14:paraId="6475CD10" w14:textId="1D41185A" w:rsidR="00511F6A" w:rsidRDefault="00511F6A" w:rsidP="00A8718A">
            <w:pPr>
              <w:pStyle w:val="CETBodytext"/>
              <w:ind w:right="-1"/>
              <w:rPr>
                <w:rFonts w:cs="Arial"/>
                <w:szCs w:val="18"/>
                <w:lang w:val="en-GB"/>
              </w:rPr>
            </w:pPr>
            <w:r>
              <w:rPr>
                <w:rFonts w:cs="Arial"/>
                <w:szCs w:val="18"/>
                <w:lang w:val="en-GB"/>
              </w:rPr>
              <w:t>10.7 (8.1)</w:t>
            </w:r>
          </w:p>
        </w:tc>
        <w:tc>
          <w:tcPr>
            <w:tcW w:w="1276" w:type="dxa"/>
            <w:shd w:val="clear" w:color="auto" w:fill="FFFFFF"/>
          </w:tcPr>
          <w:p w14:paraId="1648D700" w14:textId="654FED90" w:rsidR="00511F6A" w:rsidRDefault="00511F6A" w:rsidP="00A8718A">
            <w:pPr>
              <w:pStyle w:val="CETBodytext"/>
              <w:ind w:right="-1"/>
              <w:rPr>
                <w:rFonts w:cs="Arial"/>
                <w:szCs w:val="18"/>
                <w:lang w:val="en-GB"/>
              </w:rPr>
            </w:pPr>
            <w:r>
              <w:rPr>
                <w:rFonts w:cs="Arial"/>
                <w:szCs w:val="18"/>
                <w:lang w:val="en-GB"/>
              </w:rPr>
              <w:t>10.0 (8.9)</w:t>
            </w:r>
          </w:p>
        </w:tc>
        <w:tc>
          <w:tcPr>
            <w:tcW w:w="1276" w:type="dxa"/>
            <w:shd w:val="clear" w:color="auto" w:fill="FFFFFF"/>
          </w:tcPr>
          <w:p w14:paraId="036CDBF8" w14:textId="4659A858" w:rsidR="00511F6A" w:rsidRDefault="00511F6A" w:rsidP="00A8718A">
            <w:pPr>
              <w:pStyle w:val="CETBodytext"/>
              <w:ind w:right="-1"/>
              <w:rPr>
                <w:rFonts w:cs="Arial"/>
                <w:szCs w:val="18"/>
                <w:lang w:val="en-GB"/>
              </w:rPr>
            </w:pPr>
            <w:r>
              <w:rPr>
                <w:rFonts w:cs="Arial"/>
                <w:szCs w:val="18"/>
                <w:lang w:val="en-GB"/>
              </w:rPr>
              <w:t>ns</w:t>
            </w:r>
          </w:p>
        </w:tc>
        <w:tc>
          <w:tcPr>
            <w:tcW w:w="1276" w:type="dxa"/>
            <w:shd w:val="clear" w:color="auto" w:fill="FFFFFF"/>
          </w:tcPr>
          <w:p w14:paraId="023F58B8" w14:textId="789C1B8C" w:rsidR="00511F6A" w:rsidRDefault="00511F6A" w:rsidP="00A8718A">
            <w:pPr>
              <w:pStyle w:val="CETBodytext"/>
              <w:ind w:right="-1"/>
              <w:rPr>
                <w:rFonts w:cs="Arial"/>
                <w:szCs w:val="18"/>
                <w:lang w:val="en-GB"/>
              </w:rPr>
            </w:pPr>
            <w:r>
              <w:rPr>
                <w:rFonts w:cs="Arial"/>
                <w:szCs w:val="18"/>
                <w:lang w:val="en-GB"/>
              </w:rPr>
              <w:t>1.07</w:t>
            </w:r>
          </w:p>
        </w:tc>
      </w:tr>
      <w:tr w:rsidR="00511F6A" w:rsidRPr="00B57B36" w14:paraId="064D690C" w14:textId="77777777" w:rsidTr="00511F6A">
        <w:tc>
          <w:tcPr>
            <w:tcW w:w="1701" w:type="dxa"/>
            <w:shd w:val="clear" w:color="auto" w:fill="FFFFFF"/>
          </w:tcPr>
          <w:p w14:paraId="20D2F87C" w14:textId="2D810701" w:rsidR="00511F6A" w:rsidRDefault="00511F6A" w:rsidP="00A8718A">
            <w:pPr>
              <w:pStyle w:val="CETBodytext"/>
              <w:ind w:right="-1"/>
              <w:rPr>
                <w:rFonts w:cs="Arial"/>
                <w:szCs w:val="18"/>
                <w:lang w:val="en-GB"/>
              </w:rPr>
            </w:pPr>
            <w:r>
              <w:rPr>
                <w:rFonts w:cs="Arial"/>
                <w:szCs w:val="18"/>
                <w:lang w:val="en-GB"/>
              </w:rPr>
              <w:t>Total SO</w:t>
            </w:r>
            <w:r w:rsidRPr="00511F6A">
              <w:rPr>
                <w:rFonts w:cs="Arial"/>
                <w:szCs w:val="18"/>
                <w:vertAlign w:val="subscript"/>
                <w:lang w:val="en-GB"/>
              </w:rPr>
              <w:t>2</w:t>
            </w:r>
            <w:r>
              <w:rPr>
                <w:rFonts w:cs="Arial"/>
                <w:szCs w:val="18"/>
                <w:vertAlign w:val="subscript"/>
                <w:lang w:val="en-GB"/>
              </w:rPr>
              <w:t xml:space="preserve"> </w:t>
            </w:r>
            <w:r>
              <w:rPr>
                <w:rFonts w:cs="Arial"/>
                <w:szCs w:val="18"/>
                <w:lang w:val="en-GB"/>
              </w:rPr>
              <w:t>(mg/l)</w:t>
            </w:r>
          </w:p>
        </w:tc>
        <w:tc>
          <w:tcPr>
            <w:tcW w:w="1276" w:type="dxa"/>
            <w:shd w:val="clear" w:color="auto" w:fill="FFFFFF"/>
          </w:tcPr>
          <w:p w14:paraId="58937BB8" w14:textId="49F67FAA" w:rsidR="00511F6A" w:rsidRDefault="00511F6A" w:rsidP="00A8718A">
            <w:pPr>
              <w:pStyle w:val="CETBodytext"/>
              <w:ind w:right="-1"/>
              <w:rPr>
                <w:rFonts w:cs="Arial"/>
                <w:szCs w:val="18"/>
                <w:lang w:val="en-GB"/>
              </w:rPr>
            </w:pPr>
            <w:r>
              <w:rPr>
                <w:rFonts w:cs="Arial"/>
                <w:szCs w:val="18"/>
                <w:lang w:val="en-GB"/>
              </w:rPr>
              <w:t>82.3 (19.5)</w:t>
            </w:r>
          </w:p>
        </w:tc>
        <w:tc>
          <w:tcPr>
            <w:tcW w:w="1276" w:type="dxa"/>
            <w:shd w:val="clear" w:color="auto" w:fill="FFFFFF"/>
          </w:tcPr>
          <w:p w14:paraId="2CFE3768" w14:textId="108C6F7B" w:rsidR="00511F6A" w:rsidRDefault="00511F6A" w:rsidP="00A8718A">
            <w:pPr>
              <w:pStyle w:val="CETBodytext"/>
              <w:ind w:right="-1"/>
              <w:rPr>
                <w:rFonts w:cs="Arial"/>
                <w:szCs w:val="18"/>
                <w:lang w:val="en-GB"/>
              </w:rPr>
            </w:pPr>
            <w:r>
              <w:rPr>
                <w:rFonts w:cs="Arial"/>
                <w:szCs w:val="18"/>
                <w:lang w:val="en-GB"/>
              </w:rPr>
              <w:t>79.7 (19.9)</w:t>
            </w:r>
          </w:p>
        </w:tc>
        <w:tc>
          <w:tcPr>
            <w:tcW w:w="1276" w:type="dxa"/>
            <w:shd w:val="clear" w:color="auto" w:fill="FFFFFF"/>
          </w:tcPr>
          <w:p w14:paraId="2FA06A66" w14:textId="769D8989" w:rsidR="00511F6A" w:rsidRDefault="00511F6A" w:rsidP="00A8718A">
            <w:pPr>
              <w:pStyle w:val="CETBodytext"/>
              <w:ind w:right="-1"/>
              <w:rPr>
                <w:rFonts w:cs="Arial"/>
                <w:szCs w:val="18"/>
                <w:lang w:val="en-GB"/>
              </w:rPr>
            </w:pPr>
            <w:r>
              <w:rPr>
                <w:rFonts w:cs="Arial"/>
                <w:szCs w:val="18"/>
                <w:lang w:val="en-GB"/>
              </w:rPr>
              <w:t>ns</w:t>
            </w:r>
          </w:p>
        </w:tc>
        <w:tc>
          <w:tcPr>
            <w:tcW w:w="1276" w:type="dxa"/>
            <w:shd w:val="clear" w:color="auto" w:fill="FFFFFF"/>
          </w:tcPr>
          <w:p w14:paraId="381E87D3" w14:textId="14B25465" w:rsidR="00511F6A" w:rsidRDefault="00511F6A" w:rsidP="00A8718A">
            <w:pPr>
              <w:pStyle w:val="CETBodytext"/>
              <w:ind w:right="-1"/>
              <w:rPr>
                <w:rFonts w:cs="Arial"/>
                <w:szCs w:val="18"/>
                <w:lang w:val="en-GB"/>
              </w:rPr>
            </w:pPr>
            <w:r>
              <w:rPr>
                <w:rFonts w:cs="Arial"/>
                <w:szCs w:val="18"/>
                <w:lang w:val="en-GB"/>
              </w:rPr>
              <w:t>1.03</w:t>
            </w:r>
          </w:p>
        </w:tc>
      </w:tr>
      <w:tr w:rsidR="00511F6A" w:rsidRPr="00B57B36" w14:paraId="45144907" w14:textId="77777777" w:rsidTr="00511F6A">
        <w:tc>
          <w:tcPr>
            <w:tcW w:w="1701" w:type="dxa"/>
            <w:shd w:val="clear" w:color="auto" w:fill="FFFFFF"/>
          </w:tcPr>
          <w:p w14:paraId="62C39818" w14:textId="185C517A" w:rsidR="00511F6A" w:rsidRDefault="00511F6A" w:rsidP="00A8718A">
            <w:pPr>
              <w:pStyle w:val="CETBodytext"/>
              <w:ind w:right="-1"/>
              <w:rPr>
                <w:rFonts w:cs="Arial"/>
                <w:szCs w:val="18"/>
                <w:lang w:val="en-GB"/>
              </w:rPr>
            </w:pPr>
            <w:r>
              <w:rPr>
                <w:rFonts w:cs="Arial"/>
                <w:szCs w:val="18"/>
                <w:lang w:val="en-GB"/>
              </w:rPr>
              <w:t>Residual sugars (g/l)</w:t>
            </w:r>
          </w:p>
        </w:tc>
        <w:tc>
          <w:tcPr>
            <w:tcW w:w="1276" w:type="dxa"/>
            <w:shd w:val="clear" w:color="auto" w:fill="FFFFFF"/>
          </w:tcPr>
          <w:p w14:paraId="04AECD67" w14:textId="0DFFA201" w:rsidR="00511F6A" w:rsidRDefault="00511F6A" w:rsidP="00A8718A">
            <w:pPr>
              <w:pStyle w:val="CETBodytext"/>
              <w:ind w:right="-1"/>
              <w:rPr>
                <w:rFonts w:cs="Arial"/>
                <w:szCs w:val="18"/>
                <w:lang w:val="en-GB"/>
              </w:rPr>
            </w:pPr>
            <w:r>
              <w:rPr>
                <w:rFonts w:cs="Arial"/>
                <w:szCs w:val="18"/>
                <w:lang w:val="en-GB"/>
              </w:rPr>
              <w:t>0.6 (0.5)</w:t>
            </w:r>
          </w:p>
        </w:tc>
        <w:tc>
          <w:tcPr>
            <w:tcW w:w="1276" w:type="dxa"/>
            <w:shd w:val="clear" w:color="auto" w:fill="FFFFFF"/>
          </w:tcPr>
          <w:p w14:paraId="410AA57C" w14:textId="22F6B1AB" w:rsidR="00511F6A" w:rsidRDefault="00511F6A" w:rsidP="00A8718A">
            <w:pPr>
              <w:pStyle w:val="CETBodytext"/>
              <w:ind w:right="-1"/>
              <w:rPr>
                <w:rFonts w:cs="Arial"/>
                <w:szCs w:val="18"/>
                <w:lang w:val="en-GB"/>
              </w:rPr>
            </w:pPr>
            <w:r>
              <w:rPr>
                <w:rFonts w:cs="Arial"/>
                <w:szCs w:val="18"/>
                <w:lang w:val="en-GB"/>
              </w:rPr>
              <w:t>0.5 (0.2)</w:t>
            </w:r>
          </w:p>
        </w:tc>
        <w:tc>
          <w:tcPr>
            <w:tcW w:w="1276" w:type="dxa"/>
            <w:shd w:val="clear" w:color="auto" w:fill="FFFFFF"/>
          </w:tcPr>
          <w:p w14:paraId="507B614F" w14:textId="6D0AB486" w:rsidR="00511F6A" w:rsidRDefault="00511F6A" w:rsidP="00A8718A">
            <w:pPr>
              <w:pStyle w:val="CETBodytext"/>
              <w:ind w:right="-1"/>
              <w:rPr>
                <w:rFonts w:cs="Arial"/>
                <w:szCs w:val="18"/>
                <w:lang w:val="en-GB"/>
              </w:rPr>
            </w:pPr>
            <w:r>
              <w:rPr>
                <w:rFonts w:cs="Arial"/>
                <w:szCs w:val="18"/>
                <w:lang w:val="en-GB"/>
              </w:rPr>
              <w:t>ns</w:t>
            </w:r>
          </w:p>
        </w:tc>
        <w:tc>
          <w:tcPr>
            <w:tcW w:w="1276" w:type="dxa"/>
            <w:shd w:val="clear" w:color="auto" w:fill="FFFFFF"/>
          </w:tcPr>
          <w:p w14:paraId="2850F6AE" w14:textId="4EBC7CDA" w:rsidR="00511F6A" w:rsidRDefault="00511F6A" w:rsidP="00A8718A">
            <w:pPr>
              <w:pStyle w:val="CETBodytext"/>
              <w:ind w:right="-1"/>
              <w:rPr>
                <w:rFonts w:cs="Arial"/>
                <w:szCs w:val="18"/>
                <w:lang w:val="en-GB"/>
              </w:rPr>
            </w:pPr>
            <w:r>
              <w:rPr>
                <w:rFonts w:cs="Arial"/>
                <w:szCs w:val="18"/>
                <w:lang w:val="en-GB"/>
              </w:rPr>
              <w:t>1.29</w:t>
            </w:r>
          </w:p>
        </w:tc>
      </w:tr>
    </w:tbl>
    <w:p w14:paraId="2CFDFB91" w14:textId="77777777" w:rsidR="00FE5265" w:rsidRDefault="00FE5265" w:rsidP="00600535">
      <w:pPr>
        <w:pStyle w:val="CETBodytext"/>
      </w:pPr>
    </w:p>
    <w:p w14:paraId="26A8AD30" w14:textId="1A85E475" w:rsidR="00FE5265" w:rsidRDefault="0059756F" w:rsidP="00600535">
      <w:pPr>
        <w:pStyle w:val="CETBodytext"/>
      </w:pPr>
      <w:r>
        <w:t xml:space="preserve">During the wine storage, no significant difference in the above reported parameters was found (data not shown). </w:t>
      </w:r>
      <w:r w:rsidR="000944E4">
        <w:t xml:space="preserve">Thus, the condensation </w:t>
      </w:r>
      <w:r w:rsidR="002B54CD">
        <w:t>treatment has</w:t>
      </w:r>
      <w:r w:rsidR="000944E4">
        <w:t xml:space="preserve"> not influenced these parameters.</w:t>
      </w:r>
    </w:p>
    <w:p w14:paraId="1681E879" w14:textId="77777777" w:rsidR="00746A73" w:rsidRDefault="00ED53FC" w:rsidP="00600535">
      <w:pPr>
        <w:pStyle w:val="CETBodytext"/>
      </w:pPr>
      <w:r>
        <w:t>The volatile profile has been analyzed for 18 compounds considered important on the basis of the previous works (Guerrini et al., 2016 and 2018b). Among these</w:t>
      </w:r>
      <w:r w:rsidR="00746A73">
        <w:t>,</w:t>
      </w:r>
      <w:r>
        <w:t xml:space="preserve"> 7 </w:t>
      </w:r>
      <w:r w:rsidR="00746A73">
        <w:t>increased significantly</w:t>
      </w:r>
      <w:r>
        <w:t xml:space="preserve"> </w:t>
      </w:r>
      <w:r w:rsidR="00746A73">
        <w:t xml:space="preserve">in the Condensed samples, while no compound was found at higher concentration in the control. </w:t>
      </w:r>
      <w:bookmarkStart w:id="0" w:name="_GoBack"/>
      <w:bookmarkEnd w:id="0"/>
    </w:p>
    <w:p w14:paraId="595487AE" w14:textId="77777777" w:rsidR="00FA11E9" w:rsidRPr="00B57B36" w:rsidRDefault="00FA11E9" w:rsidP="00FA11E9">
      <w:pPr>
        <w:pStyle w:val="CETTabletitle"/>
      </w:pPr>
      <w:r>
        <w:t>Table 2</w:t>
      </w:r>
      <w:r w:rsidRPr="00B57B36">
        <w:t xml:space="preserve">: </w:t>
      </w:r>
      <w:r>
        <w:t>mean and standard deviation of selected wine volatile compounds immediately after the production. Ns=not significant, * = p &lt; 0.05, ** = p &lt; 0.01, *** = p &lt; 0.001.</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1276"/>
        <w:gridCol w:w="1276"/>
        <w:gridCol w:w="1276"/>
        <w:gridCol w:w="1552"/>
      </w:tblGrid>
      <w:tr w:rsidR="00FA11E9" w:rsidRPr="00B57B36" w14:paraId="09506ED6" w14:textId="77777777" w:rsidTr="00034331">
        <w:tc>
          <w:tcPr>
            <w:tcW w:w="1985" w:type="dxa"/>
            <w:tcBorders>
              <w:top w:val="single" w:sz="12" w:space="0" w:color="008000"/>
              <w:bottom w:val="single" w:sz="6" w:space="0" w:color="008000"/>
            </w:tcBorders>
            <w:shd w:val="clear" w:color="auto" w:fill="FFFFFF"/>
          </w:tcPr>
          <w:p w14:paraId="1AE5F6DB" w14:textId="77777777" w:rsidR="00FA11E9" w:rsidRPr="00B57B36" w:rsidRDefault="00FA11E9" w:rsidP="00034331">
            <w:pPr>
              <w:pStyle w:val="CETBodytext"/>
              <w:rPr>
                <w:lang w:val="en-GB"/>
              </w:rPr>
            </w:pPr>
            <w:r>
              <w:rPr>
                <w:lang w:val="en-GB"/>
              </w:rPr>
              <w:t>Compound (mg/kg)</w:t>
            </w:r>
          </w:p>
        </w:tc>
        <w:tc>
          <w:tcPr>
            <w:tcW w:w="1276" w:type="dxa"/>
            <w:tcBorders>
              <w:top w:val="single" w:sz="12" w:space="0" w:color="008000"/>
              <w:bottom w:val="single" w:sz="6" w:space="0" w:color="008000"/>
            </w:tcBorders>
            <w:shd w:val="clear" w:color="auto" w:fill="FFFFFF"/>
          </w:tcPr>
          <w:p w14:paraId="033BDE78" w14:textId="77777777" w:rsidR="00FA11E9" w:rsidRPr="00B57B36" w:rsidRDefault="00FA11E9" w:rsidP="00034331">
            <w:pPr>
              <w:pStyle w:val="CETBodytext"/>
              <w:rPr>
                <w:lang w:val="en-GB"/>
              </w:rPr>
            </w:pPr>
            <w:r>
              <w:rPr>
                <w:lang w:val="en-GB"/>
              </w:rPr>
              <w:t>Condensed</w:t>
            </w:r>
          </w:p>
        </w:tc>
        <w:tc>
          <w:tcPr>
            <w:tcW w:w="1276" w:type="dxa"/>
            <w:tcBorders>
              <w:top w:val="single" w:sz="12" w:space="0" w:color="008000"/>
              <w:bottom w:val="single" w:sz="6" w:space="0" w:color="008000"/>
            </w:tcBorders>
            <w:shd w:val="clear" w:color="auto" w:fill="FFFFFF"/>
          </w:tcPr>
          <w:p w14:paraId="2AD249D5" w14:textId="77777777" w:rsidR="00FA11E9" w:rsidRPr="00B57B36" w:rsidRDefault="00FA11E9" w:rsidP="00034331">
            <w:pPr>
              <w:pStyle w:val="CETBodytext"/>
              <w:rPr>
                <w:lang w:val="en-GB"/>
              </w:rPr>
            </w:pPr>
            <w:r>
              <w:rPr>
                <w:lang w:val="en-GB"/>
              </w:rPr>
              <w:t>Control</w:t>
            </w:r>
          </w:p>
        </w:tc>
        <w:tc>
          <w:tcPr>
            <w:tcW w:w="1276" w:type="dxa"/>
            <w:tcBorders>
              <w:top w:val="single" w:sz="12" w:space="0" w:color="008000"/>
              <w:bottom w:val="single" w:sz="6" w:space="0" w:color="008000"/>
            </w:tcBorders>
            <w:shd w:val="clear" w:color="auto" w:fill="FFFFFF"/>
          </w:tcPr>
          <w:p w14:paraId="6067389C" w14:textId="77777777" w:rsidR="00FA11E9" w:rsidRDefault="00FA11E9" w:rsidP="00034331">
            <w:pPr>
              <w:pStyle w:val="CETBodytext"/>
              <w:rPr>
                <w:lang w:val="en-GB"/>
              </w:rPr>
            </w:pPr>
            <w:r>
              <w:rPr>
                <w:lang w:val="en-GB"/>
              </w:rPr>
              <w:t>p</w:t>
            </w:r>
          </w:p>
        </w:tc>
        <w:tc>
          <w:tcPr>
            <w:tcW w:w="1552" w:type="dxa"/>
            <w:tcBorders>
              <w:top w:val="single" w:sz="12" w:space="0" w:color="008000"/>
              <w:bottom w:val="single" w:sz="6" w:space="0" w:color="008000"/>
            </w:tcBorders>
            <w:shd w:val="clear" w:color="auto" w:fill="FFFFFF"/>
          </w:tcPr>
          <w:p w14:paraId="72F3AD68" w14:textId="77777777" w:rsidR="00FA11E9" w:rsidRDefault="00FA11E9" w:rsidP="00034331">
            <w:pPr>
              <w:pStyle w:val="CETBodytext"/>
              <w:rPr>
                <w:lang w:val="en-GB"/>
              </w:rPr>
            </w:pPr>
            <w:r>
              <w:rPr>
                <w:lang w:val="en-GB"/>
              </w:rPr>
              <w:t>Condensed/Control ratio</w:t>
            </w:r>
          </w:p>
        </w:tc>
      </w:tr>
      <w:tr w:rsidR="00FA11E9" w:rsidRPr="00B57B36" w14:paraId="3A036174" w14:textId="77777777" w:rsidTr="00034331">
        <w:tc>
          <w:tcPr>
            <w:tcW w:w="1985" w:type="dxa"/>
            <w:shd w:val="clear" w:color="auto" w:fill="FFFFFF"/>
          </w:tcPr>
          <w:p w14:paraId="6DB8CB8D" w14:textId="77777777" w:rsidR="00FA11E9" w:rsidRPr="00B57B36" w:rsidRDefault="00FA11E9" w:rsidP="00034331">
            <w:pPr>
              <w:pStyle w:val="CETBodytext"/>
              <w:rPr>
                <w:lang w:val="en-GB"/>
              </w:rPr>
            </w:pPr>
            <w:r>
              <w:rPr>
                <w:lang w:val="en-GB"/>
              </w:rPr>
              <w:t>Acetic acid hexil ester</w:t>
            </w:r>
          </w:p>
        </w:tc>
        <w:tc>
          <w:tcPr>
            <w:tcW w:w="1276" w:type="dxa"/>
            <w:shd w:val="clear" w:color="auto" w:fill="FFFFFF"/>
          </w:tcPr>
          <w:p w14:paraId="6565C8D2" w14:textId="77777777" w:rsidR="00FA11E9" w:rsidRPr="00B57B36" w:rsidRDefault="00FA11E9" w:rsidP="00034331">
            <w:pPr>
              <w:pStyle w:val="CETBodytext"/>
              <w:rPr>
                <w:lang w:val="en-GB"/>
              </w:rPr>
            </w:pPr>
            <w:r>
              <w:rPr>
                <w:lang w:val="en-GB"/>
              </w:rPr>
              <w:t>0.06 (0.02)</w:t>
            </w:r>
          </w:p>
        </w:tc>
        <w:tc>
          <w:tcPr>
            <w:tcW w:w="1276" w:type="dxa"/>
            <w:shd w:val="clear" w:color="auto" w:fill="FFFFFF"/>
          </w:tcPr>
          <w:p w14:paraId="0CD61003" w14:textId="77777777" w:rsidR="00FA11E9" w:rsidRPr="00B57B36" w:rsidRDefault="00FA11E9" w:rsidP="00034331">
            <w:pPr>
              <w:pStyle w:val="CETBodytext"/>
              <w:rPr>
                <w:lang w:val="en-GB"/>
              </w:rPr>
            </w:pPr>
            <w:r>
              <w:rPr>
                <w:lang w:val="en-GB"/>
              </w:rPr>
              <w:t>0.05 (0.02)</w:t>
            </w:r>
          </w:p>
        </w:tc>
        <w:tc>
          <w:tcPr>
            <w:tcW w:w="1276" w:type="dxa"/>
            <w:shd w:val="clear" w:color="auto" w:fill="FFFFFF"/>
          </w:tcPr>
          <w:p w14:paraId="0B30EFE7" w14:textId="77777777" w:rsidR="00FA11E9" w:rsidRDefault="00FA11E9" w:rsidP="00034331">
            <w:pPr>
              <w:pStyle w:val="CETBodytext"/>
              <w:rPr>
                <w:lang w:val="en-GB"/>
              </w:rPr>
            </w:pPr>
            <w:r>
              <w:rPr>
                <w:lang w:val="en-GB"/>
              </w:rPr>
              <w:t>*</w:t>
            </w:r>
          </w:p>
        </w:tc>
        <w:tc>
          <w:tcPr>
            <w:tcW w:w="1552" w:type="dxa"/>
            <w:shd w:val="clear" w:color="auto" w:fill="FFFFFF"/>
          </w:tcPr>
          <w:p w14:paraId="6F7015DB" w14:textId="77777777" w:rsidR="00FA11E9" w:rsidRDefault="00FA11E9" w:rsidP="00034331">
            <w:pPr>
              <w:pStyle w:val="CETBodytext"/>
              <w:rPr>
                <w:lang w:val="en-GB"/>
              </w:rPr>
            </w:pPr>
            <w:r>
              <w:rPr>
                <w:lang w:val="en-GB"/>
              </w:rPr>
              <w:t>1.18</w:t>
            </w:r>
          </w:p>
        </w:tc>
      </w:tr>
      <w:tr w:rsidR="00FA11E9" w:rsidRPr="00B57B36" w14:paraId="16FD499D" w14:textId="77777777" w:rsidTr="00034331">
        <w:tc>
          <w:tcPr>
            <w:tcW w:w="1985" w:type="dxa"/>
            <w:shd w:val="clear" w:color="auto" w:fill="FFFFFF"/>
          </w:tcPr>
          <w:p w14:paraId="2EBE7263" w14:textId="77777777" w:rsidR="00FA11E9" w:rsidRPr="00B57B36" w:rsidRDefault="00FA11E9" w:rsidP="00034331">
            <w:pPr>
              <w:pStyle w:val="CETBodytext"/>
              <w:ind w:right="-1"/>
              <w:rPr>
                <w:rFonts w:cs="Arial"/>
                <w:szCs w:val="18"/>
                <w:lang w:val="en-GB"/>
              </w:rPr>
            </w:pPr>
            <w:r>
              <w:rPr>
                <w:rFonts w:cs="Arial"/>
                <w:szCs w:val="18"/>
                <w:lang w:val="en-GB"/>
              </w:rPr>
              <w:t>Ethyl octanoate</w:t>
            </w:r>
          </w:p>
        </w:tc>
        <w:tc>
          <w:tcPr>
            <w:tcW w:w="1276" w:type="dxa"/>
            <w:shd w:val="clear" w:color="auto" w:fill="FFFFFF"/>
          </w:tcPr>
          <w:p w14:paraId="5B37123C" w14:textId="77777777" w:rsidR="00FA11E9" w:rsidRPr="00B57B36" w:rsidRDefault="00FA11E9" w:rsidP="00034331">
            <w:pPr>
              <w:pStyle w:val="CETBodytext"/>
              <w:ind w:right="-1"/>
              <w:rPr>
                <w:rFonts w:cs="Arial"/>
                <w:szCs w:val="18"/>
                <w:lang w:val="en-GB"/>
              </w:rPr>
            </w:pPr>
            <w:r>
              <w:rPr>
                <w:rFonts w:cs="Arial"/>
                <w:szCs w:val="18"/>
                <w:lang w:val="en-GB"/>
              </w:rPr>
              <w:t>19.07 (13.33)</w:t>
            </w:r>
          </w:p>
        </w:tc>
        <w:tc>
          <w:tcPr>
            <w:tcW w:w="1276" w:type="dxa"/>
            <w:shd w:val="clear" w:color="auto" w:fill="FFFFFF"/>
          </w:tcPr>
          <w:p w14:paraId="6AC37291" w14:textId="77777777" w:rsidR="00FA11E9" w:rsidRPr="00B57B36" w:rsidRDefault="00FA11E9" w:rsidP="00034331">
            <w:pPr>
              <w:pStyle w:val="CETBodytext"/>
              <w:ind w:right="-1"/>
              <w:rPr>
                <w:rFonts w:cs="Arial"/>
                <w:szCs w:val="18"/>
                <w:lang w:val="en-GB"/>
              </w:rPr>
            </w:pPr>
            <w:r>
              <w:rPr>
                <w:rFonts w:cs="Arial"/>
                <w:szCs w:val="18"/>
                <w:lang w:val="en-GB"/>
              </w:rPr>
              <w:t>16.58 (9.78)</w:t>
            </w:r>
          </w:p>
        </w:tc>
        <w:tc>
          <w:tcPr>
            <w:tcW w:w="1276" w:type="dxa"/>
            <w:shd w:val="clear" w:color="auto" w:fill="FFFFFF"/>
          </w:tcPr>
          <w:p w14:paraId="670F1EA8" w14:textId="77777777" w:rsidR="00FA11E9" w:rsidRPr="00B57B36" w:rsidRDefault="00FA11E9" w:rsidP="00034331">
            <w:pPr>
              <w:pStyle w:val="CETBodytext"/>
              <w:ind w:right="-1"/>
              <w:rPr>
                <w:rFonts w:cs="Arial"/>
                <w:szCs w:val="18"/>
                <w:lang w:val="en-GB"/>
              </w:rPr>
            </w:pPr>
            <w:r>
              <w:rPr>
                <w:rFonts w:cs="Arial"/>
                <w:szCs w:val="18"/>
                <w:lang w:val="en-GB"/>
              </w:rPr>
              <w:t>*</w:t>
            </w:r>
          </w:p>
        </w:tc>
        <w:tc>
          <w:tcPr>
            <w:tcW w:w="1552" w:type="dxa"/>
            <w:shd w:val="clear" w:color="auto" w:fill="FFFFFF"/>
          </w:tcPr>
          <w:p w14:paraId="4A180825" w14:textId="77777777" w:rsidR="00FA11E9" w:rsidRPr="00B57B36" w:rsidRDefault="00FA11E9" w:rsidP="00034331">
            <w:pPr>
              <w:pStyle w:val="CETBodytext"/>
              <w:ind w:right="-1"/>
              <w:rPr>
                <w:rFonts w:cs="Arial"/>
                <w:szCs w:val="18"/>
                <w:lang w:val="en-GB"/>
              </w:rPr>
            </w:pPr>
            <w:r>
              <w:rPr>
                <w:rFonts w:cs="Arial"/>
                <w:szCs w:val="18"/>
                <w:lang w:val="en-GB"/>
              </w:rPr>
              <w:t>1.15</w:t>
            </w:r>
          </w:p>
        </w:tc>
      </w:tr>
      <w:tr w:rsidR="00FA11E9" w:rsidRPr="00B57B36" w14:paraId="30C94CB6" w14:textId="77777777" w:rsidTr="00034331">
        <w:tc>
          <w:tcPr>
            <w:tcW w:w="1985" w:type="dxa"/>
            <w:shd w:val="clear" w:color="auto" w:fill="FFFFFF"/>
          </w:tcPr>
          <w:p w14:paraId="0DFDBB2B" w14:textId="77777777" w:rsidR="00FA11E9" w:rsidRDefault="00FA11E9" w:rsidP="00034331">
            <w:pPr>
              <w:pStyle w:val="CETBodytext"/>
              <w:ind w:right="-1"/>
              <w:rPr>
                <w:rFonts w:cs="Arial"/>
                <w:szCs w:val="18"/>
                <w:lang w:val="en-GB"/>
              </w:rPr>
            </w:pPr>
            <w:r>
              <w:rPr>
                <w:rFonts w:cs="Arial"/>
                <w:szCs w:val="18"/>
                <w:lang w:val="en-GB"/>
              </w:rPr>
              <w:t>Ethyl hexanoate</w:t>
            </w:r>
          </w:p>
        </w:tc>
        <w:tc>
          <w:tcPr>
            <w:tcW w:w="1276" w:type="dxa"/>
            <w:shd w:val="clear" w:color="auto" w:fill="FFFFFF"/>
          </w:tcPr>
          <w:p w14:paraId="5A021DC3" w14:textId="77777777" w:rsidR="00FA11E9" w:rsidRDefault="00FA11E9" w:rsidP="00034331">
            <w:pPr>
              <w:pStyle w:val="CETBodytext"/>
              <w:ind w:right="-1"/>
              <w:rPr>
                <w:rFonts w:cs="Arial"/>
                <w:szCs w:val="18"/>
                <w:lang w:val="en-GB"/>
              </w:rPr>
            </w:pPr>
            <w:r>
              <w:rPr>
                <w:rFonts w:cs="Arial"/>
                <w:szCs w:val="18"/>
                <w:lang w:val="en-GB"/>
              </w:rPr>
              <w:t>3.41 (0.31)</w:t>
            </w:r>
          </w:p>
        </w:tc>
        <w:tc>
          <w:tcPr>
            <w:tcW w:w="1276" w:type="dxa"/>
            <w:shd w:val="clear" w:color="auto" w:fill="FFFFFF"/>
          </w:tcPr>
          <w:p w14:paraId="1E3CA413" w14:textId="77777777" w:rsidR="00FA11E9" w:rsidRDefault="00FA11E9" w:rsidP="00034331">
            <w:pPr>
              <w:pStyle w:val="CETBodytext"/>
              <w:ind w:right="-1"/>
              <w:rPr>
                <w:rFonts w:cs="Arial"/>
                <w:szCs w:val="18"/>
                <w:lang w:val="en-GB"/>
              </w:rPr>
            </w:pPr>
            <w:r>
              <w:rPr>
                <w:rFonts w:cs="Arial"/>
                <w:szCs w:val="18"/>
                <w:lang w:val="en-GB"/>
              </w:rPr>
              <w:t>3.00 (0.45)</w:t>
            </w:r>
          </w:p>
        </w:tc>
        <w:tc>
          <w:tcPr>
            <w:tcW w:w="1276" w:type="dxa"/>
            <w:shd w:val="clear" w:color="auto" w:fill="FFFFFF"/>
          </w:tcPr>
          <w:p w14:paraId="176F2567" w14:textId="77777777" w:rsidR="00FA11E9" w:rsidRDefault="00FA11E9" w:rsidP="00034331">
            <w:pPr>
              <w:pStyle w:val="CETBodytext"/>
              <w:ind w:right="-1"/>
              <w:rPr>
                <w:rFonts w:cs="Arial"/>
                <w:szCs w:val="18"/>
                <w:lang w:val="en-GB"/>
              </w:rPr>
            </w:pPr>
            <w:r>
              <w:rPr>
                <w:rFonts w:cs="Arial"/>
                <w:szCs w:val="18"/>
                <w:lang w:val="en-GB"/>
              </w:rPr>
              <w:t>*</w:t>
            </w:r>
          </w:p>
        </w:tc>
        <w:tc>
          <w:tcPr>
            <w:tcW w:w="1552" w:type="dxa"/>
            <w:shd w:val="clear" w:color="auto" w:fill="FFFFFF"/>
          </w:tcPr>
          <w:p w14:paraId="1DFA923F" w14:textId="77777777" w:rsidR="00FA11E9" w:rsidRDefault="00FA11E9" w:rsidP="00034331">
            <w:pPr>
              <w:pStyle w:val="CETBodytext"/>
              <w:ind w:right="-1"/>
              <w:rPr>
                <w:rFonts w:cs="Arial"/>
                <w:szCs w:val="18"/>
                <w:lang w:val="en-GB"/>
              </w:rPr>
            </w:pPr>
            <w:r>
              <w:rPr>
                <w:rFonts w:cs="Arial"/>
                <w:szCs w:val="18"/>
                <w:lang w:val="en-GB"/>
              </w:rPr>
              <w:t>1.14</w:t>
            </w:r>
          </w:p>
        </w:tc>
      </w:tr>
      <w:tr w:rsidR="00FA11E9" w:rsidRPr="00B57B36" w14:paraId="4F491DE2" w14:textId="77777777" w:rsidTr="00034331">
        <w:tc>
          <w:tcPr>
            <w:tcW w:w="1985" w:type="dxa"/>
            <w:shd w:val="clear" w:color="auto" w:fill="FFFFFF"/>
          </w:tcPr>
          <w:p w14:paraId="3590A315" w14:textId="77777777" w:rsidR="00FA11E9" w:rsidRDefault="00FA11E9" w:rsidP="00034331">
            <w:pPr>
              <w:pStyle w:val="CETBodytext"/>
              <w:ind w:right="-1"/>
              <w:rPr>
                <w:rFonts w:cs="Arial"/>
                <w:szCs w:val="18"/>
                <w:lang w:val="en-GB"/>
              </w:rPr>
            </w:pPr>
            <w:r>
              <w:rPr>
                <w:rFonts w:cs="Arial"/>
                <w:szCs w:val="18"/>
                <w:lang w:val="en-GB"/>
              </w:rPr>
              <w:t>Ethyl acetate</w:t>
            </w:r>
          </w:p>
        </w:tc>
        <w:tc>
          <w:tcPr>
            <w:tcW w:w="1276" w:type="dxa"/>
            <w:shd w:val="clear" w:color="auto" w:fill="FFFFFF"/>
          </w:tcPr>
          <w:p w14:paraId="08CD229E" w14:textId="77777777" w:rsidR="00FA11E9" w:rsidRDefault="00FA11E9" w:rsidP="00034331">
            <w:pPr>
              <w:pStyle w:val="CETBodytext"/>
              <w:ind w:right="-1"/>
              <w:rPr>
                <w:rFonts w:cs="Arial"/>
                <w:szCs w:val="18"/>
                <w:lang w:val="en-GB"/>
              </w:rPr>
            </w:pPr>
            <w:r>
              <w:rPr>
                <w:rFonts w:cs="Arial"/>
                <w:szCs w:val="18"/>
                <w:lang w:val="en-GB"/>
              </w:rPr>
              <w:t>66.19 (19.68)</w:t>
            </w:r>
          </w:p>
        </w:tc>
        <w:tc>
          <w:tcPr>
            <w:tcW w:w="1276" w:type="dxa"/>
            <w:shd w:val="clear" w:color="auto" w:fill="FFFFFF"/>
          </w:tcPr>
          <w:p w14:paraId="40B5AD8A" w14:textId="77777777" w:rsidR="00FA11E9" w:rsidRDefault="00FA11E9" w:rsidP="00034331">
            <w:pPr>
              <w:pStyle w:val="CETBodytext"/>
              <w:ind w:right="-1"/>
              <w:rPr>
                <w:rFonts w:cs="Arial"/>
                <w:szCs w:val="18"/>
                <w:lang w:val="en-GB"/>
              </w:rPr>
            </w:pPr>
            <w:r>
              <w:rPr>
                <w:rFonts w:cs="Arial"/>
                <w:szCs w:val="18"/>
                <w:lang w:val="en-GB"/>
              </w:rPr>
              <w:t>59.05 (14.26)</w:t>
            </w:r>
          </w:p>
        </w:tc>
        <w:tc>
          <w:tcPr>
            <w:tcW w:w="1276" w:type="dxa"/>
            <w:shd w:val="clear" w:color="auto" w:fill="FFFFFF"/>
          </w:tcPr>
          <w:p w14:paraId="14CF4C12" w14:textId="77777777" w:rsidR="00FA11E9" w:rsidRDefault="00FA11E9" w:rsidP="00034331">
            <w:pPr>
              <w:pStyle w:val="CETBodytext"/>
              <w:ind w:right="-1"/>
              <w:rPr>
                <w:rFonts w:cs="Arial"/>
                <w:szCs w:val="18"/>
                <w:lang w:val="en-GB"/>
              </w:rPr>
            </w:pPr>
            <w:r>
              <w:rPr>
                <w:rFonts w:cs="Arial"/>
                <w:szCs w:val="18"/>
                <w:lang w:val="en-GB"/>
              </w:rPr>
              <w:t>*</w:t>
            </w:r>
          </w:p>
        </w:tc>
        <w:tc>
          <w:tcPr>
            <w:tcW w:w="1552" w:type="dxa"/>
            <w:shd w:val="clear" w:color="auto" w:fill="FFFFFF"/>
          </w:tcPr>
          <w:p w14:paraId="6FA60635" w14:textId="77777777" w:rsidR="00FA11E9" w:rsidRDefault="00FA11E9" w:rsidP="00034331">
            <w:pPr>
              <w:pStyle w:val="CETBodytext"/>
              <w:ind w:right="-1"/>
              <w:rPr>
                <w:rFonts w:cs="Arial"/>
                <w:szCs w:val="18"/>
                <w:lang w:val="en-GB"/>
              </w:rPr>
            </w:pPr>
            <w:r>
              <w:rPr>
                <w:rFonts w:cs="Arial"/>
                <w:szCs w:val="18"/>
                <w:lang w:val="en-GB"/>
              </w:rPr>
              <w:t>1.12</w:t>
            </w:r>
          </w:p>
        </w:tc>
      </w:tr>
      <w:tr w:rsidR="00FA11E9" w:rsidRPr="00B57B36" w14:paraId="5F67ED3D" w14:textId="77777777" w:rsidTr="00034331">
        <w:tc>
          <w:tcPr>
            <w:tcW w:w="1985" w:type="dxa"/>
            <w:shd w:val="clear" w:color="auto" w:fill="FFFFFF"/>
          </w:tcPr>
          <w:p w14:paraId="430C400B" w14:textId="77777777" w:rsidR="00FA11E9" w:rsidRPr="00511F6A" w:rsidRDefault="00FA11E9" w:rsidP="00034331">
            <w:pPr>
              <w:pStyle w:val="CETBodytext"/>
              <w:ind w:right="-1"/>
              <w:rPr>
                <w:rFonts w:cs="Arial"/>
                <w:szCs w:val="18"/>
                <w:lang w:val="en-GB"/>
              </w:rPr>
            </w:pPr>
            <w:r>
              <w:rPr>
                <w:rFonts w:cs="Arial"/>
                <w:szCs w:val="18"/>
                <w:lang w:val="en-GB"/>
              </w:rPr>
              <w:t>Propanol</w:t>
            </w:r>
          </w:p>
        </w:tc>
        <w:tc>
          <w:tcPr>
            <w:tcW w:w="1276" w:type="dxa"/>
            <w:shd w:val="clear" w:color="auto" w:fill="FFFFFF"/>
          </w:tcPr>
          <w:p w14:paraId="4801B0C6" w14:textId="77777777" w:rsidR="00FA11E9" w:rsidRDefault="00FA11E9" w:rsidP="00034331">
            <w:pPr>
              <w:pStyle w:val="CETBodytext"/>
              <w:ind w:right="-1"/>
              <w:rPr>
                <w:rFonts w:cs="Arial"/>
                <w:szCs w:val="18"/>
                <w:lang w:val="en-GB"/>
              </w:rPr>
            </w:pPr>
            <w:r>
              <w:rPr>
                <w:rFonts w:cs="Arial"/>
                <w:szCs w:val="18"/>
                <w:lang w:val="en-GB"/>
              </w:rPr>
              <w:t>26.95 (5.93)</w:t>
            </w:r>
          </w:p>
        </w:tc>
        <w:tc>
          <w:tcPr>
            <w:tcW w:w="1276" w:type="dxa"/>
            <w:shd w:val="clear" w:color="auto" w:fill="FFFFFF"/>
          </w:tcPr>
          <w:p w14:paraId="03E7806A" w14:textId="77777777" w:rsidR="00FA11E9" w:rsidRDefault="00FA11E9" w:rsidP="00034331">
            <w:pPr>
              <w:pStyle w:val="CETBodytext"/>
              <w:ind w:right="-1"/>
              <w:rPr>
                <w:rFonts w:cs="Arial"/>
                <w:szCs w:val="18"/>
                <w:lang w:val="en-GB"/>
              </w:rPr>
            </w:pPr>
            <w:r>
              <w:rPr>
                <w:rFonts w:cs="Arial"/>
                <w:szCs w:val="18"/>
                <w:lang w:val="en-GB"/>
              </w:rPr>
              <w:t>22.30 (3.55)</w:t>
            </w:r>
          </w:p>
        </w:tc>
        <w:tc>
          <w:tcPr>
            <w:tcW w:w="1276" w:type="dxa"/>
            <w:shd w:val="clear" w:color="auto" w:fill="FFFFFF"/>
          </w:tcPr>
          <w:p w14:paraId="633605DF" w14:textId="77777777" w:rsidR="00FA11E9" w:rsidRDefault="00FA11E9" w:rsidP="00034331">
            <w:pPr>
              <w:pStyle w:val="CETBodytext"/>
              <w:ind w:right="-1"/>
              <w:rPr>
                <w:rFonts w:cs="Arial"/>
                <w:szCs w:val="18"/>
                <w:lang w:val="en-GB"/>
              </w:rPr>
            </w:pPr>
            <w:r>
              <w:rPr>
                <w:rFonts w:cs="Arial"/>
                <w:szCs w:val="18"/>
                <w:lang w:val="en-GB"/>
              </w:rPr>
              <w:t>***</w:t>
            </w:r>
          </w:p>
        </w:tc>
        <w:tc>
          <w:tcPr>
            <w:tcW w:w="1552" w:type="dxa"/>
            <w:shd w:val="clear" w:color="auto" w:fill="FFFFFF"/>
          </w:tcPr>
          <w:p w14:paraId="2A8C3207" w14:textId="77777777" w:rsidR="00FA11E9" w:rsidRDefault="00FA11E9" w:rsidP="00034331">
            <w:pPr>
              <w:pStyle w:val="CETBodytext"/>
              <w:ind w:right="-1"/>
              <w:rPr>
                <w:rFonts w:cs="Arial"/>
                <w:szCs w:val="18"/>
                <w:lang w:val="en-GB"/>
              </w:rPr>
            </w:pPr>
            <w:r>
              <w:rPr>
                <w:rFonts w:cs="Arial"/>
                <w:szCs w:val="18"/>
                <w:lang w:val="en-GB"/>
              </w:rPr>
              <w:t>1.21</w:t>
            </w:r>
          </w:p>
        </w:tc>
      </w:tr>
      <w:tr w:rsidR="00FA11E9" w:rsidRPr="00B57B36" w14:paraId="28323961" w14:textId="77777777" w:rsidTr="00034331">
        <w:tc>
          <w:tcPr>
            <w:tcW w:w="1985" w:type="dxa"/>
            <w:shd w:val="clear" w:color="auto" w:fill="FFFFFF"/>
          </w:tcPr>
          <w:p w14:paraId="31052DEE" w14:textId="77777777" w:rsidR="00FA11E9" w:rsidRDefault="00FA11E9" w:rsidP="00034331">
            <w:pPr>
              <w:pStyle w:val="CETBodytext"/>
              <w:ind w:right="-1"/>
              <w:rPr>
                <w:rFonts w:cs="Arial"/>
                <w:szCs w:val="18"/>
                <w:lang w:val="en-GB"/>
              </w:rPr>
            </w:pPr>
            <w:r>
              <w:rPr>
                <w:rFonts w:cs="Arial"/>
                <w:szCs w:val="18"/>
                <w:lang w:val="en-GB"/>
              </w:rPr>
              <w:t>Hexanol</w:t>
            </w:r>
          </w:p>
        </w:tc>
        <w:tc>
          <w:tcPr>
            <w:tcW w:w="1276" w:type="dxa"/>
            <w:shd w:val="clear" w:color="auto" w:fill="FFFFFF"/>
          </w:tcPr>
          <w:p w14:paraId="2EBFC519" w14:textId="77777777" w:rsidR="00FA11E9" w:rsidRDefault="00FA11E9" w:rsidP="00034331">
            <w:pPr>
              <w:pStyle w:val="CETBodytext"/>
              <w:ind w:right="-1"/>
              <w:rPr>
                <w:rFonts w:cs="Arial"/>
                <w:szCs w:val="18"/>
                <w:lang w:val="en-GB"/>
              </w:rPr>
            </w:pPr>
            <w:r>
              <w:rPr>
                <w:rFonts w:cs="Arial"/>
                <w:szCs w:val="18"/>
                <w:lang w:val="en-GB"/>
              </w:rPr>
              <w:t>1.37 (0.37)</w:t>
            </w:r>
          </w:p>
        </w:tc>
        <w:tc>
          <w:tcPr>
            <w:tcW w:w="1276" w:type="dxa"/>
            <w:shd w:val="clear" w:color="auto" w:fill="FFFFFF"/>
          </w:tcPr>
          <w:p w14:paraId="0DF92E6C" w14:textId="77777777" w:rsidR="00FA11E9" w:rsidRDefault="00FA11E9" w:rsidP="00034331">
            <w:pPr>
              <w:pStyle w:val="CETBodytext"/>
              <w:ind w:right="-1"/>
              <w:rPr>
                <w:rFonts w:cs="Arial"/>
                <w:szCs w:val="18"/>
                <w:lang w:val="en-GB"/>
              </w:rPr>
            </w:pPr>
            <w:r>
              <w:rPr>
                <w:rFonts w:cs="Arial"/>
                <w:szCs w:val="18"/>
                <w:lang w:val="en-GB"/>
              </w:rPr>
              <w:t>1.17 (0.25)</w:t>
            </w:r>
          </w:p>
        </w:tc>
        <w:tc>
          <w:tcPr>
            <w:tcW w:w="1276" w:type="dxa"/>
            <w:shd w:val="clear" w:color="auto" w:fill="FFFFFF"/>
          </w:tcPr>
          <w:p w14:paraId="2B768CA6" w14:textId="77777777" w:rsidR="00FA11E9" w:rsidRDefault="00FA11E9" w:rsidP="00034331">
            <w:pPr>
              <w:pStyle w:val="CETBodytext"/>
              <w:ind w:right="-1"/>
              <w:rPr>
                <w:rFonts w:cs="Arial"/>
                <w:szCs w:val="18"/>
                <w:lang w:val="en-GB"/>
              </w:rPr>
            </w:pPr>
            <w:r>
              <w:rPr>
                <w:rFonts w:cs="Arial"/>
                <w:szCs w:val="18"/>
                <w:lang w:val="en-GB"/>
              </w:rPr>
              <w:t>**</w:t>
            </w:r>
          </w:p>
        </w:tc>
        <w:tc>
          <w:tcPr>
            <w:tcW w:w="1552" w:type="dxa"/>
            <w:shd w:val="clear" w:color="auto" w:fill="FFFFFF"/>
          </w:tcPr>
          <w:p w14:paraId="7DFE849B" w14:textId="77777777" w:rsidR="00FA11E9" w:rsidRDefault="00FA11E9" w:rsidP="00034331">
            <w:pPr>
              <w:pStyle w:val="CETBodytext"/>
              <w:ind w:right="-1"/>
              <w:rPr>
                <w:rFonts w:cs="Arial"/>
                <w:szCs w:val="18"/>
                <w:lang w:val="en-GB"/>
              </w:rPr>
            </w:pPr>
            <w:r>
              <w:rPr>
                <w:rFonts w:cs="Arial"/>
                <w:szCs w:val="18"/>
                <w:lang w:val="en-GB"/>
              </w:rPr>
              <w:t>1.17</w:t>
            </w:r>
          </w:p>
        </w:tc>
      </w:tr>
      <w:tr w:rsidR="00FA11E9" w:rsidRPr="00B57B36" w14:paraId="2353D970" w14:textId="77777777" w:rsidTr="00034331">
        <w:tc>
          <w:tcPr>
            <w:tcW w:w="1985" w:type="dxa"/>
            <w:shd w:val="clear" w:color="auto" w:fill="FFFFFF"/>
          </w:tcPr>
          <w:p w14:paraId="29CFF683" w14:textId="77777777" w:rsidR="00FA11E9" w:rsidRDefault="00FA11E9" w:rsidP="00034331">
            <w:pPr>
              <w:pStyle w:val="CETBodytext"/>
              <w:ind w:right="-1"/>
              <w:rPr>
                <w:rFonts w:cs="Arial"/>
                <w:szCs w:val="18"/>
                <w:lang w:val="en-GB"/>
              </w:rPr>
            </w:pPr>
            <w:r>
              <w:rPr>
                <w:rFonts w:cs="Arial"/>
                <w:szCs w:val="18"/>
                <w:lang w:val="en-GB"/>
              </w:rPr>
              <w:lastRenderedPageBreak/>
              <w:t>Hexanoic acid</w:t>
            </w:r>
          </w:p>
        </w:tc>
        <w:tc>
          <w:tcPr>
            <w:tcW w:w="1276" w:type="dxa"/>
            <w:shd w:val="clear" w:color="auto" w:fill="FFFFFF"/>
          </w:tcPr>
          <w:p w14:paraId="2A30C2E1" w14:textId="77777777" w:rsidR="00FA11E9" w:rsidRDefault="00FA11E9" w:rsidP="00034331">
            <w:pPr>
              <w:pStyle w:val="CETBodytext"/>
              <w:ind w:right="-1"/>
              <w:rPr>
                <w:rFonts w:cs="Arial"/>
                <w:szCs w:val="18"/>
                <w:lang w:val="en-GB"/>
              </w:rPr>
            </w:pPr>
            <w:r>
              <w:rPr>
                <w:rFonts w:cs="Arial"/>
                <w:szCs w:val="18"/>
                <w:lang w:val="en-GB"/>
              </w:rPr>
              <w:t>2.18 (0.23)</w:t>
            </w:r>
          </w:p>
        </w:tc>
        <w:tc>
          <w:tcPr>
            <w:tcW w:w="1276" w:type="dxa"/>
            <w:shd w:val="clear" w:color="auto" w:fill="FFFFFF"/>
          </w:tcPr>
          <w:p w14:paraId="2BB0E990" w14:textId="77777777" w:rsidR="00FA11E9" w:rsidRDefault="00FA11E9" w:rsidP="00034331">
            <w:pPr>
              <w:pStyle w:val="CETBodytext"/>
              <w:ind w:right="-1"/>
              <w:rPr>
                <w:rFonts w:cs="Arial"/>
                <w:szCs w:val="18"/>
                <w:lang w:val="en-GB"/>
              </w:rPr>
            </w:pPr>
            <w:r>
              <w:rPr>
                <w:rFonts w:cs="Arial"/>
                <w:szCs w:val="18"/>
                <w:lang w:val="en-GB"/>
              </w:rPr>
              <w:t>1.79 (0.23)</w:t>
            </w:r>
          </w:p>
        </w:tc>
        <w:tc>
          <w:tcPr>
            <w:tcW w:w="1276" w:type="dxa"/>
            <w:shd w:val="clear" w:color="auto" w:fill="FFFFFF"/>
          </w:tcPr>
          <w:p w14:paraId="3CFCF927" w14:textId="77777777" w:rsidR="00FA11E9" w:rsidRDefault="00FA11E9" w:rsidP="00034331">
            <w:pPr>
              <w:pStyle w:val="CETBodytext"/>
              <w:ind w:right="-1"/>
              <w:rPr>
                <w:rFonts w:cs="Arial"/>
                <w:szCs w:val="18"/>
                <w:lang w:val="en-GB"/>
              </w:rPr>
            </w:pPr>
            <w:r>
              <w:rPr>
                <w:rFonts w:cs="Arial"/>
                <w:szCs w:val="18"/>
                <w:lang w:val="en-GB"/>
              </w:rPr>
              <w:t>***</w:t>
            </w:r>
          </w:p>
        </w:tc>
        <w:tc>
          <w:tcPr>
            <w:tcW w:w="1552" w:type="dxa"/>
            <w:shd w:val="clear" w:color="auto" w:fill="FFFFFF"/>
          </w:tcPr>
          <w:p w14:paraId="4FEF1DB7" w14:textId="77777777" w:rsidR="00FA11E9" w:rsidRDefault="00FA11E9" w:rsidP="00034331">
            <w:pPr>
              <w:pStyle w:val="CETBodytext"/>
              <w:ind w:right="-1"/>
              <w:rPr>
                <w:rFonts w:cs="Arial"/>
                <w:szCs w:val="18"/>
                <w:lang w:val="en-GB"/>
              </w:rPr>
            </w:pPr>
            <w:r>
              <w:rPr>
                <w:rFonts w:cs="Arial"/>
                <w:szCs w:val="18"/>
                <w:lang w:val="en-GB"/>
              </w:rPr>
              <w:t>1.22</w:t>
            </w:r>
          </w:p>
        </w:tc>
      </w:tr>
    </w:tbl>
    <w:p w14:paraId="2B259AAA" w14:textId="723C2174" w:rsidR="000944E4" w:rsidRDefault="00FA11E9" w:rsidP="00600535">
      <w:pPr>
        <w:pStyle w:val="CETBodytext"/>
      </w:pPr>
      <w:r>
        <w:t xml:space="preserve">The volatile concentration immediately after the wine production is reported in Table 2. </w:t>
      </w:r>
      <w:r w:rsidR="00ED53FC">
        <w:t xml:space="preserve">The concentration of four esters, namely acetic acid hexyl ester, ethyl octanoate, ethyl hexanoate, and ethyl acetate, were found to be significantly increased by the condensation. These compounds can be considered positive for the wine flavor </w:t>
      </w:r>
      <w:r w:rsidR="000C11F6">
        <w:t>since they are usually related to fresh, sweet, and fruity flavors (th</w:t>
      </w:r>
      <w:r w:rsidR="00746A73">
        <w:t>e good scent company database).</w:t>
      </w:r>
    </w:p>
    <w:p w14:paraId="3E9B17EE" w14:textId="6A71D7EC" w:rsidR="00746A73" w:rsidRDefault="00746A73" w:rsidP="00600535">
      <w:pPr>
        <w:pStyle w:val="CETBodytext"/>
      </w:pPr>
      <w:r>
        <w:t xml:space="preserve">Two alcohols </w:t>
      </w:r>
      <w:r w:rsidR="003354CF">
        <w:t>(i.e. propanol and hexanol) were found at significant higher concentrations in Conden</w:t>
      </w:r>
      <w:r w:rsidR="00903FD5">
        <w:t>s</w:t>
      </w:r>
      <w:r w:rsidR="003354CF">
        <w:t xml:space="preserve">ed wines than in the Control. </w:t>
      </w:r>
      <w:r w:rsidR="00BD786C">
        <w:t>As well as the above discussed esters, both these alcohols are related to fruity flavors. Thus, the recovered alcohols and esters can enhance the fruity flavor of the tested wines. Finally, the hexanoic acid was higher in Condensed samples than in the Control. Hexanoic acid is related to the “cheese” flavor and its occurrence in wines at higher concentrations can be considered negative for the wine flavor.</w:t>
      </w:r>
    </w:p>
    <w:p w14:paraId="2348BCB7" w14:textId="77777777" w:rsidR="00742D0F" w:rsidRDefault="00BD786C" w:rsidP="00600535">
      <w:pPr>
        <w:pStyle w:val="CETBodytext"/>
      </w:pPr>
      <w:r>
        <w:t xml:space="preserve">Being the difference measured with the chemical analysis small (the ratios between Condenser and Control ranged from 1.12 to 1.21) we performed a panel test to understand if they can be perceived by wine tasters. </w:t>
      </w:r>
      <w:r w:rsidR="00742D0F">
        <w:t xml:space="preserve">Immediately after the wines production, tasters were able to found the difference in Sangiovese and in Merlot (p&lt;0.05), while in Cabernet Sauvignon Condenser and Control were perceived as equal. </w:t>
      </w:r>
    </w:p>
    <w:p w14:paraId="2C756CA6" w14:textId="4C3C7967" w:rsidR="00BD786C" w:rsidRDefault="00742D0F" w:rsidP="00600535">
      <w:pPr>
        <w:pStyle w:val="CETBodytext"/>
      </w:pPr>
      <w:r>
        <w:t>Table 3 reports the ANOVA results for the volatile compounds. First of all, the interactions between the treatment and the storage time were not</w:t>
      </w:r>
      <w:r w:rsidR="00BD786C">
        <w:t xml:space="preserve"> </w:t>
      </w:r>
      <w:r>
        <w:t xml:space="preserve">significant. </w:t>
      </w:r>
      <w:r w:rsidR="00BD662A">
        <w:t xml:space="preserve">Thus, the </w:t>
      </w:r>
      <w:r w:rsidR="002B54CD">
        <w:t>changes in chemical composition due to the condensation treatment are</w:t>
      </w:r>
      <w:r w:rsidR="00BD662A">
        <w:t xml:space="preserve"> stable during the wine aging. </w:t>
      </w:r>
      <w:r w:rsidR="00086AFD">
        <w:t>The difference in the volatile profile found immediately after the wine production can be find after 18 months of storage.</w:t>
      </w:r>
    </w:p>
    <w:p w14:paraId="49BD226A" w14:textId="3A32F4ED" w:rsidR="00742D0F" w:rsidRPr="00B57B36" w:rsidRDefault="00742D0F" w:rsidP="00742D0F">
      <w:pPr>
        <w:pStyle w:val="CETTabletitle"/>
      </w:pPr>
      <w:r>
        <w:t>Table 3</w:t>
      </w:r>
      <w:r w:rsidRPr="00B57B36">
        <w:t xml:space="preserve">: </w:t>
      </w:r>
      <w:r>
        <w:t>Two-way ANOVA results. Ns=not significant, * = p &lt; 0.05, ** = p &lt; 0.01, *** = p &lt; 0.001.</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985"/>
        <w:gridCol w:w="1418"/>
        <w:gridCol w:w="1418"/>
        <w:gridCol w:w="1276"/>
      </w:tblGrid>
      <w:tr w:rsidR="00742D0F" w:rsidRPr="00B57B36" w14:paraId="677376EF" w14:textId="77777777" w:rsidTr="00742D0F">
        <w:tc>
          <w:tcPr>
            <w:tcW w:w="1985" w:type="dxa"/>
            <w:tcBorders>
              <w:top w:val="single" w:sz="12" w:space="0" w:color="008000"/>
              <w:bottom w:val="single" w:sz="6" w:space="0" w:color="008000"/>
            </w:tcBorders>
            <w:shd w:val="clear" w:color="auto" w:fill="FFFFFF"/>
          </w:tcPr>
          <w:p w14:paraId="77DE2627" w14:textId="6E57B553" w:rsidR="00742D0F" w:rsidRPr="00B57B36" w:rsidRDefault="00742D0F" w:rsidP="007130CF">
            <w:pPr>
              <w:pStyle w:val="CETBodytext"/>
              <w:rPr>
                <w:lang w:val="en-GB"/>
              </w:rPr>
            </w:pPr>
            <w:r>
              <w:rPr>
                <w:lang w:val="en-GB"/>
              </w:rPr>
              <w:t>Compound</w:t>
            </w:r>
          </w:p>
        </w:tc>
        <w:tc>
          <w:tcPr>
            <w:tcW w:w="1418" w:type="dxa"/>
            <w:tcBorders>
              <w:top w:val="single" w:sz="12" w:space="0" w:color="008000"/>
              <w:bottom w:val="single" w:sz="6" w:space="0" w:color="008000"/>
            </w:tcBorders>
            <w:shd w:val="clear" w:color="auto" w:fill="FFFFFF"/>
          </w:tcPr>
          <w:p w14:paraId="206AAAB8" w14:textId="6D423EDA" w:rsidR="00742D0F" w:rsidRPr="00B57B36" w:rsidRDefault="00742D0F" w:rsidP="007130CF">
            <w:pPr>
              <w:pStyle w:val="CETBodytext"/>
              <w:rPr>
                <w:lang w:val="en-GB"/>
              </w:rPr>
            </w:pPr>
            <w:r>
              <w:rPr>
                <w:lang w:val="en-GB"/>
              </w:rPr>
              <w:t>p Condensation</w:t>
            </w:r>
          </w:p>
        </w:tc>
        <w:tc>
          <w:tcPr>
            <w:tcW w:w="1418" w:type="dxa"/>
            <w:tcBorders>
              <w:top w:val="single" w:sz="12" w:space="0" w:color="008000"/>
              <w:bottom w:val="single" w:sz="6" w:space="0" w:color="008000"/>
            </w:tcBorders>
            <w:shd w:val="clear" w:color="auto" w:fill="FFFFFF"/>
          </w:tcPr>
          <w:p w14:paraId="372414C2" w14:textId="135B1D82" w:rsidR="00742D0F" w:rsidRPr="00B57B36" w:rsidRDefault="00742D0F" w:rsidP="007130CF">
            <w:pPr>
              <w:pStyle w:val="CETBodytext"/>
              <w:rPr>
                <w:lang w:val="en-GB"/>
              </w:rPr>
            </w:pPr>
            <w:r>
              <w:rPr>
                <w:lang w:val="en-GB"/>
              </w:rPr>
              <w:t xml:space="preserve"> p storage time</w:t>
            </w:r>
          </w:p>
        </w:tc>
        <w:tc>
          <w:tcPr>
            <w:tcW w:w="1276" w:type="dxa"/>
            <w:tcBorders>
              <w:top w:val="single" w:sz="12" w:space="0" w:color="008000"/>
              <w:bottom w:val="single" w:sz="6" w:space="0" w:color="008000"/>
            </w:tcBorders>
            <w:shd w:val="clear" w:color="auto" w:fill="FFFFFF"/>
          </w:tcPr>
          <w:p w14:paraId="7E3D2DFD" w14:textId="2987CE08" w:rsidR="00742D0F" w:rsidRDefault="00742D0F" w:rsidP="007130CF">
            <w:pPr>
              <w:pStyle w:val="CETBodytext"/>
              <w:rPr>
                <w:lang w:val="en-GB"/>
              </w:rPr>
            </w:pPr>
            <w:r>
              <w:rPr>
                <w:lang w:val="en-GB"/>
              </w:rPr>
              <w:t>p interaction</w:t>
            </w:r>
          </w:p>
        </w:tc>
      </w:tr>
      <w:tr w:rsidR="00742D0F" w:rsidRPr="00B57B36" w14:paraId="16486BF1" w14:textId="77777777" w:rsidTr="00742D0F">
        <w:tc>
          <w:tcPr>
            <w:tcW w:w="1985" w:type="dxa"/>
            <w:shd w:val="clear" w:color="auto" w:fill="FFFFFF"/>
          </w:tcPr>
          <w:p w14:paraId="53A69EC4" w14:textId="35D41DE0" w:rsidR="00742D0F" w:rsidRPr="00B57B36" w:rsidRDefault="00742D0F" w:rsidP="007130CF">
            <w:pPr>
              <w:pStyle w:val="CETBodytext"/>
              <w:rPr>
                <w:lang w:val="en-GB"/>
              </w:rPr>
            </w:pPr>
            <w:r>
              <w:rPr>
                <w:lang w:val="en-GB"/>
              </w:rPr>
              <w:t>Ethyl acetate</w:t>
            </w:r>
          </w:p>
        </w:tc>
        <w:tc>
          <w:tcPr>
            <w:tcW w:w="1418" w:type="dxa"/>
            <w:shd w:val="clear" w:color="auto" w:fill="FFFFFF"/>
          </w:tcPr>
          <w:p w14:paraId="3A25AD47" w14:textId="258AE36F" w:rsidR="00742D0F" w:rsidRPr="00B57B36" w:rsidRDefault="00742D0F" w:rsidP="007130CF">
            <w:pPr>
              <w:pStyle w:val="CETBodytext"/>
              <w:rPr>
                <w:lang w:val="en-GB"/>
              </w:rPr>
            </w:pPr>
            <w:r>
              <w:rPr>
                <w:lang w:val="en-GB"/>
              </w:rPr>
              <w:t>*</w:t>
            </w:r>
          </w:p>
        </w:tc>
        <w:tc>
          <w:tcPr>
            <w:tcW w:w="1418" w:type="dxa"/>
            <w:shd w:val="clear" w:color="auto" w:fill="FFFFFF"/>
          </w:tcPr>
          <w:p w14:paraId="52756218" w14:textId="5C43D09F" w:rsidR="00742D0F" w:rsidRPr="00B57B36" w:rsidRDefault="00742D0F" w:rsidP="007130CF">
            <w:pPr>
              <w:pStyle w:val="CETBodytext"/>
              <w:rPr>
                <w:lang w:val="en-GB"/>
              </w:rPr>
            </w:pPr>
            <w:r>
              <w:rPr>
                <w:lang w:val="en-GB"/>
              </w:rPr>
              <w:t>***</w:t>
            </w:r>
          </w:p>
        </w:tc>
        <w:tc>
          <w:tcPr>
            <w:tcW w:w="1276" w:type="dxa"/>
            <w:shd w:val="clear" w:color="auto" w:fill="FFFFFF"/>
          </w:tcPr>
          <w:p w14:paraId="7C4122BC" w14:textId="453FE4E1" w:rsidR="00742D0F" w:rsidRDefault="00742D0F" w:rsidP="007130CF">
            <w:pPr>
              <w:pStyle w:val="CETBodytext"/>
              <w:rPr>
                <w:lang w:val="en-GB"/>
              </w:rPr>
            </w:pPr>
            <w:r>
              <w:rPr>
                <w:lang w:val="en-GB"/>
              </w:rPr>
              <w:t>ns</w:t>
            </w:r>
          </w:p>
        </w:tc>
      </w:tr>
      <w:tr w:rsidR="00742D0F" w:rsidRPr="00B57B36" w14:paraId="4922D71A" w14:textId="77777777" w:rsidTr="00742D0F">
        <w:tc>
          <w:tcPr>
            <w:tcW w:w="1985" w:type="dxa"/>
            <w:shd w:val="clear" w:color="auto" w:fill="FFFFFF"/>
          </w:tcPr>
          <w:p w14:paraId="7361AE27" w14:textId="3F3C6F05" w:rsidR="00742D0F" w:rsidRPr="00B57B36" w:rsidRDefault="00742D0F" w:rsidP="007130CF">
            <w:pPr>
              <w:pStyle w:val="CETBodytext"/>
              <w:ind w:right="-1"/>
              <w:rPr>
                <w:rFonts w:cs="Arial"/>
                <w:szCs w:val="18"/>
                <w:lang w:val="en-GB"/>
              </w:rPr>
            </w:pPr>
            <w:r>
              <w:rPr>
                <w:rFonts w:cs="Arial"/>
                <w:szCs w:val="18"/>
                <w:lang w:val="en-GB"/>
              </w:rPr>
              <w:t>1-propanol</w:t>
            </w:r>
          </w:p>
        </w:tc>
        <w:tc>
          <w:tcPr>
            <w:tcW w:w="1418" w:type="dxa"/>
            <w:shd w:val="clear" w:color="auto" w:fill="FFFFFF"/>
          </w:tcPr>
          <w:p w14:paraId="0562F174" w14:textId="0C7BE025" w:rsidR="00742D0F" w:rsidRPr="00B57B36" w:rsidRDefault="00742D0F" w:rsidP="007130CF">
            <w:pPr>
              <w:pStyle w:val="CETBodytext"/>
              <w:ind w:right="-1"/>
              <w:rPr>
                <w:rFonts w:cs="Arial"/>
                <w:szCs w:val="18"/>
                <w:lang w:val="en-GB"/>
              </w:rPr>
            </w:pPr>
            <w:r>
              <w:rPr>
                <w:rFonts w:cs="Arial"/>
                <w:szCs w:val="18"/>
                <w:lang w:val="en-GB"/>
              </w:rPr>
              <w:t>***</w:t>
            </w:r>
          </w:p>
        </w:tc>
        <w:tc>
          <w:tcPr>
            <w:tcW w:w="1418" w:type="dxa"/>
            <w:shd w:val="clear" w:color="auto" w:fill="FFFFFF"/>
          </w:tcPr>
          <w:p w14:paraId="3FD5962E" w14:textId="0752B04E" w:rsidR="00742D0F" w:rsidRPr="00B57B36" w:rsidRDefault="00742D0F" w:rsidP="007130CF">
            <w:pPr>
              <w:pStyle w:val="CETBodytext"/>
              <w:ind w:right="-1"/>
              <w:rPr>
                <w:rFonts w:cs="Arial"/>
                <w:szCs w:val="18"/>
                <w:lang w:val="en-GB"/>
              </w:rPr>
            </w:pPr>
            <w:r>
              <w:rPr>
                <w:rFonts w:cs="Arial"/>
                <w:szCs w:val="18"/>
                <w:lang w:val="en-GB"/>
              </w:rPr>
              <w:t>ns</w:t>
            </w:r>
          </w:p>
        </w:tc>
        <w:tc>
          <w:tcPr>
            <w:tcW w:w="1276" w:type="dxa"/>
            <w:shd w:val="clear" w:color="auto" w:fill="FFFFFF"/>
          </w:tcPr>
          <w:p w14:paraId="7FEF2E89" w14:textId="0A42510B" w:rsidR="00742D0F" w:rsidRPr="00B57B36" w:rsidRDefault="00742D0F" w:rsidP="007130CF">
            <w:pPr>
              <w:pStyle w:val="CETBodytext"/>
              <w:ind w:right="-1"/>
              <w:rPr>
                <w:rFonts w:cs="Arial"/>
                <w:szCs w:val="18"/>
                <w:lang w:val="en-GB"/>
              </w:rPr>
            </w:pPr>
            <w:r>
              <w:rPr>
                <w:rFonts w:cs="Arial"/>
                <w:szCs w:val="18"/>
                <w:lang w:val="en-GB"/>
              </w:rPr>
              <w:t>ns</w:t>
            </w:r>
          </w:p>
        </w:tc>
      </w:tr>
      <w:tr w:rsidR="00742D0F" w:rsidRPr="00B57B36" w14:paraId="0DD4B537" w14:textId="77777777" w:rsidTr="00742D0F">
        <w:tc>
          <w:tcPr>
            <w:tcW w:w="1985" w:type="dxa"/>
            <w:shd w:val="clear" w:color="auto" w:fill="FFFFFF"/>
          </w:tcPr>
          <w:p w14:paraId="58A2DC4E" w14:textId="2D2BC905" w:rsidR="00742D0F" w:rsidRDefault="00742D0F" w:rsidP="007130CF">
            <w:pPr>
              <w:pStyle w:val="CETBodytext"/>
              <w:ind w:right="-1"/>
              <w:rPr>
                <w:rFonts w:cs="Arial"/>
                <w:szCs w:val="18"/>
                <w:lang w:val="en-GB"/>
              </w:rPr>
            </w:pPr>
            <w:r>
              <w:rPr>
                <w:rFonts w:cs="Arial"/>
                <w:szCs w:val="18"/>
                <w:lang w:val="en-GB"/>
              </w:rPr>
              <w:t>Ethyl octanoate</w:t>
            </w:r>
          </w:p>
        </w:tc>
        <w:tc>
          <w:tcPr>
            <w:tcW w:w="1418" w:type="dxa"/>
            <w:shd w:val="clear" w:color="auto" w:fill="FFFFFF"/>
          </w:tcPr>
          <w:p w14:paraId="7AEA90B2" w14:textId="03CB9D3C" w:rsidR="00742D0F" w:rsidRDefault="00742D0F" w:rsidP="007130CF">
            <w:pPr>
              <w:pStyle w:val="CETBodytext"/>
              <w:ind w:right="-1"/>
              <w:rPr>
                <w:rFonts w:cs="Arial"/>
                <w:szCs w:val="18"/>
                <w:lang w:val="en-GB"/>
              </w:rPr>
            </w:pPr>
            <w:r>
              <w:rPr>
                <w:rFonts w:cs="Arial"/>
                <w:szCs w:val="18"/>
                <w:lang w:val="en-GB"/>
              </w:rPr>
              <w:t>*</w:t>
            </w:r>
          </w:p>
        </w:tc>
        <w:tc>
          <w:tcPr>
            <w:tcW w:w="1418" w:type="dxa"/>
            <w:shd w:val="clear" w:color="auto" w:fill="FFFFFF"/>
          </w:tcPr>
          <w:p w14:paraId="13BE003E" w14:textId="19E2E318" w:rsidR="00742D0F" w:rsidRDefault="000B6DF2" w:rsidP="007130CF">
            <w:pPr>
              <w:pStyle w:val="CETBodytext"/>
              <w:ind w:right="-1"/>
              <w:rPr>
                <w:rFonts w:cs="Arial"/>
                <w:szCs w:val="18"/>
                <w:lang w:val="en-GB"/>
              </w:rPr>
            </w:pPr>
            <w:r>
              <w:rPr>
                <w:rFonts w:cs="Arial"/>
                <w:szCs w:val="18"/>
                <w:lang w:val="en-GB"/>
              </w:rPr>
              <w:t>***</w:t>
            </w:r>
          </w:p>
        </w:tc>
        <w:tc>
          <w:tcPr>
            <w:tcW w:w="1276" w:type="dxa"/>
            <w:shd w:val="clear" w:color="auto" w:fill="FFFFFF"/>
          </w:tcPr>
          <w:p w14:paraId="7B1BFC7F" w14:textId="1CF44ADC" w:rsidR="00742D0F" w:rsidRDefault="00742D0F" w:rsidP="007130CF">
            <w:pPr>
              <w:pStyle w:val="CETBodytext"/>
              <w:ind w:right="-1"/>
              <w:rPr>
                <w:rFonts w:cs="Arial"/>
                <w:szCs w:val="18"/>
                <w:lang w:val="en-GB"/>
              </w:rPr>
            </w:pPr>
            <w:r>
              <w:rPr>
                <w:rFonts w:cs="Arial"/>
                <w:szCs w:val="18"/>
                <w:lang w:val="en-GB"/>
              </w:rPr>
              <w:t>ns</w:t>
            </w:r>
          </w:p>
        </w:tc>
      </w:tr>
      <w:tr w:rsidR="00742D0F" w:rsidRPr="00B57B36" w14:paraId="0C89BB94" w14:textId="77777777" w:rsidTr="00742D0F">
        <w:tc>
          <w:tcPr>
            <w:tcW w:w="1985" w:type="dxa"/>
            <w:shd w:val="clear" w:color="auto" w:fill="FFFFFF"/>
          </w:tcPr>
          <w:p w14:paraId="3438AD5D" w14:textId="62E8A107" w:rsidR="00742D0F" w:rsidRDefault="00742D0F" w:rsidP="007130CF">
            <w:pPr>
              <w:pStyle w:val="CETBodytext"/>
              <w:ind w:right="-1"/>
              <w:rPr>
                <w:rFonts w:cs="Arial"/>
                <w:szCs w:val="18"/>
                <w:lang w:val="en-GB"/>
              </w:rPr>
            </w:pPr>
            <w:r>
              <w:rPr>
                <w:rFonts w:cs="Arial"/>
                <w:szCs w:val="18"/>
                <w:lang w:val="en-GB"/>
              </w:rPr>
              <w:t>Ethyl hexanoate</w:t>
            </w:r>
          </w:p>
        </w:tc>
        <w:tc>
          <w:tcPr>
            <w:tcW w:w="1418" w:type="dxa"/>
            <w:shd w:val="clear" w:color="auto" w:fill="FFFFFF"/>
          </w:tcPr>
          <w:p w14:paraId="7D5F8CF7" w14:textId="117671D9" w:rsidR="00742D0F" w:rsidRDefault="00742D0F" w:rsidP="007130CF">
            <w:pPr>
              <w:pStyle w:val="CETBodytext"/>
              <w:ind w:right="-1"/>
              <w:rPr>
                <w:rFonts w:cs="Arial"/>
                <w:szCs w:val="18"/>
                <w:lang w:val="en-GB"/>
              </w:rPr>
            </w:pPr>
            <w:r>
              <w:rPr>
                <w:rFonts w:cs="Arial"/>
                <w:szCs w:val="18"/>
                <w:lang w:val="en-GB"/>
              </w:rPr>
              <w:t>*</w:t>
            </w:r>
          </w:p>
        </w:tc>
        <w:tc>
          <w:tcPr>
            <w:tcW w:w="1418" w:type="dxa"/>
            <w:shd w:val="clear" w:color="auto" w:fill="FFFFFF"/>
          </w:tcPr>
          <w:p w14:paraId="55AFEB2C" w14:textId="302ED135" w:rsidR="00742D0F" w:rsidRDefault="000B6DF2" w:rsidP="007130CF">
            <w:pPr>
              <w:pStyle w:val="CETBodytext"/>
              <w:ind w:right="-1"/>
              <w:rPr>
                <w:rFonts w:cs="Arial"/>
                <w:szCs w:val="18"/>
                <w:lang w:val="en-GB"/>
              </w:rPr>
            </w:pPr>
            <w:r>
              <w:rPr>
                <w:rFonts w:cs="Arial"/>
                <w:szCs w:val="18"/>
                <w:lang w:val="en-GB"/>
              </w:rPr>
              <w:t>ns</w:t>
            </w:r>
          </w:p>
        </w:tc>
        <w:tc>
          <w:tcPr>
            <w:tcW w:w="1276" w:type="dxa"/>
            <w:shd w:val="clear" w:color="auto" w:fill="FFFFFF"/>
          </w:tcPr>
          <w:p w14:paraId="58DDD22C" w14:textId="265BC3B8" w:rsidR="00742D0F" w:rsidRDefault="00742D0F" w:rsidP="007130CF">
            <w:pPr>
              <w:pStyle w:val="CETBodytext"/>
              <w:ind w:right="-1"/>
              <w:rPr>
                <w:rFonts w:cs="Arial"/>
                <w:szCs w:val="18"/>
                <w:lang w:val="en-GB"/>
              </w:rPr>
            </w:pPr>
            <w:r>
              <w:rPr>
                <w:rFonts w:cs="Arial"/>
                <w:szCs w:val="18"/>
                <w:lang w:val="en-GB"/>
              </w:rPr>
              <w:t>ns</w:t>
            </w:r>
          </w:p>
        </w:tc>
      </w:tr>
      <w:tr w:rsidR="00742D0F" w:rsidRPr="00B57B36" w14:paraId="56A0497C" w14:textId="77777777" w:rsidTr="00742D0F">
        <w:tc>
          <w:tcPr>
            <w:tcW w:w="1985" w:type="dxa"/>
            <w:shd w:val="clear" w:color="auto" w:fill="FFFFFF"/>
          </w:tcPr>
          <w:p w14:paraId="1AEDCB60" w14:textId="297033A6" w:rsidR="00742D0F" w:rsidRPr="00511F6A" w:rsidRDefault="00742D0F" w:rsidP="007130CF">
            <w:pPr>
              <w:pStyle w:val="CETBodytext"/>
              <w:ind w:right="-1"/>
              <w:rPr>
                <w:rFonts w:cs="Arial"/>
                <w:szCs w:val="18"/>
                <w:lang w:val="en-GB"/>
              </w:rPr>
            </w:pPr>
            <w:r>
              <w:rPr>
                <w:rFonts w:cs="Arial"/>
                <w:szCs w:val="18"/>
                <w:lang w:val="en-GB"/>
              </w:rPr>
              <w:t>Acetic acid hexyl ester</w:t>
            </w:r>
          </w:p>
        </w:tc>
        <w:tc>
          <w:tcPr>
            <w:tcW w:w="1418" w:type="dxa"/>
            <w:shd w:val="clear" w:color="auto" w:fill="FFFFFF"/>
          </w:tcPr>
          <w:p w14:paraId="2F9FD49A" w14:textId="507A3DEC" w:rsidR="00742D0F" w:rsidRDefault="00742D0F" w:rsidP="007130CF">
            <w:pPr>
              <w:pStyle w:val="CETBodytext"/>
              <w:ind w:right="-1"/>
              <w:rPr>
                <w:rFonts w:cs="Arial"/>
                <w:szCs w:val="18"/>
                <w:lang w:val="en-GB"/>
              </w:rPr>
            </w:pPr>
            <w:r>
              <w:rPr>
                <w:rFonts w:cs="Arial"/>
                <w:szCs w:val="18"/>
                <w:lang w:val="en-GB"/>
              </w:rPr>
              <w:t>*</w:t>
            </w:r>
          </w:p>
        </w:tc>
        <w:tc>
          <w:tcPr>
            <w:tcW w:w="1418" w:type="dxa"/>
            <w:shd w:val="clear" w:color="auto" w:fill="FFFFFF"/>
          </w:tcPr>
          <w:p w14:paraId="21ABF0AA" w14:textId="7CA65FAC" w:rsidR="00742D0F" w:rsidRDefault="00742D0F" w:rsidP="007130CF">
            <w:pPr>
              <w:pStyle w:val="CETBodytext"/>
              <w:ind w:right="-1"/>
              <w:rPr>
                <w:rFonts w:cs="Arial"/>
                <w:szCs w:val="18"/>
                <w:lang w:val="en-GB"/>
              </w:rPr>
            </w:pPr>
            <w:r>
              <w:rPr>
                <w:rFonts w:cs="Arial"/>
                <w:szCs w:val="18"/>
                <w:lang w:val="en-GB"/>
              </w:rPr>
              <w:t>**</w:t>
            </w:r>
          </w:p>
        </w:tc>
        <w:tc>
          <w:tcPr>
            <w:tcW w:w="1276" w:type="dxa"/>
            <w:shd w:val="clear" w:color="auto" w:fill="FFFFFF"/>
          </w:tcPr>
          <w:p w14:paraId="5C3C5FA1" w14:textId="15B13AA1" w:rsidR="00742D0F" w:rsidRDefault="00742D0F" w:rsidP="007130CF">
            <w:pPr>
              <w:pStyle w:val="CETBodytext"/>
              <w:ind w:right="-1"/>
              <w:rPr>
                <w:rFonts w:cs="Arial"/>
                <w:szCs w:val="18"/>
                <w:lang w:val="en-GB"/>
              </w:rPr>
            </w:pPr>
            <w:r>
              <w:rPr>
                <w:rFonts w:cs="Arial"/>
                <w:szCs w:val="18"/>
                <w:lang w:val="en-GB"/>
              </w:rPr>
              <w:t>ns</w:t>
            </w:r>
          </w:p>
        </w:tc>
      </w:tr>
      <w:tr w:rsidR="00742D0F" w:rsidRPr="00B57B36" w14:paraId="74B19478" w14:textId="77777777" w:rsidTr="00742D0F">
        <w:tc>
          <w:tcPr>
            <w:tcW w:w="1985" w:type="dxa"/>
            <w:shd w:val="clear" w:color="auto" w:fill="FFFFFF"/>
          </w:tcPr>
          <w:p w14:paraId="5E2FF442" w14:textId="4B22F0C1" w:rsidR="00742D0F" w:rsidRDefault="00742D0F" w:rsidP="007130CF">
            <w:pPr>
              <w:pStyle w:val="CETBodytext"/>
              <w:ind w:right="-1"/>
              <w:rPr>
                <w:rFonts w:cs="Arial"/>
                <w:szCs w:val="18"/>
                <w:lang w:val="en-GB"/>
              </w:rPr>
            </w:pPr>
            <w:r>
              <w:rPr>
                <w:rFonts w:cs="Arial"/>
                <w:szCs w:val="18"/>
                <w:lang w:val="en-GB"/>
              </w:rPr>
              <w:t>1-hexanol</w:t>
            </w:r>
          </w:p>
        </w:tc>
        <w:tc>
          <w:tcPr>
            <w:tcW w:w="1418" w:type="dxa"/>
            <w:shd w:val="clear" w:color="auto" w:fill="FFFFFF"/>
          </w:tcPr>
          <w:p w14:paraId="70BA7C7D" w14:textId="167AF3C8" w:rsidR="00742D0F" w:rsidRDefault="00742D0F" w:rsidP="007130CF">
            <w:pPr>
              <w:pStyle w:val="CETBodytext"/>
              <w:ind w:right="-1"/>
              <w:rPr>
                <w:rFonts w:cs="Arial"/>
                <w:szCs w:val="18"/>
                <w:lang w:val="en-GB"/>
              </w:rPr>
            </w:pPr>
            <w:r>
              <w:rPr>
                <w:rFonts w:cs="Arial"/>
                <w:szCs w:val="18"/>
                <w:lang w:val="en-GB"/>
              </w:rPr>
              <w:t>**</w:t>
            </w:r>
          </w:p>
        </w:tc>
        <w:tc>
          <w:tcPr>
            <w:tcW w:w="1418" w:type="dxa"/>
            <w:shd w:val="clear" w:color="auto" w:fill="FFFFFF"/>
          </w:tcPr>
          <w:p w14:paraId="3D46B28F" w14:textId="05E70711" w:rsidR="00742D0F" w:rsidRDefault="00742D0F" w:rsidP="007130CF">
            <w:pPr>
              <w:pStyle w:val="CETBodytext"/>
              <w:ind w:right="-1"/>
              <w:rPr>
                <w:rFonts w:cs="Arial"/>
                <w:szCs w:val="18"/>
                <w:lang w:val="en-GB"/>
              </w:rPr>
            </w:pPr>
            <w:r>
              <w:rPr>
                <w:rFonts w:cs="Arial"/>
                <w:szCs w:val="18"/>
                <w:lang w:val="en-GB"/>
              </w:rPr>
              <w:t>ns</w:t>
            </w:r>
          </w:p>
        </w:tc>
        <w:tc>
          <w:tcPr>
            <w:tcW w:w="1276" w:type="dxa"/>
            <w:shd w:val="clear" w:color="auto" w:fill="FFFFFF"/>
          </w:tcPr>
          <w:p w14:paraId="5C3CE832" w14:textId="0B06CEA0" w:rsidR="00742D0F" w:rsidRDefault="00742D0F" w:rsidP="007130CF">
            <w:pPr>
              <w:pStyle w:val="CETBodytext"/>
              <w:ind w:right="-1"/>
              <w:rPr>
                <w:rFonts w:cs="Arial"/>
                <w:szCs w:val="18"/>
                <w:lang w:val="en-GB"/>
              </w:rPr>
            </w:pPr>
            <w:r>
              <w:rPr>
                <w:rFonts w:cs="Arial"/>
                <w:szCs w:val="18"/>
                <w:lang w:val="en-GB"/>
              </w:rPr>
              <w:t>ns</w:t>
            </w:r>
          </w:p>
        </w:tc>
      </w:tr>
      <w:tr w:rsidR="00742D0F" w:rsidRPr="00B57B36" w14:paraId="332B3E37" w14:textId="77777777" w:rsidTr="00742D0F">
        <w:tc>
          <w:tcPr>
            <w:tcW w:w="1985" w:type="dxa"/>
            <w:shd w:val="clear" w:color="auto" w:fill="FFFFFF"/>
          </w:tcPr>
          <w:p w14:paraId="5B99AA97" w14:textId="1F31937D" w:rsidR="00742D0F" w:rsidRDefault="00742D0F" w:rsidP="007130CF">
            <w:pPr>
              <w:pStyle w:val="CETBodytext"/>
              <w:ind w:right="-1"/>
              <w:rPr>
                <w:rFonts w:cs="Arial"/>
                <w:szCs w:val="18"/>
                <w:lang w:val="en-GB"/>
              </w:rPr>
            </w:pPr>
            <w:r>
              <w:rPr>
                <w:rFonts w:cs="Arial"/>
                <w:szCs w:val="18"/>
                <w:lang w:val="en-GB"/>
              </w:rPr>
              <w:t>Hexanoic acid</w:t>
            </w:r>
          </w:p>
        </w:tc>
        <w:tc>
          <w:tcPr>
            <w:tcW w:w="1418" w:type="dxa"/>
            <w:shd w:val="clear" w:color="auto" w:fill="FFFFFF"/>
          </w:tcPr>
          <w:p w14:paraId="31324B62" w14:textId="4BF3E133" w:rsidR="00742D0F" w:rsidRDefault="00742D0F" w:rsidP="007130CF">
            <w:pPr>
              <w:pStyle w:val="CETBodytext"/>
              <w:ind w:right="-1"/>
              <w:rPr>
                <w:rFonts w:cs="Arial"/>
                <w:szCs w:val="18"/>
                <w:lang w:val="en-GB"/>
              </w:rPr>
            </w:pPr>
            <w:r>
              <w:rPr>
                <w:rFonts w:cs="Arial"/>
                <w:szCs w:val="18"/>
                <w:lang w:val="en-GB"/>
              </w:rPr>
              <w:t>**</w:t>
            </w:r>
          </w:p>
        </w:tc>
        <w:tc>
          <w:tcPr>
            <w:tcW w:w="1418" w:type="dxa"/>
            <w:shd w:val="clear" w:color="auto" w:fill="FFFFFF"/>
          </w:tcPr>
          <w:p w14:paraId="7182B0FC" w14:textId="6613439B" w:rsidR="00742D0F" w:rsidRDefault="00742D0F" w:rsidP="007130CF">
            <w:pPr>
              <w:pStyle w:val="CETBodytext"/>
              <w:ind w:right="-1"/>
              <w:rPr>
                <w:rFonts w:cs="Arial"/>
                <w:szCs w:val="18"/>
                <w:lang w:val="en-GB"/>
              </w:rPr>
            </w:pPr>
            <w:r>
              <w:rPr>
                <w:rFonts w:cs="Arial"/>
                <w:szCs w:val="18"/>
                <w:lang w:val="en-GB"/>
              </w:rPr>
              <w:t>*</w:t>
            </w:r>
          </w:p>
        </w:tc>
        <w:tc>
          <w:tcPr>
            <w:tcW w:w="1276" w:type="dxa"/>
            <w:shd w:val="clear" w:color="auto" w:fill="FFFFFF"/>
          </w:tcPr>
          <w:p w14:paraId="3DCCB134" w14:textId="0C158899" w:rsidR="00742D0F" w:rsidRDefault="00742D0F" w:rsidP="007130CF">
            <w:pPr>
              <w:pStyle w:val="CETBodytext"/>
              <w:ind w:right="-1"/>
              <w:rPr>
                <w:rFonts w:cs="Arial"/>
                <w:szCs w:val="18"/>
                <w:lang w:val="en-GB"/>
              </w:rPr>
            </w:pPr>
            <w:r>
              <w:rPr>
                <w:rFonts w:cs="Arial"/>
                <w:szCs w:val="18"/>
                <w:lang w:val="en-GB"/>
              </w:rPr>
              <w:t>ns</w:t>
            </w:r>
          </w:p>
        </w:tc>
      </w:tr>
    </w:tbl>
    <w:p w14:paraId="07222545" w14:textId="77777777" w:rsidR="00742D0F" w:rsidRDefault="00742D0F" w:rsidP="00600535">
      <w:pPr>
        <w:pStyle w:val="CETBodytext"/>
        <w:rPr>
          <w:lang w:val="en-GB"/>
        </w:rPr>
      </w:pPr>
    </w:p>
    <w:p w14:paraId="07DC6471" w14:textId="77777777" w:rsidR="00FA11E9" w:rsidRDefault="00086AFD" w:rsidP="00600535">
      <w:pPr>
        <w:pStyle w:val="CETBodytext"/>
        <w:rPr>
          <w:lang w:val="en-GB"/>
        </w:rPr>
      </w:pPr>
      <w:r>
        <w:rPr>
          <w:lang w:val="en-GB"/>
        </w:rPr>
        <w:t>Compounds with statistically significant difference in storage time describe the evolution of all the tested wines.</w:t>
      </w:r>
      <w:r w:rsidR="00FA11E9" w:rsidRPr="00FA11E9">
        <w:rPr>
          <w:lang w:val="en-GB"/>
        </w:rPr>
        <w:t xml:space="preserve"> </w:t>
      </w:r>
      <w:r w:rsidR="00FA11E9">
        <w:rPr>
          <w:lang w:val="en-GB"/>
        </w:rPr>
        <w:t>The compounds with significant changes in both treatment and storage time are reported in Figure 2.</w:t>
      </w:r>
    </w:p>
    <w:p w14:paraId="2C0B9000" w14:textId="6569E8B4" w:rsidR="00FA11E9" w:rsidRDefault="00FA11E9" w:rsidP="00600535">
      <w:pPr>
        <w:pStyle w:val="CETBodytext"/>
        <w:rPr>
          <w:lang w:val="en-GB"/>
        </w:rPr>
      </w:pPr>
      <w:r>
        <w:rPr>
          <w:noProof/>
        </w:rPr>
        <w:drawing>
          <wp:inline distT="0" distB="0" distL="0" distR="0" wp14:anchorId="61FF767B" wp14:editId="64B095A6">
            <wp:extent cx="5575935" cy="3065780"/>
            <wp:effectExtent l="0" t="0" r="5715" b="1270"/>
            <wp:docPr id="1" name="Immagine 1" descr="C:\Users\Lorenzo\Desktop\recupero aromi di fermentazione\convegno bologna\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zo\Desktop\recupero aromi di fermentazione\convegno bologna\Figur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5935" cy="3065780"/>
                    </a:xfrm>
                    <a:prstGeom prst="rect">
                      <a:avLst/>
                    </a:prstGeom>
                    <a:noFill/>
                    <a:ln>
                      <a:noFill/>
                    </a:ln>
                  </pic:spPr>
                </pic:pic>
              </a:graphicData>
            </a:graphic>
          </wp:inline>
        </w:drawing>
      </w:r>
    </w:p>
    <w:p w14:paraId="34E72006" w14:textId="7E508BD9" w:rsidR="00FA11E9" w:rsidRPr="00B57B36" w:rsidRDefault="00FA11E9" w:rsidP="00FA11E9">
      <w:pPr>
        <w:pStyle w:val="CETCaption"/>
      </w:pPr>
      <w:r w:rsidRPr="00B57B36">
        <w:t xml:space="preserve">Figure </w:t>
      </w:r>
      <w:r>
        <w:t>2</w:t>
      </w:r>
      <w:r w:rsidRPr="00B57B36">
        <w:t xml:space="preserve">: </w:t>
      </w:r>
      <w:r>
        <w:t>Change in concentrations of volatile compounds. Black lines represent the Condensed theses, while grey lines the Control. On the x-axis the storage time in months is reported.</w:t>
      </w:r>
    </w:p>
    <w:p w14:paraId="46B82679" w14:textId="75A9489A" w:rsidR="00FA11E9" w:rsidRDefault="008B0D30" w:rsidP="00600535">
      <w:pPr>
        <w:pStyle w:val="CETBodytext"/>
        <w:rPr>
          <w:lang w:val="en-GB"/>
        </w:rPr>
      </w:pPr>
      <w:r>
        <w:rPr>
          <w:lang w:val="en-GB"/>
        </w:rPr>
        <w:lastRenderedPageBreak/>
        <w:t>Ethyl acetate, ethyl octanoate and hexanoic acid increased during the storage time, while the acetic acid hexyl ester decreased.</w:t>
      </w:r>
      <w:r w:rsidR="0018289E">
        <w:rPr>
          <w:lang w:val="en-GB"/>
        </w:rPr>
        <w:t xml:space="preserve"> On the other hand, the </w:t>
      </w:r>
      <w:r w:rsidR="002B54CD">
        <w:rPr>
          <w:lang w:val="en-GB"/>
        </w:rPr>
        <w:t xml:space="preserve">concentrations of 1-propanol, ethyl </w:t>
      </w:r>
      <w:proofErr w:type="spellStart"/>
      <w:r w:rsidR="002B54CD">
        <w:rPr>
          <w:lang w:val="en-GB"/>
        </w:rPr>
        <w:t>hexanoate</w:t>
      </w:r>
      <w:proofErr w:type="spellEnd"/>
      <w:r w:rsidR="002B54CD">
        <w:rPr>
          <w:lang w:val="en-GB"/>
        </w:rPr>
        <w:t xml:space="preserve"> and1-hexanol are</w:t>
      </w:r>
      <w:r w:rsidR="0018289E">
        <w:rPr>
          <w:lang w:val="en-GB"/>
        </w:rPr>
        <w:t xml:space="preserve"> higher in the Condensed wines, but not change during the storage time.</w:t>
      </w:r>
      <w:r w:rsidR="005C7243">
        <w:rPr>
          <w:lang w:val="en-GB"/>
        </w:rPr>
        <w:t xml:space="preserve"> These changes during the first year of wine aging are well documented in literature (Riberau Gayon et al., 2006). </w:t>
      </w:r>
    </w:p>
    <w:p w14:paraId="0E791A83" w14:textId="498D0E65" w:rsidR="00687D8E" w:rsidRDefault="005D72BD" w:rsidP="00600535">
      <w:pPr>
        <w:pStyle w:val="CETBodytext"/>
        <w:rPr>
          <w:lang w:val="en-GB"/>
        </w:rPr>
      </w:pPr>
      <w:r>
        <w:rPr>
          <w:lang w:val="en-GB"/>
        </w:rPr>
        <w:t>After 12</w:t>
      </w:r>
      <w:r w:rsidR="00687D8E">
        <w:rPr>
          <w:lang w:val="en-GB"/>
        </w:rPr>
        <w:t xml:space="preserve"> months of storage, all the 3 varieties were perceived as differe</w:t>
      </w:r>
      <w:r w:rsidR="0018289E">
        <w:rPr>
          <w:lang w:val="en-GB"/>
        </w:rPr>
        <w:t>nt by the panel test (p &lt; 0.05), confirming that the difference perceived by tasters immediately after the wine production are stable during the wine aging and can be detected after 1 year.</w:t>
      </w:r>
      <w:r w:rsidR="00687D8E">
        <w:rPr>
          <w:lang w:val="en-GB"/>
        </w:rPr>
        <w:t xml:space="preserve"> </w:t>
      </w:r>
    </w:p>
    <w:p w14:paraId="68D26B83" w14:textId="19D5182E" w:rsidR="00600535" w:rsidRPr="00B57B36" w:rsidRDefault="007F4728" w:rsidP="007F4728">
      <w:pPr>
        <w:pStyle w:val="CETHeading1"/>
        <w:numPr>
          <w:ilvl w:val="0"/>
          <w:numId w:val="0"/>
        </w:numPr>
        <w:rPr>
          <w:lang w:val="en-GB"/>
        </w:rPr>
      </w:pPr>
      <w:r>
        <w:rPr>
          <w:lang w:val="en-GB"/>
        </w:rPr>
        <w:t xml:space="preserve">4. </w:t>
      </w:r>
      <w:r w:rsidR="00600535" w:rsidRPr="00B57B36">
        <w:rPr>
          <w:lang w:val="en-GB"/>
        </w:rPr>
        <w:t>Conclusions</w:t>
      </w:r>
    </w:p>
    <w:p w14:paraId="4A31C3EF" w14:textId="1EF313F6" w:rsidR="00687D8E" w:rsidRPr="00B57B36" w:rsidRDefault="00687D8E" w:rsidP="00600535">
      <w:pPr>
        <w:pStyle w:val="CETBodytext"/>
        <w:rPr>
          <w:lang w:val="en-GB"/>
        </w:rPr>
      </w:pPr>
      <w:r>
        <w:rPr>
          <w:lang w:val="en-GB"/>
        </w:rPr>
        <w:t xml:space="preserve">The condensation devices placed on the top of the fermenter were able to recover some of the volatile compounds escaping from the tanks during the alcoholic fermentation. The recovered compounds are mainly yeasts metabolites related to the secondary aroma of wines, and particularly to the fruity flavour. The differences were perceived immediately after the wines production. Both the chromatographic analysis and the panel test were able to detect the differences. </w:t>
      </w:r>
      <w:r w:rsidR="00D329AD">
        <w:rPr>
          <w:lang w:val="en-GB"/>
        </w:rPr>
        <w:t>During the wine aging, the differences in volatile con</w:t>
      </w:r>
      <w:r w:rsidR="005D72BD">
        <w:rPr>
          <w:lang w:val="en-GB"/>
        </w:rPr>
        <w:t>centrations remain stable for 12</w:t>
      </w:r>
      <w:r w:rsidR="00D329AD">
        <w:rPr>
          <w:lang w:val="en-GB"/>
        </w:rPr>
        <w:t xml:space="preserve"> months. In fact, after the storage there were detectable with both chromatography and sensory analyses.</w:t>
      </w:r>
      <w:r w:rsidR="00A61056">
        <w:rPr>
          <w:lang w:val="en-GB"/>
        </w:rPr>
        <w:t xml:space="preserve"> Hence, the recovery of volatile compounds during the alcoholic fermentation can be considered a valuable tool to change the wine aroma profile.</w:t>
      </w:r>
      <w:r>
        <w:rPr>
          <w:lang w:val="en-GB"/>
        </w:rPr>
        <w:t xml:space="preserve"> </w:t>
      </w:r>
    </w:p>
    <w:p w14:paraId="459D05E6" w14:textId="77777777" w:rsidR="00600535" w:rsidRPr="00B57B36" w:rsidRDefault="00600535" w:rsidP="00600535">
      <w:pPr>
        <w:pStyle w:val="CETAcknowledgementstitle"/>
      </w:pPr>
      <w:r w:rsidRPr="00B57B36">
        <w:t>Acknowledgments</w:t>
      </w:r>
    </w:p>
    <w:p w14:paraId="33F8138F" w14:textId="4F3861D6" w:rsidR="00600535" w:rsidRPr="00B57B36" w:rsidRDefault="007F4728" w:rsidP="00600535">
      <w:pPr>
        <w:pStyle w:val="CETBodytext"/>
        <w:rPr>
          <w:lang w:val="en-GB"/>
        </w:rPr>
      </w:pPr>
      <w:r>
        <w:rPr>
          <w:lang w:val="en-GB"/>
        </w:rPr>
        <w:t xml:space="preserve">The authors want to thanks the Consorzio Tuscania srl to host the trials and the </w:t>
      </w:r>
      <w:proofErr w:type="spellStart"/>
      <w:r>
        <w:rPr>
          <w:lang w:val="en-GB"/>
        </w:rPr>
        <w:t>Trecieffe</w:t>
      </w:r>
      <w:proofErr w:type="spellEnd"/>
      <w:r>
        <w:rPr>
          <w:lang w:val="en-GB"/>
        </w:rPr>
        <w:t xml:space="preserve"> </w:t>
      </w:r>
      <w:r w:rsidR="002B54CD">
        <w:rPr>
          <w:lang w:val="en-GB"/>
        </w:rPr>
        <w:t>Company</w:t>
      </w:r>
      <w:r>
        <w:rPr>
          <w:lang w:val="en-GB"/>
        </w:rPr>
        <w:t xml:space="preserve"> to </w:t>
      </w:r>
      <w:r w:rsidR="002B54CD">
        <w:rPr>
          <w:lang w:val="en-GB"/>
        </w:rPr>
        <w:t>make</w:t>
      </w:r>
      <w:r>
        <w:rPr>
          <w:lang w:val="en-GB"/>
        </w:rPr>
        <w:t xml:space="preserve"> the condensers.</w:t>
      </w:r>
    </w:p>
    <w:p w14:paraId="59341221" w14:textId="77777777" w:rsidR="00FF0177" w:rsidRDefault="00FF0177" w:rsidP="00600535">
      <w:pPr>
        <w:pStyle w:val="CETReference"/>
      </w:pPr>
    </w:p>
    <w:p w14:paraId="4F1327F8" w14:textId="77777777" w:rsidR="00600535" w:rsidRPr="00B57B36" w:rsidRDefault="00600535" w:rsidP="00600535">
      <w:pPr>
        <w:pStyle w:val="CETReference"/>
      </w:pPr>
      <w:r w:rsidRPr="00B57B36">
        <w:t>References</w:t>
      </w:r>
    </w:p>
    <w:p w14:paraId="23FA1ECD" w14:textId="02F95C73" w:rsidR="00031BAD" w:rsidRDefault="00031BAD" w:rsidP="00031BAD">
      <w:pPr>
        <w:pStyle w:val="CETReferencetext"/>
      </w:pPr>
      <w:r>
        <w:t xml:space="preserve">Bach H. P., 2001, Recovery of fermentation aromas. Australian Journal of </w:t>
      </w:r>
      <w:proofErr w:type="spellStart"/>
      <w:r>
        <w:t>Grapegrower</w:t>
      </w:r>
      <w:proofErr w:type="spellEnd"/>
      <w:r>
        <w:t xml:space="preserve"> and Winemaker, 454, 73-78.</w:t>
      </w:r>
    </w:p>
    <w:p w14:paraId="0FF61F30" w14:textId="2252AFEE" w:rsidR="005C7243" w:rsidRDefault="005C7243" w:rsidP="005071C1">
      <w:pPr>
        <w:pStyle w:val="CETReferencetext"/>
      </w:pPr>
      <w:r w:rsidRPr="005C7243">
        <w:rPr>
          <w:lang w:val="it-IT"/>
        </w:rPr>
        <w:t xml:space="preserve">Domizio, P., </w:t>
      </w:r>
      <w:proofErr w:type="spellStart"/>
      <w:r w:rsidRPr="005C7243">
        <w:rPr>
          <w:lang w:val="it-IT"/>
        </w:rPr>
        <w:t>Lencioni</w:t>
      </w:r>
      <w:proofErr w:type="spellEnd"/>
      <w:r w:rsidRPr="005C7243">
        <w:rPr>
          <w:lang w:val="it-IT"/>
        </w:rPr>
        <w:t>,</w:t>
      </w:r>
      <w:r w:rsidR="00FF0177">
        <w:rPr>
          <w:lang w:val="it-IT"/>
        </w:rPr>
        <w:t xml:space="preserve"> L., Calamai, L., </w:t>
      </w:r>
      <w:proofErr w:type="spellStart"/>
      <w:r w:rsidR="00FF0177">
        <w:rPr>
          <w:lang w:val="it-IT"/>
        </w:rPr>
        <w:t>Portaro</w:t>
      </w:r>
      <w:proofErr w:type="spellEnd"/>
      <w:r w:rsidR="00FF0177">
        <w:rPr>
          <w:lang w:val="it-IT"/>
        </w:rPr>
        <w:t>, L.,</w:t>
      </w:r>
      <w:r w:rsidRPr="005C7243">
        <w:rPr>
          <w:lang w:val="it-IT"/>
        </w:rPr>
        <w:t xml:space="preserve"> </w:t>
      </w:r>
      <w:proofErr w:type="spellStart"/>
      <w:r w:rsidRPr="005C7243">
        <w:rPr>
          <w:lang w:val="it-IT"/>
        </w:rPr>
        <w:t>Bisson</w:t>
      </w:r>
      <w:proofErr w:type="spellEnd"/>
      <w:r w:rsidRPr="005C7243">
        <w:rPr>
          <w:lang w:val="it-IT"/>
        </w:rPr>
        <w:t xml:space="preserve">, L. (2018). </w:t>
      </w:r>
      <w:r w:rsidRPr="005C7243">
        <w:t xml:space="preserve">Evaluation of the Yeast </w:t>
      </w:r>
      <w:proofErr w:type="spellStart"/>
      <w:r w:rsidRPr="005C7243">
        <w:t>Schizosaccharomyces</w:t>
      </w:r>
      <w:proofErr w:type="spellEnd"/>
      <w:r w:rsidRPr="005C7243">
        <w:t xml:space="preserve"> </w:t>
      </w:r>
      <w:proofErr w:type="spellStart"/>
      <w:r w:rsidRPr="005C7243">
        <w:t>japonicus</w:t>
      </w:r>
      <w:proofErr w:type="spellEnd"/>
      <w:r w:rsidRPr="005C7243">
        <w:t xml:space="preserve"> for Use in Wine Production. Am. J. Enol. </w:t>
      </w:r>
      <w:proofErr w:type="spellStart"/>
      <w:r w:rsidRPr="005C7243">
        <w:t>Vitic</w:t>
      </w:r>
      <w:proofErr w:type="spellEnd"/>
      <w:r w:rsidRPr="005C7243">
        <w:t xml:space="preserve"> 1–37.</w:t>
      </w:r>
    </w:p>
    <w:p w14:paraId="65B535A1" w14:textId="512F2EF8" w:rsidR="0081096B" w:rsidRPr="003A01F1" w:rsidRDefault="0081096B" w:rsidP="005071C1">
      <w:pPr>
        <w:pStyle w:val="CETReferencetext"/>
        <w:rPr>
          <w:lang w:val="it-IT"/>
        </w:rPr>
      </w:pPr>
      <w:r>
        <w:t xml:space="preserve">Gonzalez R., Morales P., 2017, Wine secondary aroma: understanding yeast production of higher alcohols. </w:t>
      </w:r>
      <w:proofErr w:type="spellStart"/>
      <w:r w:rsidRPr="003A01F1">
        <w:rPr>
          <w:lang w:val="it-IT"/>
        </w:rPr>
        <w:t>Microbial</w:t>
      </w:r>
      <w:proofErr w:type="spellEnd"/>
      <w:r w:rsidRPr="003A01F1">
        <w:rPr>
          <w:lang w:val="it-IT"/>
        </w:rPr>
        <w:t xml:space="preserve"> </w:t>
      </w:r>
      <w:proofErr w:type="spellStart"/>
      <w:r w:rsidRPr="003A01F1">
        <w:rPr>
          <w:lang w:val="it-IT"/>
        </w:rPr>
        <w:t>Biotechnology</w:t>
      </w:r>
      <w:proofErr w:type="spellEnd"/>
      <w:r w:rsidRPr="003A01F1">
        <w:rPr>
          <w:lang w:val="it-IT"/>
        </w:rPr>
        <w:t>, 10, 1449-1450.</w:t>
      </w:r>
    </w:p>
    <w:p w14:paraId="1FB28990" w14:textId="5ECD1BD2" w:rsidR="005317D1" w:rsidRPr="005317D1" w:rsidRDefault="005317D1" w:rsidP="000C0E75">
      <w:pPr>
        <w:pStyle w:val="CETReferencetext"/>
        <w:rPr>
          <w:lang w:val="en-US"/>
        </w:rPr>
      </w:pPr>
      <w:r w:rsidRPr="005317D1">
        <w:rPr>
          <w:lang w:val="it-IT"/>
        </w:rPr>
        <w:t xml:space="preserve">Guerrini, L., Masella, P., Spugnoli, </w:t>
      </w:r>
      <w:r>
        <w:rPr>
          <w:lang w:val="it-IT"/>
        </w:rPr>
        <w:t>P., Spinelli, S., Calamai, L., Parenti, A., 2016,</w:t>
      </w:r>
      <w:r w:rsidRPr="005317D1">
        <w:rPr>
          <w:lang w:val="it-IT"/>
        </w:rPr>
        <w:t xml:space="preserve"> A Condenser to Recover Organic Volatile Compounds during Vinification. </w:t>
      </w:r>
      <w:r>
        <w:rPr>
          <w:lang w:val="en-US"/>
        </w:rPr>
        <w:t>American Journal of Enology and</w:t>
      </w:r>
      <w:r w:rsidRPr="005317D1">
        <w:rPr>
          <w:lang w:val="en-US"/>
        </w:rPr>
        <w:t xml:space="preserve"> Vitic</w:t>
      </w:r>
      <w:r>
        <w:rPr>
          <w:lang w:val="en-US"/>
        </w:rPr>
        <w:t>ulture</w:t>
      </w:r>
      <w:r w:rsidR="00A17BFE">
        <w:rPr>
          <w:lang w:val="en-US"/>
        </w:rPr>
        <w:t xml:space="preserve"> 67</w:t>
      </w:r>
      <w:r w:rsidRPr="005317D1">
        <w:rPr>
          <w:lang w:val="en-US"/>
        </w:rPr>
        <w:t>, 163–168.</w:t>
      </w:r>
    </w:p>
    <w:p w14:paraId="1EA9E359" w14:textId="18A72046" w:rsidR="000C0E75" w:rsidRDefault="000C0E75" w:rsidP="000C0E75">
      <w:pPr>
        <w:pStyle w:val="CETReferencetext"/>
      </w:pPr>
      <w:r w:rsidRPr="005317D1">
        <w:rPr>
          <w:lang w:val="en-US"/>
        </w:rPr>
        <w:t>Guerrini, L., Angeloni, G., Baldi, F., Parenti, A., 2017</w:t>
      </w:r>
      <w:r w:rsidR="004B6FCE">
        <w:rPr>
          <w:lang w:val="en-US"/>
        </w:rPr>
        <w:t>a</w:t>
      </w:r>
      <w:r w:rsidR="005317D1">
        <w:rPr>
          <w:lang w:val="en-US"/>
        </w:rPr>
        <w:t>,</w:t>
      </w:r>
      <w:r w:rsidRPr="005317D1">
        <w:rPr>
          <w:lang w:val="en-US"/>
        </w:rPr>
        <w:t xml:space="preserve"> </w:t>
      </w:r>
      <w:r>
        <w:t>Thermal effects of pump-overs during red wine fermentation. Applied Thermal Engineering, 112, 621–626.</w:t>
      </w:r>
    </w:p>
    <w:p w14:paraId="560BFC54" w14:textId="4C594B35" w:rsidR="004B6FCE" w:rsidRDefault="004B6FCE" w:rsidP="000C0E75">
      <w:pPr>
        <w:pStyle w:val="CETReferencetext"/>
      </w:pPr>
      <w:r w:rsidRPr="004B6FCE">
        <w:rPr>
          <w:lang w:val="en-US"/>
        </w:rPr>
        <w:t>Guerrini, L., Masella, P., Angeloni, G., Cini, E., Parenti, A.</w:t>
      </w:r>
      <w:r>
        <w:rPr>
          <w:lang w:val="en-US"/>
        </w:rPr>
        <w:t>,</w:t>
      </w:r>
      <w:r w:rsidRPr="004B6FCE">
        <w:rPr>
          <w:lang w:val="en-US"/>
        </w:rPr>
        <w:t xml:space="preserve"> 2017</w:t>
      </w:r>
      <w:r>
        <w:rPr>
          <w:lang w:val="en-US"/>
        </w:rPr>
        <w:t>b</w:t>
      </w:r>
      <w:r w:rsidRPr="004B6FCE">
        <w:rPr>
          <w:lang w:val="en-US"/>
        </w:rPr>
        <w:t xml:space="preserve">, </w:t>
      </w:r>
      <w:r w:rsidRPr="004B6FCE">
        <w:t>A Device for the Monitoring of the Cap Buoyancy during the Red Grapes Fermentation. Chemical Engineering Transactions, 58, 427-432.</w:t>
      </w:r>
    </w:p>
    <w:p w14:paraId="7AE687C3" w14:textId="45134489" w:rsidR="000C0E75" w:rsidRDefault="000C0E75" w:rsidP="000C0E75">
      <w:pPr>
        <w:pStyle w:val="CETReferencetext"/>
      </w:pPr>
      <w:r w:rsidRPr="000C0E75">
        <w:rPr>
          <w:lang w:val="en-US"/>
        </w:rPr>
        <w:t>Guerrini, L., Masella, P., Angeloni, G., Calamai, L., Spinelli, S., Di Blasi, S., Parenti, A., 2018a</w:t>
      </w:r>
      <w:r>
        <w:rPr>
          <w:lang w:val="en-US"/>
        </w:rPr>
        <w:t>,</w:t>
      </w:r>
      <w:r w:rsidRPr="000C0E75">
        <w:rPr>
          <w:lang w:val="en-US"/>
        </w:rPr>
        <w:t xml:space="preserve"> </w:t>
      </w:r>
      <w:r>
        <w:t xml:space="preserve">Harvest of Sangiovese grapes: the influence of material other than grape and unripe berries on wine quality. European Food Research and Technology, </w:t>
      </w:r>
      <w:r w:rsidRPr="000C0E75">
        <w:t>244, 1487-1496</w:t>
      </w:r>
      <w:r>
        <w:t>.</w:t>
      </w:r>
    </w:p>
    <w:p w14:paraId="4CCB1526" w14:textId="433DF6AF" w:rsidR="00343635" w:rsidRDefault="00343635" w:rsidP="000C0E75">
      <w:pPr>
        <w:pStyle w:val="CETReferencetext"/>
      </w:pPr>
      <w:r w:rsidRPr="00343635">
        <w:rPr>
          <w:lang w:val="en-US"/>
        </w:rPr>
        <w:t xml:space="preserve">Guerrini, L., Angeloni, G., Masella, P., Calamai, L., Parenti, A., 2018b, </w:t>
      </w:r>
      <w:r w:rsidRPr="00343635">
        <w:t xml:space="preserve">A Technological Solution to Modulate the Aroma Profile during Beer Fermentation. Food and Bioprocess Technology, </w:t>
      </w:r>
      <w:r>
        <w:t xml:space="preserve">11, </w:t>
      </w:r>
      <w:r w:rsidRPr="00343635">
        <w:t>1</w:t>
      </w:r>
      <w:r w:rsidR="00B25F98">
        <w:t>4</w:t>
      </w:r>
      <w:r w:rsidRPr="00343635">
        <w:t>8</w:t>
      </w:r>
      <w:r w:rsidR="00B25F98">
        <w:t>7 - 1496</w:t>
      </w:r>
      <w:r w:rsidRPr="00343635">
        <w:t>.</w:t>
      </w:r>
    </w:p>
    <w:p w14:paraId="6913522F" w14:textId="50DFBF88" w:rsidR="0043047C" w:rsidRDefault="0043047C" w:rsidP="005071C1">
      <w:pPr>
        <w:pStyle w:val="CETReferencetext"/>
      </w:pPr>
      <w:r w:rsidRPr="0043047C">
        <w:rPr>
          <w:lang w:val="en-US"/>
        </w:rPr>
        <w:t>Lezaeta, A., Bordeu, E., Agosin, E., Pérez-Correa, J. R., Varela, P.</w:t>
      </w:r>
      <w:r>
        <w:rPr>
          <w:lang w:val="en-US"/>
        </w:rPr>
        <w:t>,</w:t>
      </w:r>
      <w:r w:rsidRPr="0043047C">
        <w:rPr>
          <w:lang w:val="en-US"/>
        </w:rPr>
        <w:t xml:space="preserve"> 2018, </w:t>
      </w:r>
      <w:r w:rsidRPr="0043047C">
        <w:t>White wines aroma recovery and enrichment: Sensory-led aroma selection and consumer perception. Food Res</w:t>
      </w:r>
      <w:r>
        <w:t>earch International</w:t>
      </w:r>
      <w:r w:rsidRPr="0043047C">
        <w:t xml:space="preserve"> 108, 595–603.</w:t>
      </w:r>
    </w:p>
    <w:p w14:paraId="10051C68" w14:textId="46EB55CF" w:rsidR="00D91E7D" w:rsidRDefault="00D91E7D" w:rsidP="005071C1">
      <w:pPr>
        <w:pStyle w:val="CETReferencetext"/>
      </w:pPr>
      <w:r w:rsidRPr="00D91E7D">
        <w:t xml:space="preserve">Moreno, J. J., Cerpa-Calderón, F., Cohen, S. D., Fang, </w:t>
      </w:r>
      <w:r>
        <w:t>Y., Qian, M., Kennedy, J. A., 2008,</w:t>
      </w:r>
      <w:r w:rsidRPr="00D91E7D">
        <w:t xml:space="preserve"> Effect of postharvest dehydration on the composition of pinot noir grapes (Vitis vinifera L.) and wine. Food Chem</w:t>
      </w:r>
      <w:r>
        <w:t>istry,</w:t>
      </w:r>
      <w:r w:rsidRPr="00D91E7D">
        <w:t xml:space="preserve"> 109, 755–762.</w:t>
      </w:r>
    </w:p>
    <w:p w14:paraId="6C7DD35A" w14:textId="1091ED2B" w:rsidR="0041690A" w:rsidRDefault="0041690A" w:rsidP="0041690A">
      <w:pPr>
        <w:pStyle w:val="CETReferencetext"/>
      </w:pPr>
      <w:r>
        <w:t>Mouret J. R., Perez M., Angenieux M., Nicolle P., Farines V., Sablayrolles J. M., 2014, Online-based kinetic analysis of higher alcohol and ester synthesis during winemaking fermentations. Food and Bioprocess Technology, 7, 1235-1245.</w:t>
      </w:r>
    </w:p>
    <w:p w14:paraId="79E951E0" w14:textId="140B07E0" w:rsidR="005C7243" w:rsidRDefault="005C7243" w:rsidP="005C7243">
      <w:pPr>
        <w:pStyle w:val="CETReferencetext"/>
      </w:pPr>
      <w:r w:rsidRPr="00955460">
        <w:t xml:space="preserve">OIV-MA-AS312-01A </w:t>
      </w:r>
      <w:r>
        <w:t xml:space="preserve">R2016 </w:t>
      </w:r>
      <w:r w:rsidRPr="00955460">
        <w:t>Compendium of International methods of wine and must analysis. Alcoholic strength by volume (pycnometry, frequency oscilla</w:t>
      </w:r>
      <w:r>
        <w:t>tor, hydrostatic balance)</w:t>
      </w:r>
      <w:r w:rsidRPr="00955460">
        <w:t>.</w:t>
      </w:r>
    </w:p>
    <w:p w14:paraId="6BF41CED" w14:textId="6D877DFF" w:rsidR="005C7243" w:rsidRDefault="005C7243" w:rsidP="005C7243">
      <w:pPr>
        <w:pStyle w:val="CETReferencetext"/>
      </w:pPr>
      <w:r>
        <w:t>OIV-MA-AS323-04B Compendium of international method of analysis. Method for sulfur dioxide determination. Resolution Oeno 377 2009.</w:t>
      </w:r>
    </w:p>
    <w:p w14:paraId="45E09269" w14:textId="334B3A1D" w:rsidR="005C7243" w:rsidRDefault="005C7243" w:rsidP="005C7243">
      <w:pPr>
        <w:pStyle w:val="CETReferencetext"/>
      </w:pPr>
      <w:r>
        <w:t>OIV-MA-AS313-02 Compendium of international method of analysis. Method OIV-MA-AS313-02 for volatile acidity determination. Resolution Oeno 377 2009</w:t>
      </w:r>
      <w:r w:rsidR="00FF0177">
        <w:t>.</w:t>
      </w:r>
    </w:p>
    <w:p w14:paraId="7F6726DF" w14:textId="289C12CF" w:rsidR="00FF0177" w:rsidRDefault="00FF0177" w:rsidP="005C7243">
      <w:pPr>
        <w:pStyle w:val="CETReferencetext"/>
      </w:pPr>
      <w:r>
        <w:lastRenderedPageBreak/>
        <w:t>OIV-MA-AS313-15 R2011 Compendium of international method of analysis. Method for total acidity determination.</w:t>
      </w:r>
    </w:p>
    <w:p w14:paraId="068A6479" w14:textId="46AF596A" w:rsidR="00FF0177" w:rsidRDefault="00FF0177" w:rsidP="005C7243">
      <w:pPr>
        <w:pStyle w:val="CETReferencetext"/>
      </w:pPr>
      <w:r>
        <w:t>OIV-MA-AS311-02 R2009 Compendium of international method of analysis. Method for reducing sugar determination.</w:t>
      </w:r>
    </w:p>
    <w:p w14:paraId="695E8E3A" w14:textId="6971E6CD" w:rsidR="00FF0177" w:rsidRDefault="00FF0177" w:rsidP="005C7243">
      <w:pPr>
        <w:pStyle w:val="CETReferencetext"/>
      </w:pPr>
      <w:r>
        <w:t>Pinero, J.,</w:t>
      </w:r>
      <w:r w:rsidRPr="00FF0177">
        <w:t xml:space="preserve"> Bates, D. (2000). Mixed-effects models in S and S-PLUS (statistics and computing).</w:t>
      </w:r>
    </w:p>
    <w:p w14:paraId="16406C87" w14:textId="74F69A44" w:rsidR="005C7243" w:rsidRDefault="005C7243" w:rsidP="005071C1">
      <w:pPr>
        <w:pStyle w:val="CETReferencetext"/>
      </w:pPr>
      <w:r w:rsidRPr="005C7243">
        <w:t>Ribâereau-Gayon P, Glories Y, Maujean A. Handbook of Enology: The Chemistry of Wine: Stabilization and Treatments. John Wiley &amp; Sons 2006.</w:t>
      </w:r>
    </w:p>
    <w:p w14:paraId="4196A5C1" w14:textId="5EAC07DD" w:rsidR="000C0E75" w:rsidRDefault="000C0E75" w:rsidP="005071C1">
      <w:pPr>
        <w:pStyle w:val="CETReferencetext"/>
      </w:pPr>
      <w:r w:rsidRPr="000C0E75">
        <w:t>Styger, G., Prior, B., Bauer, F. F.</w:t>
      </w:r>
      <w:r>
        <w:t>,</w:t>
      </w:r>
      <w:r w:rsidRPr="000C0E75">
        <w:t xml:space="preserve"> </w:t>
      </w:r>
      <w:r>
        <w:t>2011,</w:t>
      </w:r>
      <w:r w:rsidRPr="000C0E75">
        <w:t xml:space="preserve"> Wine flavor and aroma. Journal of industrial mic</w:t>
      </w:r>
      <w:r>
        <w:t>robiology &amp; biotechnology, 38</w:t>
      </w:r>
      <w:r w:rsidRPr="000C0E75">
        <w:t>, 1145.</w:t>
      </w:r>
    </w:p>
    <w:p w14:paraId="5A13856B" w14:textId="14E568B9" w:rsidR="006B4888" w:rsidRDefault="005071C1" w:rsidP="005071C1">
      <w:pPr>
        <w:pStyle w:val="CETReferencetext"/>
      </w:pPr>
      <w:r w:rsidRPr="005071C1">
        <w:t>Torrens J</w:t>
      </w:r>
      <w:r>
        <w:t>.</w:t>
      </w:r>
      <w:r w:rsidRPr="005071C1">
        <w:t>, Urpí P</w:t>
      </w:r>
      <w:r>
        <w:t>.</w:t>
      </w:r>
      <w:r w:rsidRPr="005071C1">
        <w:t>, Riu-Aumatell M</w:t>
      </w:r>
      <w:r>
        <w:t>.</w:t>
      </w:r>
      <w:r w:rsidRPr="005071C1">
        <w:t>, Vichi S., López-Tamames E., Buxaderas S.</w:t>
      </w:r>
      <w:r>
        <w:t>, 2008,</w:t>
      </w:r>
      <w:r w:rsidRPr="005071C1">
        <w:t xml:space="preserve"> </w:t>
      </w:r>
      <w:r>
        <w:t>Different commercial yeast strains affecting the volatile and sensory profile of cava base wine. International Journal of Food Microbiology, 124, 48-57</w:t>
      </w:r>
      <w:r w:rsidR="00FF0177">
        <w:t>.</w:t>
      </w:r>
    </w:p>
    <w:p w14:paraId="50061877" w14:textId="25F9B83C" w:rsidR="00FF0177" w:rsidRPr="000D56D6" w:rsidRDefault="00FF0177" w:rsidP="00C526A7">
      <w:pPr>
        <w:pStyle w:val="CETReferencetext"/>
      </w:pPr>
      <w:r>
        <w:t>UNI U590A2520. 2001. Analisi Sensoriale. Metodo Triangolare. [</w:t>
      </w:r>
      <w:r w:rsidR="00C526A7">
        <w:t>Regulation in Italian]. Italian</w:t>
      </w:r>
      <w:r>
        <w:t xml:space="preserve"> Unification Institute ed., Milano, Italy</w:t>
      </w:r>
      <w:r w:rsidR="00C526A7">
        <w:t>.</w:t>
      </w:r>
    </w:p>
    <w:p w14:paraId="19C4FC68" w14:textId="77777777" w:rsidR="004628D2" w:rsidRDefault="004628D2" w:rsidP="00FA5F5F">
      <w:pPr>
        <w:pStyle w:val="CETHeading1"/>
        <w:numPr>
          <w:ilvl w:val="0"/>
          <w:numId w:val="0"/>
        </w:numPr>
      </w:pPr>
    </w:p>
    <w:sectPr w:rsidR="004628D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A1144" w14:textId="77777777" w:rsidR="00446B2A" w:rsidRDefault="00446B2A" w:rsidP="004F5E36">
      <w:r>
        <w:separator/>
      </w:r>
    </w:p>
  </w:endnote>
  <w:endnote w:type="continuationSeparator" w:id="0">
    <w:p w14:paraId="65E5875B" w14:textId="77777777" w:rsidR="00446B2A" w:rsidRDefault="00446B2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A9230" w14:textId="77777777" w:rsidR="00446B2A" w:rsidRDefault="00446B2A" w:rsidP="004F5E36">
      <w:r>
        <w:separator/>
      </w:r>
    </w:p>
  </w:footnote>
  <w:footnote w:type="continuationSeparator" w:id="0">
    <w:p w14:paraId="240A6B4F" w14:textId="77777777" w:rsidR="00446B2A" w:rsidRDefault="00446B2A"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FrqynnHxIV2KZAj9dKsCBR53Gf+6x6OCj+SoDsGxRi3SNx7Q3MimQuOvwt1yaTeZ/1IBxv76FucSD+lEUwSV1Q==" w:salt="dTozw7DQbgD/LBv840ec8Q=="/>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BAD"/>
    <w:rsid w:val="00051566"/>
    <w:rsid w:val="00062A9A"/>
    <w:rsid w:val="00065058"/>
    <w:rsid w:val="00086AFD"/>
    <w:rsid w:val="00086C39"/>
    <w:rsid w:val="000944E4"/>
    <w:rsid w:val="000A03B2"/>
    <w:rsid w:val="000A6981"/>
    <w:rsid w:val="000B6DF2"/>
    <w:rsid w:val="000C0E75"/>
    <w:rsid w:val="000C11F6"/>
    <w:rsid w:val="000C3EE3"/>
    <w:rsid w:val="000C7300"/>
    <w:rsid w:val="000D34BE"/>
    <w:rsid w:val="000E102F"/>
    <w:rsid w:val="000E36F1"/>
    <w:rsid w:val="000E3A73"/>
    <w:rsid w:val="000E414A"/>
    <w:rsid w:val="000F093C"/>
    <w:rsid w:val="000F787B"/>
    <w:rsid w:val="00102468"/>
    <w:rsid w:val="0012091F"/>
    <w:rsid w:val="00126BC2"/>
    <w:rsid w:val="001308B6"/>
    <w:rsid w:val="0013121F"/>
    <w:rsid w:val="00131FE6"/>
    <w:rsid w:val="0013263F"/>
    <w:rsid w:val="00134DE4"/>
    <w:rsid w:val="0014034D"/>
    <w:rsid w:val="0014464F"/>
    <w:rsid w:val="00150E59"/>
    <w:rsid w:val="00152DE3"/>
    <w:rsid w:val="001539F6"/>
    <w:rsid w:val="00164CF9"/>
    <w:rsid w:val="0018289E"/>
    <w:rsid w:val="00184AD6"/>
    <w:rsid w:val="001959AF"/>
    <w:rsid w:val="001A5B78"/>
    <w:rsid w:val="001B0349"/>
    <w:rsid w:val="001B65C1"/>
    <w:rsid w:val="001C684B"/>
    <w:rsid w:val="001D53FC"/>
    <w:rsid w:val="001E3561"/>
    <w:rsid w:val="001F42A5"/>
    <w:rsid w:val="001F7B9D"/>
    <w:rsid w:val="002224B4"/>
    <w:rsid w:val="002447EF"/>
    <w:rsid w:val="00251550"/>
    <w:rsid w:val="00263B05"/>
    <w:rsid w:val="0027221A"/>
    <w:rsid w:val="00275B61"/>
    <w:rsid w:val="00282656"/>
    <w:rsid w:val="00296B83"/>
    <w:rsid w:val="002A178F"/>
    <w:rsid w:val="002B54CD"/>
    <w:rsid w:val="002B78CE"/>
    <w:rsid w:val="002C2FB6"/>
    <w:rsid w:val="002E4E2C"/>
    <w:rsid w:val="002F7925"/>
    <w:rsid w:val="003009B7"/>
    <w:rsid w:val="00300E56"/>
    <w:rsid w:val="0030469C"/>
    <w:rsid w:val="00321CA6"/>
    <w:rsid w:val="00334C09"/>
    <w:rsid w:val="003354CF"/>
    <w:rsid w:val="00343635"/>
    <w:rsid w:val="003723D4"/>
    <w:rsid w:val="00383F4B"/>
    <w:rsid w:val="00384CC8"/>
    <w:rsid w:val="003871FD"/>
    <w:rsid w:val="003A01F1"/>
    <w:rsid w:val="003A1E30"/>
    <w:rsid w:val="003A7D1C"/>
    <w:rsid w:val="003B304B"/>
    <w:rsid w:val="003B3146"/>
    <w:rsid w:val="003F015E"/>
    <w:rsid w:val="00400414"/>
    <w:rsid w:val="0041446B"/>
    <w:rsid w:val="0041690A"/>
    <w:rsid w:val="0043047C"/>
    <w:rsid w:val="0044329C"/>
    <w:rsid w:val="00446B2A"/>
    <w:rsid w:val="004577FE"/>
    <w:rsid w:val="00457B9C"/>
    <w:rsid w:val="0046164A"/>
    <w:rsid w:val="004628D2"/>
    <w:rsid w:val="00462DCD"/>
    <w:rsid w:val="004648AD"/>
    <w:rsid w:val="004703A9"/>
    <w:rsid w:val="004760DE"/>
    <w:rsid w:val="004A004E"/>
    <w:rsid w:val="004A24CF"/>
    <w:rsid w:val="004B6FCE"/>
    <w:rsid w:val="004C3D1D"/>
    <w:rsid w:val="004C7913"/>
    <w:rsid w:val="004E4DD6"/>
    <w:rsid w:val="004F5E36"/>
    <w:rsid w:val="005071C1"/>
    <w:rsid w:val="00507B47"/>
    <w:rsid w:val="00507CC9"/>
    <w:rsid w:val="005119A5"/>
    <w:rsid w:val="00511F6A"/>
    <w:rsid w:val="005278B7"/>
    <w:rsid w:val="005317D1"/>
    <w:rsid w:val="00532016"/>
    <w:rsid w:val="005346C8"/>
    <w:rsid w:val="00543E7D"/>
    <w:rsid w:val="00547A68"/>
    <w:rsid w:val="005531C9"/>
    <w:rsid w:val="0059756F"/>
    <w:rsid w:val="005A70F1"/>
    <w:rsid w:val="005B2110"/>
    <w:rsid w:val="005B61E6"/>
    <w:rsid w:val="005C7243"/>
    <w:rsid w:val="005C77E1"/>
    <w:rsid w:val="005D6A2F"/>
    <w:rsid w:val="005D72BD"/>
    <w:rsid w:val="005E1A82"/>
    <w:rsid w:val="005E794C"/>
    <w:rsid w:val="005F0A28"/>
    <w:rsid w:val="005F0E5E"/>
    <w:rsid w:val="00600535"/>
    <w:rsid w:val="00610CD6"/>
    <w:rsid w:val="00620C11"/>
    <w:rsid w:val="00620DEE"/>
    <w:rsid w:val="00621F92"/>
    <w:rsid w:val="00625639"/>
    <w:rsid w:val="00631B33"/>
    <w:rsid w:val="0064184D"/>
    <w:rsid w:val="00657219"/>
    <w:rsid w:val="00660E3E"/>
    <w:rsid w:val="00662E74"/>
    <w:rsid w:val="00680C23"/>
    <w:rsid w:val="00687D8E"/>
    <w:rsid w:val="00693766"/>
    <w:rsid w:val="006A3281"/>
    <w:rsid w:val="006B0806"/>
    <w:rsid w:val="006B4888"/>
    <w:rsid w:val="006C2E45"/>
    <w:rsid w:val="006C359C"/>
    <w:rsid w:val="006C5579"/>
    <w:rsid w:val="006D66EE"/>
    <w:rsid w:val="006E737D"/>
    <w:rsid w:val="00720A24"/>
    <w:rsid w:val="00732386"/>
    <w:rsid w:val="00742D0F"/>
    <w:rsid w:val="007447F3"/>
    <w:rsid w:val="00746A73"/>
    <w:rsid w:val="00751E08"/>
    <w:rsid w:val="0075499F"/>
    <w:rsid w:val="007661C8"/>
    <w:rsid w:val="0077098D"/>
    <w:rsid w:val="007A0753"/>
    <w:rsid w:val="007A7BBA"/>
    <w:rsid w:val="007B0C50"/>
    <w:rsid w:val="007C1A43"/>
    <w:rsid w:val="007F4728"/>
    <w:rsid w:val="008057B9"/>
    <w:rsid w:val="0081096B"/>
    <w:rsid w:val="008109ED"/>
    <w:rsid w:val="00813288"/>
    <w:rsid w:val="008168FC"/>
    <w:rsid w:val="00823CD0"/>
    <w:rsid w:val="00830996"/>
    <w:rsid w:val="008345F1"/>
    <w:rsid w:val="00840D84"/>
    <w:rsid w:val="00856CF8"/>
    <w:rsid w:val="00865B07"/>
    <w:rsid w:val="008667EA"/>
    <w:rsid w:val="00873D70"/>
    <w:rsid w:val="0087637F"/>
    <w:rsid w:val="00887D8D"/>
    <w:rsid w:val="00892AD5"/>
    <w:rsid w:val="008A1512"/>
    <w:rsid w:val="008B0D30"/>
    <w:rsid w:val="008D433B"/>
    <w:rsid w:val="008E566E"/>
    <w:rsid w:val="0090161A"/>
    <w:rsid w:val="00901EB6"/>
    <w:rsid w:val="00903FD5"/>
    <w:rsid w:val="00904C62"/>
    <w:rsid w:val="009062B0"/>
    <w:rsid w:val="00924DAC"/>
    <w:rsid w:val="00927058"/>
    <w:rsid w:val="009450CE"/>
    <w:rsid w:val="00947179"/>
    <w:rsid w:val="0095164B"/>
    <w:rsid w:val="0095375E"/>
    <w:rsid w:val="00954090"/>
    <w:rsid w:val="00955460"/>
    <w:rsid w:val="009573E7"/>
    <w:rsid w:val="00963E05"/>
    <w:rsid w:val="00967D54"/>
    <w:rsid w:val="00971FB3"/>
    <w:rsid w:val="00980E27"/>
    <w:rsid w:val="00996483"/>
    <w:rsid w:val="00996F5A"/>
    <w:rsid w:val="009B0084"/>
    <w:rsid w:val="009B041A"/>
    <w:rsid w:val="009C7C86"/>
    <w:rsid w:val="009D2FF7"/>
    <w:rsid w:val="009E50DA"/>
    <w:rsid w:val="009E7884"/>
    <w:rsid w:val="009E788A"/>
    <w:rsid w:val="009F0E08"/>
    <w:rsid w:val="009F5603"/>
    <w:rsid w:val="009F7F64"/>
    <w:rsid w:val="00A10F8F"/>
    <w:rsid w:val="00A1763D"/>
    <w:rsid w:val="00A17BFE"/>
    <w:rsid w:val="00A17CEC"/>
    <w:rsid w:val="00A27EF0"/>
    <w:rsid w:val="00A50B20"/>
    <w:rsid w:val="00A51390"/>
    <w:rsid w:val="00A60D13"/>
    <w:rsid w:val="00A61056"/>
    <w:rsid w:val="00A72745"/>
    <w:rsid w:val="00A76EFC"/>
    <w:rsid w:val="00A8718A"/>
    <w:rsid w:val="00A91010"/>
    <w:rsid w:val="00A97F29"/>
    <w:rsid w:val="00AA702E"/>
    <w:rsid w:val="00AB0964"/>
    <w:rsid w:val="00AB5011"/>
    <w:rsid w:val="00AC7368"/>
    <w:rsid w:val="00AD16B9"/>
    <w:rsid w:val="00AE377D"/>
    <w:rsid w:val="00AF66ED"/>
    <w:rsid w:val="00B02642"/>
    <w:rsid w:val="00B17FBD"/>
    <w:rsid w:val="00B25F98"/>
    <w:rsid w:val="00B315A6"/>
    <w:rsid w:val="00B31813"/>
    <w:rsid w:val="00B33365"/>
    <w:rsid w:val="00B438FA"/>
    <w:rsid w:val="00B57B36"/>
    <w:rsid w:val="00B8686D"/>
    <w:rsid w:val="00BC30C9"/>
    <w:rsid w:val="00BD662A"/>
    <w:rsid w:val="00BD66A1"/>
    <w:rsid w:val="00BD786C"/>
    <w:rsid w:val="00BE3E58"/>
    <w:rsid w:val="00C01616"/>
    <w:rsid w:val="00C0162B"/>
    <w:rsid w:val="00C345B1"/>
    <w:rsid w:val="00C356A0"/>
    <w:rsid w:val="00C40142"/>
    <w:rsid w:val="00C526A7"/>
    <w:rsid w:val="00C57182"/>
    <w:rsid w:val="00C57863"/>
    <w:rsid w:val="00C63F2E"/>
    <w:rsid w:val="00C655FD"/>
    <w:rsid w:val="00C71FB5"/>
    <w:rsid w:val="00C870A8"/>
    <w:rsid w:val="00C94434"/>
    <w:rsid w:val="00CA0D75"/>
    <w:rsid w:val="00CA1C95"/>
    <w:rsid w:val="00CA5A9C"/>
    <w:rsid w:val="00CD14BE"/>
    <w:rsid w:val="00CD5FE2"/>
    <w:rsid w:val="00CE63EA"/>
    <w:rsid w:val="00CE7C68"/>
    <w:rsid w:val="00D02438"/>
    <w:rsid w:val="00D02B4C"/>
    <w:rsid w:val="00D040C4"/>
    <w:rsid w:val="00D1106D"/>
    <w:rsid w:val="00D329AD"/>
    <w:rsid w:val="00D40377"/>
    <w:rsid w:val="00D57C84"/>
    <w:rsid w:val="00D6057D"/>
    <w:rsid w:val="00D84576"/>
    <w:rsid w:val="00D91E7D"/>
    <w:rsid w:val="00DA1399"/>
    <w:rsid w:val="00DA24C6"/>
    <w:rsid w:val="00DA4D7B"/>
    <w:rsid w:val="00DE264A"/>
    <w:rsid w:val="00E02D18"/>
    <w:rsid w:val="00E041E7"/>
    <w:rsid w:val="00E10BD3"/>
    <w:rsid w:val="00E23CA1"/>
    <w:rsid w:val="00E409A8"/>
    <w:rsid w:val="00E50C12"/>
    <w:rsid w:val="00E65B91"/>
    <w:rsid w:val="00E7209D"/>
    <w:rsid w:val="00E77223"/>
    <w:rsid w:val="00E8528B"/>
    <w:rsid w:val="00E85B94"/>
    <w:rsid w:val="00E978D0"/>
    <w:rsid w:val="00EA4613"/>
    <w:rsid w:val="00EA7F91"/>
    <w:rsid w:val="00EB1523"/>
    <w:rsid w:val="00EC0E49"/>
    <w:rsid w:val="00ED3840"/>
    <w:rsid w:val="00ED53FC"/>
    <w:rsid w:val="00EE0131"/>
    <w:rsid w:val="00EF2394"/>
    <w:rsid w:val="00F30C64"/>
    <w:rsid w:val="00F32CDB"/>
    <w:rsid w:val="00F63A70"/>
    <w:rsid w:val="00FA11E9"/>
    <w:rsid w:val="00FA21D0"/>
    <w:rsid w:val="00FA5F5F"/>
    <w:rsid w:val="00FB730C"/>
    <w:rsid w:val="00FC168D"/>
    <w:rsid w:val="00FC1EE9"/>
    <w:rsid w:val="00FC2695"/>
    <w:rsid w:val="00FC3E03"/>
    <w:rsid w:val="00FC3FC1"/>
    <w:rsid w:val="00FD31F4"/>
    <w:rsid w:val="00FE480D"/>
    <w:rsid w:val="00FE5265"/>
    <w:rsid w:val="00FF017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zo\AppData\Local\Chemistry%20Add-in%20for%20Word\Chemistry%20Gallery\Chem4Word.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BCF0-C6B7-4C5C-A117-9CAB6F670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6</TotalTime>
  <Pages>6</Pages>
  <Words>2743</Words>
  <Characters>15640</Characters>
  <Application>Microsoft Office Word</Application>
  <DocSecurity>0</DocSecurity>
  <Lines>130</Lines>
  <Paragraphs>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Lorenzo</cp:lastModifiedBy>
  <cp:revision>3</cp:revision>
  <cp:lastPrinted>2015-05-12T18:31:00Z</cp:lastPrinted>
  <dcterms:created xsi:type="dcterms:W3CDTF">2019-04-11T08:22:00Z</dcterms:created>
  <dcterms:modified xsi:type="dcterms:W3CDTF">2019-04-11T08:27:00Z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