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B90834E" w14:textId="77777777">
        <w:trPr>
          <w:trHeight w:val="852"/>
          <w:jc w:val="center"/>
        </w:trPr>
        <w:tc>
          <w:tcPr>
            <w:tcW w:w="6946" w:type="dxa"/>
            <w:vMerge w:val="restart"/>
            <w:tcBorders>
              <w:right w:val="single" w:sz="4" w:space="0" w:color="auto"/>
            </w:tcBorders>
          </w:tcPr>
          <w:p w14:paraId="7B90834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ja-JP"/>
              </w:rPr>
              <w:drawing>
                <wp:inline distT="0" distB="0" distL="0" distR="0" wp14:anchorId="7B9083C9" wp14:editId="7B9083C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B90834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B90834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7B90834D" w14:textId="77777777" w:rsidR="000A03B2" w:rsidRPr="00B57B36" w:rsidRDefault="000A03B2" w:rsidP="00CD5FE2">
            <w:pPr>
              <w:jc w:val="right"/>
            </w:pPr>
            <w:r w:rsidRPr="00B57B36">
              <w:rPr>
                <w:noProof/>
                <w:lang w:val="pt-BR" w:eastAsia="ja-JP"/>
              </w:rPr>
              <w:drawing>
                <wp:inline distT="0" distB="0" distL="0" distR="0" wp14:anchorId="7B9083CB" wp14:editId="7B9083C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B908353" w14:textId="77777777">
        <w:trPr>
          <w:trHeight w:val="567"/>
          <w:jc w:val="center"/>
        </w:trPr>
        <w:tc>
          <w:tcPr>
            <w:tcW w:w="6946" w:type="dxa"/>
            <w:vMerge/>
            <w:tcBorders>
              <w:right w:val="single" w:sz="4" w:space="0" w:color="auto"/>
            </w:tcBorders>
          </w:tcPr>
          <w:p w14:paraId="7B90834F"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7B908350"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B908351"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B90835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7B908356" w14:textId="77777777">
        <w:trPr>
          <w:trHeight w:val="68"/>
          <w:jc w:val="center"/>
        </w:trPr>
        <w:tc>
          <w:tcPr>
            <w:tcW w:w="8789" w:type="dxa"/>
            <w:gridSpan w:val="2"/>
          </w:tcPr>
          <w:p w14:paraId="7B908354" w14:textId="77777777" w:rsidR="00300E56" w:rsidRPr="00252C1A" w:rsidRDefault="00300E56" w:rsidP="003365E3">
            <w:pPr>
              <w:ind w:left="-107"/>
              <w:rPr>
                <w:lang w:val="it-IT"/>
              </w:rPr>
            </w:pPr>
            <w:r w:rsidRPr="0047543A">
              <w:rPr>
                <w:rFonts w:ascii="Tahoma" w:hAnsi="Tahoma" w:cs="Tahoma"/>
                <w:iCs/>
                <w:noProof/>
                <w:color w:val="333333"/>
                <w:sz w:val="14"/>
                <w:szCs w:val="14"/>
                <w:lang w:val="it-IT" w:eastAsia="it-IT"/>
              </w:rPr>
              <w:t>Guest Editors:</w:t>
            </w:r>
            <w:r w:rsidR="00904C62" w:rsidRPr="0047543A">
              <w:rPr>
                <w:rFonts w:ascii="Tahoma" w:hAnsi="Tahoma" w:cs="Tahoma"/>
                <w:iCs/>
                <w:noProof/>
                <w:color w:val="333333"/>
                <w:sz w:val="14"/>
                <w:szCs w:val="14"/>
                <w:lang w:val="it-IT" w:eastAsia="it-IT"/>
              </w:rPr>
              <w:t xml:space="preserve"> </w:t>
            </w:r>
            <w:r w:rsidR="009635B9" w:rsidRPr="0047543A">
              <w:rPr>
                <w:rFonts w:ascii="Tahoma" w:hAnsi="Tahoma" w:cs="Tahoma"/>
                <w:noProof/>
                <w:sz w:val="14"/>
                <w:szCs w:val="14"/>
                <w:lang w:val="it-IT"/>
              </w:rPr>
              <w:t>Sauro Pierucci,</w:t>
            </w:r>
            <w:r w:rsidR="003B60F3" w:rsidRPr="0047543A">
              <w:rPr>
                <w:rFonts w:ascii="Tahoma" w:hAnsi="Tahoma" w:cs="Tahoma"/>
                <w:noProof/>
                <w:sz w:val="14"/>
                <w:szCs w:val="14"/>
                <w:lang w:val="it-IT"/>
              </w:rPr>
              <w:t xml:space="preserve"> </w:t>
            </w:r>
            <w:r w:rsidR="00047D7F" w:rsidRPr="0047543A">
              <w:rPr>
                <w:rFonts w:ascii="Tahoma" w:hAnsi="Tahoma" w:cs="Tahoma"/>
                <w:noProof/>
                <w:sz w:val="14"/>
                <w:szCs w:val="14"/>
                <w:shd w:val="clear" w:color="auto" w:fill="FFFFFF"/>
                <w:lang w:val="it-IT"/>
              </w:rPr>
              <w:t>Jiří Jaromír Klemeš</w:t>
            </w:r>
            <w:r w:rsidR="00252C1A" w:rsidRPr="0047543A">
              <w:rPr>
                <w:rFonts w:ascii="Tahoma" w:hAnsi="Tahoma" w:cs="Tahoma"/>
                <w:noProof/>
                <w:sz w:val="14"/>
                <w:szCs w:val="14"/>
                <w:shd w:val="clear" w:color="auto" w:fill="FFFFFF"/>
                <w:lang w:val="it-IT"/>
              </w:rPr>
              <w:t>, Laura</w:t>
            </w:r>
            <w:r w:rsidR="00252C1A" w:rsidRPr="00252C1A">
              <w:rPr>
                <w:rFonts w:ascii="Tahoma" w:hAnsi="Tahoma" w:cs="Tahoma"/>
                <w:sz w:val="14"/>
                <w:szCs w:val="14"/>
                <w:shd w:val="clear" w:color="auto" w:fill="FFFFFF"/>
                <w:lang w:val="it-IT"/>
              </w:rPr>
              <w:t xml:space="preserve"> Piazza</w:t>
            </w:r>
          </w:p>
          <w:p w14:paraId="7B908355"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B908357"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B908358" w14:textId="0BCD35B1" w:rsidR="00E978D0" w:rsidRPr="00B57B36" w:rsidRDefault="00DD744A" w:rsidP="004E54F5">
      <w:pPr>
        <w:pStyle w:val="CETTitle"/>
      </w:pPr>
      <w:r w:rsidRPr="00DD744A">
        <w:t xml:space="preserve">The </w:t>
      </w:r>
      <w:r w:rsidR="004E54F5" w:rsidRPr="00DD744A">
        <w:t xml:space="preserve">Use </w:t>
      </w:r>
      <w:r w:rsidR="004E54F5">
        <w:t>o</w:t>
      </w:r>
      <w:r w:rsidR="004E54F5" w:rsidRPr="00DD744A">
        <w:t xml:space="preserve">f Waxy Starch </w:t>
      </w:r>
      <w:r w:rsidR="004E54F5">
        <w:t>a</w:t>
      </w:r>
      <w:r w:rsidR="004E54F5" w:rsidRPr="00DD744A">
        <w:t xml:space="preserve">nd Guar Gum </w:t>
      </w:r>
      <w:r w:rsidR="004E54F5">
        <w:t>i</w:t>
      </w:r>
      <w:r w:rsidR="004E54F5" w:rsidRPr="00DD744A">
        <w:t xml:space="preserve">n Total Substitution </w:t>
      </w:r>
      <w:r w:rsidR="004E54F5">
        <w:t>o</w:t>
      </w:r>
      <w:r w:rsidR="004E54F5" w:rsidRPr="00DD744A">
        <w:t xml:space="preserve">f Vegetable Oil </w:t>
      </w:r>
      <w:r w:rsidR="004E54F5">
        <w:t>i</w:t>
      </w:r>
      <w:r w:rsidR="004E54F5" w:rsidRPr="00DD744A">
        <w:t>n Extruded Snack Aromatization</w:t>
      </w:r>
      <w:r w:rsidR="004E54F5">
        <w:t>.</w:t>
      </w:r>
    </w:p>
    <w:p w14:paraId="57FC29D7" w14:textId="5BDDADA0" w:rsidR="00651B7F" w:rsidRPr="00671957" w:rsidRDefault="00651B7F" w:rsidP="00651B7F">
      <w:pPr>
        <w:pStyle w:val="CETAuthors"/>
        <w:rPr>
          <w:lang w:val="pt-BR"/>
        </w:rPr>
      </w:pPr>
      <w:r w:rsidRPr="00671957">
        <w:rPr>
          <w:lang w:val="pt-BR"/>
        </w:rPr>
        <w:t xml:space="preserve">Akihiro </w:t>
      </w:r>
      <w:r w:rsidRPr="0047543A">
        <w:rPr>
          <w:lang w:val="pt-BR"/>
        </w:rPr>
        <w:t>Nakagawa</w:t>
      </w:r>
      <w:r w:rsidRPr="0047543A">
        <w:rPr>
          <w:vertAlign w:val="superscript"/>
          <w:lang w:val="pt-BR"/>
        </w:rPr>
        <w:t>a</w:t>
      </w:r>
      <w:r w:rsidRPr="00FB34C1">
        <w:rPr>
          <w:lang w:val="pt-BR"/>
        </w:rPr>
        <w:t>,</w:t>
      </w:r>
      <w:r w:rsidR="00FB34C1" w:rsidRPr="00FB34C1">
        <w:rPr>
          <w:lang w:val="pt-BR"/>
        </w:rPr>
        <w:t xml:space="preserve"> </w:t>
      </w:r>
      <w:r w:rsidRPr="00FB34C1">
        <w:rPr>
          <w:lang w:val="pt-BR"/>
        </w:rPr>
        <w:t>Maiara</w:t>
      </w:r>
      <w:r w:rsidRPr="00671957">
        <w:rPr>
          <w:lang w:val="pt-BR"/>
        </w:rPr>
        <w:t xml:space="preserve"> P </w:t>
      </w:r>
      <w:r w:rsidRPr="0047543A">
        <w:rPr>
          <w:lang w:val="pt-BR"/>
        </w:rPr>
        <w:t>Mendes</w:t>
      </w:r>
      <w:r w:rsidRPr="0047543A">
        <w:rPr>
          <w:vertAlign w:val="superscript"/>
          <w:lang w:val="pt-BR"/>
        </w:rPr>
        <w:t>a</w:t>
      </w:r>
      <w:r w:rsidRPr="00671957">
        <w:rPr>
          <w:lang w:val="pt-BR"/>
        </w:rPr>
        <w:t xml:space="preserve">, </w:t>
      </w:r>
      <w:r w:rsidRPr="0047543A">
        <w:rPr>
          <w:lang w:val="pt-BR"/>
        </w:rPr>
        <w:t>Ghiovani</w:t>
      </w:r>
      <w:r w:rsidRPr="00671957">
        <w:rPr>
          <w:lang w:val="pt-BR"/>
        </w:rPr>
        <w:t xml:space="preserve"> Z </w:t>
      </w:r>
      <w:r w:rsidRPr="0047543A">
        <w:rPr>
          <w:lang w:val="pt-BR"/>
        </w:rPr>
        <w:t>Raniero</w:t>
      </w:r>
      <w:r w:rsidRPr="0047543A">
        <w:rPr>
          <w:vertAlign w:val="superscript"/>
          <w:lang w:val="pt-BR"/>
        </w:rPr>
        <w:t>a</w:t>
      </w:r>
      <w:r w:rsidRPr="00671957">
        <w:rPr>
          <w:lang w:val="pt-BR"/>
        </w:rPr>
        <w:t xml:space="preserve">, Kimberli P </w:t>
      </w:r>
      <w:r w:rsidRPr="0047543A">
        <w:rPr>
          <w:lang w:val="pt-BR"/>
        </w:rPr>
        <w:t>Berwig</w:t>
      </w:r>
      <w:r w:rsidRPr="0047543A">
        <w:rPr>
          <w:vertAlign w:val="superscript"/>
          <w:lang w:val="pt-BR"/>
        </w:rPr>
        <w:t>a</w:t>
      </w:r>
      <w:r w:rsidRPr="00671957">
        <w:rPr>
          <w:lang w:val="pt-BR"/>
        </w:rPr>
        <w:t xml:space="preserve">, Tatiana C </w:t>
      </w:r>
      <w:r w:rsidRPr="0047543A">
        <w:rPr>
          <w:lang w:val="pt-BR"/>
        </w:rPr>
        <w:t>Pimentel</w:t>
      </w:r>
      <w:r w:rsidRPr="0047543A">
        <w:rPr>
          <w:vertAlign w:val="superscript"/>
          <w:lang w:val="pt-BR"/>
        </w:rPr>
        <w:t>b</w:t>
      </w:r>
      <w:r w:rsidRPr="00671957">
        <w:rPr>
          <w:lang w:val="pt-BR"/>
        </w:rPr>
        <w:t xml:space="preserve">, Claudia C F </w:t>
      </w:r>
      <w:r w:rsidRPr="0047543A">
        <w:rPr>
          <w:lang w:val="pt-BR"/>
        </w:rPr>
        <w:t>Monteiro</w:t>
      </w:r>
      <w:r w:rsidRPr="0047543A">
        <w:rPr>
          <w:vertAlign w:val="superscript"/>
          <w:lang w:val="pt-BR"/>
        </w:rPr>
        <w:t>c</w:t>
      </w:r>
      <w:r w:rsidRPr="00671957">
        <w:rPr>
          <w:lang w:val="pt-BR"/>
        </w:rPr>
        <w:t>, Antonio R</w:t>
      </w:r>
      <w:r w:rsidR="00671957" w:rsidRPr="00671957">
        <w:rPr>
          <w:lang w:val="pt-BR"/>
        </w:rPr>
        <w:t>.</w:t>
      </w:r>
      <w:r w:rsidRPr="00671957">
        <w:rPr>
          <w:lang w:val="pt-BR"/>
        </w:rPr>
        <w:t xml:space="preserve"> G</w:t>
      </w:r>
      <w:r w:rsidR="00671957" w:rsidRPr="00671957">
        <w:rPr>
          <w:lang w:val="pt-BR"/>
        </w:rPr>
        <w:t>.</w:t>
      </w:r>
      <w:r w:rsidRPr="00671957">
        <w:rPr>
          <w:lang w:val="pt-BR"/>
        </w:rPr>
        <w:t xml:space="preserve"> </w:t>
      </w:r>
      <w:r w:rsidRPr="0047543A">
        <w:rPr>
          <w:lang w:val="pt-BR"/>
        </w:rPr>
        <w:t>Monteiro</w:t>
      </w:r>
      <w:r w:rsidRPr="0047543A">
        <w:rPr>
          <w:vertAlign w:val="superscript"/>
          <w:lang w:val="pt-BR"/>
        </w:rPr>
        <w:t>d</w:t>
      </w:r>
      <w:r w:rsidRPr="00671957">
        <w:rPr>
          <w:lang w:val="pt-BR"/>
        </w:rPr>
        <w:t>*</w:t>
      </w:r>
    </w:p>
    <w:p w14:paraId="09E199EE" w14:textId="77777777" w:rsidR="00262ACF" w:rsidRPr="0057440F" w:rsidRDefault="00262ACF" w:rsidP="00262ACF">
      <w:pPr>
        <w:pStyle w:val="CETAddress"/>
        <w:rPr>
          <w:lang w:val="pt-BR"/>
        </w:rPr>
      </w:pPr>
      <w:r w:rsidRPr="0057440F">
        <w:rPr>
          <w:vertAlign w:val="superscript"/>
        </w:rPr>
        <w:t>a</w:t>
      </w:r>
      <w:r w:rsidRPr="0057440F">
        <w:t xml:space="preserve">Food Science Post-Graduation Program. State University of Maringá, Av Colombo, 5790. </w:t>
      </w:r>
      <w:r w:rsidRPr="0057440F">
        <w:rPr>
          <w:lang w:val="pt-BR"/>
        </w:rPr>
        <w:t>87020-900, Maringá-PR, Brazil.</w:t>
      </w:r>
    </w:p>
    <w:p w14:paraId="2EDB045C" w14:textId="2E7B6CCF" w:rsidR="00262ACF" w:rsidRPr="00AE27A7" w:rsidRDefault="00262ACF" w:rsidP="00262ACF">
      <w:pPr>
        <w:pStyle w:val="CETAddress"/>
        <w:rPr>
          <w:lang w:val="pt-BR"/>
        </w:rPr>
      </w:pPr>
      <w:r w:rsidRPr="0047543A">
        <w:rPr>
          <w:vertAlign w:val="superscript"/>
          <w:lang w:val="pt-BR"/>
        </w:rPr>
        <w:t>b</w:t>
      </w:r>
      <w:r w:rsidR="00DF6F0B" w:rsidRPr="0047543A">
        <w:rPr>
          <w:lang w:val="pt-BR"/>
        </w:rPr>
        <w:t>Federal</w:t>
      </w:r>
      <w:r w:rsidR="00DF6F0B" w:rsidRPr="0057440F">
        <w:rPr>
          <w:lang w:val="pt-BR"/>
        </w:rPr>
        <w:t xml:space="preserve"> Institute of Paraná</w:t>
      </w:r>
      <w:r w:rsidRPr="0057440F">
        <w:rPr>
          <w:lang w:val="pt-BR"/>
        </w:rPr>
        <w:t>,</w:t>
      </w:r>
      <w:r w:rsidRPr="00AE27A7">
        <w:rPr>
          <w:lang w:val="pt-BR"/>
        </w:rPr>
        <w:t xml:space="preserve"> Paranavaí-PR, Brazil.</w:t>
      </w:r>
    </w:p>
    <w:p w14:paraId="234304CB" w14:textId="77777777" w:rsidR="00262ACF" w:rsidRPr="00AE27A7" w:rsidRDefault="00262ACF" w:rsidP="00262ACF">
      <w:pPr>
        <w:pStyle w:val="CETAddress"/>
      </w:pPr>
      <w:r w:rsidRPr="0047543A">
        <w:rPr>
          <w:vertAlign w:val="superscript"/>
          <w:lang w:val="en-US"/>
        </w:rPr>
        <w:t>c</w:t>
      </w:r>
      <w:r w:rsidRPr="0047543A">
        <w:t>Design</w:t>
      </w:r>
      <w:r w:rsidRPr="00AE27A7">
        <w:t xml:space="preserve"> Department, State University of Maringá, </w:t>
      </w:r>
      <w:r>
        <w:t>Av Colombo, 5790</w:t>
      </w:r>
      <w:r w:rsidRPr="00AE27A7">
        <w:t>.</w:t>
      </w:r>
      <w:r>
        <w:t xml:space="preserve"> </w:t>
      </w:r>
      <w:r w:rsidRPr="00AE27A7">
        <w:t>87020-900, Maringá-PR, Brazil</w:t>
      </w:r>
    </w:p>
    <w:p w14:paraId="5D1BA6E4" w14:textId="5E8FB95F" w:rsidR="00262ACF" w:rsidRPr="00AE27A7" w:rsidRDefault="00262ACF" w:rsidP="00262ACF">
      <w:pPr>
        <w:pStyle w:val="CETAddress"/>
      </w:pPr>
      <w:r w:rsidRPr="007E77B4">
        <w:rPr>
          <w:vertAlign w:val="superscript"/>
        </w:rPr>
        <w:t>d</w:t>
      </w:r>
      <w:r w:rsidRPr="00AE27A7">
        <w:t>Food Engineer</w:t>
      </w:r>
      <w:r w:rsidR="00D1100E">
        <w:t>ing</w:t>
      </w:r>
      <w:r w:rsidRPr="00AE27A7">
        <w:t xml:space="preserve"> Department, State University of Maringá, </w:t>
      </w:r>
      <w:r>
        <w:t>Av Colombo, 5790</w:t>
      </w:r>
      <w:r w:rsidRPr="00AE27A7">
        <w:t>.</w:t>
      </w:r>
      <w:r>
        <w:t xml:space="preserve"> </w:t>
      </w:r>
      <w:r w:rsidRPr="00AE27A7">
        <w:t>87020-900, Maringá-PR, Brazil.</w:t>
      </w:r>
    </w:p>
    <w:p w14:paraId="3B0FE808" w14:textId="5D55F0E9" w:rsidR="000332BD" w:rsidRPr="000332BD" w:rsidRDefault="00AB5011" w:rsidP="000332BD">
      <w:pPr>
        <w:pStyle w:val="CETemail"/>
      </w:pPr>
      <w:r>
        <w:t xml:space="preserve"> </w:t>
      </w:r>
      <w:r w:rsidR="00651B7F" w:rsidRPr="00651B7F">
        <w:t>argmonteiro@uem.br</w:t>
      </w:r>
    </w:p>
    <w:p w14:paraId="7DD55305" w14:textId="68C75096" w:rsidR="000332BD" w:rsidRPr="000D1CD9" w:rsidRDefault="000332BD" w:rsidP="000332BD">
      <w:pPr>
        <w:pStyle w:val="CETHeading1"/>
        <w:numPr>
          <w:ilvl w:val="0"/>
          <w:numId w:val="0"/>
        </w:numPr>
        <w:jc w:val="both"/>
        <w:rPr>
          <w:rFonts w:cs="Arial"/>
          <w:b w:val="0"/>
          <w:noProof/>
          <w:sz w:val="18"/>
          <w:szCs w:val="18"/>
          <w:lang w:val="en-GB"/>
        </w:rPr>
      </w:pPr>
      <w:r w:rsidRPr="000332BD">
        <w:rPr>
          <w:rFonts w:cs="Arial"/>
          <w:b w:val="0"/>
          <w:sz w:val="18"/>
          <w:szCs w:val="18"/>
          <w:lang w:val="en-GB"/>
        </w:rPr>
        <w:t xml:space="preserve">Vegetable oil is used by the extruded snacks industries to fixate aromas and salt in proportions between 10 and 20%. </w:t>
      </w:r>
      <w:r w:rsidR="0047543A">
        <w:rPr>
          <w:rFonts w:cs="Arial"/>
          <w:b w:val="0"/>
          <w:noProof/>
          <w:sz w:val="18"/>
          <w:szCs w:val="18"/>
          <w:lang w:val="en-GB"/>
        </w:rPr>
        <w:t>Consumers have restricted the consumption of these product</w:t>
      </w:r>
      <w:r w:rsidRPr="0047543A">
        <w:rPr>
          <w:rFonts w:cs="Arial"/>
          <w:b w:val="0"/>
          <w:noProof/>
          <w:sz w:val="18"/>
          <w:szCs w:val="18"/>
          <w:lang w:val="en-GB"/>
        </w:rPr>
        <w:t>s</w:t>
      </w:r>
      <w:r w:rsidRPr="0057440F">
        <w:rPr>
          <w:rFonts w:cs="Arial"/>
          <w:b w:val="0"/>
          <w:sz w:val="18"/>
          <w:szCs w:val="18"/>
          <w:lang w:val="en-GB"/>
        </w:rPr>
        <w:t xml:space="preserve"> due to the high content of lipids and low nutritional value. </w:t>
      </w:r>
      <w:r w:rsidRPr="00FB34C1">
        <w:rPr>
          <w:rFonts w:cs="Arial"/>
          <w:b w:val="0"/>
          <w:noProof/>
          <w:sz w:val="18"/>
          <w:szCs w:val="18"/>
          <w:lang w:val="en-GB"/>
        </w:rPr>
        <w:t>In order to</w:t>
      </w:r>
      <w:r w:rsidRPr="0057440F">
        <w:rPr>
          <w:rFonts w:cs="Arial"/>
          <w:b w:val="0"/>
          <w:sz w:val="18"/>
          <w:szCs w:val="18"/>
          <w:lang w:val="en-GB"/>
        </w:rPr>
        <w:t xml:space="preserve"> obtain a low-fat option, this work aimed to reduce the lipids content of </w:t>
      </w:r>
      <w:r w:rsidRPr="0057440F">
        <w:rPr>
          <w:rFonts w:cs="Arial"/>
          <w:b w:val="0"/>
          <w:color w:val="000000" w:themeColor="text1"/>
          <w:sz w:val="18"/>
          <w:szCs w:val="18"/>
          <w:lang w:val="en-GB"/>
        </w:rPr>
        <w:t xml:space="preserve">extruded snacks by replacing vegetable oil </w:t>
      </w:r>
      <w:r w:rsidR="00715302" w:rsidRPr="0057440F">
        <w:rPr>
          <w:rFonts w:cs="Arial"/>
          <w:b w:val="0"/>
          <w:color w:val="000000" w:themeColor="text1"/>
          <w:sz w:val="18"/>
          <w:szCs w:val="18"/>
          <w:lang w:val="en-GB"/>
        </w:rPr>
        <w:t>with</w:t>
      </w:r>
      <w:r w:rsidRPr="0057440F">
        <w:rPr>
          <w:rFonts w:cs="Arial"/>
          <w:b w:val="0"/>
          <w:color w:val="000000" w:themeColor="text1"/>
          <w:sz w:val="18"/>
          <w:szCs w:val="18"/>
          <w:lang w:val="en-GB"/>
        </w:rPr>
        <w:t xml:space="preserve"> waxy maize starch and guar gum. </w:t>
      </w:r>
      <w:r w:rsidR="00803F0C" w:rsidRPr="0057440F">
        <w:rPr>
          <w:rFonts w:cs="Arial"/>
          <w:b w:val="0"/>
          <w:color w:val="000000" w:themeColor="text1"/>
          <w:sz w:val="18"/>
          <w:szCs w:val="18"/>
          <w:lang w:val="en-GB"/>
        </w:rPr>
        <w:t xml:space="preserve">The </w:t>
      </w:r>
      <w:r w:rsidR="00803F0C" w:rsidRPr="00FB34C1">
        <w:rPr>
          <w:rFonts w:cs="Arial"/>
          <w:b w:val="0"/>
          <w:noProof/>
          <w:color w:val="000000" w:themeColor="text1"/>
          <w:sz w:val="18"/>
          <w:szCs w:val="18"/>
          <w:lang w:val="en-GB"/>
        </w:rPr>
        <w:t>s</w:t>
      </w:r>
      <w:r w:rsidRPr="00FB34C1">
        <w:rPr>
          <w:rFonts w:cs="Arial"/>
          <w:b w:val="0"/>
          <w:noProof/>
          <w:color w:val="000000" w:themeColor="text1"/>
          <w:sz w:val="18"/>
          <w:szCs w:val="18"/>
          <w:lang w:val="en-GB"/>
        </w:rPr>
        <w:t>nacks</w:t>
      </w:r>
      <w:r w:rsidRPr="0057440F">
        <w:rPr>
          <w:rFonts w:cs="Arial"/>
          <w:b w:val="0"/>
          <w:color w:val="000000" w:themeColor="text1"/>
          <w:sz w:val="18"/>
          <w:szCs w:val="18"/>
          <w:lang w:val="en-GB"/>
        </w:rPr>
        <w:t xml:space="preserve"> were manufactured in an INBRA RX50 mono screw extruder using corn grits as </w:t>
      </w:r>
      <w:r w:rsidR="00BC212A">
        <w:rPr>
          <w:rFonts w:cs="Arial"/>
          <w:b w:val="0"/>
          <w:color w:val="000000" w:themeColor="text1"/>
          <w:sz w:val="18"/>
          <w:szCs w:val="18"/>
          <w:lang w:val="en-GB"/>
        </w:rPr>
        <w:t xml:space="preserve">a </w:t>
      </w:r>
      <w:r w:rsidRPr="00BC212A">
        <w:rPr>
          <w:rFonts w:cs="Arial"/>
          <w:b w:val="0"/>
          <w:noProof/>
          <w:color w:val="000000" w:themeColor="text1"/>
          <w:sz w:val="18"/>
          <w:szCs w:val="18"/>
          <w:lang w:val="en-GB"/>
        </w:rPr>
        <w:t>base</w:t>
      </w:r>
      <w:r w:rsidRPr="0057440F">
        <w:rPr>
          <w:rFonts w:cs="Arial"/>
          <w:b w:val="0"/>
          <w:color w:val="000000" w:themeColor="text1"/>
          <w:sz w:val="18"/>
          <w:szCs w:val="18"/>
          <w:lang w:val="en-GB"/>
        </w:rPr>
        <w:t xml:space="preserve"> ingredient.  The </w:t>
      </w:r>
      <w:r w:rsidRPr="00FB34C1">
        <w:rPr>
          <w:rFonts w:cs="Arial"/>
          <w:b w:val="0"/>
          <w:noProof/>
          <w:color w:val="000000" w:themeColor="text1"/>
          <w:sz w:val="18"/>
          <w:szCs w:val="18"/>
          <w:lang w:val="en-GB"/>
        </w:rPr>
        <w:t>snack</w:t>
      </w:r>
      <w:r w:rsidR="00B739F6" w:rsidRPr="00FB34C1">
        <w:rPr>
          <w:rFonts w:cs="Arial"/>
          <w:b w:val="0"/>
          <w:noProof/>
          <w:color w:val="000000" w:themeColor="text1"/>
          <w:sz w:val="18"/>
          <w:szCs w:val="18"/>
          <w:lang w:val="en-GB"/>
        </w:rPr>
        <w:t>s</w:t>
      </w:r>
      <w:r w:rsidRPr="0057440F">
        <w:rPr>
          <w:rFonts w:cs="Arial"/>
          <w:b w:val="0"/>
          <w:color w:val="000000" w:themeColor="text1"/>
          <w:sz w:val="18"/>
          <w:szCs w:val="18"/>
          <w:lang w:val="en-GB"/>
        </w:rPr>
        <w:t xml:space="preserve"> </w:t>
      </w:r>
      <w:r w:rsidRPr="00BC212A">
        <w:rPr>
          <w:rFonts w:cs="Arial"/>
          <w:b w:val="0"/>
          <w:noProof/>
          <w:color w:val="000000" w:themeColor="text1"/>
          <w:sz w:val="18"/>
          <w:szCs w:val="18"/>
          <w:lang w:val="en-GB"/>
        </w:rPr>
        <w:t>w</w:t>
      </w:r>
      <w:r w:rsidR="00B739F6" w:rsidRPr="00BC212A">
        <w:rPr>
          <w:rFonts w:cs="Arial"/>
          <w:b w:val="0"/>
          <w:noProof/>
          <w:color w:val="000000" w:themeColor="text1"/>
          <w:sz w:val="18"/>
          <w:szCs w:val="18"/>
          <w:lang w:val="en-GB"/>
        </w:rPr>
        <w:t>ere</w:t>
      </w:r>
      <w:r w:rsidRPr="00BC212A">
        <w:rPr>
          <w:rFonts w:cs="Arial"/>
          <w:b w:val="0"/>
          <w:noProof/>
          <w:color w:val="000000" w:themeColor="text1"/>
          <w:sz w:val="18"/>
          <w:szCs w:val="18"/>
          <w:lang w:val="en-GB"/>
        </w:rPr>
        <w:t xml:space="preserve"> flavoured</w:t>
      </w:r>
      <w:r w:rsidRPr="0057440F">
        <w:rPr>
          <w:rFonts w:cs="Arial"/>
          <w:b w:val="0"/>
          <w:color w:val="000000" w:themeColor="text1"/>
          <w:sz w:val="18"/>
          <w:szCs w:val="18"/>
          <w:lang w:val="en-GB"/>
        </w:rPr>
        <w:t xml:space="preserve"> with five coatings formulations varying</w:t>
      </w:r>
      <w:r w:rsidR="001B4C25" w:rsidRPr="0057440F">
        <w:rPr>
          <w:rFonts w:cs="Arial"/>
          <w:b w:val="0"/>
          <w:color w:val="000000" w:themeColor="text1"/>
          <w:sz w:val="18"/>
          <w:szCs w:val="18"/>
          <w:lang w:val="en-GB"/>
        </w:rPr>
        <w:t xml:space="preserve"> the</w:t>
      </w:r>
      <w:r w:rsidRPr="0057440F">
        <w:rPr>
          <w:rFonts w:cs="Arial"/>
          <w:b w:val="0"/>
          <w:color w:val="000000" w:themeColor="text1"/>
          <w:sz w:val="18"/>
          <w:szCs w:val="18"/>
          <w:lang w:val="en-GB"/>
        </w:rPr>
        <w:t xml:space="preserve"> concentration of waxy maize starch</w:t>
      </w:r>
      <w:r w:rsidR="0052691E" w:rsidRPr="0057440F">
        <w:rPr>
          <w:rFonts w:cs="Arial"/>
          <w:b w:val="0"/>
          <w:color w:val="000000" w:themeColor="text1"/>
          <w:sz w:val="18"/>
          <w:szCs w:val="18"/>
          <w:lang w:val="en-GB"/>
        </w:rPr>
        <w:t xml:space="preserve"> (1-4%)</w:t>
      </w:r>
      <w:r w:rsidRPr="0057440F">
        <w:rPr>
          <w:rFonts w:cs="Arial"/>
          <w:b w:val="0"/>
          <w:color w:val="000000" w:themeColor="text1"/>
          <w:sz w:val="18"/>
          <w:szCs w:val="18"/>
          <w:lang w:val="en-GB"/>
        </w:rPr>
        <w:t xml:space="preserve"> and guar gum</w:t>
      </w:r>
      <w:r w:rsidR="0052691E" w:rsidRPr="0057440F">
        <w:rPr>
          <w:rFonts w:cs="Arial"/>
          <w:b w:val="0"/>
          <w:color w:val="000000" w:themeColor="text1"/>
          <w:sz w:val="18"/>
          <w:szCs w:val="18"/>
          <w:lang w:val="en-GB"/>
        </w:rPr>
        <w:t xml:space="preserve"> (0.25-1.0%)</w:t>
      </w:r>
      <w:r w:rsidRPr="0057440F">
        <w:rPr>
          <w:rFonts w:cs="Arial"/>
          <w:b w:val="0"/>
          <w:color w:val="000000" w:themeColor="text1"/>
          <w:sz w:val="18"/>
          <w:szCs w:val="18"/>
          <w:lang w:val="en-GB"/>
        </w:rPr>
        <w:t>. A total of 15% solution by weight of snacks was applied</w:t>
      </w:r>
      <w:r w:rsidR="00BC212A">
        <w:rPr>
          <w:rFonts w:cs="Arial"/>
          <w:b w:val="0"/>
          <w:color w:val="000000" w:themeColor="text1"/>
          <w:sz w:val="18"/>
          <w:szCs w:val="18"/>
          <w:lang w:val="en-GB"/>
        </w:rPr>
        <w:t>,</w:t>
      </w:r>
      <w:r w:rsidRPr="0057440F">
        <w:rPr>
          <w:rFonts w:cs="Arial"/>
          <w:b w:val="0"/>
          <w:color w:val="000000" w:themeColor="text1"/>
          <w:sz w:val="18"/>
          <w:szCs w:val="18"/>
          <w:lang w:val="en-GB"/>
        </w:rPr>
        <w:t xml:space="preserve"> </w:t>
      </w:r>
      <w:r w:rsidRPr="00BC212A">
        <w:rPr>
          <w:rFonts w:cs="Arial"/>
          <w:b w:val="0"/>
          <w:noProof/>
          <w:color w:val="000000" w:themeColor="text1"/>
          <w:sz w:val="18"/>
          <w:szCs w:val="18"/>
          <w:lang w:val="en-GB"/>
        </w:rPr>
        <w:t>and</w:t>
      </w:r>
      <w:r w:rsidRPr="0057440F">
        <w:rPr>
          <w:rFonts w:cs="Arial"/>
          <w:b w:val="0"/>
          <w:color w:val="000000" w:themeColor="text1"/>
          <w:sz w:val="18"/>
          <w:szCs w:val="18"/>
          <w:lang w:val="en-GB"/>
        </w:rPr>
        <w:t xml:space="preserve"> the control treatment consisted in vegetable oil only. </w:t>
      </w:r>
      <w:r w:rsidR="001E2C88" w:rsidRPr="0057440F">
        <w:rPr>
          <w:rFonts w:cs="Arial"/>
          <w:b w:val="0"/>
          <w:color w:val="000000" w:themeColor="text1"/>
          <w:sz w:val="18"/>
          <w:szCs w:val="18"/>
          <w:lang w:val="en-GB"/>
        </w:rPr>
        <w:t xml:space="preserve">The products </w:t>
      </w:r>
      <w:r w:rsidR="001E2C88" w:rsidRPr="00BC212A">
        <w:rPr>
          <w:rFonts w:cs="Arial"/>
          <w:b w:val="0"/>
          <w:noProof/>
          <w:color w:val="000000" w:themeColor="text1"/>
          <w:sz w:val="18"/>
          <w:szCs w:val="18"/>
          <w:lang w:val="en-GB"/>
        </w:rPr>
        <w:t>were evaluated</w:t>
      </w:r>
      <w:r w:rsidR="001E2C88" w:rsidRPr="0057440F">
        <w:rPr>
          <w:rFonts w:cs="Arial"/>
          <w:b w:val="0"/>
          <w:color w:val="000000" w:themeColor="text1"/>
          <w:sz w:val="18"/>
          <w:szCs w:val="18"/>
          <w:lang w:val="en-GB"/>
        </w:rPr>
        <w:t xml:space="preserve"> for</w:t>
      </w:r>
      <w:r w:rsidRPr="0057440F">
        <w:rPr>
          <w:rFonts w:cs="Arial"/>
          <w:b w:val="0"/>
          <w:color w:val="000000" w:themeColor="text1"/>
          <w:sz w:val="18"/>
          <w:szCs w:val="18"/>
          <w:lang w:val="en-GB"/>
        </w:rPr>
        <w:t xml:space="preserve"> moisture content, total lipids, radial expansion index, specific volume, apparent density, retraction index, instrument</w:t>
      </w:r>
      <w:r w:rsidR="001E2C88" w:rsidRPr="0057440F">
        <w:rPr>
          <w:rFonts w:cs="Arial"/>
          <w:b w:val="0"/>
          <w:color w:val="000000" w:themeColor="text1"/>
          <w:sz w:val="18"/>
          <w:szCs w:val="18"/>
          <w:lang w:val="en-GB"/>
        </w:rPr>
        <w:t>al</w:t>
      </w:r>
      <w:r w:rsidRPr="0057440F">
        <w:rPr>
          <w:rFonts w:cs="Arial"/>
          <w:b w:val="0"/>
          <w:color w:val="000000" w:themeColor="text1"/>
          <w:sz w:val="18"/>
          <w:szCs w:val="18"/>
          <w:lang w:val="en-GB"/>
        </w:rPr>
        <w:t xml:space="preserve"> hardness (Texture Analyzer TA-XT Plus - Stable Micro </w:t>
      </w:r>
      <w:r w:rsidR="005A51C1" w:rsidRPr="0057440F">
        <w:rPr>
          <w:rFonts w:cs="Arial"/>
          <w:b w:val="0"/>
          <w:color w:val="000000" w:themeColor="text1"/>
          <w:sz w:val="18"/>
          <w:szCs w:val="18"/>
          <w:lang w:val="en-GB"/>
        </w:rPr>
        <w:t>Systems</w:t>
      </w:r>
      <w:r w:rsidRPr="0057440F">
        <w:rPr>
          <w:rFonts w:cs="Arial"/>
          <w:b w:val="0"/>
          <w:color w:val="000000" w:themeColor="text1"/>
          <w:sz w:val="18"/>
          <w:szCs w:val="18"/>
          <w:lang w:val="en-GB"/>
        </w:rPr>
        <w:t xml:space="preserve">) and sensory evaluation with 100 non-trained panellists. </w:t>
      </w:r>
      <w:r w:rsidR="001E2C88" w:rsidRPr="0057440F">
        <w:rPr>
          <w:rFonts w:cs="Arial"/>
          <w:b w:val="0"/>
          <w:color w:val="000000" w:themeColor="text1"/>
          <w:sz w:val="18"/>
          <w:szCs w:val="18"/>
          <w:lang w:val="en-GB"/>
        </w:rPr>
        <w:t xml:space="preserve">Moisture and lipid contents </w:t>
      </w:r>
      <w:r w:rsidR="001E2C88" w:rsidRPr="00BC212A">
        <w:rPr>
          <w:rFonts w:cs="Arial"/>
          <w:b w:val="0"/>
          <w:noProof/>
          <w:color w:val="000000" w:themeColor="text1"/>
          <w:sz w:val="18"/>
          <w:szCs w:val="18"/>
          <w:lang w:val="en-GB"/>
        </w:rPr>
        <w:t>were</w:t>
      </w:r>
      <w:r w:rsidRPr="00BC212A">
        <w:rPr>
          <w:rFonts w:cs="Arial"/>
          <w:b w:val="0"/>
          <w:noProof/>
          <w:color w:val="000000" w:themeColor="text1"/>
          <w:sz w:val="18"/>
          <w:szCs w:val="18"/>
          <w:lang w:val="en-GB"/>
        </w:rPr>
        <w:t xml:space="preserve"> </w:t>
      </w:r>
      <w:r w:rsidR="001E2C88" w:rsidRPr="00BC212A">
        <w:rPr>
          <w:rFonts w:cs="Arial"/>
          <w:b w:val="0"/>
          <w:noProof/>
          <w:color w:val="000000" w:themeColor="text1"/>
          <w:sz w:val="18"/>
          <w:szCs w:val="18"/>
          <w:lang w:val="en-GB"/>
        </w:rPr>
        <w:t>determined</w:t>
      </w:r>
      <w:r w:rsidR="001E2C88" w:rsidRPr="0057440F">
        <w:rPr>
          <w:rFonts w:cs="Arial"/>
          <w:b w:val="0"/>
          <w:color w:val="000000" w:themeColor="text1"/>
          <w:sz w:val="18"/>
          <w:szCs w:val="18"/>
          <w:lang w:val="en-GB"/>
        </w:rPr>
        <w:t xml:space="preserve"> </w:t>
      </w:r>
      <w:r w:rsidRPr="0057440F">
        <w:rPr>
          <w:rFonts w:cs="Arial"/>
          <w:b w:val="0"/>
          <w:color w:val="000000" w:themeColor="text1"/>
          <w:sz w:val="18"/>
          <w:szCs w:val="18"/>
          <w:lang w:val="en-GB"/>
        </w:rPr>
        <w:t>in 0 and 30 days</w:t>
      </w:r>
      <w:r w:rsidR="001E2C88" w:rsidRPr="0057440F">
        <w:rPr>
          <w:rFonts w:cs="Arial"/>
          <w:b w:val="0"/>
          <w:color w:val="000000" w:themeColor="text1"/>
          <w:sz w:val="18"/>
          <w:szCs w:val="18"/>
          <w:lang w:val="en-GB"/>
        </w:rPr>
        <w:t xml:space="preserve"> of storage</w:t>
      </w:r>
      <w:r w:rsidRPr="0057440F">
        <w:rPr>
          <w:rFonts w:cs="Arial"/>
          <w:b w:val="0"/>
          <w:color w:val="000000" w:themeColor="text1"/>
          <w:sz w:val="18"/>
          <w:szCs w:val="18"/>
          <w:lang w:val="en-GB"/>
        </w:rPr>
        <w:t>. Temperatures of 65 °C were required for waxy starch solution preparation,</w:t>
      </w:r>
      <w:r w:rsidR="00D1100E">
        <w:rPr>
          <w:rFonts w:cs="Arial"/>
          <w:b w:val="0"/>
          <w:color w:val="000000" w:themeColor="text1"/>
          <w:sz w:val="18"/>
          <w:szCs w:val="18"/>
          <w:lang w:val="en-GB"/>
        </w:rPr>
        <w:t xml:space="preserve"> lowering the temperature to 50</w:t>
      </w:r>
      <w:r w:rsidRPr="0057440F">
        <w:rPr>
          <w:rFonts w:cs="Arial"/>
          <w:b w:val="0"/>
          <w:sz w:val="18"/>
          <w:szCs w:val="18"/>
          <w:lang w:val="en-GB"/>
        </w:rPr>
        <w:t>°</w:t>
      </w:r>
      <w:r w:rsidR="004F6451" w:rsidRPr="0057440F">
        <w:rPr>
          <w:rFonts w:cs="Arial"/>
          <w:b w:val="0"/>
          <w:sz w:val="18"/>
          <w:szCs w:val="18"/>
          <w:lang w:val="en-GB"/>
        </w:rPr>
        <w:t>C</w:t>
      </w:r>
      <w:r w:rsidRPr="0057440F">
        <w:rPr>
          <w:rFonts w:cs="Arial"/>
          <w:b w:val="0"/>
          <w:sz w:val="18"/>
          <w:szCs w:val="18"/>
          <w:lang w:val="en-GB"/>
        </w:rPr>
        <w:t xml:space="preserve"> for the </w:t>
      </w:r>
      <w:r w:rsidR="004F6451" w:rsidRPr="0057440F">
        <w:rPr>
          <w:rFonts w:cs="Arial"/>
          <w:b w:val="0"/>
          <w:sz w:val="18"/>
          <w:szCs w:val="18"/>
          <w:lang w:val="en-GB"/>
        </w:rPr>
        <w:t>formulations with</w:t>
      </w:r>
      <w:r w:rsidR="00F01626" w:rsidRPr="0057440F">
        <w:rPr>
          <w:rFonts w:cs="Arial"/>
          <w:b w:val="0"/>
          <w:sz w:val="18"/>
          <w:szCs w:val="18"/>
          <w:lang w:val="en-GB"/>
        </w:rPr>
        <w:t xml:space="preserve"> </w:t>
      </w:r>
      <w:r w:rsidR="00BC212A">
        <w:rPr>
          <w:rFonts w:cs="Arial"/>
          <w:b w:val="0"/>
          <w:sz w:val="18"/>
          <w:szCs w:val="18"/>
          <w:lang w:val="en-GB"/>
        </w:rPr>
        <w:t xml:space="preserve">the </w:t>
      </w:r>
      <w:r w:rsidR="00F01626" w:rsidRPr="00BC212A">
        <w:rPr>
          <w:rFonts w:cs="Arial"/>
          <w:b w:val="0"/>
          <w:noProof/>
          <w:sz w:val="18"/>
          <w:szCs w:val="18"/>
          <w:lang w:val="en-GB"/>
        </w:rPr>
        <w:t>addition</w:t>
      </w:r>
      <w:r w:rsidR="00F01626" w:rsidRPr="0057440F">
        <w:rPr>
          <w:rFonts w:cs="Arial"/>
          <w:b w:val="0"/>
          <w:sz w:val="18"/>
          <w:szCs w:val="18"/>
          <w:lang w:val="en-GB"/>
        </w:rPr>
        <w:t xml:space="preserve"> of</w:t>
      </w:r>
      <w:r w:rsidR="004F6451" w:rsidRPr="0057440F">
        <w:rPr>
          <w:rFonts w:cs="Arial"/>
          <w:b w:val="0"/>
          <w:sz w:val="18"/>
          <w:szCs w:val="18"/>
          <w:lang w:val="en-GB"/>
        </w:rPr>
        <w:t xml:space="preserve"> </w:t>
      </w:r>
      <w:r w:rsidRPr="0057440F">
        <w:rPr>
          <w:rFonts w:cs="Arial"/>
          <w:b w:val="0"/>
          <w:sz w:val="18"/>
          <w:szCs w:val="18"/>
          <w:lang w:val="en-GB"/>
        </w:rPr>
        <w:t xml:space="preserve">guar gum. </w:t>
      </w:r>
      <w:r w:rsidR="004F6451" w:rsidRPr="00772B2D">
        <w:rPr>
          <w:rFonts w:cs="Arial"/>
          <w:b w:val="0"/>
          <w:noProof/>
          <w:sz w:val="18"/>
          <w:szCs w:val="18"/>
          <w:lang w:val="en-GB"/>
        </w:rPr>
        <w:t>The r</w:t>
      </w:r>
      <w:r w:rsidRPr="00772B2D">
        <w:rPr>
          <w:rFonts w:cs="Arial"/>
          <w:b w:val="0"/>
          <w:noProof/>
          <w:sz w:val="18"/>
          <w:szCs w:val="18"/>
          <w:lang w:val="en-GB"/>
        </w:rPr>
        <w:t xml:space="preserve">esults indicated </w:t>
      </w:r>
      <w:r w:rsidR="004F6451" w:rsidRPr="00772B2D">
        <w:rPr>
          <w:rFonts w:cs="Arial"/>
          <w:b w:val="0"/>
          <w:noProof/>
          <w:sz w:val="18"/>
          <w:szCs w:val="18"/>
          <w:lang w:val="en-GB"/>
        </w:rPr>
        <w:t xml:space="preserve">that it </w:t>
      </w:r>
      <w:r w:rsidR="00D54FFB" w:rsidRPr="00772B2D">
        <w:rPr>
          <w:rFonts w:cs="Arial"/>
          <w:b w:val="0"/>
          <w:noProof/>
          <w:sz w:val="18"/>
          <w:szCs w:val="18"/>
          <w:lang w:val="en-GB"/>
        </w:rPr>
        <w:t>was</w:t>
      </w:r>
      <w:r w:rsidR="004F6451" w:rsidRPr="00772B2D">
        <w:rPr>
          <w:rFonts w:cs="Arial"/>
          <w:b w:val="0"/>
          <w:noProof/>
          <w:sz w:val="18"/>
          <w:szCs w:val="18"/>
          <w:lang w:val="en-GB"/>
        </w:rPr>
        <w:t xml:space="preserve"> possible to</w:t>
      </w:r>
      <w:r w:rsidR="004F6451" w:rsidRPr="0057440F">
        <w:rPr>
          <w:rFonts w:cs="Arial"/>
          <w:b w:val="0"/>
          <w:sz w:val="18"/>
          <w:szCs w:val="18"/>
          <w:lang w:val="en-GB"/>
        </w:rPr>
        <w:t xml:space="preserve"> replace the vegetable oil by </w:t>
      </w:r>
      <w:r w:rsidR="00371B42" w:rsidRPr="0057440F">
        <w:rPr>
          <w:rFonts w:cs="Arial"/>
          <w:b w:val="0"/>
          <w:sz w:val="18"/>
          <w:szCs w:val="18"/>
          <w:lang w:val="en-GB"/>
        </w:rPr>
        <w:t xml:space="preserve">waxy maize starch </w:t>
      </w:r>
      <w:r w:rsidR="00371B42" w:rsidRPr="00772B2D">
        <w:rPr>
          <w:rFonts w:cs="Arial"/>
          <w:b w:val="0"/>
          <w:noProof/>
          <w:sz w:val="18"/>
          <w:szCs w:val="18"/>
          <w:lang w:val="en-GB"/>
        </w:rPr>
        <w:t>and</w:t>
      </w:r>
      <w:r w:rsidR="00371B42" w:rsidRPr="0057440F">
        <w:rPr>
          <w:rFonts w:cs="Arial"/>
          <w:b w:val="0"/>
          <w:sz w:val="18"/>
          <w:szCs w:val="18"/>
          <w:lang w:val="en-GB"/>
        </w:rPr>
        <w:t xml:space="preserve"> guar gum in the </w:t>
      </w:r>
      <w:r w:rsidR="00371B42" w:rsidRPr="00772B2D">
        <w:rPr>
          <w:rFonts w:cs="Arial"/>
          <w:b w:val="0"/>
          <w:noProof/>
          <w:sz w:val="18"/>
          <w:szCs w:val="18"/>
          <w:lang w:val="en-GB"/>
        </w:rPr>
        <w:t>aromati</w:t>
      </w:r>
      <w:r w:rsidR="00772B2D">
        <w:rPr>
          <w:rFonts w:cs="Arial"/>
          <w:b w:val="0"/>
          <w:noProof/>
          <w:sz w:val="18"/>
          <w:szCs w:val="18"/>
          <w:lang w:val="en-GB"/>
        </w:rPr>
        <w:t>s</w:t>
      </w:r>
      <w:r w:rsidR="00371B42" w:rsidRPr="00772B2D">
        <w:rPr>
          <w:rFonts w:cs="Arial"/>
          <w:b w:val="0"/>
          <w:noProof/>
          <w:sz w:val="18"/>
          <w:szCs w:val="18"/>
          <w:lang w:val="en-GB"/>
        </w:rPr>
        <w:t>ation</w:t>
      </w:r>
      <w:r w:rsidR="00371B42" w:rsidRPr="0057440F">
        <w:rPr>
          <w:rFonts w:cs="Arial"/>
          <w:b w:val="0"/>
          <w:sz w:val="18"/>
          <w:szCs w:val="18"/>
          <w:lang w:val="en-GB"/>
        </w:rPr>
        <w:t xml:space="preserve"> of the snacks, as the products presented similar </w:t>
      </w:r>
      <w:r w:rsidR="008B1338" w:rsidRPr="0057440F">
        <w:rPr>
          <w:rFonts w:cs="Arial"/>
          <w:b w:val="0"/>
          <w:sz w:val="18"/>
          <w:szCs w:val="18"/>
          <w:lang w:val="en-GB"/>
        </w:rPr>
        <w:t>moisture content, specific volume,</w:t>
      </w:r>
      <w:r w:rsidR="001320BA" w:rsidRPr="0057440F">
        <w:rPr>
          <w:rFonts w:cs="Arial"/>
          <w:b w:val="0"/>
          <w:sz w:val="18"/>
          <w:szCs w:val="18"/>
          <w:lang w:val="en-GB"/>
        </w:rPr>
        <w:t xml:space="preserve"> apparent density,</w:t>
      </w:r>
      <w:r w:rsidR="008B1338" w:rsidRPr="0057440F">
        <w:rPr>
          <w:rFonts w:cs="Arial"/>
          <w:b w:val="0"/>
          <w:sz w:val="18"/>
          <w:szCs w:val="18"/>
          <w:lang w:val="en-GB"/>
        </w:rPr>
        <w:t xml:space="preserve"> re</w:t>
      </w:r>
      <w:r w:rsidR="002D1A0C" w:rsidRPr="0057440F">
        <w:rPr>
          <w:rFonts w:cs="Arial"/>
          <w:b w:val="0"/>
          <w:sz w:val="18"/>
          <w:szCs w:val="18"/>
          <w:lang w:val="en-GB"/>
        </w:rPr>
        <w:t>tra</w:t>
      </w:r>
      <w:r w:rsidR="008B1338" w:rsidRPr="0057440F">
        <w:rPr>
          <w:rFonts w:cs="Arial"/>
          <w:b w:val="0"/>
          <w:sz w:val="18"/>
          <w:szCs w:val="18"/>
          <w:lang w:val="en-GB"/>
        </w:rPr>
        <w:t>ction index</w:t>
      </w:r>
      <w:r w:rsidR="00B76B94" w:rsidRPr="0057440F">
        <w:rPr>
          <w:rFonts w:cs="Arial"/>
          <w:b w:val="0"/>
          <w:sz w:val="18"/>
          <w:szCs w:val="18"/>
          <w:lang w:val="en-GB"/>
        </w:rPr>
        <w:t>, sensory acceptance and instrumental hardness (p &gt; 0.05)</w:t>
      </w:r>
      <w:r w:rsidR="008A73CD" w:rsidRPr="00772B2D">
        <w:rPr>
          <w:rFonts w:cs="Arial"/>
          <w:b w:val="0"/>
          <w:noProof/>
          <w:sz w:val="18"/>
          <w:szCs w:val="18"/>
          <w:lang w:val="en-GB"/>
        </w:rPr>
        <w:t>.</w:t>
      </w:r>
      <w:r w:rsidR="003C5C24">
        <w:rPr>
          <w:rFonts w:cs="Arial"/>
          <w:b w:val="0"/>
          <w:noProof/>
          <w:sz w:val="18"/>
          <w:szCs w:val="18"/>
          <w:lang w:val="en-GB"/>
        </w:rPr>
        <w:t xml:space="preserve"> </w:t>
      </w:r>
      <w:r w:rsidR="00850294" w:rsidRPr="00772B2D">
        <w:rPr>
          <w:rFonts w:cs="Arial"/>
          <w:b w:val="0"/>
          <w:noProof/>
          <w:sz w:val="18"/>
          <w:szCs w:val="18"/>
          <w:lang w:val="en-GB"/>
        </w:rPr>
        <w:t>Furthermore</w:t>
      </w:r>
      <w:r w:rsidR="00850294" w:rsidRPr="0057440F">
        <w:rPr>
          <w:rFonts w:cs="Arial"/>
          <w:b w:val="0"/>
          <w:sz w:val="18"/>
          <w:szCs w:val="18"/>
          <w:lang w:val="en-GB"/>
        </w:rPr>
        <w:t xml:space="preserve">, the products presented a reduction of </w:t>
      </w:r>
      <w:r w:rsidR="00F13BEC" w:rsidRPr="0057440F">
        <w:rPr>
          <w:rFonts w:cs="Arial"/>
          <w:b w:val="0"/>
          <w:sz w:val="18"/>
          <w:szCs w:val="18"/>
          <w:lang w:val="en-GB"/>
        </w:rPr>
        <w:t>11-</w:t>
      </w:r>
      <w:r w:rsidR="005A65F6" w:rsidRPr="0057440F">
        <w:rPr>
          <w:rFonts w:cs="Arial"/>
          <w:b w:val="0"/>
          <w:sz w:val="18"/>
          <w:szCs w:val="18"/>
          <w:lang w:val="en-GB"/>
        </w:rPr>
        <w:t>13% in the lipid content. The addition of waxy maize</w:t>
      </w:r>
      <w:r w:rsidR="000A78CE" w:rsidRPr="0057440F">
        <w:rPr>
          <w:rFonts w:cs="Arial"/>
          <w:b w:val="0"/>
          <w:sz w:val="18"/>
          <w:szCs w:val="18"/>
          <w:lang w:val="en-GB"/>
        </w:rPr>
        <w:t xml:space="preserve"> as the only substitute</w:t>
      </w:r>
      <w:r w:rsidR="005A65F6" w:rsidRPr="0057440F">
        <w:rPr>
          <w:rFonts w:cs="Arial"/>
          <w:b w:val="0"/>
          <w:sz w:val="18"/>
          <w:szCs w:val="18"/>
          <w:lang w:val="en-GB"/>
        </w:rPr>
        <w:t xml:space="preserve"> </w:t>
      </w:r>
      <w:r w:rsidR="000A78CE" w:rsidRPr="0057440F">
        <w:rPr>
          <w:rFonts w:cs="Arial"/>
          <w:b w:val="0"/>
          <w:sz w:val="18"/>
          <w:szCs w:val="18"/>
          <w:lang w:val="en-GB"/>
        </w:rPr>
        <w:t xml:space="preserve">would be recommended, because </w:t>
      </w:r>
      <w:r w:rsidR="007B31D5" w:rsidRPr="0057440F">
        <w:rPr>
          <w:rFonts w:cs="Arial"/>
          <w:b w:val="0"/>
          <w:sz w:val="18"/>
          <w:szCs w:val="18"/>
          <w:lang w:val="en-GB"/>
        </w:rPr>
        <w:t>of the quality characteristics</w:t>
      </w:r>
      <w:r w:rsidR="002E0AD2" w:rsidRPr="0057440F">
        <w:rPr>
          <w:rFonts w:cs="Arial"/>
          <w:b w:val="0"/>
          <w:sz w:val="18"/>
          <w:szCs w:val="18"/>
          <w:lang w:val="en-GB"/>
        </w:rPr>
        <w:t xml:space="preserve"> of the products and the absence of significant influence with the addition of guar gum. The snacks produced in the present study would be a healthier option to the consumer. </w:t>
      </w:r>
    </w:p>
    <w:p w14:paraId="7B908367" w14:textId="7BDEEBF6" w:rsidR="00600535" w:rsidRPr="00DA1F6B" w:rsidRDefault="00600535" w:rsidP="000332BD">
      <w:pPr>
        <w:pStyle w:val="CETHeading1"/>
        <w:rPr>
          <w:color w:val="000000" w:themeColor="text1"/>
          <w:lang w:val="en-GB"/>
        </w:rPr>
      </w:pPr>
      <w:r w:rsidRPr="00DA1F6B">
        <w:rPr>
          <w:color w:val="000000" w:themeColor="text1"/>
          <w:lang w:val="en-GB"/>
        </w:rPr>
        <w:t>Introduction</w:t>
      </w:r>
    </w:p>
    <w:p w14:paraId="67C50BAD" w14:textId="4ED2B602" w:rsidR="007C29DF" w:rsidRPr="00B72A82" w:rsidRDefault="007C29DF" w:rsidP="007C29DF">
      <w:pPr>
        <w:pStyle w:val="CETBodytext"/>
        <w:rPr>
          <w:lang w:val="en-GB"/>
        </w:rPr>
      </w:pPr>
      <w:r w:rsidRPr="003C5C24">
        <w:rPr>
          <w:noProof/>
          <w:lang w:val="en-GB"/>
        </w:rPr>
        <w:t>Extrusion is a versatile and very efficient technology</w:t>
      </w:r>
      <w:r>
        <w:rPr>
          <w:lang w:val="en-GB"/>
        </w:rPr>
        <w:t xml:space="preserve"> highly recommended for processing human</w:t>
      </w:r>
      <w:r w:rsidR="009115BF">
        <w:rPr>
          <w:lang w:val="en-GB"/>
        </w:rPr>
        <w:t>,</w:t>
      </w:r>
      <w:r>
        <w:rPr>
          <w:lang w:val="en-GB"/>
        </w:rPr>
        <w:t xml:space="preserve"> </w:t>
      </w:r>
      <w:r w:rsidRPr="00D64CAD">
        <w:rPr>
          <w:noProof/>
          <w:lang w:val="en-GB"/>
        </w:rPr>
        <w:t>and</w:t>
      </w:r>
      <w:r>
        <w:rPr>
          <w:lang w:val="en-GB"/>
        </w:rPr>
        <w:t xml:space="preserve"> pet food and its application </w:t>
      </w:r>
      <w:proofErr w:type="gramStart"/>
      <w:r>
        <w:rPr>
          <w:lang w:val="en-GB"/>
        </w:rPr>
        <w:t>includes</w:t>
      </w:r>
      <w:proofErr w:type="gramEnd"/>
      <w:r>
        <w:rPr>
          <w:lang w:val="en-GB"/>
        </w:rPr>
        <w:t xml:space="preserve"> breakfast cereals, snack food and </w:t>
      </w:r>
      <w:r w:rsidRPr="00D64CAD">
        <w:rPr>
          <w:noProof/>
          <w:lang w:val="en-GB"/>
        </w:rPr>
        <w:t>several cereal</w:t>
      </w:r>
      <w:r w:rsidR="00992415">
        <w:rPr>
          <w:noProof/>
          <w:lang w:val="en-GB"/>
        </w:rPr>
        <w:t>-</w:t>
      </w:r>
      <w:r w:rsidRPr="00D64CAD">
        <w:rPr>
          <w:noProof/>
          <w:lang w:val="en-GB"/>
        </w:rPr>
        <w:t>based</w:t>
      </w:r>
      <w:r w:rsidRPr="00B72A82">
        <w:rPr>
          <w:lang w:val="en-GB"/>
        </w:rPr>
        <w:t xml:space="preserve"> </w:t>
      </w:r>
      <w:r>
        <w:rPr>
          <w:lang w:val="en-GB"/>
        </w:rPr>
        <w:t xml:space="preserve">products </w:t>
      </w:r>
      <w:r w:rsidRPr="00B72A82">
        <w:rPr>
          <w:lang w:val="en-GB"/>
        </w:rPr>
        <w:t>(Bailey e</w:t>
      </w:r>
      <w:r>
        <w:rPr>
          <w:lang w:val="en-GB"/>
        </w:rPr>
        <w:t>t al., 1991; LLO et al., 2000</w:t>
      </w:r>
      <w:r w:rsidRPr="00B72A82">
        <w:rPr>
          <w:lang w:val="en-GB"/>
        </w:rPr>
        <w:t>). Ex</w:t>
      </w:r>
      <w:r w:rsidR="00533640">
        <w:rPr>
          <w:lang w:val="en-GB"/>
        </w:rPr>
        <w:t>trusion cooking is preferable among</w:t>
      </w:r>
      <w:r w:rsidRPr="00B72A82">
        <w:rPr>
          <w:lang w:val="en-GB"/>
        </w:rPr>
        <w:t xml:space="preserve"> othe</w:t>
      </w:r>
      <w:r w:rsidR="00533640">
        <w:rPr>
          <w:lang w:val="en-GB"/>
        </w:rPr>
        <w:t>r continuous food process techniques since its</w:t>
      </w:r>
      <w:r w:rsidRPr="00B72A82">
        <w:rPr>
          <w:lang w:val="en-GB"/>
        </w:rPr>
        <w:t xml:space="preserve"> highly productive and </w:t>
      </w:r>
      <w:r w:rsidR="00865037">
        <w:rPr>
          <w:lang w:val="en-GB"/>
        </w:rPr>
        <w:t xml:space="preserve">nutritious </w:t>
      </w:r>
      <w:r w:rsidRPr="00B72A82">
        <w:rPr>
          <w:lang w:val="en-GB"/>
        </w:rPr>
        <w:t xml:space="preserve">resistant </w:t>
      </w:r>
      <w:r w:rsidR="00865037">
        <w:rPr>
          <w:lang w:val="en-GB"/>
        </w:rPr>
        <w:t xml:space="preserve">due </w:t>
      </w:r>
      <w:r w:rsidRPr="00B72A82">
        <w:rPr>
          <w:lang w:val="en-GB"/>
        </w:rPr>
        <w:t xml:space="preserve">to </w:t>
      </w:r>
      <w:r w:rsidR="00865037">
        <w:rPr>
          <w:lang w:val="en-GB"/>
        </w:rPr>
        <w:t xml:space="preserve">the </w:t>
      </w:r>
      <w:r w:rsidRPr="00B72A82">
        <w:rPr>
          <w:lang w:val="en-GB"/>
        </w:rPr>
        <w:t>high tempe</w:t>
      </w:r>
      <w:r w:rsidR="00865037">
        <w:rPr>
          <w:lang w:val="en-GB"/>
        </w:rPr>
        <w:t>rature and short process</w:t>
      </w:r>
      <w:r w:rsidRPr="00B72A82">
        <w:rPr>
          <w:lang w:val="en-GB"/>
        </w:rPr>
        <w:t xml:space="preserve"> (GUY, 2001).</w:t>
      </w:r>
      <w:r w:rsidR="00520B74" w:rsidRPr="00520B74">
        <w:rPr>
          <w:lang w:val="en-GB"/>
        </w:rPr>
        <w:t xml:space="preserve"> </w:t>
      </w:r>
    </w:p>
    <w:p w14:paraId="18B8D72D" w14:textId="687F4A01" w:rsidR="009842A8" w:rsidRDefault="002D65E0" w:rsidP="00C01A76">
      <w:pPr>
        <w:pStyle w:val="CETBodytext"/>
        <w:rPr>
          <w:lang w:val="en-GB"/>
        </w:rPr>
      </w:pPr>
      <w:r w:rsidRPr="002D65E0">
        <w:rPr>
          <w:lang w:val="en-GB"/>
        </w:rPr>
        <w:t xml:space="preserve">Much of the success of extruded snack foods is due to the coating that </w:t>
      </w:r>
      <w:r>
        <w:rPr>
          <w:lang w:val="en-GB"/>
        </w:rPr>
        <w:t>is applied. Coatings are added</w:t>
      </w:r>
      <w:r w:rsidRPr="002D65E0">
        <w:rPr>
          <w:lang w:val="en-GB"/>
        </w:rPr>
        <w:t xml:space="preserve"> to a v</w:t>
      </w:r>
      <w:r>
        <w:rPr>
          <w:lang w:val="en-GB"/>
        </w:rPr>
        <w:t>ariety of foods because they bring</w:t>
      </w:r>
      <w:r w:rsidRPr="002D65E0">
        <w:rPr>
          <w:lang w:val="en-GB"/>
        </w:rPr>
        <w:t xml:space="preserve"> novelty, freshness, attract in appearance, shape the product, improve flavour, enhance quality, protect ingredients, prevent migration of core constituents, and create texture or maintain </w:t>
      </w:r>
      <w:r w:rsidRPr="00D64CAD">
        <w:rPr>
          <w:noProof/>
          <w:lang w:val="en-GB"/>
        </w:rPr>
        <w:t>structural</w:t>
      </w:r>
      <w:r w:rsidRPr="002D65E0">
        <w:rPr>
          <w:lang w:val="en-GB"/>
        </w:rPr>
        <w:t xml:space="preserve"> integrity (FISZMAN and SALVADOR, 2003</w:t>
      </w:r>
      <w:r w:rsidR="00CE23ED">
        <w:rPr>
          <w:lang w:val="en-GB"/>
        </w:rPr>
        <w:t>).</w:t>
      </w:r>
    </w:p>
    <w:p w14:paraId="19C6C7FB" w14:textId="049D592D" w:rsidR="00C01A76" w:rsidRPr="00B72A82" w:rsidRDefault="00CD7EC6" w:rsidP="00C01A76">
      <w:pPr>
        <w:pStyle w:val="CETBodytext"/>
        <w:rPr>
          <w:lang w:val="en-GB"/>
        </w:rPr>
      </w:pPr>
      <w:r w:rsidRPr="009842A8">
        <w:rPr>
          <w:lang w:val="en-GB"/>
        </w:rPr>
        <w:tab/>
      </w:r>
      <w:r w:rsidR="00C01A76" w:rsidRPr="00B72A82">
        <w:rPr>
          <w:lang w:val="en-GB"/>
        </w:rPr>
        <w:t xml:space="preserve">The consumption of extruded snacks has suffered several adverse effects due to the </w:t>
      </w:r>
      <w:r w:rsidR="00C01A76" w:rsidRPr="00D64CAD">
        <w:rPr>
          <w:noProof/>
          <w:lang w:val="en-GB"/>
        </w:rPr>
        <w:t>high</w:t>
      </w:r>
      <w:r w:rsidR="00992415">
        <w:rPr>
          <w:noProof/>
          <w:lang w:val="en-GB"/>
        </w:rPr>
        <w:t>-</w:t>
      </w:r>
      <w:r w:rsidR="00C01A76" w:rsidRPr="00D64CAD">
        <w:rPr>
          <w:noProof/>
          <w:lang w:val="en-GB"/>
        </w:rPr>
        <w:t>fat</w:t>
      </w:r>
      <w:r w:rsidR="00C01A76" w:rsidRPr="00B72A82">
        <w:rPr>
          <w:lang w:val="en-GB"/>
        </w:rPr>
        <w:t xml:space="preserve"> content and low nutritional value. </w:t>
      </w:r>
      <w:r w:rsidR="009842A8">
        <w:rPr>
          <w:lang w:val="en-GB"/>
        </w:rPr>
        <w:t>S</w:t>
      </w:r>
      <w:r w:rsidR="00C01A76" w:rsidRPr="00B72A82">
        <w:rPr>
          <w:lang w:val="en-GB"/>
        </w:rPr>
        <w:t xml:space="preserve">nacks </w:t>
      </w:r>
      <w:r w:rsidR="009842A8">
        <w:rPr>
          <w:lang w:val="en-GB"/>
        </w:rPr>
        <w:t xml:space="preserve">pulverisation </w:t>
      </w:r>
      <w:r w:rsidR="00C01A76" w:rsidRPr="00B72A82">
        <w:rPr>
          <w:lang w:val="en-GB"/>
        </w:rPr>
        <w:t xml:space="preserve">with vegetable </w:t>
      </w:r>
      <w:r w:rsidR="009842A8">
        <w:rPr>
          <w:lang w:val="en-GB"/>
        </w:rPr>
        <w:t>oil</w:t>
      </w:r>
      <w:r w:rsidR="00C01A76" w:rsidRPr="00B72A82">
        <w:rPr>
          <w:lang w:val="en-GB"/>
        </w:rPr>
        <w:t xml:space="preserve"> </w:t>
      </w:r>
      <w:r w:rsidR="009842A8">
        <w:rPr>
          <w:lang w:val="en-GB"/>
        </w:rPr>
        <w:t>in a rate of 10 to 20%, contributes to</w:t>
      </w:r>
      <w:r w:rsidR="00C01A76" w:rsidRPr="00B72A82">
        <w:rPr>
          <w:lang w:val="en-GB"/>
        </w:rPr>
        <w:t xml:space="preserve"> </w:t>
      </w:r>
      <w:r w:rsidR="009842A8">
        <w:rPr>
          <w:lang w:val="en-GB"/>
        </w:rPr>
        <w:t>seasoning</w:t>
      </w:r>
      <w:r w:rsidR="00C01A76" w:rsidRPr="00B72A82">
        <w:rPr>
          <w:lang w:val="en-GB"/>
        </w:rPr>
        <w:t xml:space="preserve"> </w:t>
      </w:r>
      <w:r w:rsidR="009842A8">
        <w:rPr>
          <w:lang w:val="en-GB"/>
        </w:rPr>
        <w:t xml:space="preserve">fixation </w:t>
      </w:r>
      <w:r w:rsidR="00C01A76" w:rsidRPr="00B72A82">
        <w:rPr>
          <w:lang w:val="en-GB"/>
        </w:rPr>
        <w:t>and</w:t>
      </w:r>
      <w:r w:rsidR="009842A8">
        <w:rPr>
          <w:lang w:val="en-GB"/>
        </w:rPr>
        <w:t>,</w:t>
      </w:r>
      <w:r w:rsidR="00C01A76" w:rsidRPr="00B72A82">
        <w:rPr>
          <w:lang w:val="en-GB"/>
        </w:rPr>
        <w:t xml:space="preserve"> therefore</w:t>
      </w:r>
      <w:r w:rsidR="009842A8">
        <w:rPr>
          <w:lang w:val="en-GB"/>
        </w:rPr>
        <w:t>,</w:t>
      </w:r>
      <w:r w:rsidR="00C01A76" w:rsidRPr="00B72A82">
        <w:rPr>
          <w:lang w:val="en-GB"/>
        </w:rPr>
        <w:t xml:space="preserve"> provides de</w:t>
      </w:r>
      <w:r w:rsidR="009842A8">
        <w:rPr>
          <w:lang w:val="en-GB"/>
        </w:rPr>
        <w:t xml:space="preserve">sirable sensory characteristics </w:t>
      </w:r>
      <w:r w:rsidR="00992415">
        <w:rPr>
          <w:lang w:val="en-GB"/>
        </w:rPr>
        <w:t>e</w:t>
      </w:r>
      <w:r w:rsidR="009842A8" w:rsidRPr="00D64CAD">
        <w:rPr>
          <w:noProof/>
          <w:lang w:val="en-GB"/>
        </w:rPr>
        <w:t>specially</w:t>
      </w:r>
      <w:r w:rsidR="00C01A76" w:rsidRPr="00B72A82">
        <w:rPr>
          <w:lang w:val="en-GB"/>
        </w:rPr>
        <w:t xml:space="preserve"> flavo</w:t>
      </w:r>
      <w:r w:rsidR="009842A8">
        <w:rPr>
          <w:lang w:val="en-GB"/>
        </w:rPr>
        <w:t>u</w:t>
      </w:r>
      <w:r w:rsidR="00C01A76" w:rsidRPr="00B72A82">
        <w:rPr>
          <w:lang w:val="en-GB"/>
        </w:rPr>
        <w:t xml:space="preserve">r (MARQUES </w:t>
      </w:r>
      <w:r w:rsidR="00C01A76" w:rsidRPr="00D64CAD">
        <w:rPr>
          <w:noProof/>
          <w:lang w:val="en-GB"/>
        </w:rPr>
        <w:t>et al</w:t>
      </w:r>
      <w:r w:rsidR="009115BF">
        <w:rPr>
          <w:noProof/>
          <w:lang w:val="en-GB"/>
        </w:rPr>
        <w:t>.</w:t>
      </w:r>
      <w:r w:rsidR="00C01A76" w:rsidRPr="00B72A82">
        <w:rPr>
          <w:lang w:val="en-GB"/>
        </w:rPr>
        <w:t>, 2017).</w:t>
      </w:r>
    </w:p>
    <w:p w14:paraId="291B961F" w14:textId="035DF8A3" w:rsidR="00C01A76" w:rsidRDefault="002328A7" w:rsidP="00C01A76">
      <w:pPr>
        <w:pStyle w:val="CETBodytext"/>
        <w:rPr>
          <w:lang w:val="en-GB"/>
        </w:rPr>
      </w:pPr>
      <w:r w:rsidRPr="00B72A82">
        <w:rPr>
          <w:lang w:val="en-GB"/>
        </w:rPr>
        <w:t xml:space="preserve">Waxy corn starch is a promising raw material, which contains </w:t>
      </w:r>
      <w:r>
        <w:rPr>
          <w:lang w:val="en-GB"/>
        </w:rPr>
        <w:t>many variants. Has</w:t>
      </w:r>
      <w:r w:rsidRPr="00B72A82">
        <w:rPr>
          <w:lang w:val="en-GB"/>
        </w:rPr>
        <w:t xml:space="preserve"> </w:t>
      </w:r>
      <w:r w:rsidR="00C93D9D">
        <w:rPr>
          <w:lang w:val="en-GB"/>
        </w:rPr>
        <w:t xml:space="preserve">the </w:t>
      </w:r>
      <w:r w:rsidRPr="00D64CAD">
        <w:rPr>
          <w:noProof/>
          <w:lang w:val="en-GB"/>
        </w:rPr>
        <w:t>low</w:t>
      </w:r>
      <w:r w:rsidRPr="00B72A82">
        <w:rPr>
          <w:lang w:val="en-GB"/>
        </w:rPr>
        <w:t xml:space="preserve"> temperature of paste, high </w:t>
      </w:r>
      <w:r>
        <w:rPr>
          <w:lang w:val="en-GB"/>
        </w:rPr>
        <w:t xml:space="preserve">viscosity </w:t>
      </w:r>
      <w:r w:rsidRPr="00B72A82">
        <w:rPr>
          <w:lang w:val="en-GB"/>
        </w:rPr>
        <w:t xml:space="preserve">peak and low </w:t>
      </w:r>
      <w:r>
        <w:rPr>
          <w:lang w:val="en-GB"/>
        </w:rPr>
        <w:t>final viscosity</w:t>
      </w:r>
      <w:r w:rsidRPr="00B72A82">
        <w:rPr>
          <w:lang w:val="en-GB"/>
        </w:rPr>
        <w:t xml:space="preserve">, </w:t>
      </w:r>
      <w:r>
        <w:rPr>
          <w:lang w:val="en-GB"/>
        </w:rPr>
        <w:t xml:space="preserve">indicating the ability </w:t>
      </w:r>
      <w:r w:rsidR="00C93D9D">
        <w:rPr>
          <w:noProof/>
          <w:lang w:val="en-GB"/>
        </w:rPr>
        <w:t>to</w:t>
      </w:r>
      <w:r>
        <w:rPr>
          <w:lang w:val="en-GB"/>
        </w:rPr>
        <w:t xml:space="preserve"> </w:t>
      </w:r>
      <w:r w:rsidRPr="00D64CAD">
        <w:rPr>
          <w:noProof/>
          <w:lang w:val="en-GB"/>
        </w:rPr>
        <w:t>expand</w:t>
      </w:r>
      <w:r w:rsidR="00C93D9D">
        <w:rPr>
          <w:noProof/>
          <w:lang w:val="en-GB"/>
        </w:rPr>
        <w:t>ing</w:t>
      </w:r>
      <w:r>
        <w:rPr>
          <w:lang w:val="en-GB"/>
        </w:rPr>
        <w:t xml:space="preserve"> easily </w:t>
      </w:r>
      <w:r w:rsidRPr="00B72A82">
        <w:rPr>
          <w:lang w:val="en-GB"/>
        </w:rPr>
        <w:t>and retrograde with less frequency</w:t>
      </w:r>
      <w:r w:rsidR="00617C97">
        <w:rPr>
          <w:lang w:val="en-GB"/>
        </w:rPr>
        <w:t>.</w:t>
      </w:r>
      <w:r w:rsidR="00422F50">
        <w:rPr>
          <w:lang w:val="en-GB"/>
        </w:rPr>
        <w:t xml:space="preserve"> </w:t>
      </w:r>
      <w:r w:rsidR="00617C97" w:rsidRPr="00617C97">
        <w:rPr>
          <w:lang w:val="en-GB"/>
        </w:rPr>
        <w:t>These attributes are mainly due to the amount of amylose (almost 0%) in its composition</w:t>
      </w:r>
      <w:r w:rsidR="00617C97">
        <w:rPr>
          <w:lang w:val="en-GB"/>
        </w:rPr>
        <w:t xml:space="preserve">. </w:t>
      </w:r>
      <w:r w:rsidR="00A15016">
        <w:rPr>
          <w:noProof/>
          <w:lang w:val="en-GB"/>
        </w:rPr>
        <w:t>Also</w:t>
      </w:r>
      <w:r w:rsidR="00617C97" w:rsidRPr="00617C97">
        <w:rPr>
          <w:lang w:val="en-GB"/>
        </w:rPr>
        <w:t xml:space="preserve">, this </w:t>
      </w:r>
      <w:r w:rsidR="00617C97" w:rsidRPr="00617C97">
        <w:rPr>
          <w:lang w:val="en-GB"/>
        </w:rPr>
        <w:lastRenderedPageBreak/>
        <w:t>starch has better digestion than the others.</w:t>
      </w:r>
      <w:r w:rsidR="00C01A76" w:rsidRPr="00B72A82">
        <w:rPr>
          <w:lang w:val="en-GB"/>
        </w:rPr>
        <w:t xml:space="preserve"> </w:t>
      </w:r>
      <w:r w:rsidR="00C01A76" w:rsidRPr="00D64CAD">
        <w:rPr>
          <w:noProof/>
          <w:lang w:val="en-GB"/>
        </w:rPr>
        <w:t>Therefore, it is a very suitable raw material for</w:t>
      </w:r>
      <w:r w:rsidR="00C01A76" w:rsidRPr="00B72A82">
        <w:rPr>
          <w:lang w:val="en-GB"/>
        </w:rPr>
        <w:t xml:space="preserve"> </w:t>
      </w:r>
      <w:r w:rsidR="00C01A76" w:rsidRPr="00D64CAD">
        <w:rPr>
          <w:noProof/>
          <w:lang w:val="en-GB"/>
        </w:rPr>
        <w:t>food</w:t>
      </w:r>
      <w:r w:rsidR="00C01A76" w:rsidRPr="00B72A82">
        <w:rPr>
          <w:lang w:val="en-GB"/>
        </w:rPr>
        <w:t xml:space="preserve"> production (WANG et al</w:t>
      </w:r>
      <w:r w:rsidR="00130962">
        <w:rPr>
          <w:lang w:val="en-GB"/>
        </w:rPr>
        <w:t>.</w:t>
      </w:r>
      <w:r w:rsidR="00C01A76" w:rsidRPr="00B72A82">
        <w:rPr>
          <w:lang w:val="en-GB"/>
        </w:rPr>
        <w:t>, 2009).</w:t>
      </w:r>
    </w:p>
    <w:p w14:paraId="772F409B" w14:textId="0629FCA7" w:rsidR="004C52AB" w:rsidRPr="00AD7349" w:rsidRDefault="004C52AB" w:rsidP="00CD7EC6">
      <w:pPr>
        <w:pStyle w:val="CETBodytext"/>
        <w:rPr>
          <w:lang w:val="en-GB"/>
        </w:rPr>
      </w:pPr>
      <w:r w:rsidRPr="00B72A82">
        <w:rPr>
          <w:lang w:val="en-GB"/>
        </w:rPr>
        <w:t xml:space="preserve">Hydrocolloids or gums are mostly naturally occurring, soluble in water and have </w:t>
      </w:r>
      <w:r>
        <w:rPr>
          <w:lang w:val="en-GB"/>
        </w:rPr>
        <w:t>thickening</w:t>
      </w:r>
      <w:r w:rsidRPr="00B72A82">
        <w:rPr>
          <w:lang w:val="en-GB"/>
        </w:rPr>
        <w:t xml:space="preserve"> and</w:t>
      </w:r>
      <w:r w:rsidR="00A15016">
        <w:rPr>
          <w:lang w:val="en-GB"/>
        </w:rPr>
        <w:t>/</w:t>
      </w:r>
      <w:r w:rsidRPr="00B72A82">
        <w:rPr>
          <w:lang w:val="en-GB"/>
        </w:rPr>
        <w:t xml:space="preserve">or </w:t>
      </w:r>
      <w:r>
        <w:rPr>
          <w:lang w:val="en-GB"/>
        </w:rPr>
        <w:t xml:space="preserve">gelatinising </w:t>
      </w:r>
      <w:r w:rsidRPr="00B72A82">
        <w:rPr>
          <w:lang w:val="en-GB"/>
        </w:rPr>
        <w:t xml:space="preserve">properties under specific conditions and are </w:t>
      </w:r>
      <w:r>
        <w:rPr>
          <w:lang w:val="en-GB"/>
        </w:rPr>
        <w:t xml:space="preserve">widely </w:t>
      </w:r>
      <w:r w:rsidRPr="00B72A82">
        <w:rPr>
          <w:lang w:val="en-GB"/>
        </w:rPr>
        <w:t>used as additives in food technology.</w:t>
      </w:r>
      <w:r w:rsidR="00AD7349">
        <w:rPr>
          <w:lang w:val="en-GB"/>
        </w:rPr>
        <w:t xml:space="preserve"> </w:t>
      </w:r>
      <w:r w:rsidR="00AD7349" w:rsidRPr="00B72A82">
        <w:rPr>
          <w:lang w:val="en-GB"/>
        </w:rPr>
        <w:t>Their function is to improve texture, delay starch retrogradatio</w:t>
      </w:r>
      <w:r w:rsidR="00AD7349">
        <w:rPr>
          <w:lang w:val="en-GB"/>
        </w:rPr>
        <w:t xml:space="preserve">n, increase moisture retention and, consequently, </w:t>
      </w:r>
      <w:r w:rsidR="00AD7349" w:rsidRPr="00B72A82">
        <w:rPr>
          <w:lang w:val="en-GB"/>
        </w:rPr>
        <w:t>improve</w:t>
      </w:r>
      <w:r w:rsidR="00AD7349">
        <w:rPr>
          <w:lang w:val="en-GB"/>
        </w:rPr>
        <w:t>s</w:t>
      </w:r>
      <w:r w:rsidR="00AD7349" w:rsidRPr="00B72A82">
        <w:rPr>
          <w:lang w:val="en-GB"/>
        </w:rPr>
        <w:t xml:space="preserve"> the quality of bakery products in general</w:t>
      </w:r>
      <w:r w:rsidR="009B6DA8">
        <w:rPr>
          <w:lang w:val="en-GB"/>
        </w:rPr>
        <w:t xml:space="preserve">. </w:t>
      </w:r>
      <w:r w:rsidR="009B6DA8" w:rsidRPr="00B72A82">
        <w:rPr>
          <w:lang w:val="en-GB"/>
        </w:rPr>
        <w:t xml:space="preserve">The incorporation of hydrocolloids into starch solutions modifies rheological properties </w:t>
      </w:r>
      <w:r w:rsidR="009B6DA8">
        <w:rPr>
          <w:lang w:val="en-GB"/>
        </w:rPr>
        <w:t>and increases viscosity</w:t>
      </w:r>
      <w:r w:rsidR="009B6DA8" w:rsidRPr="00B72A82">
        <w:rPr>
          <w:lang w:val="en-GB"/>
        </w:rPr>
        <w:t xml:space="preserve"> </w:t>
      </w:r>
      <w:r w:rsidR="009B6DA8">
        <w:rPr>
          <w:lang w:val="en-GB"/>
        </w:rPr>
        <w:t xml:space="preserve">levels. </w:t>
      </w:r>
      <w:r w:rsidR="009B6DA8" w:rsidRPr="00B72A82">
        <w:rPr>
          <w:lang w:val="en-GB"/>
        </w:rPr>
        <w:t>For this reason, gums are used to confer stability to products such as puddings and desserts (ROJAS et al., 1998; STAUFFER, 1985).</w:t>
      </w:r>
    </w:p>
    <w:p w14:paraId="5DFAC3BC" w14:textId="1021C1EA" w:rsidR="00B72A82" w:rsidRPr="00B72A82" w:rsidRDefault="00B72A82" w:rsidP="00B72A82">
      <w:pPr>
        <w:pStyle w:val="CETBodytext"/>
        <w:rPr>
          <w:lang w:val="en-GB"/>
        </w:rPr>
      </w:pPr>
      <w:r w:rsidRPr="00B72A82">
        <w:rPr>
          <w:lang w:val="en-GB"/>
        </w:rPr>
        <w:t xml:space="preserve">This work aimed to use waxy maize starch and </w:t>
      </w:r>
      <w:r w:rsidR="009B6DA8">
        <w:rPr>
          <w:lang w:val="en-GB"/>
        </w:rPr>
        <w:t xml:space="preserve">guar gum as </w:t>
      </w:r>
      <w:r w:rsidRPr="00B72A82">
        <w:rPr>
          <w:lang w:val="en-GB"/>
        </w:rPr>
        <w:t xml:space="preserve">substitutes </w:t>
      </w:r>
      <w:r w:rsidR="009B6DA8">
        <w:rPr>
          <w:lang w:val="en-GB"/>
        </w:rPr>
        <w:t xml:space="preserve">of </w:t>
      </w:r>
      <w:r w:rsidR="009B6DA8" w:rsidRPr="00B72A82">
        <w:rPr>
          <w:lang w:val="en-GB"/>
        </w:rPr>
        <w:t xml:space="preserve">vegetable oil </w:t>
      </w:r>
      <w:r w:rsidRPr="00B72A82">
        <w:rPr>
          <w:lang w:val="en-GB"/>
        </w:rPr>
        <w:t xml:space="preserve">in the </w:t>
      </w:r>
      <w:r w:rsidR="009B6DA8" w:rsidRPr="00B72A82">
        <w:rPr>
          <w:lang w:val="en-GB"/>
        </w:rPr>
        <w:t>expanded corn snacks flavouring</w:t>
      </w:r>
      <w:r w:rsidRPr="00B72A82">
        <w:rPr>
          <w:lang w:val="en-GB"/>
        </w:rPr>
        <w:t xml:space="preserve"> </w:t>
      </w:r>
      <w:r w:rsidR="009B6DA8">
        <w:rPr>
          <w:lang w:val="en-GB"/>
        </w:rPr>
        <w:t>process</w:t>
      </w:r>
      <w:r w:rsidRPr="00B72A82">
        <w:rPr>
          <w:lang w:val="en-GB"/>
        </w:rPr>
        <w:t xml:space="preserve">, </w:t>
      </w:r>
      <w:r w:rsidR="009B6DA8">
        <w:rPr>
          <w:lang w:val="en-GB"/>
        </w:rPr>
        <w:t>obtaining</w:t>
      </w:r>
      <w:r w:rsidRPr="00B72A82">
        <w:rPr>
          <w:lang w:val="en-GB"/>
        </w:rPr>
        <w:t xml:space="preserve"> </w:t>
      </w:r>
      <w:r w:rsidR="009B6DA8">
        <w:rPr>
          <w:lang w:val="en-GB"/>
        </w:rPr>
        <w:t>a</w:t>
      </w:r>
      <w:r w:rsidRPr="00B72A82">
        <w:rPr>
          <w:lang w:val="en-GB"/>
        </w:rPr>
        <w:t xml:space="preserve"> health </w:t>
      </w:r>
      <w:r w:rsidR="00E23F3C" w:rsidRPr="00B72A82">
        <w:rPr>
          <w:lang w:val="en-GB"/>
        </w:rPr>
        <w:t>product</w:t>
      </w:r>
      <w:r w:rsidRPr="00B72A82">
        <w:rPr>
          <w:lang w:val="en-GB"/>
        </w:rPr>
        <w:t>.</w:t>
      </w:r>
    </w:p>
    <w:p w14:paraId="6BCF2D6E" w14:textId="77777777" w:rsidR="004D71A9" w:rsidRPr="00B72A82" w:rsidRDefault="004D71A9" w:rsidP="00CD7EC6">
      <w:pPr>
        <w:pStyle w:val="CETBodytext"/>
        <w:rPr>
          <w:lang w:val="en-GB"/>
        </w:rPr>
      </w:pPr>
    </w:p>
    <w:p w14:paraId="2E1B516E" w14:textId="630C2748" w:rsidR="004D71A9" w:rsidRPr="00DA1F6B" w:rsidRDefault="00107975" w:rsidP="00DA1F6B">
      <w:pPr>
        <w:pStyle w:val="CETHeading1"/>
        <w:tabs>
          <w:tab w:val="num" w:pos="360"/>
        </w:tabs>
        <w:rPr>
          <w:color w:val="000000" w:themeColor="text1"/>
          <w:lang w:val="en-GB"/>
        </w:rPr>
      </w:pPr>
      <w:r>
        <w:rPr>
          <w:color w:val="000000" w:themeColor="text1"/>
          <w:lang w:val="en-GB"/>
        </w:rPr>
        <w:t>Material and methods</w:t>
      </w:r>
    </w:p>
    <w:p w14:paraId="690FB29D" w14:textId="77777777" w:rsidR="004D71A9" w:rsidRPr="004D71A9" w:rsidRDefault="004D71A9" w:rsidP="004D71A9">
      <w:pPr>
        <w:pStyle w:val="CETBodytext"/>
        <w:rPr>
          <w:lang w:val="pt-BR"/>
        </w:rPr>
      </w:pPr>
    </w:p>
    <w:p w14:paraId="1A442015" w14:textId="4E689BA0" w:rsidR="004D71A9" w:rsidRPr="00DA4DE2" w:rsidRDefault="00DA4DE2" w:rsidP="004D71A9">
      <w:pPr>
        <w:pStyle w:val="CETBodytext"/>
        <w:rPr>
          <w:lang w:val="en-GB"/>
        </w:rPr>
      </w:pPr>
      <w:r w:rsidRPr="00DA4DE2">
        <w:rPr>
          <w:lang w:val="en-GB"/>
        </w:rPr>
        <w:t>Raw material</w:t>
      </w:r>
    </w:p>
    <w:p w14:paraId="0EAAF480" w14:textId="77777777" w:rsidR="00107975" w:rsidRDefault="004D71A9" w:rsidP="004D71A9">
      <w:pPr>
        <w:pStyle w:val="CETBodytext"/>
        <w:rPr>
          <w:lang w:val="pt-BR"/>
        </w:rPr>
      </w:pPr>
      <w:r w:rsidRPr="003C5245">
        <w:rPr>
          <w:lang w:val="pt-BR"/>
        </w:rPr>
        <w:tab/>
      </w:r>
    </w:p>
    <w:p w14:paraId="575789F9" w14:textId="7185C748" w:rsidR="00107975" w:rsidRPr="00107975" w:rsidRDefault="00107975" w:rsidP="004D71A9">
      <w:pPr>
        <w:pStyle w:val="CETBodytext"/>
        <w:rPr>
          <w:lang w:val="en-GB"/>
        </w:rPr>
      </w:pPr>
      <w:r>
        <w:rPr>
          <w:lang w:val="en-GB"/>
        </w:rPr>
        <w:t>Corn expanded</w:t>
      </w:r>
      <w:r w:rsidRPr="00107975">
        <w:rPr>
          <w:lang w:val="en-GB"/>
        </w:rPr>
        <w:t xml:space="preserve"> snacks were produced using corn grits provided by </w:t>
      </w:r>
      <w:proofErr w:type="spellStart"/>
      <w:r w:rsidRPr="00107975">
        <w:rPr>
          <w:lang w:val="en-GB"/>
        </w:rPr>
        <w:t>Zaeli</w:t>
      </w:r>
      <w:proofErr w:type="spellEnd"/>
      <w:r w:rsidRPr="00107975">
        <w:rPr>
          <w:lang w:val="en-GB"/>
        </w:rPr>
        <w:t xml:space="preserve"> Alimentos (Brazil</w:t>
      </w:r>
      <w:r>
        <w:rPr>
          <w:lang w:val="en-GB"/>
        </w:rPr>
        <w:t>). The coating solution contains</w:t>
      </w:r>
      <w:r w:rsidRPr="00107975">
        <w:rPr>
          <w:lang w:val="en-GB"/>
        </w:rPr>
        <w:t xml:space="preserve"> waxy maize starch (Black Belt, Brazil), guar gum (</w:t>
      </w:r>
      <w:proofErr w:type="spellStart"/>
      <w:r w:rsidRPr="00107975">
        <w:rPr>
          <w:lang w:val="en-GB"/>
        </w:rPr>
        <w:t>Daxia</w:t>
      </w:r>
      <w:proofErr w:type="spellEnd"/>
      <w:r w:rsidRPr="00107975">
        <w:rPr>
          <w:lang w:val="en-GB"/>
        </w:rPr>
        <w:t>, Brazil), roasted onion (Nutrimental, Brazil), sodium chloride (</w:t>
      </w:r>
      <w:proofErr w:type="spellStart"/>
      <w:r w:rsidRPr="00107975">
        <w:rPr>
          <w:lang w:val="en-GB"/>
        </w:rPr>
        <w:t>Norsal</w:t>
      </w:r>
      <w:proofErr w:type="spellEnd"/>
      <w:r w:rsidRPr="00107975">
        <w:rPr>
          <w:lang w:val="en-GB"/>
        </w:rPr>
        <w:t>, Brazil) a</w:t>
      </w:r>
      <w:r>
        <w:rPr>
          <w:lang w:val="en-GB"/>
        </w:rPr>
        <w:t>nd soybean oil (</w:t>
      </w:r>
      <w:proofErr w:type="spellStart"/>
      <w:r w:rsidR="00DA4DE2">
        <w:rPr>
          <w:lang w:val="en-GB"/>
        </w:rPr>
        <w:t>Coamo</w:t>
      </w:r>
      <w:proofErr w:type="spellEnd"/>
      <w:r w:rsidR="00DA4DE2">
        <w:rPr>
          <w:lang w:val="en-GB"/>
        </w:rPr>
        <w:t xml:space="preserve">, </w:t>
      </w:r>
      <w:r w:rsidRPr="00107975">
        <w:rPr>
          <w:lang w:val="en-GB"/>
        </w:rPr>
        <w:t>Brazil).</w:t>
      </w:r>
    </w:p>
    <w:p w14:paraId="4C64C572" w14:textId="6D5045DF" w:rsidR="00DA4DE2" w:rsidRPr="002429C0" w:rsidRDefault="00DA4DE2" w:rsidP="004D71A9">
      <w:pPr>
        <w:pStyle w:val="CETBodytext"/>
        <w:rPr>
          <w:lang w:val="en-GB"/>
        </w:rPr>
      </w:pPr>
    </w:p>
    <w:p w14:paraId="3D433DA4" w14:textId="23AADF96" w:rsidR="00DA4DE2" w:rsidRPr="00DA4DE2" w:rsidRDefault="003A1774" w:rsidP="00DA4DE2">
      <w:pPr>
        <w:pStyle w:val="CETBodytext"/>
        <w:rPr>
          <w:lang w:val="en-GB"/>
        </w:rPr>
      </w:pPr>
      <w:r>
        <w:rPr>
          <w:lang w:val="en-GB"/>
        </w:rPr>
        <w:t>S</w:t>
      </w:r>
      <w:r w:rsidR="00DA4DE2" w:rsidRPr="00DA4DE2">
        <w:rPr>
          <w:lang w:val="en-GB"/>
        </w:rPr>
        <w:t>nacks</w:t>
      </w:r>
      <w:r>
        <w:rPr>
          <w:lang w:val="en-GB"/>
        </w:rPr>
        <w:t xml:space="preserve"> processing</w:t>
      </w:r>
    </w:p>
    <w:p w14:paraId="57A08748" w14:textId="77777777" w:rsidR="00DA4DE2" w:rsidRPr="00DA4DE2" w:rsidRDefault="00DA4DE2" w:rsidP="00DA4DE2">
      <w:pPr>
        <w:pStyle w:val="CETBodytext"/>
        <w:rPr>
          <w:lang w:val="en-GB"/>
        </w:rPr>
      </w:pPr>
    </w:p>
    <w:p w14:paraId="4441D54A" w14:textId="689CEB2F" w:rsidR="00DA4DE2" w:rsidRPr="00DA4DE2" w:rsidRDefault="00DA4DE2" w:rsidP="00DA4DE2">
      <w:pPr>
        <w:pStyle w:val="CETBodytext"/>
        <w:rPr>
          <w:lang w:val="en-GB"/>
        </w:rPr>
      </w:pPr>
      <w:r w:rsidRPr="00DA4DE2">
        <w:rPr>
          <w:lang w:val="en-GB"/>
        </w:rPr>
        <w:t xml:space="preserve">The extrusion was carried out in INBRA RX50 (INBRAMAQ, </w:t>
      </w:r>
      <w:proofErr w:type="spellStart"/>
      <w:r w:rsidRPr="00DA4DE2">
        <w:rPr>
          <w:lang w:val="en-GB"/>
        </w:rPr>
        <w:t>Ribeirão</w:t>
      </w:r>
      <w:proofErr w:type="spellEnd"/>
      <w:r w:rsidRPr="00DA4DE2">
        <w:rPr>
          <w:lang w:val="en-GB"/>
        </w:rPr>
        <w:t xml:space="preserve"> Preto, SP, Brazil), with a single thread of 50 mm in diameter and 200 mm in length. The matrix used had two 3 mm diameter holes</w:t>
      </w:r>
      <w:r w:rsidR="003D32A4">
        <w:rPr>
          <w:lang w:val="en-GB"/>
        </w:rPr>
        <w:t>,</w:t>
      </w:r>
      <w:r w:rsidRPr="00DA4DE2">
        <w:rPr>
          <w:lang w:val="en-GB"/>
        </w:rPr>
        <w:t xml:space="preserve"> and the parameters were se</w:t>
      </w:r>
      <w:r w:rsidR="003A1774">
        <w:rPr>
          <w:lang w:val="en-GB"/>
        </w:rPr>
        <w:t>t with the motor amperage at 20</w:t>
      </w:r>
      <w:r w:rsidR="006078FF">
        <w:rPr>
          <w:lang w:val="en-GB"/>
        </w:rPr>
        <w:t xml:space="preserve"> </w:t>
      </w:r>
      <w:r w:rsidRPr="00DA4DE2">
        <w:rPr>
          <w:lang w:val="en-GB"/>
        </w:rPr>
        <w:t xml:space="preserve">A and </w:t>
      </w:r>
      <w:r w:rsidR="003A1774">
        <w:rPr>
          <w:lang w:val="en-GB"/>
        </w:rPr>
        <w:t>the system feed at 12 g</w:t>
      </w:r>
      <w:r w:rsidRPr="00DA4DE2">
        <w:rPr>
          <w:lang w:val="en-GB"/>
        </w:rPr>
        <w:t>/s. The cut was performed at 50 rpm. After extrusio</w:t>
      </w:r>
      <w:r w:rsidR="003A1774">
        <w:rPr>
          <w:lang w:val="en-GB"/>
        </w:rPr>
        <w:t>n, the snacks were placed in a dry</w:t>
      </w:r>
      <w:r w:rsidR="00FF1557">
        <w:rPr>
          <w:lang w:val="en-GB"/>
        </w:rPr>
        <w:t>ing oven at 60</w:t>
      </w:r>
      <w:r w:rsidR="003A1774">
        <w:rPr>
          <w:lang w:val="en-GB"/>
        </w:rPr>
        <w:t>°</w:t>
      </w:r>
      <w:r w:rsidRPr="00DA4DE2">
        <w:rPr>
          <w:lang w:val="en-GB"/>
        </w:rPr>
        <w:t>C for 30 minutes to standardi</w:t>
      </w:r>
      <w:r w:rsidR="00A15016">
        <w:rPr>
          <w:lang w:val="en-GB"/>
        </w:rPr>
        <w:t>s</w:t>
      </w:r>
      <w:r w:rsidRPr="00DA4DE2">
        <w:rPr>
          <w:lang w:val="en-GB"/>
        </w:rPr>
        <w:t xml:space="preserve">e the </w:t>
      </w:r>
      <w:r w:rsidR="003A1774">
        <w:rPr>
          <w:lang w:val="en-GB"/>
        </w:rPr>
        <w:t>moisture</w:t>
      </w:r>
      <w:r w:rsidRPr="00DA4DE2">
        <w:rPr>
          <w:lang w:val="en-GB"/>
        </w:rPr>
        <w:t>.</w:t>
      </w:r>
    </w:p>
    <w:p w14:paraId="3B9E83D5" w14:textId="77777777" w:rsidR="004D71A9" w:rsidRPr="00DA4DE2" w:rsidRDefault="004D71A9" w:rsidP="004D71A9">
      <w:pPr>
        <w:pStyle w:val="CETBodytext"/>
        <w:rPr>
          <w:lang w:val="en-GB"/>
        </w:rPr>
      </w:pPr>
    </w:p>
    <w:p w14:paraId="39AE94F2" w14:textId="2F968997" w:rsidR="0079157C" w:rsidRPr="0079157C" w:rsidRDefault="0079157C" w:rsidP="004D71A9">
      <w:pPr>
        <w:pStyle w:val="CETBodytext"/>
        <w:rPr>
          <w:lang w:val="en-GB"/>
        </w:rPr>
      </w:pPr>
      <w:r w:rsidRPr="0079157C">
        <w:rPr>
          <w:lang w:val="en-GB"/>
        </w:rPr>
        <w:t>Flavouring process</w:t>
      </w:r>
    </w:p>
    <w:p w14:paraId="71668DE1" w14:textId="77777777" w:rsidR="0079157C" w:rsidRPr="002429C0" w:rsidRDefault="004D71A9" w:rsidP="004D71A9">
      <w:pPr>
        <w:pStyle w:val="CETBodytext"/>
        <w:rPr>
          <w:lang w:val="en-GB"/>
        </w:rPr>
      </w:pPr>
      <w:r w:rsidRPr="002429C0">
        <w:rPr>
          <w:lang w:val="en-GB"/>
        </w:rPr>
        <w:tab/>
      </w:r>
    </w:p>
    <w:p w14:paraId="7B15323B" w14:textId="67D6321E" w:rsidR="007276AE" w:rsidRPr="00F62ACA" w:rsidRDefault="0079157C" w:rsidP="007276AE">
      <w:pPr>
        <w:pStyle w:val="CETBodytext"/>
        <w:rPr>
          <w:lang w:val="en-GB"/>
        </w:rPr>
      </w:pPr>
      <w:r w:rsidRPr="0079157C">
        <w:rPr>
          <w:lang w:val="en-GB"/>
        </w:rPr>
        <w:t xml:space="preserve">This experiment was conducted with six treatments detailed </w:t>
      </w:r>
      <w:r w:rsidR="00580957">
        <w:rPr>
          <w:lang w:val="en-GB"/>
        </w:rPr>
        <w:t>i</w:t>
      </w:r>
      <w:r>
        <w:rPr>
          <w:lang w:val="en-GB"/>
        </w:rPr>
        <w:t xml:space="preserve">n table 1. The flavouring process for the control treatment (TC1) was carried out by aspersion </w:t>
      </w:r>
      <w:r w:rsidR="00F62ACA" w:rsidRPr="00F62ACA">
        <w:rPr>
          <w:lang w:val="en-GB"/>
        </w:rPr>
        <w:t>spraying 150 g of vegetable oil fo</w:t>
      </w:r>
      <w:r w:rsidR="00F62ACA">
        <w:rPr>
          <w:lang w:val="en-GB"/>
        </w:rPr>
        <w:t>r each 1 kg of snacks. Then, 20</w:t>
      </w:r>
      <w:r w:rsidR="00F62ACA" w:rsidRPr="00F62ACA">
        <w:rPr>
          <w:lang w:val="en-GB"/>
        </w:rPr>
        <w:t>g</w:t>
      </w:r>
      <w:r w:rsidR="00F62ACA">
        <w:rPr>
          <w:lang w:val="en-GB"/>
        </w:rPr>
        <w:t xml:space="preserve"> of roasted onion powder and 20</w:t>
      </w:r>
      <w:r w:rsidR="00F62ACA" w:rsidRPr="00F62ACA">
        <w:rPr>
          <w:lang w:val="en-GB"/>
        </w:rPr>
        <w:t>g of sodium chloride were added followed by 2 minutes of homogenization in th</w:t>
      </w:r>
      <w:r w:rsidR="00F62ACA">
        <w:rPr>
          <w:lang w:val="en-GB"/>
        </w:rPr>
        <w:t>e 20-lit</w:t>
      </w:r>
      <w:r w:rsidR="001723F6">
        <w:rPr>
          <w:lang w:val="en-GB"/>
        </w:rPr>
        <w:t>re</w:t>
      </w:r>
      <w:r w:rsidR="00F62ACA">
        <w:rPr>
          <w:lang w:val="en-GB"/>
        </w:rPr>
        <w:t xml:space="preserve"> stainless</w:t>
      </w:r>
      <w:r w:rsidR="00F62ACA" w:rsidRPr="00F62ACA">
        <w:rPr>
          <w:lang w:val="en-GB"/>
        </w:rPr>
        <w:t xml:space="preserve"> steel mixing drum at 40 rpm rotation (MARQUES et al</w:t>
      </w:r>
      <w:r w:rsidR="003D32A4">
        <w:rPr>
          <w:lang w:val="en-GB"/>
        </w:rPr>
        <w:t>.</w:t>
      </w:r>
      <w:r w:rsidR="00F62ACA" w:rsidRPr="00F62ACA">
        <w:rPr>
          <w:lang w:val="en-GB"/>
        </w:rPr>
        <w:t>, 2017).</w:t>
      </w:r>
      <w:r w:rsidR="00AD341A">
        <w:rPr>
          <w:lang w:val="en-GB"/>
        </w:rPr>
        <w:t xml:space="preserve"> </w:t>
      </w:r>
      <w:r w:rsidR="00F62ACA" w:rsidRPr="00F62ACA">
        <w:rPr>
          <w:lang w:val="en-GB"/>
        </w:rPr>
        <w:t>To replace the vegetable oil in the flavouring of the sna</w:t>
      </w:r>
      <w:r w:rsidR="00F62ACA">
        <w:rPr>
          <w:lang w:val="en-GB"/>
        </w:rPr>
        <w:t xml:space="preserve">cks, </w:t>
      </w:r>
      <w:r w:rsidR="00373530">
        <w:rPr>
          <w:lang w:val="en-GB"/>
        </w:rPr>
        <w:t>five</w:t>
      </w:r>
      <w:r w:rsidR="00F62ACA">
        <w:rPr>
          <w:lang w:val="en-GB"/>
        </w:rPr>
        <w:t xml:space="preserve"> treatments were </w:t>
      </w:r>
      <w:r w:rsidR="002429C0">
        <w:rPr>
          <w:lang w:val="en-GB"/>
        </w:rPr>
        <w:t>tested (T1 to T5). The coating</w:t>
      </w:r>
      <w:r w:rsidR="00F62ACA" w:rsidRPr="00F62ACA">
        <w:rPr>
          <w:lang w:val="en-GB"/>
        </w:rPr>
        <w:t xml:space="preserve"> consisted of hydr</w:t>
      </w:r>
      <w:r w:rsidR="002429C0">
        <w:rPr>
          <w:lang w:val="en-GB"/>
        </w:rPr>
        <w:t>ating the waxy maize starch and</w:t>
      </w:r>
      <w:r w:rsidR="00F62ACA" w:rsidRPr="00F62ACA">
        <w:rPr>
          <w:lang w:val="en-GB"/>
        </w:rPr>
        <w:t xml:space="preserve"> guar gum in water at room temperature for 1 minute under stirring.</w:t>
      </w:r>
      <w:r w:rsidR="00AD341A">
        <w:rPr>
          <w:lang w:val="en-GB"/>
        </w:rPr>
        <w:t xml:space="preserve"> </w:t>
      </w:r>
      <w:r w:rsidR="00AD341A" w:rsidRPr="00AD341A">
        <w:rPr>
          <w:lang w:val="en-GB"/>
        </w:rPr>
        <w:t>Keeping the solution under stirring, the temperature was then raised to its gelatini</w:t>
      </w:r>
      <w:r w:rsidR="00373530">
        <w:rPr>
          <w:lang w:val="en-GB"/>
        </w:rPr>
        <w:t>s</w:t>
      </w:r>
      <w:r w:rsidR="00AD341A" w:rsidRPr="00AD341A">
        <w:rPr>
          <w:lang w:val="en-GB"/>
        </w:rPr>
        <w:t>ation point varying according to the type of solution.</w:t>
      </w:r>
      <w:r w:rsidR="007276AE" w:rsidRPr="007276AE">
        <w:rPr>
          <w:lang w:val="en-GB"/>
        </w:rPr>
        <w:t xml:space="preserve"> </w:t>
      </w:r>
      <w:r w:rsidR="007276AE" w:rsidRPr="00F62ACA">
        <w:rPr>
          <w:lang w:val="en-GB"/>
        </w:rPr>
        <w:t xml:space="preserve">The </w:t>
      </w:r>
      <w:r w:rsidR="007276AE">
        <w:rPr>
          <w:lang w:val="en-GB"/>
        </w:rPr>
        <w:t>flavouring process of</w:t>
      </w:r>
      <w:r w:rsidR="007276AE" w:rsidRPr="00F62ACA">
        <w:rPr>
          <w:lang w:val="en-GB"/>
        </w:rPr>
        <w:t xml:space="preserve"> T1 to T5 was carried out under the </w:t>
      </w:r>
      <w:r w:rsidR="007276AE">
        <w:rPr>
          <w:lang w:val="en-GB"/>
        </w:rPr>
        <w:t>same conditions of the control, that is, spraying 150</w:t>
      </w:r>
      <w:r w:rsidR="006078FF">
        <w:rPr>
          <w:lang w:val="en-GB"/>
        </w:rPr>
        <w:t xml:space="preserve"> </w:t>
      </w:r>
      <w:r w:rsidR="007276AE" w:rsidRPr="00F62ACA">
        <w:rPr>
          <w:lang w:val="en-GB"/>
        </w:rPr>
        <w:t>g of the solution in</w:t>
      </w:r>
      <w:r w:rsidR="007276AE">
        <w:rPr>
          <w:lang w:val="en-GB"/>
        </w:rPr>
        <w:t>to</w:t>
      </w:r>
      <w:r w:rsidR="007276AE" w:rsidRPr="00F62ACA">
        <w:rPr>
          <w:lang w:val="en-GB"/>
        </w:rPr>
        <w:t xml:space="preserve"> 1 kg of snacks, followed by the addition of the seasonings and the sodium chloride using 304 stain</w:t>
      </w:r>
      <w:r w:rsidR="007276AE">
        <w:rPr>
          <w:lang w:val="en-GB"/>
        </w:rPr>
        <w:t>less steel 20L mixing drum</w:t>
      </w:r>
      <w:r w:rsidR="007276AE" w:rsidRPr="00F62ACA">
        <w:rPr>
          <w:lang w:val="en-GB"/>
        </w:rPr>
        <w:t xml:space="preserve"> </w:t>
      </w:r>
      <w:r w:rsidR="007276AE">
        <w:rPr>
          <w:lang w:val="en-GB"/>
        </w:rPr>
        <w:t>at 40 rpm. After the coating</w:t>
      </w:r>
      <w:r w:rsidR="007276AE" w:rsidRPr="00F62ACA">
        <w:rPr>
          <w:lang w:val="en-GB"/>
        </w:rPr>
        <w:t xml:space="preserve"> and </w:t>
      </w:r>
      <w:r w:rsidR="007276AE">
        <w:rPr>
          <w:lang w:val="en-GB"/>
        </w:rPr>
        <w:t>flavouring, the snacks were placed in a dry</w:t>
      </w:r>
      <w:r w:rsidR="00FF1557">
        <w:rPr>
          <w:lang w:val="en-GB"/>
        </w:rPr>
        <w:t>ing</w:t>
      </w:r>
      <w:r w:rsidR="007276AE">
        <w:rPr>
          <w:lang w:val="en-GB"/>
        </w:rPr>
        <w:t xml:space="preserve"> oven at 60°C for </w:t>
      </w:r>
      <w:r w:rsidR="007276AE" w:rsidRPr="00F62ACA">
        <w:rPr>
          <w:lang w:val="en-GB"/>
        </w:rPr>
        <w:t xml:space="preserve">30 minutes </w:t>
      </w:r>
      <w:r w:rsidR="007276AE">
        <w:rPr>
          <w:lang w:val="en-GB"/>
        </w:rPr>
        <w:t xml:space="preserve">in order to </w:t>
      </w:r>
      <w:r w:rsidR="00580957">
        <w:rPr>
          <w:lang w:val="en-GB"/>
        </w:rPr>
        <w:t xml:space="preserve">the </w:t>
      </w:r>
      <w:r w:rsidR="007276AE">
        <w:rPr>
          <w:lang w:val="en-GB"/>
        </w:rPr>
        <w:t>standard the treatments moisture content</w:t>
      </w:r>
      <w:r w:rsidR="007276AE" w:rsidRPr="00F62ACA">
        <w:rPr>
          <w:lang w:val="en-GB"/>
        </w:rPr>
        <w:t>.</w:t>
      </w:r>
    </w:p>
    <w:p w14:paraId="1020AA84" w14:textId="774A3C67" w:rsidR="004D71A9" w:rsidRPr="00FF1557" w:rsidRDefault="004D71A9" w:rsidP="004D71A9">
      <w:pPr>
        <w:pStyle w:val="CETBodytext"/>
        <w:rPr>
          <w:lang w:val="en-GB"/>
        </w:rPr>
      </w:pPr>
    </w:p>
    <w:p w14:paraId="75FC39D2" w14:textId="013C547E" w:rsidR="00321634" w:rsidRPr="00F62ACA" w:rsidRDefault="00321634" w:rsidP="00321634">
      <w:pPr>
        <w:pStyle w:val="CETBodytext"/>
        <w:rPr>
          <w:lang w:val="en-GB"/>
        </w:rPr>
      </w:pPr>
      <w:r w:rsidRPr="00F62ACA">
        <w:rPr>
          <w:lang w:val="en-GB"/>
        </w:rPr>
        <w:t>The samples were packed in polypropylene (250 x 400 x 0</w:t>
      </w:r>
      <w:r w:rsidR="007276AE">
        <w:rPr>
          <w:lang w:val="en-GB"/>
        </w:rPr>
        <w:t>.08 mm), weighing 200g in each package</w:t>
      </w:r>
      <w:r w:rsidRPr="00F62ACA">
        <w:rPr>
          <w:lang w:val="en-GB"/>
        </w:rPr>
        <w:t xml:space="preserve"> and stored </w:t>
      </w:r>
      <w:r w:rsidR="007276AE">
        <w:rPr>
          <w:lang w:val="en-GB"/>
        </w:rPr>
        <w:t>at 25º</w:t>
      </w:r>
      <w:r w:rsidRPr="00F62ACA">
        <w:rPr>
          <w:lang w:val="en-GB"/>
        </w:rPr>
        <w:t>C</w:t>
      </w:r>
      <w:r w:rsidR="007276AE" w:rsidRPr="007276AE">
        <w:rPr>
          <w:lang w:val="en-GB"/>
        </w:rPr>
        <w:t xml:space="preserve"> </w:t>
      </w:r>
      <w:r w:rsidR="007276AE" w:rsidRPr="00F62ACA">
        <w:rPr>
          <w:lang w:val="en-GB"/>
        </w:rPr>
        <w:t>for 30 days</w:t>
      </w:r>
    </w:p>
    <w:p w14:paraId="3BB1F397" w14:textId="77777777" w:rsidR="00E05633" w:rsidRPr="00F62ACA" w:rsidRDefault="00E05633" w:rsidP="004D71A9">
      <w:pPr>
        <w:pStyle w:val="CETBodytext"/>
        <w:rPr>
          <w:lang w:val="en-GB"/>
        </w:rPr>
      </w:pPr>
    </w:p>
    <w:p w14:paraId="6C0C03BC" w14:textId="5E1D5ADC" w:rsidR="00943D8A" w:rsidRPr="007276AE" w:rsidRDefault="007276AE" w:rsidP="004D71A9">
      <w:pPr>
        <w:pStyle w:val="CETBodytext"/>
        <w:rPr>
          <w:lang w:val="en-GB"/>
        </w:rPr>
      </w:pPr>
      <w:r w:rsidRPr="007276AE">
        <w:rPr>
          <w:lang w:val="en-GB"/>
        </w:rPr>
        <w:t>Table 1. Corn snacks treatments</w:t>
      </w:r>
    </w:p>
    <w:tbl>
      <w:tblPr>
        <w:tblW w:w="9371" w:type="dxa"/>
        <w:tblInd w:w="55" w:type="dxa"/>
        <w:tblCellMar>
          <w:left w:w="70" w:type="dxa"/>
          <w:right w:w="70" w:type="dxa"/>
        </w:tblCellMar>
        <w:tblLook w:val="04A0" w:firstRow="1" w:lastRow="0" w:firstColumn="1" w:lastColumn="0" w:noHBand="0" w:noVBand="1"/>
      </w:tblPr>
      <w:tblGrid>
        <w:gridCol w:w="1540"/>
        <w:gridCol w:w="4996"/>
        <w:gridCol w:w="2835"/>
      </w:tblGrid>
      <w:tr w:rsidR="00943D8A" w:rsidRPr="0005498F" w14:paraId="035CDB30" w14:textId="77777777" w:rsidTr="0027726C">
        <w:tc>
          <w:tcPr>
            <w:tcW w:w="154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620ADD04" w14:textId="308E8D7C" w:rsidR="00943D8A" w:rsidRPr="0005498F" w:rsidRDefault="00943D8A" w:rsidP="0005498F">
            <w:pPr>
              <w:pStyle w:val="CETBodytext"/>
              <w:jc w:val="left"/>
              <w:rPr>
                <w:lang w:val="en-GB"/>
              </w:rPr>
            </w:pPr>
            <w:r w:rsidRPr="0005498F">
              <w:rPr>
                <w:lang w:val="en-GB"/>
              </w:rPr>
              <w:t>Tr</w:t>
            </w:r>
            <w:r w:rsidR="007276AE" w:rsidRPr="0005498F">
              <w:rPr>
                <w:lang w:val="en-GB"/>
              </w:rPr>
              <w:t>eatments</w:t>
            </w:r>
          </w:p>
        </w:tc>
        <w:tc>
          <w:tcPr>
            <w:tcW w:w="4996"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55CDC01D" w14:textId="316752BE" w:rsidR="00943D8A" w:rsidRPr="0005498F" w:rsidRDefault="007276AE" w:rsidP="0005498F">
            <w:pPr>
              <w:pStyle w:val="CETBodytext"/>
              <w:jc w:val="left"/>
              <w:rPr>
                <w:lang w:val="en-GB"/>
              </w:rPr>
            </w:pPr>
            <w:r w:rsidRPr="0005498F">
              <w:rPr>
                <w:lang w:val="en-GB"/>
              </w:rPr>
              <w:t>Coating</w:t>
            </w:r>
          </w:p>
        </w:tc>
        <w:tc>
          <w:tcPr>
            <w:tcW w:w="2835"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514FF452" w14:textId="52459FA4" w:rsidR="00943D8A" w:rsidRPr="0005498F" w:rsidRDefault="007276AE" w:rsidP="0005498F">
            <w:pPr>
              <w:pStyle w:val="CETBodytext"/>
              <w:jc w:val="left"/>
              <w:rPr>
                <w:lang w:val="en-GB"/>
              </w:rPr>
            </w:pPr>
            <w:r w:rsidRPr="0005498F">
              <w:rPr>
                <w:lang w:val="en-GB"/>
              </w:rPr>
              <w:t>Flavouring</w:t>
            </w:r>
          </w:p>
        </w:tc>
      </w:tr>
      <w:tr w:rsidR="00943D8A" w:rsidRPr="007276AE" w14:paraId="5200A385" w14:textId="77777777" w:rsidTr="0027726C">
        <w:tc>
          <w:tcPr>
            <w:tcW w:w="1540" w:type="dxa"/>
            <w:tcBorders>
              <w:top w:val="single" w:sz="8" w:space="0" w:color="4F6228" w:themeColor="accent3" w:themeShade="80"/>
              <w:left w:val="nil"/>
              <w:bottom w:val="nil"/>
              <w:right w:val="nil"/>
            </w:tcBorders>
            <w:shd w:val="clear" w:color="auto" w:fill="auto"/>
            <w:noWrap/>
            <w:vAlign w:val="bottom"/>
            <w:hideMark/>
          </w:tcPr>
          <w:p w14:paraId="1C517B69"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TC0</w:t>
            </w:r>
          </w:p>
        </w:tc>
        <w:tc>
          <w:tcPr>
            <w:tcW w:w="4996" w:type="dxa"/>
            <w:tcBorders>
              <w:top w:val="single" w:sz="8" w:space="0" w:color="4F6228" w:themeColor="accent3" w:themeShade="80"/>
              <w:left w:val="nil"/>
              <w:bottom w:val="nil"/>
              <w:right w:val="nil"/>
            </w:tcBorders>
            <w:shd w:val="clear" w:color="auto" w:fill="auto"/>
            <w:noWrap/>
            <w:vAlign w:val="bottom"/>
            <w:hideMark/>
          </w:tcPr>
          <w:p w14:paraId="7CF81CBE" w14:textId="04E492A6" w:rsidR="00943D8A" w:rsidRPr="00C12885" w:rsidRDefault="007276AE"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No coating</w:t>
            </w:r>
          </w:p>
        </w:tc>
        <w:tc>
          <w:tcPr>
            <w:tcW w:w="2835" w:type="dxa"/>
            <w:tcBorders>
              <w:top w:val="single" w:sz="8" w:space="0" w:color="4F6228" w:themeColor="accent3" w:themeShade="80"/>
              <w:left w:val="nil"/>
              <w:bottom w:val="nil"/>
              <w:right w:val="nil"/>
            </w:tcBorders>
            <w:shd w:val="clear" w:color="auto" w:fill="auto"/>
            <w:noWrap/>
            <w:vAlign w:val="bottom"/>
            <w:hideMark/>
          </w:tcPr>
          <w:p w14:paraId="5573AEAA" w14:textId="4359921B" w:rsidR="00943D8A" w:rsidRPr="00C12885" w:rsidRDefault="00C12885" w:rsidP="005C1C20">
            <w:pPr>
              <w:tabs>
                <w:tab w:val="clear" w:pos="7100"/>
              </w:tabs>
              <w:spacing w:line="240" w:lineRule="atLeast"/>
              <w:jc w:val="left"/>
              <w:rPr>
                <w:rFonts w:cs="Arial"/>
                <w:color w:val="000000"/>
                <w:szCs w:val="18"/>
                <w:lang w:eastAsia="ja-JP"/>
              </w:rPr>
            </w:pPr>
            <w:r>
              <w:rPr>
                <w:rFonts w:cs="Arial"/>
                <w:color w:val="000000"/>
                <w:szCs w:val="18"/>
                <w:lang w:eastAsia="ja-JP"/>
              </w:rPr>
              <w:t>No</w:t>
            </w:r>
            <w:r w:rsidR="007276AE" w:rsidRPr="00C12885">
              <w:rPr>
                <w:rFonts w:cs="Arial"/>
                <w:color w:val="000000"/>
                <w:szCs w:val="18"/>
                <w:lang w:eastAsia="ja-JP"/>
              </w:rPr>
              <w:t xml:space="preserve"> addition of salt and flavour </w:t>
            </w:r>
          </w:p>
        </w:tc>
      </w:tr>
      <w:tr w:rsidR="00943D8A" w:rsidRPr="007276AE" w14:paraId="17272927" w14:textId="77777777" w:rsidTr="00325443">
        <w:tc>
          <w:tcPr>
            <w:tcW w:w="1540" w:type="dxa"/>
            <w:tcBorders>
              <w:top w:val="nil"/>
              <w:left w:val="nil"/>
              <w:bottom w:val="nil"/>
              <w:right w:val="nil"/>
            </w:tcBorders>
            <w:shd w:val="clear" w:color="auto" w:fill="auto"/>
            <w:noWrap/>
            <w:vAlign w:val="bottom"/>
            <w:hideMark/>
          </w:tcPr>
          <w:p w14:paraId="7D8E1781"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TC1</w:t>
            </w:r>
          </w:p>
        </w:tc>
        <w:tc>
          <w:tcPr>
            <w:tcW w:w="4996" w:type="dxa"/>
            <w:tcBorders>
              <w:top w:val="nil"/>
              <w:left w:val="nil"/>
              <w:bottom w:val="nil"/>
              <w:right w:val="nil"/>
            </w:tcBorders>
            <w:shd w:val="clear" w:color="auto" w:fill="auto"/>
            <w:noWrap/>
            <w:vAlign w:val="bottom"/>
            <w:hideMark/>
          </w:tcPr>
          <w:p w14:paraId="4F28A92C" w14:textId="640B5DE0"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 xml:space="preserve">15% </w:t>
            </w:r>
            <w:r w:rsidR="007276AE" w:rsidRPr="00C12885">
              <w:rPr>
                <w:rFonts w:cs="Arial"/>
                <w:color w:val="000000"/>
                <w:szCs w:val="18"/>
                <w:lang w:eastAsia="ja-JP"/>
              </w:rPr>
              <w:t>of vegetal oil</w:t>
            </w:r>
          </w:p>
        </w:tc>
        <w:tc>
          <w:tcPr>
            <w:tcW w:w="2835" w:type="dxa"/>
            <w:tcBorders>
              <w:top w:val="nil"/>
              <w:left w:val="nil"/>
              <w:bottom w:val="nil"/>
              <w:right w:val="nil"/>
            </w:tcBorders>
            <w:shd w:val="clear" w:color="auto" w:fill="auto"/>
            <w:noWrap/>
            <w:vAlign w:val="bottom"/>
            <w:hideMark/>
          </w:tcPr>
          <w:p w14:paraId="65EED9D2" w14:textId="425E51E7"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007276AE" w:rsidRPr="00C12885">
              <w:rPr>
                <w:rFonts w:cs="Arial"/>
                <w:color w:val="000000"/>
                <w:szCs w:val="18"/>
                <w:lang w:eastAsia="ja-JP"/>
              </w:rPr>
              <w:t xml:space="preserve">alt and flavour </w:t>
            </w:r>
          </w:p>
        </w:tc>
      </w:tr>
      <w:tr w:rsidR="00943D8A" w:rsidRPr="002429C0" w14:paraId="07A03E9B" w14:textId="77777777" w:rsidTr="00325443">
        <w:tc>
          <w:tcPr>
            <w:tcW w:w="1540" w:type="dxa"/>
            <w:tcBorders>
              <w:top w:val="nil"/>
              <w:left w:val="nil"/>
              <w:bottom w:val="nil"/>
              <w:right w:val="nil"/>
            </w:tcBorders>
            <w:shd w:val="clear" w:color="auto" w:fill="auto"/>
            <w:noWrap/>
            <w:vAlign w:val="bottom"/>
            <w:hideMark/>
          </w:tcPr>
          <w:p w14:paraId="54628B2B"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T1</w:t>
            </w:r>
          </w:p>
        </w:tc>
        <w:tc>
          <w:tcPr>
            <w:tcW w:w="4996" w:type="dxa"/>
            <w:tcBorders>
              <w:top w:val="nil"/>
              <w:left w:val="nil"/>
              <w:bottom w:val="nil"/>
              <w:right w:val="nil"/>
            </w:tcBorders>
            <w:shd w:val="clear" w:color="auto" w:fill="auto"/>
            <w:noWrap/>
            <w:vAlign w:val="bottom"/>
            <w:hideMark/>
          </w:tcPr>
          <w:p w14:paraId="6381CDD4" w14:textId="715E190D" w:rsidR="00943D8A" w:rsidRPr="00C12885" w:rsidRDefault="007276AE"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Water and</w:t>
            </w:r>
            <w:r w:rsidR="00943D8A" w:rsidRPr="00C12885">
              <w:rPr>
                <w:rFonts w:cs="Arial"/>
                <w:color w:val="000000"/>
                <w:szCs w:val="18"/>
                <w:lang w:eastAsia="ja-JP"/>
              </w:rPr>
              <w:t xml:space="preserve"> 4% </w:t>
            </w:r>
            <w:r w:rsidRPr="00C12885">
              <w:rPr>
                <w:rFonts w:cs="Arial"/>
                <w:color w:val="000000"/>
                <w:szCs w:val="18"/>
                <w:lang w:eastAsia="ja-JP"/>
              </w:rPr>
              <w:t>waxy starch</w:t>
            </w:r>
          </w:p>
        </w:tc>
        <w:tc>
          <w:tcPr>
            <w:tcW w:w="2835" w:type="dxa"/>
            <w:tcBorders>
              <w:top w:val="nil"/>
              <w:left w:val="nil"/>
              <w:bottom w:val="nil"/>
              <w:right w:val="nil"/>
            </w:tcBorders>
            <w:shd w:val="clear" w:color="auto" w:fill="auto"/>
            <w:noWrap/>
            <w:vAlign w:val="bottom"/>
            <w:hideMark/>
          </w:tcPr>
          <w:p w14:paraId="05C23CB9" w14:textId="60B3A3F8"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Pr="00C12885">
              <w:rPr>
                <w:rFonts w:cs="Arial"/>
                <w:color w:val="000000"/>
                <w:szCs w:val="18"/>
                <w:lang w:eastAsia="ja-JP"/>
              </w:rPr>
              <w:t>alt and flavour</w:t>
            </w:r>
          </w:p>
        </w:tc>
      </w:tr>
      <w:tr w:rsidR="00943D8A" w:rsidRPr="002429C0" w14:paraId="31F374B9" w14:textId="77777777" w:rsidTr="00325443">
        <w:tc>
          <w:tcPr>
            <w:tcW w:w="1540" w:type="dxa"/>
            <w:tcBorders>
              <w:top w:val="nil"/>
              <w:left w:val="nil"/>
              <w:bottom w:val="nil"/>
              <w:right w:val="nil"/>
            </w:tcBorders>
            <w:shd w:val="clear" w:color="auto" w:fill="auto"/>
            <w:noWrap/>
            <w:vAlign w:val="bottom"/>
            <w:hideMark/>
          </w:tcPr>
          <w:p w14:paraId="298E7908"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T2</w:t>
            </w:r>
          </w:p>
        </w:tc>
        <w:tc>
          <w:tcPr>
            <w:tcW w:w="4996" w:type="dxa"/>
            <w:tcBorders>
              <w:top w:val="nil"/>
              <w:left w:val="nil"/>
              <w:bottom w:val="nil"/>
              <w:right w:val="nil"/>
            </w:tcBorders>
            <w:shd w:val="clear" w:color="auto" w:fill="auto"/>
            <w:noWrap/>
            <w:vAlign w:val="bottom"/>
            <w:hideMark/>
          </w:tcPr>
          <w:p w14:paraId="59C5EEA3" w14:textId="3A0229D7" w:rsidR="00943D8A" w:rsidRPr="00C12885" w:rsidRDefault="007276AE"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Water, 3% waxy starch and 0.</w:t>
            </w:r>
            <w:r w:rsidR="00943D8A" w:rsidRPr="00C12885">
              <w:rPr>
                <w:rFonts w:cs="Arial"/>
                <w:color w:val="000000"/>
                <w:szCs w:val="18"/>
                <w:lang w:eastAsia="ja-JP"/>
              </w:rPr>
              <w:t xml:space="preserve">25% </w:t>
            </w:r>
            <w:r w:rsidRPr="00C12885">
              <w:rPr>
                <w:rFonts w:cs="Arial"/>
                <w:color w:val="000000"/>
                <w:szCs w:val="18"/>
                <w:lang w:eastAsia="ja-JP"/>
              </w:rPr>
              <w:t>guar gum</w:t>
            </w:r>
          </w:p>
        </w:tc>
        <w:tc>
          <w:tcPr>
            <w:tcW w:w="2835" w:type="dxa"/>
            <w:tcBorders>
              <w:top w:val="nil"/>
              <w:left w:val="nil"/>
              <w:bottom w:val="nil"/>
              <w:right w:val="nil"/>
            </w:tcBorders>
            <w:shd w:val="clear" w:color="auto" w:fill="auto"/>
            <w:noWrap/>
            <w:vAlign w:val="bottom"/>
            <w:hideMark/>
          </w:tcPr>
          <w:p w14:paraId="1960CF0A" w14:textId="17235B77"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Pr="00C12885">
              <w:rPr>
                <w:rFonts w:cs="Arial"/>
                <w:color w:val="000000"/>
                <w:szCs w:val="18"/>
                <w:lang w:eastAsia="ja-JP"/>
              </w:rPr>
              <w:t>alt and flavour</w:t>
            </w:r>
          </w:p>
        </w:tc>
      </w:tr>
      <w:tr w:rsidR="00943D8A" w:rsidRPr="002429C0" w14:paraId="5423FC96" w14:textId="77777777" w:rsidTr="00325443">
        <w:tc>
          <w:tcPr>
            <w:tcW w:w="1540" w:type="dxa"/>
            <w:tcBorders>
              <w:top w:val="nil"/>
              <w:left w:val="nil"/>
              <w:bottom w:val="nil"/>
              <w:right w:val="nil"/>
            </w:tcBorders>
            <w:shd w:val="clear" w:color="auto" w:fill="auto"/>
            <w:noWrap/>
            <w:vAlign w:val="bottom"/>
            <w:hideMark/>
          </w:tcPr>
          <w:p w14:paraId="63D198A0"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T3</w:t>
            </w:r>
          </w:p>
        </w:tc>
        <w:tc>
          <w:tcPr>
            <w:tcW w:w="4996" w:type="dxa"/>
            <w:tcBorders>
              <w:top w:val="nil"/>
              <w:left w:val="nil"/>
              <w:bottom w:val="nil"/>
              <w:right w:val="nil"/>
            </w:tcBorders>
            <w:shd w:val="clear" w:color="auto" w:fill="auto"/>
            <w:noWrap/>
            <w:vAlign w:val="bottom"/>
            <w:hideMark/>
          </w:tcPr>
          <w:p w14:paraId="7AD90D89" w14:textId="1FA9C04D" w:rsidR="00943D8A" w:rsidRPr="00C12885" w:rsidRDefault="00500CA5"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Water,</w:t>
            </w:r>
            <w:r w:rsidR="00C12885" w:rsidRPr="00C12885">
              <w:rPr>
                <w:rFonts w:cs="Arial"/>
                <w:color w:val="000000"/>
                <w:szCs w:val="18"/>
                <w:lang w:eastAsia="ja-JP"/>
              </w:rPr>
              <w:t xml:space="preserve"> 2</w:t>
            </w:r>
            <w:r w:rsidRPr="00C12885">
              <w:rPr>
                <w:rFonts w:cs="Arial"/>
                <w:color w:val="000000"/>
                <w:szCs w:val="18"/>
                <w:lang w:eastAsia="ja-JP"/>
              </w:rPr>
              <w:t>% waxy starch and 0.</w:t>
            </w:r>
            <w:r w:rsidR="00C12885" w:rsidRPr="00C12885">
              <w:rPr>
                <w:rFonts w:cs="Arial"/>
                <w:color w:val="000000"/>
                <w:szCs w:val="18"/>
                <w:lang w:eastAsia="ja-JP"/>
              </w:rPr>
              <w:t>50</w:t>
            </w:r>
            <w:r w:rsidRPr="00C12885">
              <w:rPr>
                <w:rFonts w:cs="Arial"/>
                <w:color w:val="000000"/>
                <w:szCs w:val="18"/>
                <w:lang w:eastAsia="ja-JP"/>
              </w:rPr>
              <w:t xml:space="preserve">% guar </w:t>
            </w:r>
            <w:r w:rsidR="00C12885" w:rsidRPr="00C12885">
              <w:rPr>
                <w:rFonts w:cs="Arial"/>
                <w:color w:val="000000"/>
                <w:szCs w:val="18"/>
                <w:lang w:eastAsia="ja-JP"/>
              </w:rPr>
              <w:t xml:space="preserve">gum </w:t>
            </w:r>
          </w:p>
        </w:tc>
        <w:tc>
          <w:tcPr>
            <w:tcW w:w="2835" w:type="dxa"/>
            <w:tcBorders>
              <w:top w:val="nil"/>
              <w:left w:val="nil"/>
              <w:bottom w:val="nil"/>
              <w:right w:val="nil"/>
            </w:tcBorders>
            <w:shd w:val="clear" w:color="auto" w:fill="auto"/>
            <w:noWrap/>
            <w:vAlign w:val="bottom"/>
            <w:hideMark/>
          </w:tcPr>
          <w:p w14:paraId="73E931AF" w14:textId="2AEA43B1"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Pr="00C12885">
              <w:rPr>
                <w:rFonts w:cs="Arial"/>
                <w:color w:val="000000"/>
                <w:szCs w:val="18"/>
                <w:lang w:eastAsia="ja-JP"/>
              </w:rPr>
              <w:t>alt and flavour</w:t>
            </w:r>
          </w:p>
        </w:tc>
      </w:tr>
      <w:tr w:rsidR="00943D8A" w:rsidRPr="002429C0" w14:paraId="32B1CE2F" w14:textId="77777777" w:rsidTr="00E92172">
        <w:tc>
          <w:tcPr>
            <w:tcW w:w="1540" w:type="dxa"/>
            <w:tcBorders>
              <w:top w:val="nil"/>
              <w:left w:val="nil"/>
              <w:right w:val="nil"/>
            </w:tcBorders>
            <w:shd w:val="clear" w:color="auto" w:fill="auto"/>
            <w:noWrap/>
            <w:vAlign w:val="bottom"/>
            <w:hideMark/>
          </w:tcPr>
          <w:p w14:paraId="039DE3A2"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T4</w:t>
            </w:r>
          </w:p>
        </w:tc>
        <w:tc>
          <w:tcPr>
            <w:tcW w:w="4996" w:type="dxa"/>
            <w:tcBorders>
              <w:top w:val="nil"/>
              <w:left w:val="nil"/>
              <w:right w:val="nil"/>
            </w:tcBorders>
            <w:shd w:val="clear" w:color="auto" w:fill="auto"/>
            <w:noWrap/>
            <w:vAlign w:val="bottom"/>
            <w:hideMark/>
          </w:tcPr>
          <w:p w14:paraId="5B3268DC" w14:textId="2C87FCFB" w:rsidR="00943D8A" w:rsidRPr="00C12885" w:rsidRDefault="00C12885"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 xml:space="preserve">Water, 1% waxy starch and 0.75% guar gum </w:t>
            </w:r>
          </w:p>
        </w:tc>
        <w:tc>
          <w:tcPr>
            <w:tcW w:w="2835" w:type="dxa"/>
            <w:tcBorders>
              <w:top w:val="nil"/>
              <w:left w:val="nil"/>
              <w:right w:val="nil"/>
            </w:tcBorders>
            <w:shd w:val="clear" w:color="auto" w:fill="auto"/>
            <w:noWrap/>
            <w:vAlign w:val="bottom"/>
            <w:hideMark/>
          </w:tcPr>
          <w:p w14:paraId="37EDA3CD" w14:textId="6E234A01"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Pr="00C12885">
              <w:rPr>
                <w:rFonts w:cs="Arial"/>
                <w:color w:val="000000"/>
                <w:szCs w:val="18"/>
                <w:lang w:eastAsia="ja-JP"/>
              </w:rPr>
              <w:t>alt and flavour</w:t>
            </w:r>
          </w:p>
        </w:tc>
      </w:tr>
      <w:tr w:rsidR="00943D8A" w:rsidRPr="002429C0" w14:paraId="0C4F8800" w14:textId="77777777" w:rsidTr="00E92172">
        <w:tc>
          <w:tcPr>
            <w:tcW w:w="1540" w:type="dxa"/>
            <w:tcBorders>
              <w:top w:val="nil"/>
              <w:left w:val="nil"/>
              <w:bottom w:val="single" w:sz="12" w:space="0" w:color="4F6228" w:themeColor="accent3" w:themeShade="80"/>
              <w:right w:val="nil"/>
            </w:tcBorders>
            <w:shd w:val="clear" w:color="auto" w:fill="auto"/>
            <w:noWrap/>
            <w:vAlign w:val="bottom"/>
            <w:hideMark/>
          </w:tcPr>
          <w:p w14:paraId="6A3FAB53" w14:textId="77777777" w:rsidR="00943D8A" w:rsidRPr="00C12885" w:rsidRDefault="00943D8A"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T5</w:t>
            </w:r>
          </w:p>
        </w:tc>
        <w:tc>
          <w:tcPr>
            <w:tcW w:w="4996" w:type="dxa"/>
            <w:tcBorders>
              <w:top w:val="nil"/>
              <w:left w:val="nil"/>
              <w:bottom w:val="single" w:sz="12" w:space="0" w:color="4F6228" w:themeColor="accent3" w:themeShade="80"/>
              <w:right w:val="nil"/>
            </w:tcBorders>
            <w:shd w:val="clear" w:color="auto" w:fill="auto"/>
            <w:noWrap/>
            <w:vAlign w:val="bottom"/>
            <w:hideMark/>
          </w:tcPr>
          <w:p w14:paraId="279C8F95" w14:textId="43F4FD49" w:rsidR="00943D8A" w:rsidRPr="00C12885" w:rsidRDefault="00C12885" w:rsidP="005C1C20">
            <w:pPr>
              <w:tabs>
                <w:tab w:val="clear" w:pos="7100"/>
              </w:tabs>
              <w:spacing w:line="240" w:lineRule="atLeast"/>
              <w:jc w:val="left"/>
              <w:rPr>
                <w:rFonts w:cs="Arial"/>
                <w:color w:val="000000"/>
                <w:szCs w:val="18"/>
                <w:lang w:eastAsia="ja-JP"/>
              </w:rPr>
            </w:pPr>
            <w:r w:rsidRPr="00C12885">
              <w:rPr>
                <w:rFonts w:cs="Arial"/>
                <w:color w:val="000000"/>
                <w:szCs w:val="18"/>
                <w:lang w:eastAsia="ja-JP"/>
              </w:rPr>
              <w:t xml:space="preserve">Water and 1% guar gum </w:t>
            </w:r>
          </w:p>
        </w:tc>
        <w:tc>
          <w:tcPr>
            <w:tcW w:w="2835" w:type="dxa"/>
            <w:tcBorders>
              <w:top w:val="nil"/>
              <w:left w:val="nil"/>
              <w:bottom w:val="single" w:sz="12" w:space="0" w:color="4F6228" w:themeColor="accent3" w:themeShade="80"/>
              <w:right w:val="nil"/>
            </w:tcBorders>
            <w:shd w:val="clear" w:color="auto" w:fill="auto"/>
            <w:noWrap/>
            <w:vAlign w:val="bottom"/>
            <w:hideMark/>
          </w:tcPr>
          <w:p w14:paraId="3C3D0758" w14:textId="1E46870C" w:rsidR="00943D8A" w:rsidRPr="00C12885" w:rsidRDefault="009D1714" w:rsidP="005C1C20">
            <w:pPr>
              <w:tabs>
                <w:tab w:val="clear" w:pos="7100"/>
              </w:tabs>
              <w:spacing w:line="240" w:lineRule="atLeast"/>
              <w:jc w:val="left"/>
              <w:rPr>
                <w:rFonts w:cs="Arial"/>
                <w:color w:val="000000"/>
                <w:szCs w:val="18"/>
                <w:lang w:eastAsia="ja-JP"/>
              </w:rPr>
            </w:pPr>
            <w:r>
              <w:rPr>
                <w:rFonts w:cs="Arial"/>
                <w:color w:val="000000"/>
                <w:szCs w:val="18"/>
                <w:lang w:eastAsia="ja-JP"/>
              </w:rPr>
              <w:t>A</w:t>
            </w:r>
            <w:r w:rsidRPr="00C12885">
              <w:rPr>
                <w:rFonts w:cs="Arial"/>
                <w:color w:val="000000"/>
                <w:szCs w:val="18"/>
                <w:lang w:eastAsia="ja-JP"/>
              </w:rPr>
              <w:t>ddition</w:t>
            </w:r>
            <w:r>
              <w:rPr>
                <w:rFonts w:cs="Arial"/>
                <w:color w:val="000000"/>
                <w:szCs w:val="18"/>
                <w:lang w:eastAsia="ja-JP"/>
              </w:rPr>
              <w:t xml:space="preserve"> of</w:t>
            </w:r>
            <w:r w:rsidRPr="00C12885">
              <w:rPr>
                <w:rFonts w:cs="Arial"/>
                <w:color w:val="000000"/>
                <w:szCs w:val="18"/>
                <w:lang w:eastAsia="ja-JP"/>
              </w:rPr>
              <w:t xml:space="preserve"> </w:t>
            </w:r>
            <w:r>
              <w:rPr>
                <w:rFonts w:cs="Arial"/>
                <w:color w:val="000000"/>
                <w:szCs w:val="18"/>
                <w:lang w:eastAsia="ja-JP"/>
              </w:rPr>
              <w:t>s</w:t>
            </w:r>
            <w:r w:rsidRPr="00C12885">
              <w:rPr>
                <w:rFonts w:cs="Arial"/>
                <w:color w:val="000000"/>
                <w:szCs w:val="18"/>
                <w:lang w:eastAsia="ja-JP"/>
              </w:rPr>
              <w:t>alt and flavour</w:t>
            </w:r>
          </w:p>
        </w:tc>
      </w:tr>
    </w:tbl>
    <w:p w14:paraId="276C50F4" w14:textId="7FFB8C05" w:rsidR="004D71A9" w:rsidRDefault="004D71A9" w:rsidP="004D71A9">
      <w:pPr>
        <w:pStyle w:val="CETBodytext"/>
        <w:rPr>
          <w:lang w:val="en-GB"/>
        </w:rPr>
      </w:pPr>
      <w:r w:rsidRPr="00C12885">
        <w:rPr>
          <w:lang w:val="en-GB"/>
        </w:rPr>
        <w:t xml:space="preserve"> </w:t>
      </w:r>
      <w:r w:rsidR="00C12885">
        <w:rPr>
          <w:lang w:val="en-GB"/>
        </w:rPr>
        <w:t>Control treatment TC</w:t>
      </w:r>
      <w:r w:rsidR="00C12885" w:rsidRPr="00C12885">
        <w:rPr>
          <w:lang w:val="en-GB"/>
        </w:rPr>
        <w:t>0 had no co</w:t>
      </w:r>
      <w:r w:rsidR="00C12885">
        <w:rPr>
          <w:lang w:val="en-GB"/>
        </w:rPr>
        <w:t>ating</w:t>
      </w:r>
      <w:r w:rsidR="00C12885" w:rsidRPr="00C12885">
        <w:rPr>
          <w:lang w:val="en-GB"/>
        </w:rPr>
        <w:t xml:space="preserve"> and </w:t>
      </w:r>
      <w:r w:rsidR="00C12885">
        <w:rPr>
          <w:lang w:val="en-GB"/>
        </w:rPr>
        <w:t>flavour</w:t>
      </w:r>
      <w:r w:rsidR="00C12885" w:rsidRPr="00C12885">
        <w:rPr>
          <w:lang w:val="en-GB"/>
        </w:rPr>
        <w:t xml:space="preserve"> </w:t>
      </w:r>
      <w:r w:rsidR="00C12885">
        <w:rPr>
          <w:lang w:val="en-GB"/>
        </w:rPr>
        <w:t>addition</w:t>
      </w:r>
      <w:r w:rsidR="00C12885" w:rsidRPr="00C12885">
        <w:rPr>
          <w:lang w:val="en-GB"/>
        </w:rPr>
        <w:t xml:space="preserve">, having only </w:t>
      </w:r>
      <w:r w:rsidR="00C12885">
        <w:rPr>
          <w:lang w:val="en-GB"/>
        </w:rPr>
        <w:t>moisture standardi</w:t>
      </w:r>
      <w:r w:rsidR="00373530">
        <w:rPr>
          <w:lang w:val="en-GB"/>
        </w:rPr>
        <w:t>s</w:t>
      </w:r>
      <w:r w:rsidR="00C12885">
        <w:rPr>
          <w:lang w:val="en-GB"/>
        </w:rPr>
        <w:t xml:space="preserve">ation in </w:t>
      </w:r>
      <w:r w:rsidR="00580957">
        <w:rPr>
          <w:lang w:val="en-GB"/>
        </w:rPr>
        <w:t xml:space="preserve">the </w:t>
      </w:r>
      <w:r w:rsidR="00C12885">
        <w:rPr>
          <w:lang w:val="en-GB"/>
        </w:rPr>
        <w:t>oven at 60</w:t>
      </w:r>
      <w:r w:rsidR="00C12885" w:rsidRPr="00C12885">
        <w:rPr>
          <w:lang w:val="en-GB"/>
        </w:rPr>
        <w:t xml:space="preserve">°C for 30 minutes </w:t>
      </w:r>
    </w:p>
    <w:p w14:paraId="30A40F42" w14:textId="77777777" w:rsidR="00605FF3" w:rsidRDefault="00605FF3" w:rsidP="004D71A9">
      <w:pPr>
        <w:pStyle w:val="CETBodytext"/>
        <w:rPr>
          <w:lang w:val="en-GB"/>
        </w:rPr>
      </w:pPr>
    </w:p>
    <w:p w14:paraId="4FE47BB0" w14:textId="77777777" w:rsidR="00605FF3" w:rsidRDefault="00605FF3" w:rsidP="004D71A9">
      <w:pPr>
        <w:pStyle w:val="CETBodytext"/>
        <w:rPr>
          <w:lang w:val="en-GB"/>
        </w:rPr>
      </w:pPr>
    </w:p>
    <w:p w14:paraId="581BD469" w14:textId="20EA1997" w:rsidR="004D71A9" w:rsidRPr="00D1100E" w:rsidRDefault="00D1100E" w:rsidP="004D71A9">
      <w:pPr>
        <w:pStyle w:val="CETBodytext"/>
        <w:rPr>
          <w:lang w:val="en-GB"/>
        </w:rPr>
      </w:pPr>
      <w:r>
        <w:rPr>
          <w:lang w:val="en-GB"/>
        </w:rPr>
        <w:lastRenderedPageBreak/>
        <w:t>P</w:t>
      </w:r>
      <w:r w:rsidRPr="00D1100E">
        <w:rPr>
          <w:lang w:val="en-GB"/>
        </w:rPr>
        <w:t xml:space="preserve">hysical </w:t>
      </w:r>
      <w:r>
        <w:rPr>
          <w:lang w:val="en-GB"/>
        </w:rPr>
        <w:t xml:space="preserve">and Chemical </w:t>
      </w:r>
      <w:r w:rsidRPr="00D1100E">
        <w:rPr>
          <w:lang w:val="en-GB"/>
        </w:rPr>
        <w:t xml:space="preserve">analyses of </w:t>
      </w:r>
      <w:r>
        <w:rPr>
          <w:lang w:val="en-GB"/>
        </w:rPr>
        <w:t>the treatments</w:t>
      </w:r>
      <w:r w:rsidRPr="00D1100E">
        <w:rPr>
          <w:lang w:val="en-GB"/>
        </w:rPr>
        <w:t xml:space="preserve"> </w:t>
      </w:r>
    </w:p>
    <w:p w14:paraId="3EB0B5B5" w14:textId="77777777" w:rsidR="004D71A9" w:rsidRPr="00D1100E" w:rsidRDefault="004D71A9" w:rsidP="004D71A9">
      <w:pPr>
        <w:pStyle w:val="CETBodytext"/>
        <w:rPr>
          <w:lang w:val="en-GB"/>
        </w:rPr>
      </w:pPr>
    </w:p>
    <w:p w14:paraId="35FBFE99" w14:textId="77777777" w:rsidR="00D1100E" w:rsidRPr="00621498" w:rsidRDefault="00D1100E" w:rsidP="00D1100E">
      <w:pPr>
        <w:pStyle w:val="CETBodytext"/>
        <w:rPr>
          <w:lang w:val="en-GB"/>
        </w:rPr>
      </w:pPr>
      <w:r w:rsidRPr="00621498">
        <w:rPr>
          <w:lang w:val="en-GB"/>
        </w:rPr>
        <w:t>Moisture</w:t>
      </w:r>
    </w:p>
    <w:p w14:paraId="77A2A750" w14:textId="6BEC9148" w:rsidR="00D1100E" w:rsidRPr="00621498" w:rsidRDefault="00FF1557" w:rsidP="00D1100E">
      <w:pPr>
        <w:pStyle w:val="CETBodytext"/>
        <w:rPr>
          <w:lang w:val="en-GB"/>
        </w:rPr>
      </w:pPr>
      <w:r>
        <w:rPr>
          <w:lang w:val="en-GB"/>
        </w:rPr>
        <w:t>M</w:t>
      </w:r>
      <w:r w:rsidR="00D1100E" w:rsidRPr="00621498">
        <w:rPr>
          <w:lang w:val="en-GB"/>
        </w:rPr>
        <w:t>oisture content was deter</w:t>
      </w:r>
      <w:r>
        <w:rPr>
          <w:lang w:val="en-GB"/>
        </w:rPr>
        <w:t>mined in a drying oven at 105°</w:t>
      </w:r>
      <w:r w:rsidR="00D1100E" w:rsidRPr="00621498">
        <w:rPr>
          <w:lang w:val="en-GB"/>
        </w:rPr>
        <w:t>C for 24 hours (Association of Official An</w:t>
      </w:r>
      <w:r>
        <w:rPr>
          <w:lang w:val="en-GB"/>
        </w:rPr>
        <w:t xml:space="preserve">alytical Chemists, AOAC, 2005) </w:t>
      </w:r>
      <w:r w:rsidR="00D1100E" w:rsidRPr="00621498">
        <w:rPr>
          <w:lang w:val="en-GB"/>
        </w:rPr>
        <w:t xml:space="preserve">and all samples were </w:t>
      </w:r>
      <w:r w:rsidR="0080483A">
        <w:rPr>
          <w:lang w:val="en-GB"/>
        </w:rPr>
        <w:t xml:space="preserve">checked in triplicate. </w:t>
      </w:r>
      <w:r w:rsidR="009115BF">
        <w:rPr>
          <w:lang w:val="en-GB"/>
        </w:rPr>
        <w:t>The a</w:t>
      </w:r>
      <w:r>
        <w:rPr>
          <w:lang w:val="en-GB"/>
        </w:rPr>
        <w:t>nalysis w</w:t>
      </w:r>
      <w:r w:rsidR="00580957">
        <w:rPr>
          <w:lang w:val="en-GB"/>
        </w:rPr>
        <w:t>as</w:t>
      </w:r>
      <w:r>
        <w:rPr>
          <w:lang w:val="en-GB"/>
        </w:rPr>
        <w:t xml:space="preserve"> performed on the </w:t>
      </w:r>
      <w:r w:rsidR="00D1100E" w:rsidRPr="00621498">
        <w:rPr>
          <w:lang w:val="en-GB"/>
        </w:rPr>
        <w:t>first day after production</w:t>
      </w:r>
      <w:r>
        <w:rPr>
          <w:lang w:val="en-GB"/>
        </w:rPr>
        <w:t xml:space="preserve"> (P0) and</w:t>
      </w:r>
      <w:r w:rsidR="00D1100E" w:rsidRPr="00621498">
        <w:rPr>
          <w:lang w:val="en-GB"/>
        </w:rPr>
        <w:t xml:space="preserve"> </w:t>
      </w:r>
      <w:r w:rsidR="0080483A">
        <w:rPr>
          <w:lang w:val="en-GB"/>
        </w:rPr>
        <w:t xml:space="preserve">after </w:t>
      </w:r>
      <w:r w:rsidR="00D1100E" w:rsidRPr="00621498">
        <w:rPr>
          <w:lang w:val="en-GB"/>
        </w:rPr>
        <w:t xml:space="preserve">30 days (P30) </w:t>
      </w:r>
      <w:r>
        <w:rPr>
          <w:lang w:val="en-GB"/>
        </w:rPr>
        <w:t xml:space="preserve">of </w:t>
      </w:r>
      <w:r w:rsidR="00D1100E" w:rsidRPr="00621498">
        <w:rPr>
          <w:lang w:val="en-GB"/>
        </w:rPr>
        <w:t>storage.</w:t>
      </w:r>
    </w:p>
    <w:p w14:paraId="568E85D8" w14:textId="2941B2BC" w:rsidR="00D1100E" w:rsidRPr="0080483A" w:rsidRDefault="00D1100E" w:rsidP="004D71A9">
      <w:pPr>
        <w:pStyle w:val="CETBodytext"/>
        <w:rPr>
          <w:lang w:val="en-GB"/>
        </w:rPr>
      </w:pPr>
    </w:p>
    <w:p w14:paraId="1CDFD668" w14:textId="77777777" w:rsidR="00D453C6" w:rsidRPr="0080483A" w:rsidRDefault="00D453C6" w:rsidP="00D453C6">
      <w:pPr>
        <w:pStyle w:val="CETBodytext"/>
        <w:rPr>
          <w:lang w:val="en-GB"/>
        </w:rPr>
      </w:pPr>
      <w:r w:rsidRPr="0080483A">
        <w:rPr>
          <w:lang w:val="en-GB"/>
        </w:rPr>
        <w:t>Lipids</w:t>
      </w:r>
    </w:p>
    <w:p w14:paraId="1C0CB4EE" w14:textId="6D8E74BC" w:rsidR="00D1100E" w:rsidRPr="0080483A" w:rsidRDefault="0080483A" w:rsidP="00D453C6">
      <w:pPr>
        <w:pStyle w:val="CETBodytext"/>
        <w:rPr>
          <w:lang w:val="en-GB"/>
        </w:rPr>
      </w:pPr>
      <w:r>
        <w:rPr>
          <w:lang w:val="en-GB"/>
        </w:rPr>
        <w:t>T</w:t>
      </w:r>
      <w:r w:rsidR="00D453C6" w:rsidRPr="00D453C6">
        <w:rPr>
          <w:lang w:val="en-GB"/>
        </w:rPr>
        <w:t>otal lipid content was determined by the meth</w:t>
      </w:r>
      <w:r>
        <w:rPr>
          <w:lang w:val="en-GB"/>
        </w:rPr>
        <w:t xml:space="preserve">od of Bligh &amp; Dyer (1959). </w:t>
      </w:r>
      <w:r w:rsidR="00A8137B">
        <w:rPr>
          <w:lang w:val="en-GB"/>
        </w:rPr>
        <w:t>The a</w:t>
      </w:r>
      <w:r>
        <w:rPr>
          <w:lang w:val="en-GB"/>
        </w:rPr>
        <w:t>nalysis w</w:t>
      </w:r>
      <w:r w:rsidR="00580957">
        <w:rPr>
          <w:lang w:val="en-GB"/>
        </w:rPr>
        <w:t>as</w:t>
      </w:r>
      <w:r w:rsidR="00D453C6" w:rsidRPr="00D453C6">
        <w:rPr>
          <w:lang w:val="en-GB"/>
        </w:rPr>
        <w:t xml:space="preserve"> performed at the initial time (P0) on the first day after production and after 30 days (P30) </w:t>
      </w:r>
      <w:r>
        <w:rPr>
          <w:lang w:val="en-GB"/>
        </w:rPr>
        <w:t xml:space="preserve">of </w:t>
      </w:r>
      <w:r w:rsidR="00D453C6" w:rsidRPr="00D453C6">
        <w:rPr>
          <w:lang w:val="en-GB"/>
        </w:rPr>
        <w:t xml:space="preserve">storage. </w:t>
      </w:r>
      <w:r>
        <w:rPr>
          <w:lang w:val="en-GB"/>
        </w:rPr>
        <w:t>S</w:t>
      </w:r>
      <w:r w:rsidR="00D453C6" w:rsidRPr="0080483A">
        <w:rPr>
          <w:lang w:val="en-GB"/>
        </w:rPr>
        <w:t xml:space="preserve">amples were </w:t>
      </w:r>
      <w:r>
        <w:rPr>
          <w:lang w:val="en-GB"/>
        </w:rPr>
        <w:t>checked</w:t>
      </w:r>
      <w:r w:rsidR="00D453C6" w:rsidRPr="0080483A">
        <w:rPr>
          <w:lang w:val="en-GB"/>
        </w:rPr>
        <w:t xml:space="preserve"> in triplicate.</w:t>
      </w:r>
    </w:p>
    <w:p w14:paraId="3684B749" w14:textId="1C78436A" w:rsidR="00D453C6" w:rsidRPr="00294995" w:rsidRDefault="00D453C6" w:rsidP="004D71A9">
      <w:pPr>
        <w:pStyle w:val="CETBodytext"/>
        <w:rPr>
          <w:lang w:val="en-GB"/>
        </w:rPr>
      </w:pPr>
    </w:p>
    <w:p w14:paraId="049FEA17" w14:textId="77777777" w:rsidR="00D453C6" w:rsidRPr="0080483A" w:rsidRDefault="00D453C6" w:rsidP="00D453C6">
      <w:pPr>
        <w:pStyle w:val="CETBodytext"/>
        <w:rPr>
          <w:lang w:val="en-GB"/>
        </w:rPr>
      </w:pPr>
      <w:r w:rsidRPr="0080483A">
        <w:rPr>
          <w:lang w:val="en-GB"/>
        </w:rPr>
        <w:t>Radial expansion index</w:t>
      </w:r>
    </w:p>
    <w:p w14:paraId="4CBEEF75" w14:textId="03480672" w:rsidR="00D453C6" w:rsidRPr="0080483A" w:rsidRDefault="0080483A" w:rsidP="00D453C6">
      <w:pPr>
        <w:pStyle w:val="CETBodytext"/>
        <w:rPr>
          <w:lang w:val="en-GB"/>
        </w:rPr>
      </w:pPr>
      <w:r>
        <w:rPr>
          <w:lang w:val="en-GB"/>
        </w:rPr>
        <w:t>R</w:t>
      </w:r>
      <w:r w:rsidR="00D453C6" w:rsidRPr="0080483A">
        <w:rPr>
          <w:lang w:val="en-GB"/>
        </w:rPr>
        <w:t xml:space="preserve">adial expansion index (IE) was calculated according to MERCIER et al. (1998), by </w:t>
      </w:r>
      <w:r w:rsidR="006468F2">
        <w:rPr>
          <w:lang w:val="en-GB"/>
        </w:rPr>
        <w:t xml:space="preserve">calculating </w:t>
      </w:r>
      <w:r w:rsidR="00D453C6" w:rsidRPr="0080483A">
        <w:rPr>
          <w:lang w:val="en-GB"/>
        </w:rPr>
        <w:t xml:space="preserve">the ratio </w:t>
      </w:r>
      <w:r w:rsidR="006468F2">
        <w:rPr>
          <w:lang w:val="en-GB"/>
        </w:rPr>
        <w:t>between the</w:t>
      </w:r>
      <w:r w:rsidR="00D453C6" w:rsidRPr="0080483A">
        <w:rPr>
          <w:lang w:val="en-GB"/>
        </w:rPr>
        <w:t xml:space="preserve"> mean </w:t>
      </w:r>
      <w:r w:rsidR="006468F2">
        <w:rPr>
          <w:lang w:val="en-GB"/>
        </w:rPr>
        <w:t xml:space="preserve">of </w:t>
      </w:r>
      <w:r w:rsidR="006468F2" w:rsidRPr="0080483A">
        <w:rPr>
          <w:lang w:val="en-GB"/>
        </w:rPr>
        <w:t xml:space="preserve">extrudate </w:t>
      </w:r>
      <w:r w:rsidR="00D453C6" w:rsidRPr="0080483A">
        <w:rPr>
          <w:lang w:val="en-GB"/>
        </w:rPr>
        <w:t>diameter to the diameter of the extruder die</w:t>
      </w:r>
      <w:r w:rsidR="006468F2">
        <w:rPr>
          <w:lang w:val="en-GB"/>
        </w:rPr>
        <w:t xml:space="preserve">. </w:t>
      </w:r>
      <w:r w:rsidR="00580957">
        <w:rPr>
          <w:lang w:val="en-GB"/>
        </w:rPr>
        <w:t>The d</w:t>
      </w:r>
      <w:r w:rsidR="00D453C6" w:rsidRPr="0080483A">
        <w:rPr>
          <w:lang w:val="en-GB"/>
        </w:rPr>
        <w:t xml:space="preserve">iameter </w:t>
      </w:r>
      <w:r>
        <w:rPr>
          <w:lang w:val="en-GB"/>
        </w:rPr>
        <w:t>of 10 extruded products</w:t>
      </w:r>
      <w:r w:rsidR="006468F2">
        <w:rPr>
          <w:lang w:val="en-GB"/>
        </w:rPr>
        <w:t xml:space="preserve"> for each treatment</w:t>
      </w:r>
      <w:r>
        <w:rPr>
          <w:lang w:val="en-GB"/>
        </w:rPr>
        <w:t xml:space="preserve"> </w:t>
      </w:r>
      <w:r w:rsidR="00D453C6" w:rsidRPr="0080483A">
        <w:rPr>
          <w:lang w:val="en-GB"/>
        </w:rPr>
        <w:t xml:space="preserve">was measured using a digital </w:t>
      </w:r>
      <w:r w:rsidR="00361F5A">
        <w:rPr>
          <w:lang w:val="en-GB"/>
        </w:rPr>
        <w:t>micromet</w:t>
      </w:r>
      <w:r w:rsidR="001723F6">
        <w:rPr>
          <w:lang w:val="en-GB"/>
        </w:rPr>
        <w:t>re</w:t>
      </w:r>
      <w:r w:rsidR="00D453C6" w:rsidRPr="0080483A">
        <w:rPr>
          <w:lang w:val="en-GB"/>
        </w:rPr>
        <w:t xml:space="preserve"> (</w:t>
      </w:r>
      <w:proofErr w:type="spellStart"/>
      <w:r w:rsidR="00D453C6" w:rsidRPr="0080483A">
        <w:rPr>
          <w:lang w:val="en-GB"/>
        </w:rPr>
        <w:t>Marberg</w:t>
      </w:r>
      <w:proofErr w:type="spellEnd"/>
      <w:r w:rsidR="00D453C6" w:rsidRPr="0080483A">
        <w:rPr>
          <w:lang w:val="en-GB"/>
        </w:rPr>
        <w:t>, Mb-300, São Paulo). The calculation of (IE) is represented in Equation 1:</w:t>
      </w:r>
      <w:r>
        <w:rPr>
          <w:lang w:val="en-GB"/>
        </w:rPr>
        <w:t xml:space="preserve"> </w:t>
      </w:r>
    </w:p>
    <w:p w14:paraId="0D6F206A" w14:textId="77777777" w:rsidR="0070389A" w:rsidRPr="0080483A" w:rsidRDefault="0070389A" w:rsidP="004D71A9">
      <w:pPr>
        <w:pStyle w:val="CETBodytext"/>
        <w:rPr>
          <w:lang w:val="en-GB"/>
        </w:rPr>
      </w:pPr>
    </w:p>
    <w:p w14:paraId="28F27E36" w14:textId="5A082939" w:rsidR="004D71A9" w:rsidRPr="0080483A" w:rsidRDefault="004D71A9" w:rsidP="004D71A9">
      <w:pPr>
        <w:pStyle w:val="CETBodytext"/>
        <w:rPr>
          <w:lang w:val="en-GB"/>
        </w:rPr>
      </w:pPr>
      <m:oMath>
        <m:r>
          <w:rPr>
            <w:rFonts w:ascii="Cambria Math" w:hAnsi="Cambria Math"/>
            <w:lang w:val="pt-BR"/>
          </w:rPr>
          <m:t>IE</m:t>
        </m:r>
        <m:r>
          <w:rPr>
            <w:rFonts w:ascii="Cambria Math" w:hAnsi="Cambria Math"/>
            <w:lang w:val="en-GB"/>
          </w:rPr>
          <m:t>=</m:t>
        </m:r>
        <m:f>
          <m:fPr>
            <m:ctrlPr>
              <w:rPr>
                <w:rFonts w:ascii="Cambria Math" w:hAnsi="Cambria Math"/>
                <w:i/>
                <w:lang w:val="pt-BR"/>
              </w:rPr>
            </m:ctrlPr>
          </m:fPr>
          <m:num>
            <m:r>
              <w:rPr>
                <w:rFonts w:ascii="Cambria Math" w:hAnsi="Cambria Math"/>
                <w:lang w:val="pt-BR"/>
              </w:rPr>
              <m:t>Sample</m:t>
            </m:r>
            <m:r>
              <w:rPr>
                <w:rFonts w:ascii="Cambria Math" w:hAnsi="Cambria Math"/>
                <w:lang w:val="en-GB"/>
              </w:rPr>
              <m:t xml:space="preserve"> </m:t>
            </m:r>
            <m:r>
              <w:rPr>
                <w:rFonts w:ascii="Cambria Math" w:hAnsi="Cambria Math"/>
                <w:lang w:val="pt-BR"/>
              </w:rPr>
              <m:t>diameter</m:t>
            </m:r>
          </m:num>
          <m:den>
            <m:r>
              <w:rPr>
                <w:rFonts w:ascii="Cambria Math" w:hAnsi="Cambria Math"/>
                <w:lang w:val="pt-BR"/>
              </w:rPr>
              <m:t>Die</m:t>
            </m:r>
            <m:r>
              <w:rPr>
                <w:rFonts w:ascii="Cambria Math" w:hAnsi="Cambria Math"/>
                <w:lang w:val="en-GB"/>
              </w:rPr>
              <m:t xml:space="preserve"> </m:t>
            </m:r>
            <m:r>
              <w:rPr>
                <w:rFonts w:ascii="Cambria Math" w:hAnsi="Cambria Math"/>
                <w:lang w:val="pt-BR"/>
              </w:rPr>
              <m:t>diameter</m:t>
            </m:r>
          </m:den>
        </m:f>
      </m:oMath>
      <w:r w:rsidRPr="0080483A">
        <w:rPr>
          <w:lang w:val="en-GB"/>
        </w:rPr>
        <w:t xml:space="preserve"> (1)</w:t>
      </w:r>
    </w:p>
    <w:p w14:paraId="7F2BBAD3" w14:textId="77777777" w:rsidR="00580AE4" w:rsidRPr="0080483A" w:rsidRDefault="00580AE4" w:rsidP="004D71A9">
      <w:pPr>
        <w:pStyle w:val="CETBodytext"/>
        <w:rPr>
          <w:lang w:val="en-GB"/>
        </w:rPr>
      </w:pPr>
    </w:p>
    <w:p w14:paraId="5D99AFCE" w14:textId="5AD8BC54" w:rsidR="002D5362" w:rsidRPr="00336C44" w:rsidRDefault="00336C44" w:rsidP="002D5362">
      <w:pPr>
        <w:pStyle w:val="CETBodytext"/>
        <w:rPr>
          <w:lang w:val="en-GB"/>
        </w:rPr>
      </w:pPr>
      <w:r>
        <w:rPr>
          <w:lang w:val="en-GB"/>
        </w:rPr>
        <w:t>Specific volume, Apparent density and R</w:t>
      </w:r>
      <w:r w:rsidR="002D5362" w:rsidRPr="00336C44">
        <w:rPr>
          <w:lang w:val="en-GB"/>
        </w:rPr>
        <w:t>etraction index</w:t>
      </w:r>
    </w:p>
    <w:p w14:paraId="263CF191" w14:textId="5745E0F4" w:rsidR="002D5362" w:rsidRPr="00336C44" w:rsidRDefault="002D5362" w:rsidP="002D5362">
      <w:pPr>
        <w:pStyle w:val="CETBodytext"/>
        <w:rPr>
          <w:lang w:val="en-GB"/>
        </w:rPr>
      </w:pPr>
      <w:r w:rsidRPr="00336C44">
        <w:rPr>
          <w:lang w:val="en-GB"/>
        </w:rPr>
        <w:t>To calculate the Specific Volume (V.E.) a one</w:t>
      </w:r>
      <w:r w:rsidR="006B0AEF">
        <w:rPr>
          <w:lang w:val="en-GB"/>
        </w:rPr>
        <w:t>-</w:t>
      </w:r>
      <w:r w:rsidR="00336C44" w:rsidRPr="00336C44">
        <w:rPr>
          <w:lang w:val="en-GB"/>
        </w:rPr>
        <w:t>litre</w:t>
      </w:r>
      <w:r w:rsidR="00336C44">
        <w:rPr>
          <w:lang w:val="en-GB"/>
        </w:rPr>
        <w:t xml:space="preserve"> container was used. A </w:t>
      </w:r>
      <w:r w:rsidRPr="00336C44">
        <w:rPr>
          <w:lang w:val="en-GB"/>
        </w:rPr>
        <w:t>mass of 100</w:t>
      </w:r>
      <w:r w:rsidR="006078FF">
        <w:rPr>
          <w:lang w:val="en-GB"/>
        </w:rPr>
        <w:t xml:space="preserve"> </w:t>
      </w:r>
      <w:r w:rsidRPr="00336C44">
        <w:rPr>
          <w:lang w:val="en-GB"/>
        </w:rPr>
        <w:t xml:space="preserve">g of snacks was added and the volume </w:t>
      </w:r>
      <w:r w:rsidR="00336C44">
        <w:rPr>
          <w:lang w:val="en-GB"/>
        </w:rPr>
        <w:t>completed with corn seeds. Seed displaced</w:t>
      </w:r>
      <w:r w:rsidRPr="00336C44">
        <w:rPr>
          <w:lang w:val="en-GB"/>
        </w:rPr>
        <w:t xml:space="preserve"> was measured</w:t>
      </w:r>
      <w:r w:rsidR="00336C44">
        <w:rPr>
          <w:lang w:val="en-GB"/>
        </w:rPr>
        <w:t xml:space="preserve"> by checking its volume </w:t>
      </w:r>
      <w:r w:rsidRPr="00336C44">
        <w:rPr>
          <w:lang w:val="en-GB"/>
        </w:rPr>
        <w:t>using a 500 mL beaker, according to Equation (2).</w:t>
      </w:r>
    </w:p>
    <w:p w14:paraId="2B89DF97" w14:textId="77777777" w:rsidR="0070389A" w:rsidRPr="00336C44" w:rsidRDefault="0070389A" w:rsidP="004D71A9">
      <w:pPr>
        <w:pStyle w:val="CETBodytext"/>
        <w:rPr>
          <w:lang w:val="en-GB"/>
        </w:rPr>
      </w:pPr>
    </w:p>
    <w:p w14:paraId="1F61FFFB" w14:textId="48BCDD4B" w:rsidR="004D71A9" w:rsidRPr="00294995" w:rsidRDefault="004D71A9" w:rsidP="004D71A9">
      <w:pPr>
        <w:pStyle w:val="CETBodytext"/>
        <w:rPr>
          <w:lang w:val="en-GB"/>
        </w:rPr>
      </w:pPr>
      <w:r w:rsidRPr="00336C44">
        <w:rPr>
          <w:lang w:val="en-GB"/>
        </w:rPr>
        <w:t xml:space="preserve">  </w:t>
      </w:r>
      <m:oMath>
        <m:r>
          <w:rPr>
            <w:rFonts w:ascii="Cambria Math" w:hAnsi="Cambria Math"/>
            <w:lang w:val="pt-BR"/>
          </w:rPr>
          <m:t>VE</m:t>
        </m:r>
        <m:r>
          <w:rPr>
            <w:rFonts w:ascii="Cambria Math" w:hAnsi="Cambria Math"/>
            <w:lang w:val="en-GB"/>
          </w:rPr>
          <m:t>=</m:t>
        </m:r>
        <m:f>
          <m:fPr>
            <m:ctrlPr>
              <w:rPr>
                <w:rFonts w:ascii="Cambria Math" w:hAnsi="Cambria Math"/>
                <w:i/>
                <w:lang w:val="pt-BR"/>
              </w:rPr>
            </m:ctrlPr>
          </m:fPr>
          <m:num>
            <m:r>
              <w:rPr>
                <w:rFonts w:ascii="Cambria Math" w:hAnsi="Cambria Math"/>
                <w:lang w:val="pt-BR"/>
              </w:rPr>
              <m:t>Seeds</m:t>
            </m:r>
            <m:r>
              <w:rPr>
                <w:rFonts w:ascii="Cambria Math" w:hAnsi="Cambria Math"/>
                <w:lang w:val="en-GB"/>
              </w:rPr>
              <m:t xml:space="preserve"> </m:t>
            </m:r>
            <m:r>
              <w:rPr>
                <w:rFonts w:ascii="Cambria Math" w:hAnsi="Cambria Math"/>
                <w:lang w:val="pt-BR"/>
              </w:rPr>
              <m:t>volume</m:t>
            </m:r>
          </m:num>
          <m:den>
            <m:r>
              <w:rPr>
                <w:rFonts w:ascii="Cambria Math" w:hAnsi="Cambria Math"/>
                <w:lang w:val="pt-BR"/>
              </w:rPr>
              <m:t>Snack</m:t>
            </m:r>
            <m:r>
              <w:rPr>
                <w:rFonts w:ascii="Cambria Math" w:hAnsi="Cambria Math"/>
                <w:lang w:val="en-GB"/>
              </w:rPr>
              <m:t xml:space="preserve"> </m:t>
            </m:r>
            <m:r>
              <w:rPr>
                <w:rFonts w:ascii="Cambria Math" w:hAnsi="Cambria Math"/>
                <w:lang w:val="pt-BR"/>
              </w:rPr>
              <m:t>mass</m:t>
            </m:r>
            <m:r>
              <w:rPr>
                <w:rFonts w:ascii="Cambria Math" w:hAnsi="Cambria Math"/>
                <w:lang w:val="en-GB"/>
              </w:rPr>
              <m:t xml:space="preserve"> (100</m:t>
            </m:r>
            <m:r>
              <w:rPr>
                <w:rFonts w:ascii="Cambria Math" w:hAnsi="Cambria Math"/>
                <w:lang w:val="pt-BR"/>
              </w:rPr>
              <m:t>g</m:t>
            </m:r>
            <m:r>
              <w:rPr>
                <w:rFonts w:ascii="Cambria Math" w:hAnsi="Cambria Math"/>
                <w:lang w:val="en-GB"/>
              </w:rPr>
              <m:t>)</m:t>
            </m:r>
          </m:den>
        </m:f>
      </m:oMath>
      <w:r w:rsidRPr="00294995">
        <w:rPr>
          <w:lang w:val="en-GB"/>
        </w:rPr>
        <w:t xml:space="preserve">  (2)</w:t>
      </w:r>
    </w:p>
    <w:p w14:paraId="2E0F846C" w14:textId="2F7EF16A" w:rsidR="00336C44" w:rsidRPr="00294995" w:rsidRDefault="004D71A9" w:rsidP="004D71A9">
      <w:pPr>
        <w:pStyle w:val="CETBodytext"/>
        <w:rPr>
          <w:lang w:val="en-GB"/>
        </w:rPr>
      </w:pPr>
      <w:r w:rsidRPr="00294995">
        <w:rPr>
          <w:lang w:val="en-GB"/>
        </w:rPr>
        <w:tab/>
      </w:r>
    </w:p>
    <w:p w14:paraId="5AE2F520" w14:textId="63294605" w:rsidR="00336C44" w:rsidRPr="00336C44" w:rsidRDefault="00336C44" w:rsidP="004D71A9">
      <w:pPr>
        <w:pStyle w:val="CETBodytext"/>
        <w:rPr>
          <w:lang w:val="en-GB"/>
        </w:rPr>
      </w:pPr>
      <w:r w:rsidRPr="00336C44">
        <w:rPr>
          <w:lang w:val="en-GB"/>
        </w:rPr>
        <w:t>To s</w:t>
      </w:r>
      <w:r>
        <w:rPr>
          <w:lang w:val="en-GB"/>
        </w:rPr>
        <w:t>tabili</w:t>
      </w:r>
      <w:r w:rsidR="00A15016">
        <w:rPr>
          <w:lang w:val="en-GB"/>
        </w:rPr>
        <w:t>s</w:t>
      </w:r>
      <w:r>
        <w:rPr>
          <w:lang w:val="en-GB"/>
        </w:rPr>
        <w:t>e the Apparent Density (</w:t>
      </w:r>
      <w:r w:rsidRPr="00336C44">
        <w:rPr>
          <w:lang w:val="en-GB"/>
        </w:rPr>
        <w:t>D</w:t>
      </w:r>
      <w:r>
        <w:rPr>
          <w:lang w:val="en-GB"/>
        </w:rPr>
        <w:t>A)</w:t>
      </w:r>
      <w:r w:rsidR="00CF4E44">
        <w:rPr>
          <w:lang w:val="en-GB"/>
        </w:rPr>
        <w:t xml:space="preserve"> samples w</w:t>
      </w:r>
      <w:r w:rsidRPr="00336C44">
        <w:rPr>
          <w:lang w:val="en-GB"/>
        </w:rPr>
        <w:t>ere placed in</w:t>
      </w:r>
      <w:r>
        <w:rPr>
          <w:lang w:val="en-GB"/>
        </w:rPr>
        <w:t>to</w:t>
      </w:r>
      <w:r w:rsidRPr="00336C44">
        <w:rPr>
          <w:lang w:val="en-GB"/>
        </w:rPr>
        <w:t xml:space="preserve"> a 1</w:t>
      </w:r>
      <w:r w:rsidR="006B0AEF">
        <w:rPr>
          <w:lang w:val="en-GB"/>
        </w:rPr>
        <w:t>-</w:t>
      </w:r>
      <w:r w:rsidRPr="00336C44">
        <w:rPr>
          <w:lang w:val="en-GB"/>
        </w:rPr>
        <w:t>lit</w:t>
      </w:r>
      <w:r>
        <w:rPr>
          <w:lang w:val="en-GB"/>
        </w:rPr>
        <w:t>re</w:t>
      </w:r>
      <w:r w:rsidRPr="00336C44">
        <w:rPr>
          <w:lang w:val="en-GB"/>
        </w:rPr>
        <w:t xml:space="preserve"> container and</w:t>
      </w:r>
      <w:r w:rsidR="007D6567">
        <w:rPr>
          <w:lang w:val="en-GB"/>
        </w:rPr>
        <w:t xml:space="preserve"> weighed. The Apparent Density in g/mL</w:t>
      </w:r>
      <w:r w:rsidRPr="00336C44">
        <w:rPr>
          <w:lang w:val="en-GB"/>
        </w:rPr>
        <w:t xml:space="preserve"> was given by dividing the mass obtained by 1000 mL, according to Equation (3).</w:t>
      </w:r>
    </w:p>
    <w:p w14:paraId="7AD24A81" w14:textId="77777777" w:rsidR="00580AE4" w:rsidRPr="00336C44" w:rsidRDefault="004D71A9" w:rsidP="004D71A9">
      <w:pPr>
        <w:pStyle w:val="CETBodytext"/>
        <w:rPr>
          <w:lang w:val="en-GB"/>
        </w:rPr>
      </w:pPr>
      <w:r w:rsidRPr="00336C44">
        <w:rPr>
          <w:lang w:val="en-GB"/>
        </w:rPr>
        <w:tab/>
      </w:r>
      <w:r w:rsidRPr="00336C44">
        <w:rPr>
          <w:lang w:val="en-GB"/>
        </w:rPr>
        <w:tab/>
      </w:r>
    </w:p>
    <w:p w14:paraId="36A8FC37" w14:textId="222ED2A8" w:rsidR="004D71A9" w:rsidRPr="00294995" w:rsidRDefault="00580AE4" w:rsidP="004D71A9">
      <w:pPr>
        <w:pStyle w:val="CETBodytext"/>
        <w:rPr>
          <w:lang w:val="en-GB"/>
        </w:rPr>
      </w:pPr>
      <m:oMath>
        <m:r>
          <w:rPr>
            <w:rFonts w:ascii="Cambria Math" w:hAnsi="Cambria Math"/>
            <w:lang w:val="pt-BR"/>
          </w:rPr>
          <m:t>DA</m:t>
        </m:r>
        <m:r>
          <w:rPr>
            <w:rFonts w:ascii="Cambria Math" w:hAnsi="Cambria Math"/>
            <w:lang w:val="en-GB"/>
          </w:rPr>
          <m:t xml:space="preserve">= </m:t>
        </m:r>
        <m:f>
          <m:fPr>
            <m:ctrlPr>
              <w:rPr>
                <w:rFonts w:ascii="Cambria Math" w:hAnsi="Cambria Math"/>
                <w:i/>
                <w:lang w:val="pt-BR"/>
              </w:rPr>
            </m:ctrlPr>
          </m:fPr>
          <m:num>
            <m:r>
              <w:rPr>
                <w:rFonts w:ascii="Cambria Math" w:hAnsi="Cambria Math"/>
                <w:lang w:val="pt-BR"/>
              </w:rPr>
              <m:t>Snack</m:t>
            </m:r>
            <m:r>
              <w:rPr>
                <w:rFonts w:ascii="Cambria Math" w:hAnsi="Cambria Math"/>
                <w:lang w:val="en-GB"/>
              </w:rPr>
              <m:t xml:space="preserve"> </m:t>
            </m:r>
            <m:r>
              <w:rPr>
                <w:rFonts w:ascii="Cambria Math" w:hAnsi="Cambria Math"/>
                <w:lang w:val="pt-BR"/>
              </w:rPr>
              <m:t>mass</m:t>
            </m:r>
          </m:num>
          <m:den>
            <m:r>
              <w:rPr>
                <w:rFonts w:ascii="Cambria Math" w:hAnsi="Cambria Math"/>
                <w:lang w:val="pt-BR"/>
              </w:rPr>
              <m:t>Recipient</m:t>
            </m:r>
            <m:r>
              <w:rPr>
                <w:rFonts w:ascii="Cambria Math" w:hAnsi="Cambria Math"/>
                <w:lang w:val="en-GB"/>
              </w:rPr>
              <m:t xml:space="preserve"> </m:t>
            </m:r>
            <m:r>
              <w:rPr>
                <w:rFonts w:ascii="Cambria Math" w:hAnsi="Cambria Math"/>
                <w:lang w:val="pt-BR"/>
              </w:rPr>
              <m:t>volume</m:t>
            </m:r>
            <m:r>
              <w:rPr>
                <w:rFonts w:ascii="Cambria Math" w:hAnsi="Cambria Math"/>
                <w:lang w:val="en-GB"/>
              </w:rPr>
              <m:t xml:space="preserve"> (1</m:t>
            </m:r>
            <m:r>
              <w:rPr>
                <w:rFonts w:ascii="Cambria Math" w:hAnsi="Cambria Math"/>
                <w:lang w:val="pt-BR"/>
              </w:rPr>
              <m:t>L</m:t>
            </m:r>
            <m:r>
              <w:rPr>
                <w:rFonts w:ascii="Cambria Math" w:hAnsi="Cambria Math"/>
                <w:lang w:val="en-GB"/>
              </w:rPr>
              <m:t>)</m:t>
            </m:r>
          </m:den>
        </m:f>
      </m:oMath>
      <w:r w:rsidRPr="00294995">
        <w:rPr>
          <w:lang w:val="en-GB"/>
        </w:rPr>
        <w:t xml:space="preserve"> </w:t>
      </w:r>
      <w:r w:rsidR="004D71A9" w:rsidRPr="00294995">
        <w:rPr>
          <w:lang w:val="en-GB"/>
        </w:rPr>
        <w:t>(3)</w:t>
      </w:r>
    </w:p>
    <w:p w14:paraId="29218DCD" w14:textId="77777777" w:rsidR="00580AE4" w:rsidRPr="00294995" w:rsidRDefault="004D71A9" w:rsidP="004D71A9">
      <w:pPr>
        <w:pStyle w:val="CETBodytext"/>
        <w:rPr>
          <w:lang w:val="en-GB"/>
        </w:rPr>
      </w:pPr>
      <w:r w:rsidRPr="00294995">
        <w:rPr>
          <w:lang w:val="en-GB"/>
        </w:rPr>
        <w:tab/>
      </w:r>
    </w:p>
    <w:p w14:paraId="6786FE6E" w14:textId="7D2BFF6E" w:rsidR="007D6567" w:rsidRPr="00294995" w:rsidRDefault="007D6567" w:rsidP="004D71A9">
      <w:pPr>
        <w:pStyle w:val="CETBodytext"/>
        <w:rPr>
          <w:color w:val="000000" w:themeColor="text1"/>
          <w:lang w:val="en-GB"/>
        </w:rPr>
      </w:pPr>
      <w:r w:rsidRPr="00294995">
        <w:rPr>
          <w:color w:val="000000" w:themeColor="text1"/>
          <w:lang w:val="en-GB"/>
        </w:rPr>
        <w:t xml:space="preserve">Retraction index (IR) was calculated based on </w:t>
      </w:r>
      <w:r w:rsidR="00580957">
        <w:rPr>
          <w:color w:val="000000" w:themeColor="text1"/>
          <w:lang w:val="en-GB"/>
        </w:rPr>
        <w:t xml:space="preserve">the </w:t>
      </w:r>
      <w:r w:rsidRPr="00294995">
        <w:rPr>
          <w:color w:val="000000" w:themeColor="text1"/>
          <w:lang w:val="en-GB"/>
        </w:rPr>
        <w:t>reduction of the initial specific volume after the coating and flavouring of the product, according to Equation (4):</w:t>
      </w:r>
    </w:p>
    <w:p w14:paraId="7B3B4318" w14:textId="77777777" w:rsidR="0070389A" w:rsidRPr="007D6567" w:rsidRDefault="0070389A" w:rsidP="004D71A9">
      <w:pPr>
        <w:pStyle w:val="CETBodytext"/>
        <w:rPr>
          <w:lang w:val="en-GB"/>
        </w:rPr>
      </w:pPr>
    </w:p>
    <w:p w14:paraId="455DF0ED" w14:textId="3EDACA56" w:rsidR="004D71A9" w:rsidRPr="00294995" w:rsidRDefault="00580AE4" w:rsidP="004D71A9">
      <w:pPr>
        <w:pStyle w:val="CETBodytext"/>
        <w:rPr>
          <w:lang w:val="en-GB"/>
        </w:rPr>
      </w:pPr>
      <m:oMath>
        <m:r>
          <w:rPr>
            <w:rFonts w:ascii="Cambria Math" w:hAnsi="Cambria Math"/>
            <w:lang w:val="en-GB"/>
          </w:rPr>
          <m:t xml:space="preserve">IR= </m:t>
        </m:r>
        <m:f>
          <m:fPr>
            <m:ctrlPr>
              <w:rPr>
                <w:rFonts w:ascii="Cambria Math" w:hAnsi="Cambria Math"/>
                <w:i/>
                <w:lang w:val="en-GB"/>
              </w:rPr>
            </m:ctrlPr>
          </m:fPr>
          <m:num>
            <m:r>
              <w:rPr>
                <w:rFonts w:ascii="Cambria Math" w:hAnsi="Cambria Math"/>
                <w:lang w:val="en-GB"/>
              </w:rPr>
              <m:t>Final Specific Volume</m:t>
            </m:r>
          </m:num>
          <m:den>
            <m:r>
              <w:rPr>
                <w:rFonts w:ascii="Cambria Math" w:hAnsi="Cambria Math"/>
                <w:lang w:val="en-GB"/>
              </w:rPr>
              <m:t>Initial Specific Volume</m:t>
            </m:r>
          </m:den>
        </m:f>
      </m:oMath>
      <w:r w:rsidR="004D71A9" w:rsidRPr="00294995">
        <w:rPr>
          <w:lang w:val="en-GB"/>
        </w:rPr>
        <w:t xml:space="preserve">   (4)</w:t>
      </w:r>
    </w:p>
    <w:p w14:paraId="0480FC74" w14:textId="77777777" w:rsidR="0070389A" w:rsidRPr="00294995" w:rsidRDefault="0070389A" w:rsidP="0070389A">
      <w:pPr>
        <w:pStyle w:val="CETBodytext"/>
        <w:rPr>
          <w:lang w:val="en-GB"/>
        </w:rPr>
      </w:pPr>
    </w:p>
    <w:p w14:paraId="19095082" w14:textId="77777777" w:rsidR="00294995" w:rsidRPr="00294995" w:rsidRDefault="00294995" w:rsidP="00294995">
      <w:pPr>
        <w:pStyle w:val="CETBodytext"/>
        <w:rPr>
          <w:lang w:val="en-GB"/>
        </w:rPr>
      </w:pPr>
      <w:r w:rsidRPr="00294995">
        <w:rPr>
          <w:lang w:val="en-GB"/>
        </w:rPr>
        <w:t>Agglomeration Index Analysis (IA)</w:t>
      </w:r>
    </w:p>
    <w:p w14:paraId="7E406F6B" w14:textId="702D91E8" w:rsidR="000F7292" w:rsidRDefault="00294995" w:rsidP="0070389A">
      <w:pPr>
        <w:pStyle w:val="CETBodytext"/>
        <w:rPr>
          <w:lang w:val="en-GB"/>
        </w:rPr>
      </w:pPr>
      <w:r w:rsidRPr="00294995">
        <w:rPr>
          <w:lang w:val="en-GB"/>
        </w:rPr>
        <w:t>This t</w:t>
      </w:r>
      <w:r>
        <w:rPr>
          <w:lang w:val="en-GB"/>
        </w:rPr>
        <w:t>est was performed to measure how</w:t>
      </w:r>
      <w:r w:rsidRPr="00294995">
        <w:rPr>
          <w:lang w:val="en-GB"/>
        </w:rPr>
        <w:t xml:space="preserve"> adhesion </w:t>
      </w:r>
      <w:r>
        <w:rPr>
          <w:lang w:val="en-GB"/>
        </w:rPr>
        <w:t>of</w:t>
      </w:r>
      <w:r w:rsidRPr="00294995">
        <w:rPr>
          <w:lang w:val="en-GB"/>
        </w:rPr>
        <w:t xml:space="preserve"> each </w:t>
      </w:r>
      <w:r>
        <w:rPr>
          <w:lang w:val="en-GB"/>
        </w:rPr>
        <w:t xml:space="preserve">coating </w:t>
      </w:r>
      <w:r w:rsidRPr="00294995">
        <w:rPr>
          <w:lang w:val="en-GB"/>
        </w:rPr>
        <w:t xml:space="preserve">type can </w:t>
      </w:r>
      <w:r>
        <w:rPr>
          <w:lang w:val="en-GB"/>
        </w:rPr>
        <w:t>affect</w:t>
      </w:r>
      <w:r w:rsidRPr="00294995">
        <w:rPr>
          <w:lang w:val="en-GB"/>
        </w:rPr>
        <w:t xml:space="preserve"> the snacks </w:t>
      </w:r>
      <w:r>
        <w:rPr>
          <w:lang w:val="en-GB"/>
        </w:rPr>
        <w:t>quality during mixing in the flavouring step. R</w:t>
      </w:r>
      <w:r w:rsidRPr="00294995">
        <w:rPr>
          <w:lang w:val="en-GB"/>
        </w:rPr>
        <w:t>andom</w:t>
      </w:r>
      <w:r>
        <w:rPr>
          <w:lang w:val="en-GB"/>
        </w:rPr>
        <w:t>ized samples</w:t>
      </w:r>
      <w:r w:rsidRPr="00294995">
        <w:rPr>
          <w:lang w:val="en-GB"/>
        </w:rPr>
        <w:t xml:space="preserve"> </w:t>
      </w:r>
      <w:r>
        <w:rPr>
          <w:lang w:val="en-GB"/>
        </w:rPr>
        <w:t xml:space="preserve">of </w:t>
      </w:r>
      <w:r w:rsidR="000F7292">
        <w:rPr>
          <w:lang w:val="en-GB"/>
        </w:rPr>
        <w:t>100</w:t>
      </w:r>
      <w:r w:rsidR="00BD798D">
        <w:rPr>
          <w:lang w:val="en-GB"/>
        </w:rPr>
        <w:t xml:space="preserve"> </w:t>
      </w:r>
      <w:r w:rsidR="000F7292">
        <w:rPr>
          <w:lang w:val="en-GB"/>
        </w:rPr>
        <w:t>g</w:t>
      </w:r>
      <w:r w:rsidRPr="00294995">
        <w:rPr>
          <w:lang w:val="en-GB"/>
        </w:rPr>
        <w:t xml:space="preserve"> snack </w:t>
      </w:r>
      <w:r>
        <w:rPr>
          <w:lang w:val="en-GB"/>
        </w:rPr>
        <w:t xml:space="preserve">were weighted </w:t>
      </w:r>
      <w:r w:rsidRPr="00294995">
        <w:rPr>
          <w:lang w:val="en-GB"/>
        </w:rPr>
        <w:t xml:space="preserve">after </w:t>
      </w:r>
      <w:r w:rsidR="000F7292">
        <w:rPr>
          <w:lang w:val="en-GB"/>
        </w:rPr>
        <w:t>flavouring</w:t>
      </w:r>
      <w:r w:rsidRPr="00294995">
        <w:rPr>
          <w:lang w:val="en-GB"/>
        </w:rPr>
        <w:t xml:space="preserve"> and drying, and </w:t>
      </w:r>
      <w:r w:rsidR="000F7292">
        <w:rPr>
          <w:lang w:val="en-GB"/>
        </w:rPr>
        <w:t xml:space="preserve">the </w:t>
      </w:r>
      <w:r w:rsidRPr="00294995">
        <w:rPr>
          <w:lang w:val="en-GB"/>
        </w:rPr>
        <w:t>formation of agglomerates (lumps)</w:t>
      </w:r>
      <w:r w:rsidR="000F7292">
        <w:rPr>
          <w:lang w:val="en-GB"/>
        </w:rPr>
        <w:t xml:space="preserve"> was counted</w:t>
      </w:r>
      <w:r w:rsidRPr="00294995">
        <w:rPr>
          <w:lang w:val="en-GB"/>
        </w:rPr>
        <w:t xml:space="preserve"> for each type of cover used. A higher counting of </w:t>
      </w:r>
      <w:r w:rsidR="000F7292">
        <w:rPr>
          <w:lang w:val="en-GB"/>
        </w:rPr>
        <w:t>agglomerates i</w:t>
      </w:r>
      <w:r w:rsidR="000F7292" w:rsidRPr="000F7292">
        <w:rPr>
          <w:lang w:val="en-GB"/>
        </w:rPr>
        <w:t xml:space="preserve">ndicates that the </w:t>
      </w:r>
      <w:r w:rsidR="000F7292">
        <w:rPr>
          <w:lang w:val="en-GB"/>
        </w:rPr>
        <w:t xml:space="preserve">coating adhesion </w:t>
      </w:r>
      <w:r w:rsidR="000F7292" w:rsidRPr="000F7292">
        <w:rPr>
          <w:lang w:val="en-GB"/>
        </w:rPr>
        <w:t xml:space="preserve">in relation to the snacks is </w:t>
      </w:r>
      <w:r w:rsidR="000F7292">
        <w:rPr>
          <w:lang w:val="en-GB"/>
        </w:rPr>
        <w:t>high</w:t>
      </w:r>
      <w:r w:rsidR="000F7292" w:rsidRPr="000F7292">
        <w:rPr>
          <w:lang w:val="en-GB"/>
        </w:rPr>
        <w:t xml:space="preserve"> and may </w:t>
      </w:r>
      <w:r w:rsidR="000F7292">
        <w:rPr>
          <w:lang w:val="en-GB"/>
        </w:rPr>
        <w:t>affect</w:t>
      </w:r>
      <w:r w:rsidR="000F7292" w:rsidRPr="000F7292">
        <w:rPr>
          <w:lang w:val="en-GB"/>
        </w:rPr>
        <w:t xml:space="preserve"> the </w:t>
      </w:r>
      <w:r w:rsidR="000F7292">
        <w:rPr>
          <w:lang w:val="en-GB"/>
        </w:rPr>
        <w:t xml:space="preserve">product </w:t>
      </w:r>
      <w:r w:rsidR="000F7292" w:rsidRPr="000F7292">
        <w:rPr>
          <w:lang w:val="en-GB"/>
        </w:rPr>
        <w:t xml:space="preserve">presentation </w:t>
      </w:r>
      <w:r w:rsidR="000F7292">
        <w:rPr>
          <w:lang w:val="en-GB"/>
        </w:rPr>
        <w:t>quality.</w:t>
      </w:r>
    </w:p>
    <w:p w14:paraId="2F6D9842" w14:textId="2E73D997" w:rsidR="000F7292" w:rsidRPr="009D1714" w:rsidRDefault="000F7292" w:rsidP="0005163B">
      <w:pPr>
        <w:pStyle w:val="CETBodytext"/>
        <w:rPr>
          <w:lang w:val="en-GB"/>
        </w:rPr>
      </w:pPr>
    </w:p>
    <w:p w14:paraId="108FE364" w14:textId="77777777" w:rsidR="000F7292" w:rsidRPr="000F7292" w:rsidRDefault="000F7292" w:rsidP="000F7292">
      <w:pPr>
        <w:pStyle w:val="CETBodytext"/>
        <w:rPr>
          <w:lang w:val="en-GB"/>
        </w:rPr>
      </w:pPr>
      <w:r w:rsidRPr="000F7292">
        <w:rPr>
          <w:lang w:val="en-GB"/>
        </w:rPr>
        <w:t>Hardness analysis</w:t>
      </w:r>
    </w:p>
    <w:p w14:paraId="5D5D0BA7" w14:textId="64540A13" w:rsidR="000F7292" w:rsidRPr="000F7292" w:rsidRDefault="000F7292" w:rsidP="000F7292">
      <w:pPr>
        <w:pStyle w:val="CETBodytext"/>
        <w:rPr>
          <w:lang w:val="en-GB"/>
        </w:rPr>
      </w:pPr>
      <w:r>
        <w:rPr>
          <w:lang w:val="en-GB"/>
        </w:rPr>
        <w:t>I</w:t>
      </w:r>
      <w:r w:rsidRPr="000F7292">
        <w:rPr>
          <w:lang w:val="en-GB"/>
        </w:rPr>
        <w:t xml:space="preserve">nstrumental hardness </w:t>
      </w:r>
      <w:r>
        <w:rPr>
          <w:lang w:val="en-GB"/>
        </w:rPr>
        <w:t>analyse</w:t>
      </w:r>
      <w:r w:rsidR="00580957">
        <w:rPr>
          <w:lang w:val="en-GB"/>
        </w:rPr>
        <w:t>s</w:t>
      </w:r>
      <w:r>
        <w:rPr>
          <w:lang w:val="en-GB"/>
        </w:rPr>
        <w:t xml:space="preserve"> </w:t>
      </w:r>
      <w:r w:rsidRPr="000F7292">
        <w:rPr>
          <w:lang w:val="en-GB"/>
        </w:rPr>
        <w:t>w</w:t>
      </w:r>
      <w:r w:rsidR="00A8137B">
        <w:rPr>
          <w:lang w:val="en-GB"/>
        </w:rPr>
        <w:t>ere</w:t>
      </w:r>
      <w:r w:rsidRPr="000F7292">
        <w:rPr>
          <w:lang w:val="en-GB"/>
        </w:rPr>
        <w:t xml:space="preserve"> performed in the Texture Analyzer TAXT2 Plus (</w:t>
      </w:r>
      <w:r>
        <w:rPr>
          <w:lang w:val="en-GB"/>
        </w:rPr>
        <w:t xml:space="preserve">Stable Micro Systems, England) </w:t>
      </w:r>
      <w:r w:rsidRPr="000F7292">
        <w:rPr>
          <w:lang w:val="en-GB"/>
        </w:rPr>
        <w:t>with DISCHSEN et al. (2013) and ZANQUI et al. (2014)</w:t>
      </w:r>
      <w:r>
        <w:rPr>
          <w:lang w:val="en-GB"/>
        </w:rPr>
        <w:t xml:space="preserve"> parameters. S</w:t>
      </w:r>
      <w:r w:rsidRPr="000F7292">
        <w:rPr>
          <w:lang w:val="en-GB"/>
        </w:rPr>
        <w:t>amples were placed horizontally on the platform</w:t>
      </w:r>
      <w:r w:rsidR="003D32A4">
        <w:rPr>
          <w:lang w:val="en-GB"/>
        </w:rPr>
        <w:t>,</w:t>
      </w:r>
      <w:r w:rsidRPr="000F7292">
        <w:rPr>
          <w:lang w:val="en-GB"/>
        </w:rPr>
        <w:t xml:space="preserve"> and the Warner </w:t>
      </w:r>
      <w:proofErr w:type="spellStart"/>
      <w:r w:rsidRPr="000F7292">
        <w:rPr>
          <w:lang w:val="en-GB"/>
        </w:rPr>
        <w:t>Bratzler</w:t>
      </w:r>
      <w:proofErr w:type="spellEnd"/>
      <w:r w:rsidRPr="000F7292">
        <w:rPr>
          <w:lang w:val="en-GB"/>
        </w:rPr>
        <w:t xml:space="preserve"> probe of 12 × 7 cm (HDP / BS) was</w:t>
      </w:r>
      <w:r>
        <w:rPr>
          <w:lang w:val="en-GB"/>
        </w:rPr>
        <w:t xml:space="preserve"> used, with a maximum load of 5kg, breaking</w:t>
      </w:r>
      <w:r w:rsidRPr="000F7292">
        <w:rPr>
          <w:lang w:val="en-GB"/>
        </w:rPr>
        <w:t xml:space="preserve"> the</w:t>
      </w:r>
      <w:r w:rsidR="00CF6B23">
        <w:rPr>
          <w:lang w:val="en-GB"/>
        </w:rPr>
        <w:t xml:space="preserve"> sample like a guillotine. R</w:t>
      </w:r>
      <w:r w:rsidRPr="000F7292">
        <w:rPr>
          <w:lang w:val="en-GB"/>
        </w:rPr>
        <w:t>esults were expressed in kilograms and represent the arithmetic mean of 13 determinations of burst strength for sample</w:t>
      </w:r>
      <w:r w:rsidR="00CF6B23">
        <w:rPr>
          <w:lang w:val="en-GB"/>
        </w:rPr>
        <w:t>s from the same treatment. P</w:t>
      </w:r>
      <w:r w:rsidRPr="000F7292">
        <w:rPr>
          <w:lang w:val="en-GB"/>
        </w:rPr>
        <w:t>arameters used in the tests were:</w:t>
      </w:r>
      <w:r w:rsidR="00CF6B23">
        <w:rPr>
          <w:lang w:val="en-GB"/>
        </w:rPr>
        <w:t xml:space="preserve"> (</w:t>
      </w:r>
      <w:proofErr w:type="spellStart"/>
      <w:r w:rsidR="00CF6B23">
        <w:rPr>
          <w:lang w:val="en-GB"/>
        </w:rPr>
        <w:t>i</w:t>
      </w:r>
      <w:proofErr w:type="spellEnd"/>
      <w:r w:rsidR="00CF6B23">
        <w:rPr>
          <w:lang w:val="en-GB"/>
        </w:rPr>
        <w:t>) pre-test speed = 1.5 mm</w:t>
      </w:r>
      <w:r w:rsidRPr="000F7292">
        <w:rPr>
          <w:lang w:val="en-GB"/>
        </w:rPr>
        <w:t>/</w:t>
      </w:r>
      <w:r w:rsidR="00CF6B23">
        <w:rPr>
          <w:lang w:val="en-GB"/>
        </w:rPr>
        <w:t>s; (ii) test speed = 2.0</w:t>
      </w:r>
      <w:r w:rsidR="00BD798D">
        <w:rPr>
          <w:lang w:val="en-GB"/>
        </w:rPr>
        <w:t xml:space="preserve"> </w:t>
      </w:r>
      <w:r w:rsidRPr="000F7292">
        <w:rPr>
          <w:lang w:val="en-GB"/>
        </w:rPr>
        <w:t>mm / s; (ii</w:t>
      </w:r>
      <w:r w:rsidR="00CF6B23">
        <w:rPr>
          <w:lang w:val="en-GB"/>
        </w:rPr>
        <w:t>i) post-test speed = 10.0</w:t>
      </w:r>
      <w:r w:rsidR="00BD798D">
        <w:rPr>
          <w:lang w:val="en-GB"/>
        </w:rPr>
        <w:t xml:space="preserve"> </w:t>
      </w:r>
      <w:r w:rsidRPr="000F7292">
        <w:rPr>
          <w:lang w:val="en-GB"/>
        </w:rPr>
        <w:t xml:space="preserve">mm / s; (iv) force = 0.20 N; (v) count cycle = 5 s; (vi) </w:t>
      </w:r>
      <w:r w:rsidR="00CF6B23">
        <w:rPr>
          <w:lang w:val="en-GB"/>
        </w:rPr>
        <w:t>a</w:t>
      </w:r>
      <w:r w:rsidR="00CF6B23" w:rsidRPr="000F7292">
        <w:rPr>
          <w:lang w:val="en-GB"/>
        </w:rPr>
        <w:t xml:space="preserve">pparatus </w:t>
      </w:r>
      <w:r w:rsidRPr="000F7292">
        <w:rPr>
          <w:lang w:val="en-GB"/>
        </w:rPr>
        <w:t>sensitivity a</w:t>
      </w:r>
      <w:r w:rsidR="00CF6B23">
        <w:rPr>
          <w:lang w:val="en-GB"/>
        </w:rPr>
        <w:t>= 15</w:t>
      </w:r>
      <w:r w:rsidR="00BD798D">
        <w:rPr>
          <w:lang w:val="en-GB"/>
        </w:rPr>
        <w:t xml:space="preserve"> </w:t>
      </w:r>
      <w:r w:rsidRPr="000F7292">
        <w:rPr>
          <w:lang w:val="en-GB"/>
        </w:rPr>
        <w:t>g, with force measurement in compression.</w:t>
      </w:r>
    </w:p>
    <w:p w14:paraId="6F865D54" w14:textId="1B4E43CA" w:rsidR="00B447FC" w:rsidRPr="00896F11" w:rsidRDefault="00B447FC" w:rsidP="004D71A9">
      <w:pPr>
        <w:pStyle w:val="CETBodytext"/>
        <w:rPr>
          <w:lang w:val="en-GB"/>
        </w:rPr>
      </w:pPr>
    </w:p>
    <w:p w14:paraId="624E9C80" w14:textId="24343ED9" w:rsidR="00B447FC" w:rsidRPr="00B447FC" w:rsidRDefault="00B447FC" w:rsidP="00B447FC">
      <w:pPr>
        <w:pStyle w:val="CETBodytext"/>
        <w:rPr>
          <w:lang w:val="en-GB"/>
        </w:rPr>
      </w:pPr>
      <w:r w:rsidRPr="00B447FC">
        <w:rPr>
          <w:lang w:val="en-GB"/>
        </w:rPr>
        <w:t>Sensory evaluation</w:t>
      </w:r>
    </w:p>
    <w:p w14:paraId="637023BA" w14:textId="0713630E" w:rsidR="00B447FC" w:rsidRDefault="00B447FC" w:rsidP="00B447FC">
      <w:pPr>
        <w:pStyle w:val="CETBodytext"/>
        <w:rPr>
          <w:lang w:val="en-GB"/>
        </w:rPr>
      </w:pPr>
      <w:r w:rsidRPr="00B447FC">
        <w:rPr>
          <w:lang w:val="en-GB"/>
        </w:rPr>
        <w:t xml:space="preserve">Sensorial </w:t>
      </w:r>
      <w:r>
        <w:rPr>
          <w:lang w:val="en-GB"/>
        </w:rPr>
        <w:t>evaluation,</w:t>
      </w:r>
      <w:r w:rsidRPr="00B447FC">
        <w:rPr>
          <w:lang w:val="en-GB"/>
        </w:rPr>
        <w:t xml:space="preserve"> described by MONTEIRO AND CESTARI (2013)</w:t>
      </w:r>
      <w:r>
        <w:rPr>
          <w:lang w:val="en-GB"/>
        </w:rPr>
        <w:t xml:space="preserve">, </w:t>
      </w:r>
      <w:r w:rsidRPr="00B447FC">
        <w:rPr>
          <w:lang w:val="en-GB"/>
        </w:rPr>
        <w:t xml:space="preserve">was performed in the Sensory Analysis </w:t>
      </w:r>
      <w:r>
        <w:rPr>
          <w:lang w:val="en-GB"/>
        </w:rPr>
        <w:t xml:space="preserve">Laboratory of </w:t>
      </w:r>
      <w:r w:rsidR="009D1714">
        <w:rPr>
          <w:lang w:val="en-GB"/>
        </w:rPr>
        <w:t xml:space="preserve">the </w:t>
      </w:r>
      <w:r w:rsidRPr="00B447FC">
        <w:rPr>
          <w:lang w:val="en-GB"/>
        </w:rPr>
        <w:t>Food Engineering</w:t>
      </w:r>
      <w:r>
        <w:rPr>
          <w:lang w:val="en-GB"/>
        </w:rPr>
        <w:t xml:space="preserve"> </w:t>
      </w:r>
      <w:r w:rsidRPr="00B447FC">
        <w:rPr>
          <w:lang w:val="en-GB"/>
        </w:rPr>
        <w:t xml:space="preserve">Department </w:t>
      </w:r>
      <w:r>
        <w:rPr>
          <w:lang w:val="en-GB"/>
        </w:rPr>
        <w:t xml:space="preserve">/ </w:t>
      </w:r>
      <w:r w:rsidRPr="00B447FC">
        <w:rPr>
          <w:lang w:val="en-GB"/>
        </w:rPr>
        <w:t xml:space="preserve">State University of </w:t>
      </w:r>
      <w:proofErr w:type="spellStart"/>
      <w:r w:rsidRPr="00B447FC">
        <w:rPr>
          <w:lang w:val="en-GB"/>
        </w:rPr>
        <w:t>Maringá</w:t>
      </w:r>
      <w:proofErr w:type="spellEnd"/>
      <w:r w:rsidRPr="00B447FC">
        <w:rPr>
          <w:lang w:val="en-GB"/>
        </w:rPr>
        <w:t xml:space="preserve">. The analysis was </w:t>
      </w:r>
      <w:r>
        <w:rPr>
          <w:lang w:val="en-GB"/>
        </w:rPr>
        <w:t>carried out</w:t>
      </w:r>
      <w:r w:rsidRPr="00B447FC">
        <w:rPr>
          <w:lang w:val="en-GB"/>
        </w:rPr>
        <w:t xml:space="preserve"> </w:t>
      </w:r>
      <w:r>
        <w:rPr>
          <w:lang w:val="en-GB"/>
        </w:rPr>
        <w:t xml:space="preserve">by </w:t>
      </w:r>
      <w:r>
        <w:rPr>
          <w:lang w:val="en-GB"/>
        </w:rPr>
        <w:lastRenderedPageBreak/>
        <w:t xml:space="preserve">100 untrained panellists using </w:t>
      </w:r>
      <w:r w:rsidRPr="00B447FC">
        <w:rPr>
          <w:lang w:val="en-GB"/>
        </w:rPr>
        <w:t xml:space="preserve">9 points hedonic scale </w:t>
      </w:r>
      <w:r>
        <w:rPr>
          <w:lang w:val="en-GB"/>
        </w:rPr>
        <w:t>(1 point - H</w:t>
      </w:r>
      <w:r w:rsidRPr="00B447FC">
        <w:rPr>
          <w:lang w:val="en-GB"/>
        </w:rPr>
        <w:t xml:space="preserve">ighly </w:t>
      </w:r>
      <w:r>
        <w:rPr>
          <w:lang w:val="en-GB"/>
        </w:rPr>
        <w:t>disliked</w:t>
      </w:r>
      <w:r w:rsidRPr="00B447FC">
        <w:rPr>
          <w:lang w:val="en-GB"/>
        </w:rPr>
        <w:t xml:space="preserve"> </w:t>
      </w:r>
      <w:r>
        <w:rPr>
          <w:lang w:val="en-GB"/>
        </w:rPr>
        <w:t>to</w:t>
      </w:r>
      <w:r w:rsidRPr="00B447FC">
        <w:rPr>
          <w:lang w:val="en-GB"/>
        </w:rPr>
        <w:t xml:space="preserve"> 9 points </w:t>
      </w:r>
      <w:r>
        <w:rPr>
          <w:lang w:val="en-GB"/>
        </w:rPr>
        <w:t>–</w:t>
      </w:r>
      <w:r w:rsidRPr="00B447FC">
        <w:rPr>
          <w:lang w:val="en-GB"/>
        </w:rPr>
        <w:t xml:space="preserve"> </w:t>
      </w:r>
      <w:r>
        <w:rPr>
          <w:lang w:val="en-GB"/>
        </w:rPr>
        <w:t>Highly liked</w:t>
      </w:r>
      <w:r w:rsidR="007F7356">
        <w:rPr>
          <w:lang w:val="en-GB"/>
        </w:rPr>
        <w:t xml:space="preserve">) and the </w:t>
      </w:r>
      <w:r w:rsidRPr="00B447FC">
        <w:rPr>
          <w:lang w:val="en-GB"/>
        </w:rPr>
        <w:t>product general a</w:t>
      </w:r>
      <w:r>
        <w:rPr>
          <w:lang w:val="en-GB"/>
        </w:rPr>
        <w:t>cceptance characteristics</w:t>
      </w:r>
      <w:r w:rsidR="007F7356">
        <w:rPr>
          <w:lang w:val="en-GB"/>
        </w:rPr>
        <w:t xml:space="preserve"> w</w:t>
      </w:r>
      <w:r w:rsidR="00580957">
        <w:rPr>
          <w:lang w:val="en-GB"/>
        </w:rPr>
        <w:t>ere</w:t>
      </w:r>
      <w:r w:rsidR="007F7356">
        <w:rPr>
          <w:lang w:val="en-GB"/>
        </w:rPr>
        <w:t xml:space="preserve"> evaluated</w:t>
      </w:r>
      <w:r w:rsidRPr="00B447FC">
        <w:rPr>
          <w:lang w:val="en-GB"/>
        </w:rPr>
        <w:t xml:space="preserve">. </w:t>
      </w:r>
      <w:r w:rsidR="007F7356">
        <w:rPr>
          <w:lang w:val="en-GB"/>
        </w:rPr>
        <w:t xml:space="preserve">For </w:t>
      </w:r>
      <w:r w:rsidRPr="00B447FC">
        <w:rPr>
          <w:lang w:val="en-GB"/>
        </w:rPr>
        <w:t>this test, five units of each sample were presented in disposable cups, duly identified with random three-digit numbers, accompanied by a glass of water. In the test boot</w:t>
      </w:r>
      <w:r w:rsidR="007F7356">
        <w:rPr>
          <w:lang w:val="en-GB"/>
        </w:rPr>
        <w:t>hs</w:t>
      </w:r>
      <w:r w:rsidR="003D32A4">
        <w:rPr>
          <w:lang w:val="en-GB"/>
        </w:rPr>
        <w:t>,</w:t>
      </w:r>
      <w:r w:rsidR="007F7356">
        <w:rPr>
          <w:lang w:val="en-GB"/>
        </w:rPr>
        <w:t xml:space="preserve"> a white light was used. S</w:t>
      </w:r>
      <w:r w:rsidRPr="00B447FC">
        <w:rPr>
          <w:lang w:val="en-GB"/>
        </w:rPr>
        <w:t xml:space="preserve">ensory tests were approved by the Research Ethics Committee of the State University of </w:t>
      </w:r>
      <w:proofErr w:type="spellStart"/>
      <w:r w:rsidRPr="00B447FC">
        <w:rPr>
          <w:lang w:val="en-GB"/>
        </w:rPr>
        <w:t>Maringá</w:t>
      </w:r>
      <w:proofErr w:type="spellEnd"/>
      <w:r w:rsidRPr="00B447FC">
        <w:rPr>
          <w:lang w:val="en-GB"/>
        </w:rPr>
        <w:t xml:space="preserve"> (CAAE 18718013.3.0000.0104).</w:t>
      </w:r>
    </w:p>
    <w:p w14:paraId="3EFD7076" w14:textId="2A386371" w:rsidR="00AC45FD" w:rsidRPr="00896F11" w:rsidRDefault="00AC45FD" w:rsidP="004D71A9">
      <w:pPr>
        <w:pStyle w:val="CETBodytext"/>
        <w:rPr>
          <w:lang w:val="en-GB"/>
        </w:rPr>
      </w:pPr>
    </w:p>
    <w:p w14:paraId="7295DBD4" w14:textId="77777777" w:rsidR="007F7356" w:rsidRPr="007F7356" w:rsidRDefault="007F7356" w:rsidP="007F7356">
      <w:pPr>
        <w:pStyle w:val="CETBodytext"/>
        <w:rPr>
          <w:lang w:val="en-GB"/>
        </w:rPr>
      </w:pPr>
      <w:r w:rsidRPr="007F7356">
        <w:rPr>
          <w:lang w:val="en-GB"/>
        </w:rPr>
        <w:t>Statistical analysis</w:t>
      </w:r>
    </w:p>
    <w:p w14:paraId="504BB45A" w14:textId="342B4ED0" w:rsidR="007F7356" w:rsidRPr="007F7356" w:rsidRDefault="007F7356" w:rsidP="007F7356">
      <w:pPr>
        <w:pStyle w:val="CETBodytext"/>
        <w:rPr>
          <w:lang w:val="en-GB"/>
        </w:rPr>
      </w:pPr>
      <w:r w:rsidRPr="007F7356">
        <w:rPr>
          <w:lang w:val="en-GB"/>
        </w:rPr>
        <w:t xml:space="preserve">Collected data were statistically evaluated </w:t>
      </w:r>
      <w:r>
        <w:rPr>
          <w:lang w:val="en-GB"/>
        </w:rPr>
        <w:t>by</w:t>
      </w:r>
      <w:r w:rsidRPr="007F7356">
        <w:rPr>
          <w:lang w:val="en-GB"/>
        </w:rPr>
        <w:t xml:space="preserve"> the analysis of variance (ANOVA), with</w:t>
      </w:r>
      <w:r>
        <w:rPr>
          <w:lang w:val="en-GB"/>
        </w:rPr>
        <w:t xml:space="preserve"> further </w:t>
      </w:r>
      <w:r w:rsidRPr="007F7356">
        <w:rPr>
          <w:lang w:val="en-GB"/>
        </w:rPr>
        <w:t xml:space="preserve">Tukey test at 5% </w:t>
      </w:r>
      <w:r>
        <w:rPr>
          <w:lang w:val="en-GB"/>
        </w:rPr>
        <w:t xml:space="preserve">of </w:t>
      </w:r>
      <w:r w:rsidRPr="007F7356">
        <w:rPr>
          <w:lang w:val="en-GB"/>
        </w:rPr>
        <w:t xml:space="preserve">probability using the </w:t>
      </w:r>
      <w:proofErr w:type="spellStart"/>
      <w:r w:rsidRPr="007F7356">
        <w:rPr>
          <w:lang w:val="en-GB"/>
        </w:rPr>
        <w:t>Statistica</w:t>
      </w:r>
      <w:proofErr w:type="spellEnd"/>
      <w:r w:rsidRPr="007F7356">
        <w:rPr>
          <w:lang w:val="en-GB"/>
        </w:rPr>
        <w:t xml:space="preserve"> 7.0 program (STATSOFT, 2004).</w:t>
      </w:r>
    </w:p>
    <w:p w14:paraId="1F8C4A6D" w14:textId="29E8C701" w:rsidR="004D71A9" w:rsidRPr="00DA1F6B" w:rsidRDefault="00B922F4" w:rsidP="00DA1F6B">
      <w:pPr>
        <w:pStyle w:val="CETHeading1"/>
        <w:tabs>
          <w:tab w:val="num" w:pos="360"/>
        </w:tabs>
        <w:rPr>
          <w:color w:val="000000" w:themeColor="text1"/>
          <w:lang w:val="en-GB"/>
        </w:rPr>
      </w:pPr>
      <w:r>
        <w:rPr>
          <w:color w:val="000000" w:themeColor="text1"/>
          <w:lang w:val="en-GB"/>
        </w:rPr>
        <w:t>Results and discussion</w:t>
      </w:r>
    </w:p>
    <w:p w14:paraId="66A71A82" w14:textId="77777777" w:rsidR="00FF2F50" w:rsidRDefault="004D71A9" w:rsidP="004D71A9">
      <w:pPr>
        <w:pStyle w:val="CETBodytext"/>
        <w:rPr>
          <w:lang w:val="pt-BR"/>
        </w:rPr>
      </w:pPr>
      <w:r w:rsidRPr="004D71A9">
        <w:rPr>
          <w:lang w:val="pt-BR"/>
        </w:rPr>
        <w:tab/>
      </w:r>
    </w:p>
    <w:p w14:paraId="73AFFF05" w14:textId="3EED0311" w:rsidR="00027C84" w:rsidRPr="00842B10" w:rsidRDefault="0096466E" w:rsidP="004D71A9">
      <w:pPr>
        <w:pStyle w:val="CETBodytext"/>
        <w:rPr>
          <w:lang w:val="en-GB"/>
        </w:rPr>
      </w:pPr>
      <w:r>
        <w:rPr>
          <w:lang w:val="en-GB"/>
        </w:rPr>
        <w:t>R</w:t>
      </w:r>
      <w:r w:rsidRPr="0096466E">
        <w:rPr>
          <w:lang w:val="en-GB"/>
        </w:rPr>
        <w:t xml:space="preserve">esults of moisture and lipids </w:t>
      </w:r>
      <w:r>
        <w:rPr>
          <w:lang w:val="en-GB"/>
        </w:rPr>
        <w:t xml:space="preserve">content </w:t>
      </w:r>
      <w:r w:rsidRPr="0096466E">
        <w:rPr>
          <w:lang w:val="en-GB"/>
        </w:rPr>
        <w:t xml:space="preserve">are presented </w:t>
      </w:r>
      <w:r w:rsidR="00027C84">
        <w:rPr>
          <w:lang w:val="en-GB"/>
        </w:rPr>
        <w:t>in</w:t>
      </w:r>
      <w:r w:rsidRPr="0096466E">
        <w:rPr>
          <w:lang w:val="en-GB"/>
        </w:rPr>
        <w:t xml:space="preserve"> Table 2. The addition of </w:t>
      </w:r>
      <w:r w:rsidR="00580957">
        <w:rPr>
          <w:lang w:val="en-GB"/>
        </w:rPr>
        <w:t xml:space="preserve">a </w:t>
      </w:r>
      <w:r>
        <w:rPr>
          <w:lang w:val="en-GB"/>
        </w:rPr>
        <w:t>coating</w:t>
      </w:r>
      <w:r w:rsidRPr="0096466E">
        <w:rPr>
          <w:lang w:val="en-GB"/>
        </w:rPr>
        <w:t xml:space="preserve"> to the snacks</w:t>
      </w:r>
      <w:r>
        <w:rPr>
          <w:lang w:val="en-GB"/>
        </w:rPr>
        <w:t xml:space="preserve"> surface </w:t>
      </w:r>
      <w:r w:rsidRPr="0096466E">
        <w:rPr>
          <w:lang w:val="en-GB"/>
        </w:rPr>
        <w:t>increase</w:t>
      </w:r>
      <w:r>
        <w:rPr>
          <w:lang w:val="en-GB"/>
        </w:rPr>
        <w:t>d</w:t>
      </w:r>
      <w:r w:rsidRPr="0096466E">
        <w:rPr>
          <w:lang w:val="en-GB"/>
        </w:rPr>
        <w:t xml:space="preserve"> the </w:t>
      </w:r>
      <w:r>
        <w:rPr>
          <w:lang w:val="en-GB"/>
        </w:rPr>
        <w:t xml:space="preserve">product </w:t>
      </w:r>
      <w:r w:rsidRPr="0096466E">
        <w:rPr>
          <w:lang w:val="en-GB"/>
        </w:rPr>
        <w:t xml:space="preserve">moisture content (p≤0.05). Vegetable oil (TC1) or waxy starch (T1) presented higher moisture content than products containing starch and guar gum mixtures (T2 and T3) or only guar gum (T5) (p≤0.05). </w:t>
      </w:r>
      <w:r w:rsidR="00373530">
        <w:rPr>
          <w:lang w:val="en-GB"/>
        </w:rPr>
        <w:t>W</w:t>
      </w:r>
      <w:r w:rsidRPr="0096466E">
        <w:rPr>
          <w:lang w:val="en-GB"/>
        </w:rPr>
        <w:t>ater was used as a me</w:t>
      </w:r>
      <w:r w:rsidR="00027C84">
        <w:rPr>
          <w:lang w:val="en-GB"/>
        </w:rPr>
        <w:t>an</w:t>
      </w:r>
      <w:r w:rsidRPr="0096466E">
        <w:rPr>
          <w:lang w:val="en-GB"/>
        </w:rPr>
        <w:t xml:space="preserve"> for </w:t>
      </w:r>
      <w:r w:rsidR="00027C84">
        <w:rPr>
          <w:lang w:val="en-GB"/>
        </w:rPr>
        <w:t xml:space="preserve">coating </w:t>
      </w:r>
      <w:r w:rsidRPr="0096466E">
        <w:rPr>
          <w:lang w:val="en-GB"/>
        </w:rPr>
        <w:t xml:space="preserve">preparation containing starch and guar gum (Table 1). </w:t>
      </w:r>
      <w:r w:rsidR="00373530">
        <w:rPr>
          <w:lang w:val="en-GB"/>
        </w:rPr>
        <w:t>Also</w:t>
      </w:r>
      <w:r w:rsidRPr="0096466E">
        <w:rPr>
          <w:lang w:val="en-GB"/>
        </w:rPr>
        <w:t>, the increase in starch concentration</w:t>
      </w:r>
      <w:r w:rsidR="00027C84">
        <w:rPr>
          <w:lang w:val="en-GB"/>
        </w:rPr>
        <w:t xml:space="preserve"> </w:t>
      </w:r>
      <w:r w:rsidRPr="0096466E">
        <w:rPr>
          <w:lang w:val="en-GB"/>
        </w:rPr>
        <w:t>increases the extent of gelatini</w:t>
      </w:r>
      <w:r w:rsidR="00373530">
        <w:rPr>
          <w:lang w:val="en-GB"/>
        </w:rPr>
        <w:t>s</w:t>
      </w:r>
      <w:r w:rsidRPr="0096466E">
        <w:rPr>
          <w:lang w:val="en-GB"/>
        </w:rPr>
        <w:t>ation during extrusion and, consequently, more water is absorbed (NISSAR et al., 2017).</w:t>
      </w:r>
    </w:p>
    <w:p w14:paraId="0B24E586" w14:textId="1983FC04" w:rsidR="00027C84" w:rsidRPr="00027C84" w:rsidRDefault="00027C84" w:rsidP="004D71A9">
      <w:pPr>
        <w:pStyle w:val="CETBodytext"/>
        <w:rPr>
          <w:lang w:val="en-GB"/>
        </w:rPr>
      </w:pPr>
      <w:r>
        <w:rPr>
          <w:lang w:val="en-GB"/>
        </w:rPr>
        <w:t>A</w:t>
      </w:r>
      <w:r w:rsidRPr="00027C84">
        <w:rPr>
          <w:lang w:val="en-GB"/>
        </w:rPr>
        <w:t>n increase in moisture content (p≤0.05) (Table 2)</w:t>
      </w:r>
      <w:r>
        <w:rPr>
          <w:lang w:val="en-GB"/>
        </w:rPr>
        <w:t xml:space="preserve"> </w:t>
      </w:r>
      <w:r w:rsidR="00842B10">
        <w:rPr>
          <w:lang w:val="en-GB"/>
        </w:rPr>
        <w:t>was observed d</w:t>
      </w:r>
      <w:r w:rsidRPr="00027C84">
        <w:rPr>
          <w:lang w:val="en-GB"/>
        </w:rPr>
        <w:t xml:space="preserve">uring the </w:t>
      </w:r>
      <w:r w:rsidR="00842B10" w:rsidRPr="00027C84">
        <w:rPr>
          <w:lang w:val="en-GB"/>
        </w:rPr>
        <w:t>snack’s</w:t>
      </w:r>
      <w:r w:rsidRPr="00027C84">
        <w:rPr>
          <w:lang w:val="en-GB"/>
        </w:rPr>
        <w:t xml:space="preserve"> storage. </w:t>
      </w:r>
      <w:r w:rsidR="00842B10">
        <w:rPr>
          <w:lang w:val="en-GB"/>
        </w:rPr>
        <w:t>This fact</w:t>
      </w:r>
      <w:r w:rsidRPr="00027C84">
        <w:rPr>
          <w:lang w:val="en-GB"/>
        </w:rPr>
        <w:t xml:space="preserve"> is related to the hygroscopic nature of the extrudates and the water vapo</w:t>
      </w:r>
      <w:r w:rsidR="006B0AEF">
        <w:rPr>
          <w:lang w:val="en-GB"/>
        </w:rPr>
        <w:t>u</w:t>
      </w:r>
      <w:r w:rsidRPr="00027C84">
        <w:rPr>
          <w:lang w:val="en-GB"/>
        </w:rPr>
        <w:t xml:space="preserve">r permeability of the polypropylene package (KAUR et al., 2018). MONTEIRO et al. (2016) </w:t>
      </w:r>
      <w:r w:rsidR="00842B10" w:rsidRPr="00842B10">
        <w:rPr>
          <w:lang w:val="en-GB"/>
        </w:rPr>
        <w:t xml:space="preserve">also obtained moisture increase during the 28 days of extruded corn snacks storage </w:t>
      </w:r>
      <w:r w:rsidR="00842B10">
        <w:rPr>
          <w:lang w:val="en-GB"/>
        </w:rPr>
        <w:t>studying</w:t>
      </w:r>
      <w:r w:rsidR="00842B10" w:rsidRPr="00842B10">
        <w:rPr>
          <w:lang w:val="en-GB"/>
        </w:rPr>
        <w:t xml:space="preserve"> treatments without </w:t>
      </w:r>
      <w:r w:rsidR="00842B10">
        <w:rPr>
          <w:lang w:val="en-GB"/>
        </w:rPr>
        <w:t>coating</w:t>
      </w:r>
      <w:r w:rsidR="00842B10" w:rsidRPr="00842B10">
        <w:rPr>
          <w:lang w:val="en-GB"/>
        </w:rPr>
        <w:t xml:space="preserve">, 15% vegetable oil </w:t>
      </w:r>
      <w:r w:rsidR="00842B10">
        <w:rPr>
          <w:lang w:val="en-GB"/>
        </w:rPr>
        <w:t xml:space="preserve">coating </w:t>
      </w:r>
      <w:r w:rsidR="00842B10" w:rsidRPr="00842B10">
        <w:rPr>
          <w:lang w:val="en-GB"/>
        </w:rPr>
        <w:t>and 4% concentrated corn starch co</w:t>
      </w:r>
      <w:r w:rsidR="00842B10">
        <w:rPr>
          <w:lang w:val="en-GB"/>
        </w:rPr>
        <w:t>ating</w:t>
      </w:r>
      <w:r w:rsidR="00842B10" w:rsidRPr="00842B10">
        <w:rPr>
          <w:lang w:val="en-GB"/>
        </w:rPr>
        <w:t>.</w:t>
      </w:r>
    </w:p>
    <w:p w14:paraId="23AAC899" w14:textId="2745FB06" w:rsidR="006C3D9B" w:rsidRPr="006C3D9B" w:rsidRDefault="006C3D9B" w:rsidP="004D71A9">
      <w:pPr>
        <w:pStyle w:val="CETBodytext"/>
        <w:rPr>
          <w:lang w:val="en-GB"/>
        </w:rPr>
      </w:pPr>
      <w:r w:rsidRPr="006C3D9B">
        <w:rPr>
          <w:lang w:val="en-GB"/>
        </w:rPr>
        <w:t xml:space="preserve">Vegetable oil (TC1) coating </w:t>
      </w:r>
      <w:r w:rsidR="00373530">
        <w:rPr>
          <w:lang w:val="en-GB"/>
        </w:rPr>
        <w:t>increased</w:t>
      </w:r>
      <w:r w:rsidRPr="006C3D9B">
        <w:rPr>
          <w:lang w:val="en-GB"/>
        </w:rPr>
        <w:t xml:space="preserve"> lipid content of 13.5% when compared to the </w:t>
      </w:r>
      <w:r>
        <w:rPr>
          <w:lang w:val="en-GB"/>
        </w:rPr>
        <w:t>uncoated</w:t>
      </w:r>
      <w:r w:rsidRPr="006C3D9B">
        <w:rPr>
          <w:lang w:val="en-GB"/>
        </w:rPr>
        <w:t xml:space="preserve"> product (TC0) (p≤0.05). </w:t>
      </w:r>
      <w:r>
        <w:rPr>
          <w:lang w:val="en-GB"/>
        </w:rPr>
        <w:t>P</w:t>
      </w:r>
      <w:r w:rsidRPr="006C3D9B">
        <w:rPr>
          <w:lang w:val="en-GB"/>
        </w:rPr>
        <w:t xml:space="preserve">roducts containing waxy starch and guar gum (T1-T5) presented 11 to 13% </w:t>
      </w:r>
      <w:r w:rsidR="00580957">
        <w:rPr>
          <w:lang w:val="en-GB"/>
        </w:rPr>
        <w:t>fewer</w:t>
      </w:r>
      <w:r w:rsidRPr="006C3D9B">
        <w:rPr>
          <w:lang w:val="en-GB"/>
        </w:rPr>
        <w:t xml:space="preserve"> lipids than the vegetable oil (TC1) product. The use of waxy starch and guar gum as a substitute for vegetable oil (T1-T5) resulted in a lipid content </w:t>
      </w:r>
      <w:r>
        <w:rPr>
          <w:lang w:val="en-GB"/>
        </w:rPr>
        <w:t>reduction</w:t>
      </w:r>
      <w:r w:rsidRPr="006C3D9B">
        <w:rPr>
          <w:lang w:val="en-GB"/>
        </w:rPr>
        <w:t xml:space="preserve"> when compared to the unco</w:t>
      </w:r>
      <w:r>
        <w:rPr>
          <w:lang w:val="en-GB"/>
        </w:rPr>
        <w:t>ated</w:t>
      </w:r>
      <w:r w:rsidRPr="006C3D9B">
        <w:rPr>
          <w:lang w:val="en-GB"/>
        </w:rPr>
        <w:t xml:space="preserve"> product (TC0, p≤ 0.05). The decrease in lipid content would be associated </w:t>
      </w:r>
      <w:r w:rsidR="00580957">
        <w:rPr>
          <w:lang w:val="en-GB"/>
        </w:rPr>
        <w:t>with</w:t>
      </w:r>
      <w:r w:rsidRPr="006C3D9B">
        <w:rPr>
          <w:lang w:val="en-GB"/>
        </w:rPr>
        <w:t xml:space="preserve"> the increase in moisture content (PRIMO-MARTIN et al., 2010).</w:t>
      </w:r>
    </w:p>
    <w:p w14:paraId="6D717B0C" w14:textId="72D223DA" w:rsidR="00A314EB" w:rsidRPr="004468EF" w:rsidRDefault="004468EF" w:rsidP="008A4308">
      <w:pPr>
        <w:pStyle w:val="CETTabletitle"/>
      </w:pPr>
      <w:r w:rsidRPr="004468EF">
        <w:t>Table 2. Moisture and lipid contents of corn snacks during storage at room temperature</w:t>
      </w:r>
    </w:p>
    <w:tbl>
      <w:tblPr>
        <w:tblW w:w="9300" w:type="dxa"/>
        <w:tblCellMar>
          <w:left w:w="70" w:type="dxa"/>
          <w:right w:w="70" w:type="dxa"/>
        </w:tblCellMar>
        <w:tblLook w:val="04A0" w:firstRow="1" w:lastRow="0" w:firstColumn="1" w:lastColumn="0" w:noHBand="0" w:noVBand="1"/>
      </w:tblPr>
      <w:tblGrid>
        <w:gridCol w:w="1860"/>
        <w:gridCol w:w="1860"/>
        <w:gridCol w:w="1860"/>
        <w:gridCol w:w="1860"/>
        <w:gridCol w:w="1860"/>
      </w:tblGrid>
      <w:tr w:rsidR="00A314EB" w:rsidRPr="00A314EB" w14:paraId="1F7F69F5" w14:textId="77777777" w:rsidTr="00BF0537">
        <w:tc>
          <w:tcPr>
            <w:tcW w:w="1860" w:type="dxa"/>
            <w:tcBorders>
              <w:top w:val="single" w:sz="12" w:space="0" w:color="4F6228" w:themeColor="accent3" w:themeShade="80"/>
              <w:left w:val="nil"/>
              <w:bottom w:val="single" w:sz="8" w:space="0" w:color="4F6228" w:themeColor="accent3" w:themeShade="80"/>
              <w:right w:val="nil"/>
            </w:tcBorders>
            <w:shd w:val="clear" w:color="FFFFFF" w:fill="FFFFFF"/>
            <w:noWrap/>
            <w:vAlign w:val="bottom"/>
            <w:hideMark/>
          </w:tcPr>
          <w:p w14:paraId="4474F369" w14:textId="2B5BF4AE" w:rsidR="00A314EB" w:rsidRPr="001B6400" w:rsidRDefault="00A314EB" w:rsidP="00BF0537">
            <w:pPr>
              <w:tabs>
                <w:tab w:val="clear" w:pos="7100"/>
              </w:tabs>
              <w:spacing w:line="240" w:lineRule="auto"/>
              <w:jc w:val="left"/>
              <w:rPr>
                <w:rFonts w:cs="Arial"/>
                <w:color w:val="000000"/>
                <w:szCs w:val="18"/>
                <w:lang w:eastAsia="ja-JP"/>
              </w:rPr>
            </w:pPr>
            <w:r w:rsidRPr="001B6400">
              <w:rPr>
                <w:rFonts w:cs="Arial"/>
                <w:color w:val="000000"/>
                <w:szCs w:val="18"/>
                <w:lang w:eastAsia="ja-JP"/>
              </w:rPr>
              <w:t>Tr</w:t>
            </w:r>
            <w:r w:rsidR="001B6400" w:rsidRPr="001B6400">
              <w:rPr>
                <w:rFonts w:cs="Arial"/>
                <w:color w:val="000000"/>
                <w:szCs w:val="18"/>
                <w:lang w:eastAsia="ja-JP"/>
              </w:rPr>
              <w:t>eatments</w:t>
            </w:r>
          </w:p>
        </w:tc>
        <w:tc>
          <w:tcPr>
            <w:tcW w:w="1860" w:type="dxa"/>
            <w:tcBorders>
              <w:top w:val="single" w:sz="12" w:space="0" w:color="4F6228" w:themeColor="accent3" w:themeShade="80"/>
              <w:left w:val="nil"/>
              <w:bottom w:val="single" w:sz="8" w:space="0" w:color="4F6228" w:themeColor="accent3" w:themeShade="80"/>
              <w:right w:val="nil"/>
            </w:tcBorders>
            <w:shd w:val="clear" w:color="FFFFFF" w:fill="FFFFFF"/>
            <w:noWrap/>
            <w:vAlign w:val="bottom"/>
            <w:hideMark/>
          </w:tcPr>
          <w:p w14:paraId="55AAE2FA" w14:textId="1E6E2D21" w:rsidR="00A314EB" w:rsidRPr="001B6400" w:rsidRDefault="001B6400" w:rsidP="00BF0537">
            <w:pPr>
              <w:tabs>
                <w:tab w:val="clear" w:pos="7100"/>
              </w:tabs>
              <w:spacing w:line="240" w:lineRule="auto"/>
              <w:jc w:val="left"/>
              <w:rPr>
                <w:rFonts w:cs="Arial"/>
                <w:color w:val="000000"/>
                <w:szCs w:val="18"/>
                <w:lang w:eastAsia="ja-JP"/>
              </w:rPr>
            </w:pPr>
            <w:r w:rsidRPr="001B6400">
              <w:rPr>
                <w:rFonts w:cs="Arial"/>
                <w:color w:val="000000"/>
                <w:szCs w:val="18"/>
                <w:lang w:eastAsia="ja-JP"/>
              </w:rPr>
              <w:t>Moisture</w:t>
            </w:r>
            <w:r w:rsidR="00A314EB" w:rsidRPr="001B6400">
              <w:rPr>
                <w:rFonts w:cs="Arial"/>
                <w:color w:val="000000"/>
                <w:szCs w:val="18"/>
                <w:lang w:eastAsia="ja-JP"/>
              </w:rPr>
              <w:t xml:space="preserve"> t0</w:t>
            </w:r>
          </w:p>
        </w:tc>
        <w:tc>
          <w:tcPr>
            <w:tcW w:w="1860" w:type="dxa"/>
            <w:tcBorders>
              <w:top w:val="single" w:sz="12" w:space="0" w:color="4F6228" w:themeColor="accent3" w:themeShade="80"/>
              <w:left w:val="nil"/>
              <w:bottom w:val="single" w:sz="8" w:space="0" w:color="4F6228" w:themeColor="accent3" w:themeShade="80"/>
              <w:right w:val="nil"/>
            </w:tcBorders>
            <w:shd w:val="clear" w:color="FFFFFF" w:fill="FFFFFF"/>
            <w:noWrap/>
            <w:vAlign w:val="bottom"/>
            <w:hideMark/>
          </w:tcPr>
          <w:p w14:paraId="17D276E0" w14:textId="3E203B65" w:rsidR="00A314EB" w:rsidRPr="001B6400" w:rsidRDefault="001B6400" w:rsidP="00BF0537">
            <w:pPr>
              <w:tabs>
                <w:tab w:val="clear" w:pos="7100"/>
              </w:tabs>
              <w:spacing w:line="240" w:lineRule="auto"/>
              <w:jc w:val="left"/>
              <w:rPr>
                <w:rFonts w:cs="Arial"/>
                <w:color w:val="000000"/>
                <w:szCs w:val="18"/>
                <w:lang w:eastAsia="ja-JP"/>
              </w:rPr>
            </w:pPr>
            <w:r w:rsidRPr="001B6400">
              <w:rPr>
                <w:rFonts w:cs="Arial"/>
                <w:color w:val="000000"/>
                <w:szCs w:val="18"/>
                <w:lang w:eastAsia="ja-JP"/>
              </w:rPr>
              <w:t>Moisture</w:t>
            </w:r>
            <w:r w:rsidR="00A314EB" w:rsidRPr="001B6400">
              <w:rPr>
                <w:rFonts w:cs="Arial"/>
                <w:color w:val="000000"/>
                <w:szCs w:val="18"/>
                <w:lang w:eastAsia="ja-JP"/>
              </w:rPr>
              <w:t xml:space="preserve"> t30</w:t>
            </w:r>
          </w:p>
        </w:tc>
        <w:tc>
          <w:tcPr>
            <w:tcW w:w="1860" w:type="dxa"/>
            <w:tcBorders>
              <w:top w:val="single" w:sz="12" w:space="0" w:color="4F6228" w:themeColor="accent3" w:themeShade="80"/>
              <w:left w:val="nil"/>
              <w:bottom w:val="single" w:sz="8" w:space="0" w:color="4F6228" w:themeColor="accent3" w:themeShade="80"/>
              <w:right w:val="nil"/>
            </w:tcBorders>
            <w:shd w:val="clear" w:color="FFFFFF" w:fill="FFFFFF"/>
            <w:noWrap/>
            <w:vAlign w:val="bottom"/>
            <w:hideMark/>
          </w:tcPr>
          <w:p w14:paraId="002731FE" w14:textId="46D29C2B" w:rsidR="00A314EB" w:rsidRPr="001B6400" w:rsidRDefault="00E3554E" w:rsidP="00BF0537">
            <w:pPr>
              <w:tabs>
                <w:tab w:val="clear" w:pos="7100"/>
              </w:tabs>
              <w:spacing w:line="240" w:lineRule="auto"/>
              <w:jc w:val="left"/>
              <w:rPr>
                <w:rFonts w:cs="Arial"/>
                <w:color w:val="000000"/>
                <w:szCs w:val="18"/>
                <w:lang w:eastAsia="ja-JP"/>
              </w:rPr>
            </w:pPr>
            <w:r>
              <w:rPr>
                <w:rFonts w:cs="Arial"/>
                <w:color w:val="000000"/>
                <w:szCs w:val="18"/>
                <w:lang w:eastAsia="ja-JP"/>
              </w:rPr>
              <w:t>Lipids</w:t>
            </w:r>
            <w:r w:rsidR="00A314EB" w:rsidRPr="001B6400">
              <w:rPr>
                <w:rFonts w:cs="Arial"/>
                <w:color w:val="000000"/>
                <w:szCs w:val="18"/>
                <w:lang w:eastAsia="ja-JP"/>
              </w:rPr>
              <w:t xml:space="preserve"> t0</w:t>
            </w:r>
          </w:p>
        </w:tc>
        <w:tc>
          <w:tcPr>
            <w:tcW w:w="1860" w:type="dxa"/>
            <w:tcBorders>
              <w:top w:val="single" w:sz="12" w:space="0" w:color="4F6228" w:themeColor="accent3" w:themeShade="80"/>
              <w:left w:val="nil"/>
              <w:bottom w:val="single" w:sz="8" w:space="0" w:color="4F6228" w:themeColor="accent3" w:themeShade="80"/>
              <w:right w:val="nil"/>
            </w:tcBorders>
            <w:shd w:val="clear" w:color="FFFFFF" w:fill="FFFFFF"/>
            <w:noWrap/>
            <w:vAlign w:val="bottom"/>
            <w:hideMark/>
          </w:tcPr>
          <w:p w14:paraId="7AB57CBD" w14:textId="1D0ADEE6" w:rsidR="00A314EB" w:rsidRPr="001B6400" w:rsidRDefault="00E3554E" w:rsidP="00BF0537">
            <w:pPr>
              <w:tabs>
                <w:tab w:val="clear" w:pos="7100"/>
              </w:tabs>
              <w:spacing w:line="240" w:lineRule="auto"/>
              <w:jc w:val="left"/>
              <w:rPr>
                <w:rFonts w:cs="Arial"/>
                <w:color w:val="000000"/>
                <w:szCs w:val="18"/>
                <w:lang w:eastAsia="ja-JP"/>
              </w:rPr>
            </w:pPr>
            <w:r>
              <w:rPr>
                <w:rFonts w:cs="Arial"/>
                <w:color w:val="000000"/>
                <w:szCs w:val="18"/>
                <w:lang w:eastAsia="ja-JP"/>
              </w:rPr>
              <w:t>Lipids</w:t>
            </w:r>
            <w:r w:rsidR="00A314EB" w:rsidRPr="001B6400">
              <w:rPr>
                <w:rFonts w:cs="Arial"/>
                <w:color w:val="000000"/>
                <w:szCs w:val="18"/>
                <w:lang w:eastAsia="ja-JP"/>
              </w:rPr>
              <w:t xml:space="preserve"> t30</w:t>
            </w:r>
          </w:p>
        </w:tc>
      </w:tr>
      <w:tr w:rsidR="00A314EB" w:rsidRPr="00A314EB" w14:paraId="531E6DED" w14:textId="77777777" w:rsidTr="00BF0537">
        <w:tc>
          <w:tcPr>
            <w:tcW w:w="1860" w:type="dxa"/>
            <w:tcBorders>
              <w:top w:val="single" w:sz="8" w:space="0" w:color="4F6228" w:themeColor="accent3" w:themeShade="80"/>
              <w:left w:val="nil"/>
              <w:bottom w:val="nil"/>
              <w:right w:val="nil"/>
            </w:tcBorders>
            <w:shd w:val="clear" w:color="FFFFFF" w:fill="FFFFFF"/>
            <w:noWrap/>
            <w:vAlign w:val="bottom"/>
            <w:hideMark/>
          </w:tcPr>
          <w:p w14:paraId="76109146"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TC0</w:t>
            </w:r>
          </w:p>
        </w:tc>
        <w:tc>
          <w:tcPr>
            <w:tcW w:w="1860" w:type="dxa"/>
            <w:tcBorders>
              <w:top w:val="single" w:sz="8" w:space="0" w:color="4F6228" w:themeColor="accent3" w:themeShade="80"/>
              <w:left w:val="nil"/>
              <w:bottom w:val="nil"/>
              <w:right w:val="nil"/>
            </w:tcBorders>
            <w:shd w:val="clear" w:color="FFFFFF" w:fill="FFFFFF"/>
            <w:noWrap/>
            <w:vAlign w:val="bottom"/>
            <w:hideMark/>
          </w:tcPr>
          <w:p w14:paraId="74A23040" w14:textId="522DA581"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w:t>
            </w:r>
            <w:r w:rsidR="001B6400">
              <w:rPr>
                <w:rFonts w:cs="Arial"/>
                <w:color w:val="000000"/>
                <w:szCs w:val="18"/>
                <w:lang w:eastAsia="ja-JP"/>
              </w:rPr>
              <w:t>.</w:t>
            </w:r>
            <w:r w:rsidRPr="001B6400">
              <w:rPr>
                <w:rFonts w:cs="Arial"/>
                <w:color w:val="000000"/>
                <w:szCs w:val="18"/>
                <w:lang w:eastAsia="ja-JP"/>
              </w:rPr>
              <w:t>924</w:t>
            </w:r>
            <w:r w:rsidRPr="001B6400">
              <w:rPr>
                <w:rFonts w:cs="Arial"/>
                <w:color w:val="000000"/>
                <w:szCs w:val="18"/>
                <w:vertAlign w:val="superscript"/>
                <w:lang w:eastAsia="ja-JP"/>
              </w:rPr>
              <w:t>aA</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090</w:t>
            </w:r>
          </w:p>
        </w:tc>
        <w:tc>
          <w:tcPr>
            <w:tcW w:w="1860" w:type="dxa"/>
            <w:tcBorders>
              <w:top w:val="single" w:sz="8" w:space="0" w:color="4F6228" w:themeColor="accent3" w:themeShade="80"/>
              <w:left w:val="nil"/>
              <w:bottom w:val="nil"/>
              <w:right w:val="nil"/>
            </w:tcBorders>
            <w:shd w:val="clear" w:color="FFFFFF" w:fill="auto"/>
            <w:noWrap/>
            <w:vAlign w:val="bottom"/>
            <w:hideMark/>
          </w:tcPr>
          <w:p w14:paraId="0D21F0FA" w14:textId="49E4B0F6"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3</w:t>
            </w:r>
            <w:r w:rsidR="001B6400">
              <w:rPr>
                <w:rFonts w:cs="Arial"/>
                <w:color w:val="000000"/>
                <w:szCs w:val="18"/>
                <w:lang w:eastAsia="ja-JP"/>
              </w:rPr>
              <w:t>.</w:t>
            </w:r>
            <w:r w:rsidRPr="001B6400">
              <w:rPr>
                <w:rFonts w:cs="Arial"/>
                <w:color w:val="000000"/>
                <w:szCs w:val="18"/>
                <w:lang w:eastAsia="ja-JP"/>
              </w:rPr>
              <w:t>724</w:t>
            </w:r>
            <w:r w:rsidRPr="001B6400">
              <w:rPr>
                <w:rFonts w:cs="Arial"/>
                <w:color w:val="000000"/>
                <w:szCs w:val="18"/>
                <w:vertAlign w:val="superscript"/>
                <w:lang w:eastAsia="ja-JP"/>
              </w:rPr>
              <w:t>aB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056</w:t>
            </w:r>
          </w:p>
        </w:tc>
        <w:tc>
          <w:tcPr>
            <w:tcW w:w="1860" w:type="dxa"/>
            <w:tcBorders>
              <w:top w:val="single" w:sz="8" w:space="0" w:color="4F6228" w:themeColor="accent3" w:themeShade="80"/>
              <w:left w:val="nil"/>
              <w:bottom w:val="nil"/>
              <w:right w:val="nil"/>
            </w:tcBorders>
            <w:shd w:val="clear" w:color="FFFFFF" w:fill="auto"/>
            <w:noWrap/>
            <w:vAlign w:val="bottom"/>
            <w:hideMark/>
          </w:tcPr>
          <w:p w14:paraId="6A2665AF" w14:textId="46C04143"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138</w:t>
            </w:r>
            <w:r w:rsidRPr="001B6400">
              <w:rPr>
                <w:rFonts w:cs="Arial"/>
                <w:color w:val="000000"/>
                <w:szCs w:val="18"/>
                <w:vertAlign w:val="superscript"/>
                <w:lang w:eastAsia="ja-JP"/>
              </w:rPr>
              <w:t>aX</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011</w:t>
            </w:r>
          </w:p>
        </w:tc>
        <w:tc>
          <w:tcPr>
            <w:tcW w:w="1860" w:type="dxa"/>
            <w:tcBorders>
              <w:top w:val="single" w:sz="8" w:space="0" w:color="4F6228" w:themeColor="accent3" w:themeShade="80"/>
              <w:left w:val="nil"/>
              <w:bottom w:val="nil"/>
              <w:right w:val="nil"/>
            </w:tcBorders>
            <w:shd w:val="clear" w:color="FFFFFF" w:fill="FFFFFF"/>
            <w:noWrap/>
            <w:vAlign w:val="bottom"/>
            <w:hideMark/>
          </w:tcPr>
          <w:p w14:paraId="5E17D39F" w14:textId="7588BF4C"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710</w:t>
            </w:r>
            <w:r w:rsidRPr="001B6400">
              <w:rPr>
                <w:rFonts w:cs="Arial"/>
                <w:color w:val="000000"/>
                <w:szCs w:val="18"/>
                <w:vertAlign w:val="superscript"/>
                <w:lang w:eastAsia="ja-JP"/>
              </w:rPr>
              <w:t>aY</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314</w:t>
            </w:r>
          </w:p>
        </w:tc>
      </w:tr>
      <w:tr w:rsidR="00A314EB" w:rsidRPr="00A314EB" w14:paraId="1BF0FF5D" w14:textId="77777777" w:rsidTr="00BF0537">
        <w:tc>
          <w:tcPr>
            <w:tcW w:w="1860" w:type="dxa"/>
            <w:tcBorders>
              <w:top w:val="nil"/>
              <w:left w:val="nil"/>
              <w:bottom w:val="nil"/>
              <w:right w:val="nil"/>
            </w:tcBorders>
            <w:shd w:val="clear" w:color="FFFFFF" w:fill="FFFFFF"/>
            <w:noWrap/>
            <w:vAlign w:val="bottom"/>
            <w:hideMark/>
          </w:tcPr>
          <w:p w14:paraId="516BFDE7"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TC1</w:t>
            </w:r>
          </w:p>
        </w:tc>
        <w:tc>
          <w:tcPr>
            <w:tcW w:w="1860" w:type="dxa"/>
            <w:tcBorders>
              <w:top w:val="nil"/>
              <w:left w:val="nil"/>
              <w:bottom w:val="nil"/>
              <w:right w:val="nil"/>
            </w:tcBorders>
            <w:shd w:val="clear" w:color="FFFFFF" w:fill="FFFFFF"/>
            <w:noWrap/>
            <w:vAlign w:val="bottom"/>
            <w:hideMark/>
          </w:tcPr>
          <w:p w14:paraId="36F87AD5" w14:textId="6FECB7C1"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 xml:space="preserve">970 </w:t>
            </w:r>
            <w:proofErr w:type="spellStart"/>
            <w:r w:rsidRPr="001B6400">
              <w:rPr>
                <w:rFonts w:cs="Arial"/>
                <w:color w:val="000000"/>
                <w:szCs w:val="18"/>
                <w:vertAlign w:val="superscript"/>
                <w:lang w:eastAsia="ja-JP"/>
              </w:rPr>
              <w:t>bA</w:t>
            </w:r>
            <w:proofErr w:type="spellEnd"/>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017</w:t>
            </w:r>
          </w:p>
        </w:tc>
        <w:tc>
          <w:tcPr>
            <w:tcW w:w="1860" w:type="dxa"/>
            <w:tcBorders>
              <w:top w:val="nil"/>
              <w:left w:val="nil"/>
              <w:bottom w:val="nil"/>
              <w:right w:val="nil"/>
            </w:tcBorders>
            <w:shd w:val="clear" w:color="FFFFFF" w:fill="auto"/>
            <w:noWrap/>
            <w:vAlign w:val="bottom"/>
            <w:hideMark/>
          </w:tcPr>
          <w:p w14:paraId="758D1724" w14:textId="44ECC270"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5</w:t>
            </w:r>
            <w:r w:rsidR="001B6400">
              <w:rPr>
                <w:rFonts w:cs="Arial"/>
                <w:color w:val="000000"/>
                <w:szCs w:val="18"/>
                <w:lang w:eastAsia="ja-JP"/>
              </w:rPr>
              <w:t>.</w:t>
            </w:r>
            <w:r w:rsidRPr="001B6400">
              <w:rPr>
                <w:rFonts w:cs="Arial"/>
                <w:color w:val="000000"/>
                <w:szCs w:val="18"/>
                <w:lang w:eastAsia="ja-JP"/>
              </w:rPr>
              <w:t>139</w:t>
            </w:r>
            <w:r w:rsidRPr="001B6400">
              <w:rPr>
                <w:rFonts w:cs="Arial"/>
                <w:color w:val="000000"/>
                <w:szCs w:val="18"/>
                <w:vertAlign w:val="superscript"/>
                <w:lang w:eastAsia="ja-JP"/>
              </w:rPr>
              <w:t>bB</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016</w:t>
            </w:r>
          </w:p>
        </w:tc>
        <w:tc>
          <w:tcPr>
            <w:tcW w:w="1860" w:type="dxa"/>
            <w:tcBorders>
              <w:top w:val="nil"/>
              <w:left w:val="nil"/>
              <w:bottom w:val="nil"/>
              <w:right w:val="nil"/>
            </w:tcBorders>
            <w:shd w:val="clear" w:color="FFFFFF" w:fill="auto"/>
            <w:noWrap/>
            <w:vAlign w:val="bottom"/>
            <w:hideMark/>
          </w:tcPr>
          <w:p w14:paraId="40BDB125" w14:textId="35A941AF"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16</w:t>
            </w:r>
            <w:r w:rsidR="001B6400">
              <w:rPr>
                <w:rFonts w:cs="Arial"/>
                <w:color w:val="000000"/>
                <w:szCs w:val="18"/>
                <w:lang w:eastAsia="ja-JP"/>
              </w:rPr>
              <w:t>.</w:t>
            </w:r>
            <w:r w:rsidRPr="001B6400">
              <w:rPr>
                <w:rFonts w:cs="Arial"/>
                <w:color w:val="000000"/>
                <w:szCs w:val="18"/>
                <w:lang w:eastAsia="ja-JP"/>
              </w:rPr>
              <w:t>284</w:t>
            </w:r>
            <w:r w:rsidRPr="001B6400">
              <w:rPr>
                <w:rFonts w:cs="Arial"/>
                <w:color w:val="000000"/>
                <w:szCs w:val="18"/>
                <w:vertAlign w:val="superscript"/>
                <w:lang w:eastAsia="ja-JP"/>
              </w:rPr>
              <w:t xml:space="preserve">bX </w:t>
            </w: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350</w:t>
            </w:r>
          </w:p>
        </w:tc>
        <w:tc>
          <w:tcPr>
            <w:tcW w:w="1860" w:type="dxa"/>
            <w:tcBorders>
              <w:top w:val="nil"/>
              <w:left w:val="nil"/>
              <w:bottom w:val="nil"/>
              <w:right w:val="nil"/>
            </w:tcBorders>
            <w:shd w:val="clear" w:color="FFFFFF" w:fill="FFFFFF"/>
            <w:noWrap/>
            <w:vAlign w:val="bottom"/>
            <w:hideMark/>
          </w:tcPr>
          <w:p w14:paraId="4841B607" w14:textId="0F00D54F"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14</w:t>
            </w:r>
            <w:r w:rsidR="001B6400">
              <w:rPr>
                <w:rFonts w:cs="Arial"/>
                <w:color w:val="000000"/>
                <w:szCs w:val="18"/>
                <w:lang w:eastAsia="ja-JP"/>
              </w:rPr>
              <w:t>.</w:t>
            </w:r>
            <w:r w:rsidRPr="001B6400">
              <w:rPr>
                <w:rFonts w:cs="Arial"/>
                <w:color w:val="000000"/>
                <w:szCs w:val="18"/>
                <w:lang w:eastAsia="ja-JP"/>
              </w:rPr>
              <w:t>182</w:t>
            </w:r>
            <w:r w:rsidR="009C6A05" w:rsidRPr="001B6400">
              <w:rPr>
                <w:rFonts w:cs="Arial"/>
                <w:color w:val="000000"/>
                <w:szCs w:val="18"/>
                <w:vertAlign w:val="superscript"/>
                <w:lang w:eastAsia="ja-JP"/>
              </w:rPr>
              <w:t>d</w:t>
            </w:r>
            <w:r w:rsidRPr="001B6400">
              <w:rPr>
                <w:rFonts w:cs="Arial"/>
                <w:color w:val="000000"/>
                <w:szCs w:val="18"/>
                <w:vertAlign w:val="superscript"/>
                <w:lang w:eastAsia="ja-JP"/>
              </w:rPr>
              <w:t>Y</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462</w:t>
            </w:r>
          </w:p>
        </w:tc>
      </w:tr>
      <w:tr w:rsidR="00A314EB" w:rsidRPr="00A314EB" w14:paraId="6267CB77" w14:textId="77777777" w:rsidTr="00BF0537">
        <w:tc>
          <w:tcPr>
            <w:tcW w:w="1860" w:type="dxa"/>
            <w:tcBorders>
              <w:top w:val="nil"/>
              <w:left w:val="nil"/>
              <w:bottom w:val="nil"/>
              <w:right w:val="nil"/>
            </w:tcBorders>
            <w:shd w:val="clear" w:color="FFFFFF" w:fill="FFFFFF"/>
            <w:noWrap/>
            <w:vAlign w:val="bottom"/>
            <w:hideMark/>
          </w:tcPr>
          <w:p w14:paraId="07815DF1"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T1</w:t>
            </w:r>
          </w:p>
        </w:tc>
        <w:tc>
          <w:tcPr>
            <w:tcW w:w="1860" w:type="dxa"/>
            <w:tcBorders>
              <w:top w:val="nil"/>
              <w:left w:val="nil"/>
              <w:bottom w:val="nil"/>
              <w:right w:val="nil"/>
            </w:tcBorders>
            <w:shd w:val="clear" w:color="FFFFFF" w:fill="FFFFFF"/>
            <w:noWrap/>
            <w:vAlign w:val="bottom"/>
            <w:hideMark/>
          </w:tcPr>
          <w:p w14:paraId="08FDA126" w14:textId="4FCE15AF"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796</w:t>
            </w:r>
            <w:r w:rsidRPr="001B6400">
              <w:rPr>
                <w:rFonts w:cs="Arial"/>
                <w:color w:val="000000"/>
                <w:szCs w:val="18"/>
                <w:vertAlign w:val="superscript"/>
                <w:lang w:eastAsia="ja-JP"/>
              </w:rPr>
              <w:t>bA</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078</w:t>
            </w:r>
          </w:p>
        </w:tc>
        <w:tc>
          <w:tcPr>
            <w:tcW w:w="1860" w:type="dxa"/>
            <w:tcBorders>
              <w:top w:val="nil"/>
              <w:left w:val="nil"/>
              <w:bottom w:val="nil"/>
              <w:right w:val="nil"/>
            </w:tcBorders>
            <w:shd w:val="clear" w:color="FFFFFF" w:fill="auto"/>
            <w:noWrap/>
            <w:vAlign w:val="bottom"/>
            <w:hideMark/>
          </w:tcPr>
          <w:p w14:paraId="051BE3EF" w14:textId="29222375"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4</w:t>
            </w:r>
            <w:r w:rsidR="001B6400">
              <w:rPr>
                <w:rFonts w:cs="Arial"/>
                <w:color w:val="000000"/>
                <w:szCs w:val="18"/>
                <w:lang w:eastAsia="ja-JP"/>
              </w:rPr>
              <w:t>.</w:t>
            </w:r>
            <w:r w:rsidRPr="001B6400">
              <w:rPr>
                <w:rFonts w:cs="Arial"/>
                <w:color w:val="000000"/>
                <w:szCs w:val="18"/>
                <w:lang w:eastAsia="ja-JP"/>
              </w:rPr>
              <w:t>708</w:t>
            </w:r>
            <w:r w:rsidRPr="001B6400">
              <w:rPr>
                <w:rFonts w:cs="Arial"/>
                <w:color w:val="000000"/>
                <w:szCs w:val="18"/>
                <w:vertAlign w:val="superscript"/>
                <w:lang w:eastAsia="ja-JP"/>
              </w:rPr>
              <w:t>cB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066</w:t>
            </w:r>
          </w:p>
        </w:tc>
        <w:tc>
          <w:tcPr>
            <w:tcW w:w="1860" w:type="dxa"/>
            <w:tcBorders>
              <w:top w:val="nil"/>
              <w:left w:val="nil"/>
              <w:bottom w:val="nil"/>
              <w:right w:val="nil"/>
            </w:tcBorders>
            <w:shd w:val="clear" w:color="FFFFFF" w:fill="auto"/>
            <w:noWrap/>
            <w:vAlign w:val="bottom"/>
            <w:hideMark/>
          </w:tcPr>
          <w:p w14:paraId="1A03F2FC" w14:textId="0835482E"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990</w:t>
            </w:r>
            <w:r w:rsidRPr="001B6400">
              <w:rPr>
                <w:rFonts w:cs="Arial"/>
                <w:color w:val="000000"/>
                <w:szCs w:val="18"/>
                <w:vertAlign w:val="superscript"/>
                <w:lang w:eastAsia="ja-JP"/>
              </w:rPr>
              <w:t>c</w:t>
            </w:r>
            <w:r w:rsidR="00235DE7" w:rsidRPr="001B6400">
              <w:rPr>
                <w:rFonts w:cs="Arial"/>
                <w:color w:val="000000"/>
                <w:szCs w:val="18"/>
                <w:vertAlign w:val="superscript"/>
                <w:lang w:eastAsia="ja-JP"/>
              </w:rPr>
              <w:t>Y</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048</w:t>
            </w:r>
          </w:p>
        </w:tc>
        <w:tc>
          <w:tcPr>
            <w:tcW w:w="1860" w:type="dxa"/>
            <w:tcBorders>
              <w:top w:val="nil"/>
              <w:left w:val="nil"/>
              <w:bottom w:val="nil"/>
              <w:right w:val="nil"/>
            </w:tcBorders>
            <w:shd w:val="clear" w:color="FFFFFF" w:fill="FFFFFF"/>
            <w:noWrap/>
            <w:vAlign w:val="bottom"/>
            <w:hideMark/>
          </w:tcPr>
          <w:p w14:paraId="248D7900" w14:textId="1FC3F1C0"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w:t>
            </w:r>
            <w:r w:rsidR="001B6400">
              <w:rPr>
                <w:rFonts w:cs="Arial"/>
                <w:color w:val="000000"/>
                <w:szCs w:val="18"/>
                <w:lang w:eastAsia="ja-JP"/>
              </w:rPr>
              <w:t>.</w:t>
            </w:r>
            <w:r w:rsidRPr="001B6400">
              <w:rPr>
                <w:rFonts w:cs="Arial"/>
                <w:color w:val="000000"/>
                <w:szCs w:val="18"/>
                <w:lang w:eastAsia="ja-JP"/>
              </w:rPr>
              <w:t>741</w:t>
            </w:r>
            <w:r w:rsidRPr="001B6400">
              <w:rPr>
                <w:rFonts w:cs="Arial"/>
                <w:color w:val="000000"/>
                <w:szCs w:val="18"/>
                <w:vertAlign w:val="superscript"/>
                <w:lang w:eastAsia="ja-JP"/>
              </w:rPr>
              <w:t>c</w:t>
            </w:r>
            <w:r w:rsidR="00235DE7" w:rsidRPr="001B6400">
              <w:rPr>
                <w:rFonts w:cs="Arial"/>
                <w:color w:val="000000"/>
                <w:szCs w:val="18"/>
                <w:vertAlign w:val="superscript"/>
                <w:lang w:eastAsia="ja-JP"/>
              </w:rPr>
              <w:t>X</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050</w:t>
            </w:r>
          </w:p>
        </w:tc>
      </w:tr>
      <w:tr w:rsidR="00A314EB" w:rsidRPr="00A314EB" w14:paraId="4712245E" w14:textId="77777777" w:rsidTr="00BF0537">
        <w:tc>
          <w:tcPr>
            <w:tcW w:w="1860" w:type="dxa"/>
            <w:tcBorders>
              <w:top w:val="nil"/>
              <w:left w:val="nil"/>
              <w:bottom w:val="nil"/>
              <w:right w:val="nil"/>
            </w:tcBorders>
            <w:shd w:val="clear" w:color="FFFFFF" w:fill="FFFFFF"/>
            <w:noWrap/>
            <w:vAlign w:val="bottom"/>
            <w:hideMark/>
          </w:tcPr>
          <w:p w14:paraId="42F58599"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T2</w:t>
            </w:r>
          </w:p>
        </w:tc>
        <w:tc>
          <w:tcPr>
            <w:tcW w:w="1860" w:type="dxa"/>
            <w:tcBorders>
              <w:top w:val="nil"/>
              <w:left w:val="nil"/>
              <w:bottom w:val="nil"/>
              <w:right w:val="nil"/>
            </w:tcBorders>
            <w:shd w:val="clear" w:color="FFFFFF" w:fill="FFFFFF"/>
            <w:noWrap/>
            <w:vAlign w:val="bottom"/>
            <w:hideMark/>
          </w:tcPr>
          <w:p w14:paraId="6013119A" w14:textId="5196D4F8"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671</w:t>
            </w:r>
            <w:r w:rsidRPr="001B6400">
              <w:rPr>
                <w:rFonts w:cs="Arial"/>
                <w:color w:val="000000"/>
                <w:szCs w:val="18"/>
                <w:vertAlign w:val="superscript"/>
                <w:lang w:eastAsia="ja-JP"/>
              </w:rPr>
              <w:t xml:space="preserve">cA </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026</w:t>
            </w:r>
          </w:p>
        </w:tc>
        <w:tc>
          <w:tcPr>
            <w:tcW w:w="1860" w:type="dxa"/>
            <w:tcBorders>
              <w:top w:val="nil"/>
              <w:left w:val="nil"/>
              <w:bottom w:val="nil"/>
              <w:right w:val="nil"/>
            </w:tcBorders>
            <w:shd w:val="clear" w:color="FFFFFF" w:fill="auto"/>
            <w:noWrap/>
            <w:vAlign w:val="bottom"/>
            <w:hideMark/>
          </w:tcPr>
          <w:p w14:paraId="569724AC" w14:textId="607E6944"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4</w:t>
            </w:r>
            <w:r w:rsidR="001B6400">
              <w:rPr>
                <w:rFonts w:cs="Arial"/>
                <w:color w:val="000000"/>
                <w:szCs w:val="18"/>
                <w:lang w:eastAsia="ja-JP"/>
              </w:rPr>
              <w:t>.</w:t>
            </w:r>
            <w:r w:rsidRPr="001B6400">
              <w:rPr>
                <w:rFonts w:cs="Arial"/>
                <w:color w:val="000000"/>
                <w:szCs w:val="18"/>
                <w:lang w:eastAsia="ja-JP"/>
              </w:rPr>
              <w:t>112</w:t>
            </w:r>
            <w:r w:rsidRPr="001B6400">
              <w:rPr>
                <w:rFonts w:cs="Arial"/>
                <w:color w:val="000000"/>
                <w:szCs w:val="18"/>
                <w:vertAlign w:val="superscript"/>
                <w:lang w:eastAsia="ja-JP"/>
              </w:rPr>
              <w:t>dB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071</w:t>
            </w:r>
          </w:p>
        </w:tc>
        <w:tc>
          <w:tcPr>
            <w:tcW w:w="1860" w:type="dxa"/>
            <w:tcBorders>
              <w:top w:val="nil"/>
              <w:left w:val="nil"/>
              <w:bottom w:val="nil"/>
              <w:right w:val="nil"/>
            </w:tcBorders>
            <w:shd w:val="clear" w:color="FFFFFF" w:fill="auto"/>
            <w:noWrap/>
            <w:vAlign w:val="bottom"/>
            <w:hideMark/>
          </w:tcPr>
          <w:p w14:paraId="7F66D19E" w14:textId="64EEC240"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962</w:t>
            </w:r>
            <w:r w:rsidRPr="001B6400">
              <w:rPr>
                <w:rFonts w:cs="Arial"/>
                <w:color w:val="000000"/>
                <w:szCs w:val="18"/>
                <w:vertAlign w:val="superscript"/>
                <w:lang w:eastAsia="ja-JP"/>
              </w:rPr>
              <w:t>cX</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095</w:t>
            </w:r>
          </w:p>
        </w:tc>
        <w:tc>
          <w:tcPr>
            <w:tcW w:w="1860" w:type="dxa"/>
            <w:tcBorders>
              <w:top w:val="nil"/>
              <w:left w:val="nil"/>
              <w:bottom w:val="nil"/>
              <w:right w:val="nil"/>
            </w:tcBorders>
            <w:shd w:val="clear" w:color="FFFFFF" w:fill="FFFFFF"/>
            <w:noWrap/>
            <w:vAlign w:val="bottom"/>
            <w:hideMark/>
          </w:tcPr>
          <w:p w14:paraId="26849342" w14:textId="0E64EECB"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975</w:t>
            </w:r>
            <w:r w:rsidR="00952A62" w:rsidRPr="001B6400">
              <w:rPr>
                <w:rFonts w:cs="Arial"/>
                <w:color w:val="000000"/>
                <w:szCs w:val="18"/>
                <w:vertAlign w:val="superscript"/>
                <w:lang w:eastAsia="ja-JP"/>
              </w:rPr>
              <w:t>b</w:t>
            </w:r>
            <w:r w:rsidRPr="001B6400">
              <w:rPr>
                <w:rFonts w:cs="Arial"/>
                <w:color w:val="000000"/>
                <w:szCs w:val="18"/>
                <w:vertAlign w:val="superscript"/>
                <w:lang w:eastAsia="ja-JP"/>
              </w:rPr>
              <w:t xml:space="preserve">X </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029</w:t>
            </w:r>
          </w:p>
        </w:tc>
      </w:tr>
      <w:tr w:rsidR="00A314EB" w:rsidRPr="00A314EB" w14:paraId="012AA363" w14:textId="77777777" w:rsidTr="00BF0537">
        <w:tc>
          <w:tcPr>
            <w:tcW w:w="1860" w:type="dxa"/>
            <w:tcBorders>
              <w:top w:val="nil"/>
              <w:left w:val="nil"/>
              <w:bottom w:val="nil"/>
              <w:right w:val="nil"/>
            </w:tcBorders>
            <w:shd w:val="clear" w:color="FFFFFF" w:fill="FFFFFF"/>
            <w:noWrap/>
            <w:vAlign w:val="bottom"/>
            <w:hideMark/>
          </w:tcPr>
          <w:p w14:paraId="1E09F860"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T3</w:t>
            </w:r>
          </w:p>
        </w:tc>
        <w:tc>
          <w:tcPr>
            <w:tcW w:w="1860" w:type="dxa"/>
            <w:tcBorders>
              <w:top w:val="nil"/>
              <w:left w:val="nil"/>
              <w:bottom w:val="nil"/>
              <w:right w:val="nil"/>
            </w:tcBorders>
            <w:shd w:val="clear" w:color="FFFFFF" w:fill="FFFFFF"/>
            <w:noWrap/>
            <w:vAlign w:val="bottom"/>
            <w:hideMark/>
          </w:tcPr>
          <w:p w14:paraId="7F8A46A0" w14:textId="5FF395A5"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719</w:t>
            </w:r>
            <w:r w:rsidRPr="001B6400">
              <w:rPr>
                <w:rFonts w:cs="Arial"/>
                <w:color w:val="000000"/>
                <w:szCs w:val="18"/>
                <w:vertAlign w:val="superscript"/>
                <w:lang w:eastAsia="ja-JP"/>
              </w:rPr>
              <w:t>cA</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102</w:t>
            </w:r>
          </w:p>
        </w:tc>
        <w:tc>
          <w:tcPr>
            <w:tcW w:w="1860" w:type="dxa"/>
            <w:tcBorders>
              <w:top w:val="nil"/>
              <w:left w:val="nil"/>
              <w:bottom w:val="nil"/>
              <w:right w:val="nil"/>
            </w:tcBorders>
            <w:shd w:val="clear" w:color="FFFFFF" w:fill="auto"/>
            <w:noWrap/>
            <w:vAlign w:val="bottom"/>
            <w:hideMark/>
          </w:tcPr>
          <w:p w14:paraId="76C45A76" w14:textId="43CF2F08"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4</w:t>
            </w:r>
            <w:r w:rsidR="001B6400">
              <w:rPr>
                <w:rFonts w:cs="Arial"/>
                <w:color w:val="000000"/>
                <w:szCs w:val="18"/>
                <w:lang w:eastAsia="ja-JP"/>
              </w:rPr>
              <w:t>.</w:t>
            </w:r>
            <w:r w:rsidRPr="001B6400">
              <w:rPr>
                <w:rFonts w:cs="Arial"/>
                <w:color w:val="000000"/>
                <w:szCs w:val="18"/>
                <w:lang w:eastAsia="ja-JP"/>
              </w:rPr>
              <w:t>623</w:t>
            </w:r>
            <w:r w:rsidRPr="001B6400">
              <w:rPr>
                <w:rFonts w:cs="Arial"/>
                <w:color w:val="000000"/>
                <w:szCs w:val="18"/>
                <w:vertAlign w:val="superscript"/>
                <w:lang w:eastAsia="ja-JP"/>
              </w:rPr>
              <w:t>cB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189</w:t>
            </w:r>
          </w:p>
        </w:tc>
        <w:tc>
          <w:tcPr>
            <w:tcW w:w="1860" w:type="dxa"/>
            <w:tcBorders>
              <w:top w:val="nil"/>
              <w:left w:val="nil"/>
              <w:bottom w:val="nil"/>
              <w:right w:val="nil"/>
            </w:tcBorders>
            <w:shd w:val="clear" w:color="FFFFFF" w:fill="auto"/>
            <w:noWrap/>
            <w:vAlign w:val="bottom"/>
            <w:hideMark/>
          </w:tcPr>
          <w:p w14:paraId="65CF6843" w14:textId="1628650B"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w:t>
            </w:r>
            <w:r w:rsidR="001B6400">
              <w:rPr>
                <w:rFonts w:cs="Arial"/>
                <w:color w:val="000000"/>
                <w:szCs w:val="18"/>
                <w:lang w:eastAsia="ja-JP"/>
              </w:rPr>
              <w:t>.</w:t>
            </w:r>
            <w:r w:rsidRPr="001B6400">
              <w:rPr>
                <w:rFonts w:cs="Arial"/>
                <w:color w:val="000000"/>
                <w:szCs w:val="18"/>
                <w:lang w:eastAsia="ja-JP"/>
              </w:rPr>
              <w:t>124</w:t>
            </w:r>
            <w:r w:rsidRPr="001B6400">
              <w:rPr>
                <w:rFonts w:cs="Arial"/>
                <w:color w:val="000000"/>
                <w:szCs w:val="18"/>
                <w:vertAlign w:val="superscript"/>
                <w:lang w:eastAsia="ja-JP"/>
              </w:rPr>
              <w:t>cX</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186</w:t>
            </w:r>
          </w:p>
        </w:tc>
        <w:tc>
          <w:tcPr>
            <w:tcW w:w="1860" w:type="dxa"/>
            <w:tcBorders>
              <w:top w:val="nil"/>
              <w:left w:val="nil"/>
              <w:bottom w:val="nil"/>
              <w:right w:val="nil"/>
            </w:tcBorders>
            <w:shd w:val="clear" w:color="FFFFFF" w:fill="FFFFFF"/>
            <w:noWrap/>
            <w:vAlign w:val="bottom"/>
            <w:hideMark/>
          </w:tcPr>
          <w:p w14:paraId="60DFB4DE" w14:textId="3B8C18A0"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842</w:t>
            </w:r>
            <w:r w:rsidRPr="001B6400">
              <w:rPr>
                <w:rFonts w:cs="Arial"/>
                <w:color w:val="000000"/>
                <w:szCs w:val="18"/>
                <w:vertAlign w:val="superscript"/>
                <w:lang w:eastAsia="ja-JP"/>
              </w:rPr>
              <w:t>a</w:t>
            </w:r>
            <w:r w:rsidR="00952A62" w:rsidRPr="001B6400">
              <w:rPr>
                <w:rFonts w:cs="Arial"/>
                <w:color w:val="000000"/>
                <w:szCs w:val="18"/>
                <w:vertAlign w:val="superscript"/>
                <w:lang w:eastAsia="ja-JP"/>
              </w:rPr>
              <w:t>b</w:t>
            </w:r>
            <w:r w:rsidRPr="001B6400">
              <w:rPr>
                <w:rFonts w:cs="Arial"/>
                <w:color w:val="000000"/>
                <w:szCs w:val="18"/>
                <w:vertAlign w:val="superscript"/>
                <w:lang w:eastAsia="ja-JP"/>
              </w:rPr>
              <w:t xml:space="preserve">X </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107</w:t>
            </w:r>
          </w:p>
        </w:tc>
      </w:tr>
      <w:tr w:rsidR="00A314EB" w:rsidRPr="00A314EB" w14:paraId="4321C948" w14:textId="77777777" w:rsidTr="00BF0537">
        <w:tc>
          <w:tcPr>
            <w:tcW w:w="1860" w:type="dxa"/>
            <w:tcBorders>
              <w:top w:val="nil"/>
              <w:left w:val="nil"/>
              <w:right w:val="nil"/>
            </w:tcBorders>
            <w:shd w:val="clear" w:color="FFFFFF" w:fill="FFFFFF"/>
            <w:noWrap/>
            <w:vAlign w:val="bottom"/>
            <w:hideMark/>
          </w:tcPr>
          <w:p w14:paraId="5BCAAE4E"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T4</w:t>
            </w:r>
          </w:p>
        </w:tc>
        <w:tc>
          <w:tcPr>
            <w:tcW w:w="1860" w:type="dxa"/>
            <w:tcBorders>
              <w:top w:val="nil"/>
              <w:left w:val="nil"/>
              <w:right w:val="nil"/>
            </w:tcBorders>
            <w:shd w:val="clear" w:color="FFFFFF" w:fill="FFFFFF"/>
            <w:noWrap/>
            <w:vAlign w:val="bottom"/>
            <w:hideMark/>
          </w:tcPr>
          <w:p w14:paraId="098DE006" w14:textId="1687C215"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813</w:t>
            </w:r>
            <w:r w:rsidRPr="001B6400">
              <w:rPr>
                <w:rFonts w:cs="Arial"/>
                <w:color w:val="000000"/>
                <w:szCs w:val="18"/>
                <w:vertAlign w:val="superscript"/>
                <w:lang w:eastAsia="ja-JP"/>
              </w:rPr>
              <w:t>bcdA</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013</w:t>
            </w:r>
          </w:p>
        </w:tc>
        <w:tc>
          <w:tcPr>
            <w:tcW w:w="1860" w:type="dxa"/>
            <w:tcBorders>
              <w:top w:val="nil"/>
              <w:left w:val="nil"/>
              <w:right w:val="nil"/>
            </w:tcBorders>
            <w:shd w:val="clear" w:color="FFFFFF" w:fill="auto"/>
            <w:noWrap/>
            <w:vAlign w:val="bottom"/>
            <w:hideMark/>
          </w:tcPr>
          <w:p w14:paraId="22D80486" w14:textId="19A85D34"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4</w:t>
            </w:r>
            <w:r w:rsidR="001B6400">
              <w:rPr>
                <w:rFonts w:cs="Arial"/>
                <w:color w:val="000000"/>
                <w:szCs w:val="18"/>
                <w:lang w:eastAsia="ja-JP"/>
              </w:rPr>
              <w:t>.</w:t>
            </w:r>
            <w:r w:rsidRPr="001B6400">
              <w:rPr>
                <w:rFonts w:cs="Arial"/>
                <w:color w:val="000000"/>
                <w:szCs w:val="18"/>
                <w:lang w:eastAsia="ja-JP"/>
              </w:rPr>
              <w:t>629</w:t>
            </w:r>
            <w:r w:rsidRPr="001B6400">
              <w:rPr>
                <w:rFonts w:cs="Arial"/>
                <w:color w:val="000000"/>
                <w:szCs w:val="18"/>
                <w:vertAlign w:val="superscript"/>
                <w:lang w:eastAsia="ja-JP"/>
              </w:rPr>
              <w:t>cB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045</w:t>
            </w:r>
          </w:p>
        </w:tc>
        <w:tc>
          <w:tcPr>
            <w:tcW w:w="1860" w:type="dxa"/>
            <w:tcBorders>
              <w:top w:val="nil"/>
              <w:left w:val="nil"/>
              <w:right w:val="nil"/>
            </w:tcBorders>
            <w:shd w:val="clear" w:color="FFFFFF" w:fill="auto"/>
            <w:noWrap/>
            <w:vAlign w:val="bottom"/>
            <w:hideMark/>
          </w:tcPr>
          <w:p w14:paraId="543240F3" w14:textId="43AA5A33"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w:t>
            </w:r>
            <w:r w:rsidR="001B6400">
              <w:rPr>
                <w:rFonts w:cs="Arial"/>
                <w:color w:val="000000"/>
                <w:szCs w:val="18"/>
                <w:lang w:eastAsia="ja-JP"/>
              </w:rPr>
              <w:t>.</w:t>
            </w:r>
            <w:r w:rsidRPr="001B6400">
              <w:rPr>
                <w:rFonts w:cs="Arial"/>
                <w:color w:val="000000"/>
                <w:szCs w:val="18"/>
                <w:lang w:eastAsia="ja-JP"/>
              </w:rPr>
              <w:t>026</w:t>
            </w:r>
            <w:r w:rsidRPr="001B6400">
              <w:rPr>
                <w:rFonts w:cs="Arial"/>
                <w:color w:val="000000"/>
                <w:szCs w:val="18"/>
                <w:vertAlign w:val="superscript"/>
                <w:lang w:eastAsia="ja-JP"/>
              </w:rPr>
              <w:t>cX</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174</w:t>
            </w:r>
          </w:p>
        </w:tc>
        <w:tc>
          <w:tcPr>
            <w:tcW w:w="1860" w:type="dxa"/>
            <w:tcBorders>
              <w:top w:val="nil"/>
              <w:left w:val="nil"/>
              <w:right w:val="nil"/>
            </w:tcBorders>
            <w:shd w:val="clear" w:color="FFFFFF" w:fill="FFFFFF"/>
            <w:noWrap/>
            <w:vAlign w:val="bottom"/>
            <w:hideMark/>
          </w:tcPr>
          <w:p w14:paraId="26F293EE" w14:textId="274B06F4"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372</w:t>
            </w:r>
            <w:r w:rsidR="009C6A05" w:rsidRPr="001B6400">
              <w:rPr>
                <w:rFonts w:cs="Arial"/>
                <w:color w:val="000000"/>
                <w:szCs w:val="18"/>
                <w:lang w:eastAsia="ja-JP"/>
              </w:rPr>
              <w:t>d</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265</w:t>
            </w:r>
          </w:p>
        </w:tc>
      </w:tr>
      <w:tr w:rsidR="00A314EB" w:rsidRPr="00A314EB" w14:paraId="5BF6C913" w14:textId="77777777" w:rsidTr="00BF0537">
        <w:tc>
          <w:tcPr>
            <w:tcW w:w="1860" w:type="dxa"/>
            <w:tcBorders>
              <w:top w:val="nil"/>
              <w:left w:val="nil"/>
              <w:bottom w:val="single" w:sz="12" w:space="0" w:color="4F6228" w:themeColor="accent3" w:themeShade="80"/>
              <w:right w:val="nil"/>
            </w:tcBorders>
            <w:shd w:val="clear" w:color="FFFFFF" w:fill="FFFFFF"/>
            <w:noWrap/>
            <w:vAlign w:val="bottom"/>
            <w:hideMark/>
          </w:tcPr>
          <w:p w14:paraId="0233B55D" w14:textId="77777777"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T5</w:t>
            </w:r>
          </w:p>
        </w:tc>
        <w:tc>
          <w:tcPr>
            <w:tcW w:w="1860" w:type="dxa"/>
            <w:tcBorders>
              <w:top w:val="nil"/>
              <w:left w:val="nil"/>
              <w:bottom w:val="single" w:sz="12" w:space="0" w:color="4F6228" w:themeColor="accent3" w:themeShade="80"/>
              <w:right w:val="nil"/>
            </w:tcBorders>
            <w:shd w:val="clear" w:color="FFFFFF" w:fill="FFFFFF"/>
            <w:noWrap/>
            <w:vAlign w:val="bottom"/>
            <w:hideMark/>
          </w:tcPr>
          <w:p w14:paraId="14C15AF9" w14:textId="74E1C668"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2</w:t>
            </w:r>
            <w:r w:rsidR="001B6400">
              <w:rPr>
                <w:rFonts w:cs="Arial"/>
                <w:color w:val="000000"/>
                <w:szCs w:val="18"/>
                <w:lang w:eastAsia="ja-JP"/>
              </w:rPr>
              <w:t>.</w:t>
            </w:r>
            <w:r w:rsidRPr="001B6400">
              <w:rPr>
                <w:rFonts w:cs="Arial"/>
                <w:color w:val="000000"/>
                <w:szCs w:val="18"/>
                <w:lang w:eastAsia="ja-JP"/>
              </w:rPr>
              <w:t>573</w:t>
            </w:r>
            <w:r w:rsidRPr="001B6400">
              <w:rPr>
                <w:rFonts w:cs="Arial"/>
                <w:color w:val="000000"/>
                <w:szCs w:val="18"/>
                <w:vertAlign w:val="superscript"/>
                <w:lang w:eastAsia="ja-JP"/>
              </w:rPr>
              <w:t>c</w:t>
            </w:r>
            <w:r w:rsidR="00235DE7" w:rsidRPr="001B6400">
              <w:rPr>
                <w:rFonts w:cs="Arial"/>
                <w:color w:val="000000"/>
                <w:szCs w:val="18"/>
                <w:vertAlign w:val="superscript"/>
                <w:lang w:eastAsia="ja-JP"/>
              </w:rPr>
              <w:t>d</w:t>
            </w:r>
            <w:r w:rsidRPr="001B6400">
              <w:rPr>
                <w:rFonts w:cs="Arial"/>
                <w:color w:val="000000"/>
                <w:szCs w:val="18"/>
                <w:vertAlign w:val="superscript"/>
                <w:lang w:eastAsia="ja-JP"/>
              </w:rPr>
              <w:t>eA</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043</w:t>
            </w:r>
          </w:p>
        </w:tc>
        <w:tc>
          <w:tcPr>
            <w:tcW w:w="1860" w:type="dxa"/>
            <w:tcBorders>
              <w:top w:val="nil"/>
              <w:left w:val="nil"/>
              <w:bottom w:val="single" w:sz="12" w:space="0" w:color="4F6228" w:themeColor="accent3" w:themeShade="80"/>
              <w:right w:val="nil"/>
            </w:tcBorders>
            <w:shd w:val="clear" w:color="FFFFFF" w:fill="auto"/>
            <w:noWrap/>
            <w:vAlign w:val="bottom"/>
            <w:hideMark/>
          </w:tcPr>
          <w:p w14:paraId="58CBC00D" w14:textId="1A67F4F9"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4</w:t>
            </w:r>
            <w:r w:rsidR="001B6400">
              <w:rPr>
                <w:rFonts w:cs="Arial"/>
                <w:color w:val="000000"/>
                <w:szCs w:val="18"/>
                <w:lang w:eastAsia="ja-JP"/>
              </w:rPr>
              <w:t>.</w:t>
            </w:r>
            <w:r w:rsidRPr="001B6400">
              <w:rPr>
                <w:rFonts w:cs="Arial"/>
                <w:color w:val="000000"/>
                <w:szCs w:val="18"/>
                <w:lang w:eastAsia="ja-JP"/>
              </w:rPr>
              <w:t>570</w:t>
            </w:r>
            <w:r w:rsidRPr="001B6400">
              <w:rPr>
                <w:rFonts w:cs="Arial"/>
                <w:color w:val="000000"/>
                <w:szCs w:val="18"/>
                <w:vertAlign w:val="superscript"/>
                <w:lang w:eastAsia="ja-JP"/>
              </w:rPr>
              <w:t>cB</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084</w:t>
            </w:r>
          </w:p>
        </w:tc>
        <w:tc>
          <w:tcPr>
            <w:tcW w:w="1860" w:type="dxa"/>
            <w:tcBorders>
              <w:top w:val="nil"/>
              <w:left w:val="nil"/>
              <w:bottom w:val="single" w:sz="12" w:space="0" w:color="4F6228" w:themeColor="accent3" w:themeShade="80"/>
              <w:right w:val="nil"/>
            </w:tcBorders>
            <w:shd w:val="clear" w:color="FFFFFF" w:fill="auto"/>
            <w:noWrap/>
            <w:vAlign w:val="bottom"/>
            <w:hideMark/>
          </w:tcPr>
          <w:p w14:paraId="1B93890B" w14:textId="53A0D26A"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0</w:t>
            </w:r>
            <w:r w:rsidR="001B6400">
              <w:rPr>
                <w:rFonts w:cs="Arial"/>
                <w:color w:val="000000"/>
                <w:szCs w:val="18"/>
                <w:lang w:eastAsia="ja-JP"/>
              </w:rPr>
              <w:t>.</w:t>
            </w:r>
            <w:r w:rsidRPr="001B6400">
              <w:rPr>
                <w:rFonts w:cs="Arial"/>
                <w:color w:val="000000"/>
                <w:szCs w:val="18"/>
                <w:lang w:eastAsia="ja-JP"/>
              </w:rPr>
              <w:t>973</w:t>
            </w:r>
            <w:r w:rsidRPr="001B6400">
              <w:rPr>
                <w:rFonts w:cs="Arial"/>
                <w:color w:val="000000"/>
                <w:szCs w:val="18"/>
                <w:vertAlign w:val="superscript"/>
                <w:lang w:eastAsia="ja-JP"/>
              </w:rPr>
              <w:t xml:space="preserve">cX </w:t>
            </w:r>
            <w:r w:rsidRPr="001B6400">
              <w:rPr>
                <w:rFonts w:cs="Arial"/>
                <w:color w:val="000000"/>
                <w:szCs w:val="18"/>
                <w:lang w:eastAsia="ja-JP"/>
              </w:rPr>
              <w:t>± 0</w:t>
            </w:r>
            <w:r w:rsidR="001B6400">
              <w:rPr>
                <w:rFonts w:cs="Arial"/>
                <w:color w:val="000000"/>
                <w:szCs w:val="18"/>
                <w:lang w:eastAsia="ja-JP"/>
              </w:rPr>
              <w:t>.</w:t>
            </w:r>
            <w:r w:rsidRPr="001B6400">
              <w:rPr>
                <w:rFonts w:cs="Arial"/>
                <w:color w:val="000000"/>
                <w:szCs w:val="18"/>
                <w:lang w:eastAsia="ja-JP"/>
              </w:rPr>
              <w:t>144</w:t>
            </w:r>
          </w:p>
        </w:tc>
        <w:tc>
          <w:tcPr>
            <w:tcW w:w="1860" w:type="dxa"/>
            <w:tcBorders>
              <w:top w:val="nil"/>
              <w:left w:val="nil"/>
              <w:bottom w:val="single" w:sz="12" w:space="0" w:color="4F6228" w:themeColor="accent3" w:themeShade="80"/>
              <w:right w:val="nil"/>
            </w:tcBorders>
            <w:shd w:val="clear" w:color="FFFFFF" w:fill="FFFFFF"/>
            <w:noWrap/>
            <w:vAlign w:val="bottom"/>
            <w:hideMark/>
          </w:tcPr>
          <w:p w14:paraId="05FD2811" w14:textId="1DAC9879" w:rsidR="00A314EB" w:rsidRPr="001B6400" w:rsidRDefault="00A314EB" w:rsidP="00BF0537">
            <w:pPr>
              <w:tabs>
                <w:tab w:val="clear" w:pos="7100"/>
              </w:tabs>
              <w:spacing w:line="240" w:lineRule="atLeast"/>
              <w:jc w:val="left"/>
              <w:rPr>
                <w:rFonts w:cs="Arial"/>
                <w:color w:val="000000"/>
                <w:szCs w:val="18"/>
                <w:lang w:eastAsia="ja-JP"/>
              </w:rPr>
            </w:pPr>
            <w:r w:rsidRPr="001B6400">
              <w:rPr>
                <w:rFonts w:cs="Arial"/>
                <w:color w:val="000000"/>
                <w:szCs w:val="18"/>
                <w:lang w:eastAsia="ja-JP"/>
              </w:rPr>
              <w:t>1</w:t>
            </w:r>
            <w:r w:rsidR="001B6400">
              <w:rPr>
                <w:rFonts w:cs="Arial"/>
                <w:color w:val="000000"/>
                <w:szCs w:val="18"/>
                <w:lang w:eastAsia="ja-JP"/>
              </w:rPr>
              <w:t>.</w:t>
            </w:r>
            <w:r w:rsidRPr="001B6400">
              <w:rPr>
                <w:rFonts w:cs="Arial"/>
                <w:color w:val="000000"/>
                <w:szCs w:val="18"/>
                <w:lang w:eastAsia="ja-JP"/>
              </w:rPr>
              <w:t>514</w:t>
            </w:r>
            <w:r w:rsidR="009C6A05" w:rsidRPr="001B6400">
              <w:rPr>
                <w:rFonts w:cs="Arial"/>
                <w:color w:val="000000"/>
                <w:szCs w:val="18"/>
                <w:vertAlign w:val="superscript"/>
                <w:lang w:eastAsia="ja-JP"/>
              </w:rPr>
              <w:t>c</w:t>
            </w:r>
            <w:r w:rsidRPr="001B6400">
              <w:rPr>
                <w:rFonts w:cs="Arial"/>
                <w:color w:val="000000"/>
                <w:szCs w:val="18"/>
                <w:vertAlign w:val="superscript"/>
                <w:lang w:eastAsia="ja-JP"/>
              </w:rPr>
              <w:t>X</w:t>
            </w:r>
            <w:r w:rsidRPr="001B6400">
              <w:rPr>
                <w:rFonts w:cs="Arial"/>
                <w:color w:val="000000"/>
                <w:szCs w:val="18"/>
                <w:lang w:eastAsia="ja-JP"/>
              </w:rPr>
              <w:t xml:space="preserve"> ± 0</w:t>
            </w:r>
            <w:r w:rsidR="001B6400">
              <w:rPr>
                <w:rFonts w:cs="Arial"/>
                <w:color w:val="000000"/>
                <w:szCs w:val="18"/>
                <w:lang w:eastAsia="ja-JP"/>
              </w:rPr>
              <w:t>.</w:t>
            </w:r>
            <w:r w:rsidRPr="001B6400">
              <w:rPr>
                <w:rFonts w:cs="Arial"/>
                <w:color w:val="000000"/>
                <w:szCs w:val="18"/>
                <w:lang w:eastAsia="ja-JP"/>
              </w:rPr>
              <w:t>333</w:t>
            </w:r>
          </w:p>
        </w:tc>
      </w:tr>
    </w:tbl>
    <w:p w14:paraId="280501A9" w14:textId="160C493A" w:rsidR="001B6400" w:rsidRPr="00896F11" w:rsidRDefault="00E3554E" w:rsidP="004250D5">
      <w:r w:rsidRPr="00E3554E">
        <w:t>Me</w:t>
      </w:r>
      <w:r>
        <w:t>an</w:t>
      </w:r>
      <w:r w:rsidRPr="00E3554E">
        <w:t xml:space="preserve"> ± standard deviation followed by the same lowercase letter do not differ statistically from each other in the same column (p&gt; 0.05). </w:t>
      </w:r>
      <w:r>
        <w:t>Mean</w:t>
      </w:r>
      <w:r w:rsidRPr="00E3554E">
        <w:t xml:space="preserve"> ± standard deviation followed by the same capital letter do not differ statistically from each other on the same </w:t>
      </w:r>
      <w:r>
        <w:t>row</w:t>
      </w:r>
      <w:r w:rsidRPr="00E3554E">
        <w:t xml:space="preserve"> (p&gt; 0.05) for each parameter (moisture or lipids)</w:t>
      </w:r>
      <w:r w:rsidR="00253282">
        <w:t xml:space="preserve"> — m</w:t>
      </w:r>
      <w:r>
        <w:t>oisture</w:t>
      </w:r>
      <w:r w:rsidR="007334CA">
        <w:t xml:space="preserve"> and lipids</w:t>
      </w:r>
      <w:r w:rsidRPr="00E3554E">
        <w:t xml:space="preserve"> in g/100g. P0 represents day 0</w:t>
      </w:r>
      <w:r w:rsidR="003D32A4">
        <w:t>,</w:t>
      </w:r>
      <w:r w:rsidRPr="00E3554E">
        <w:t xml:space="preserve"> and P30 represents 30 days storage</w:t>
      </w:r>
      <w:r w:rsidR="0099722B">
        <w:t>, f</w:t>
      </w:r>
      <w:r w:rsidRPr="00E3554E">
        <w:t>or treatments see Table 1.</w:t>
      </w:r>
    </w:p>
    <w:p w14:paraId="0CD1DD70" w14:textId="77777777" w:rsidR="00521379" w:rsidRDefault="00521379" w:rsidP="004D71A9">
      <w:pPr>
        <w:pStyle w:val="CETBodytext"/>
        <w:rPr>
          <w:lang w:val="en-GB"/>
        </w:rPr>
      </w:pPr>
    </w:p>
    <w:p w14:paraId="3E5D1016" w14:textId="06DA8478" w:rsidR="00521379" w:rsidRPr="00521379" w:rsidRDefault="00521379" w:rsidP="004D71A9">
      <w:pPr>
        <w:pStyle w:val="CETBodytext"/>
        <w:rPr>
          <w:lang w:val="en-GB"/>
        </w:rPr>
      </w:pPr>
      <w:r>
        <w:rPr>
          <w:lang w:val="en-GB"/>
        </w:rPr>
        <w:t>R</w:t>
      </w:r>
      <w:r w:rsidRPr="00521379">
        <w:rPr>
          <w:lang w:val="en-GB"/>
        </w:rPr>
        <w:t xml:space="preserve">adial expansion index varied between 4.33 and 4.66, corroborating the results obtained by MONTEIRO et al. (2016) (4.27 to 4.44) and PINTO et al. (2015) (4.33 to 4.43), therefore suitable for this type of product. </w:t>
      </w:r>
      <w:r>
        <w:rPr>
          <w:lang w:val="en-GB"/>
        </w:rPr>
        <w:t>S</w:t>
      </w:r>
      <w:r w:rsidRPr="00521379">
        <w:rPr>
          <w:lang w:val="en-GB"/>
        </w:rPr>
        <w:t>pecific volume (V.E.)</w:t>
      </w:r>
      <w:r>
        <w:rPr>
          <w:lang w:val="en-GB"/>
        </w:rPr>
        <w:t xml:space="preserve"> results</w:t>
      </w:r>
      <w:r w:rsidRPr="00521379">
        <w:rPr>
          <w:lang w:val="en-GB"/>
        </w:rPr>
        <w:t>, bulk density (D.A.) and retraction index (I.R.) are shown in Table 3. There was no effect of the coating addition in the V.E. and I.R. of corn snacks (p&gt; 0.05), regardless</w:t>
      </w:r>
      <w:r w:rsidR="00580957">
        <w:rPr>
          <w:lang w:val="en-GB"/>
        </w:rPr>
        <w:t xml:space="preserve"> of</w:t>
      </w:r>
      <w:r w:rsidRPr="00521379">
        <w:rPr>
          <w:lang w:val="en-GB"/>
        </w:rPr>
        <w:t xml:space="preserve"> </w:t>
      </w:r>
      <w:r>
        <w:rPr>
          <w:lang w:val="en-GB"/>
        </w:rPr>
        <w:t>the coating type</w:t>
      </w:r>
      <w:r w:rsidRPr="00521379">
        <w:rPr>
          <w:lang w:val="en-GB"/>
        </w:rPr>
        <w:t xml:space="preserve">. </w:t>
      </w:r>
      <w:r>
        <w:rPr>
          <w:lang w:val="en-GB"/>
        </w:rPr>
        <w:t>Hence</w:t>
      </w:r>
      <w:r w:rsidRPr="00521379">
        <w:rPr>
          <w:lang w:val="en-GB"/>
        </w:rPr>
        <w:t xml:space="preserve">, the use of the waxy starch and/or guar gum </w:t>
      </w:r>
      <w:r>
        <w:rPr>
          <w:lang w:val="en-GB"/>
        </w:rPr>
        <w:t>coating</w:t>
      </w:r>
      <w:r w:rsidRPr="00521379">
        <w:rPr>
          <w:lang w:val="en-GB"/>
        </w:rPr>
        <w:t xml:space="preserve"> results in products with V.E. and similar I.R (p&gt; 0.05) to the vegetable oil-based product. According to SOARES JÚNIOR et al</w:t>
      </w:r>
      <w:r w:rsidR="003D32A4">
        <w:rPr>
          <w:lang w:val="en-GB"/>
        </w:rPr>
        <w:t>.</w:t>
      </w:r>
      <w:r w:rsidRPr="00521379">
        <w:rPr>
          <w:lang w:val="en-GB"/>
        </w:rPr>
        <w:t xml:space="preserve"> (2011) and MESQUITA et al. (2013), the specific volume is directly related to the product expansion, </w:t>
      </w:r>
      <w:r>
        <w:rPr>
          <w:lang w:val="en-GB"/>
        </w:rPr>
        <w:t>being</w:t>
      </w:r>
      <w:r w:rsidRPr="00521379">
        <w:rPr>
          <w:lang w:val="en-GB"/>
        </w:rPr>
        <w:t xml:space="preserve"> the </w:t>
      </w:r>
      <w:bookmarkStart w:id="0" w:name="_GoBack"/>
      <w:bookmarkEnd w:id="0"/>
      <w:r w:rsidR="00D24AF4">
        <w:rPr>
          <w:lang w:val="en-GB"/>
        </w:rPr>
        <w:t>primary</w:t>
      </w:r>
      <w:r w:rsidRPr="00521379">
        <w:rPr>
          <w:lang w:val="en-GB"/>
        </w:rPr>
        <w:t xml:space="preserve"> performance index in the extrusion of expanded foods, thus, the degree of expansion is an </w:t>
      </w:r>
      <w:r w:rsidR="00902630">
        <w:rPr>
          <w:lang w:val="en-GB"/>
        </w:rPr>
        <w:t>essential</w:t>
      </w:r>
      <w:r w:rsidRPr="00521379">
        <w:rPr>
          <w:lang w:val="en-GB"/>
        </w:rPr>
        <w:t xml:space="preserve"> factor to be monitored in the production of extruded snacks, mainly due to its influence on the weight and volume of the packages.</w:t>
      </w:r>
    </w:p>
    <w:p w14:paraId="26301330" w14:textId="0E4D5362" w:rsidR="00833FD3" w:rsidRPr="00833FD3" w:rsidRDefault="00833FD3" w:rsidP="00833FD3">
      <w:pPr>
        <w:pStyle w:val="CETBodytext"/>
        <w:rPr>
          <w:lang w:val="en-GB"/>
        </w:rPr>
      </w:pPr>
      <w:r w:rsidRPr="00833FD3">
        <w:rPr>
          <w:lang w:val="en-GB"/>
        </w:rPr>
        <w:t xml:space="preserve">D.A. increased with the addition of the coating (p≤0.05), regardless of the material used (vegetable oil, starch and/or guar gum). </w:t>
      </w:r>
      <w:r w:rsidR="0079794E">
        <w:rPr>
          <w:lang w:val="en-GB"/>
        </w:rPr>
        <w:t>A</w:t>
      </w:r>
      <w:r w:rsidRPr="00833FD3">
        <w:rPr>
          <w:lang w:val="en-GB"/>
        </w:rPr>
        <w:t xml:space="preserve">pparent density is one of the most important parameters in extruded snacks and represents the expansion of the products in all directions, being directly proportional to the </w:t>
      </w:r>
      <w:r w:rsidR="0079794E">
        <w:rPr>
          <w:lang w:val="en-GB"/>
        </w:rPr>
        <w:t xml:space="preserve">product </w:t>
      </w:r>
      <w:r w:rsidRPr="00833FD3">
        <w:rPr>
          <w:lang w:val="en-GB"/>
        </w:rPr>
        <w:t>moisture (HAN E TRAN., 2018). In fact, th</w:t>
      </w:r>
      <w:r w:rsidR="0079794E">
        <w:rPr>
          <w:lang w:val="en-GB"/>
        </w:rPr>
        <w:t xml:space="preserve">e coated treatments </w:t>
      </w:r>
      <w:r w:rsidRPr="00833FD3">
        <w:rPr>
          <w:lang w:val="en-GB"/>
        </w:rPr>
        <w:t xml:space="preserve">(TC1 and T1-T5) presented higher </w:t>
      </w:r>
      <w:r w:rsidR="0079794E">
        <w:rPr>
          <w:lang w:val="en-GB"/>
        </w:rPr>
        <w:t>moisture</w:t>
      </w:r>
      <w:r w:rsidRPr="00833FD3">
        <w:rPr>
          <w:lang w:val="en-GB"/>
        </w:rPr>
        <w:t xml:space="preserve"> (Table 2) and, consequently, higher bulk density</w:t>
      </w:r>
      <w:r w:rsidRPr="0079794E">
        <w:rPr>
          <w:lang w:val="en-GB"/>
        </w:rPr>
        <w:t xml:space="preserve">. The use </w:t>
      </w:r>
      <w:r w:rsidRPr="00833FD3">
        <w:rPr>
          <w:lang w:val="en-GB"/>
        </w:rPr>
        <w:t xml:space="preserve">of the waxy </w:t>
      </w:r>
      <w:r w:rsidRPr="003A1DAC">
        <w:rPr>
          <w:lang w:val="en-GB"/>
        </w:rPr>
        <w:t xml:space="preserve">starch and/or guar gum </w:t>
      </w:r>
      <w:r w:rsidR="0079794E" w:rsidRPr="003A1DAC">
        <w:rPr>
          <w:lang w:val="en-GB"/>
        </w:rPr>
        <w:t>coating</w:t>
      </w:r>
      <w:r w:rsidRPr="003A1DAC">
        <w:rPr>
          <w:lang w:val="en-GB"/>
        </w:rPr>
        <w:t xml:space="preserve"> resulted in products with similar D.A. </w:t>
      </w:r>
      <w:r w:rsidRPr="003A1DAC">
        <w:rPr>
          <w:lang w:val="en-GB"/>
        </w:rPr>
        <w:lastRenderedPageBreak/>
        <w:t xml:space="preserve">(p&gt; 0.05) to the vegetable </w:t>
      </w:r>
      <w:r w:rsidR="0079794E" w:rsidRPr="003A1DAC">
        <w:rPr>
          <w:lang w:val="en-GB"/>
        </w:rPr>
        <w:t>oil-based</w:t>
      </w:r>
      <w:r w:rsidRPr="003A1DAC">
        <w:rPr>
          <w:lang w:val="en-GB"/>
        </w:rPr>
        <w:t xml:space="preserve"> product. The </w:t>
      </w:r>
      <w:r w:rsidRPr="00833FD3">
        <w:rPr>
          <w:lang w:val="en-GB"/>
        </w:rPr>
        <w:t xml:space="preserve">maintenance of V.E., I.R and D.A. with starch and/or guar gum </w:t>
      </w:r>
      <w:proofErr w:type="gramStart"/>
      <w:r w:rsidRPr="00833FD3">
        <w:rPr>
          <w:lang w:val="en-GB"/>
        </w:rPr>
        <w:t>similar to</w:t>
      </w:r>
      <w:proofErr w:type="gramEnd"/>
      <w:r w:rsidRPr="00833FD3">
        <w:rPr>
          <w:lang w:val="en-GB"/>
        </w:rPr>
        <w:t xml:space="preserve"> that of the product with oil in the coating is </w:t>
      </w:r>
      <w:r w:rsidR="0079794E">
        <w:rPr>
          <w:lang w:val="en-GB"/>
        </w:rPr>
        <w:t>crucial</w:t>
      </w:r>
      <w:r w:rsidRPr="00833FD3">
        <w:rPr>
          <w:lang w:val="en-GB"/>
        </w:rPr>
        <w:t xml:space="preserve"> </w:t>
      </w:r>
      <w:r w:rsidR="0099722B">
        <w:rPr>
          <w:lang w:val="en-GB"/>
        </w:rPr>
        <w:t>while</w:t>
      </w:r>
      <w:r w:rsidRPr="00833FD3">
        <w:rPr>
          <w:lang w:val="en-GB"/>
        </w:rPr>
        <w:t xml:space="preserve"> indicates that important quality parameters of this type of product are maintained.</w:t>
      </w:r>
    </w:p>
    <w:p w14:paraId="57D8F06C" w14:textId="57FB40ED" w:rsidR="004D71A9" w:rsidRPr="003D4FAF" w:rsidRDefault="00833FD3" w:rsidP="004D71A9">
      <w:pPr>
        <w:pStyle w:val="CETBodytext"/>
        <w:rPr>
          <w:lang w:val="en-GB"/>
        </w:rPr>
      </w:pPr>
      <w:r w:rsidRPr="00833FD3">
        <w:rPr>
          <w:lang w:val="en-GB"/>
        </w:rPr>
        <w:t xml:space="preserve">The addition of vegetable oil cover (TC1) </w:t>
      </w:r>
      <w:r w:rsidR="00373530">
        <w:rPr>
          <w:lang w:val="en-GB"/>
        </w:rPr>
        <w:t>did not influence</w:t>
      </w:r>
      <w:r w:rsidRPr="00833FD3">
        <w:rPr>
          <w:lang w:val="en-GB"/>
        </w:rPr>
        <w:t xml:space="preserve"> the agglomeration index (IA) of the snacks. </w:t>
      </w:r>
      <w:r w:rsidR="0079794E">
        <w:rPr>
          <w:lang w:val="en-GB"/>
        </w:rPr>
        <w:t>W</w:t>
      </w:r>
      <w:r w:rsidRPr="00833FD3">
        <w:rPr>
          <w:lang w:val="en-GB"/>
        </w:rPr>
        <w:t xml:space="preserve">axy starch </w:t>
      </w:r>
      <w:r w:rsidR="0079794E">
        <w:rPr>
          <w:lang w:val="en-GB"/>
        </w:rPr>
        <w:t xml:space="preserve">addition </w:t>
      </w:r>
      <w:r w:rsidRPr="00833FD3">
        <w:rPr>
          <w:lang w:val="en-GB"/>
        </w:rPr>
        <w:t xml:space="preserve">caused an increase in this parameter. </w:t>
      </w:r>
      <w:r w:rsidR="0079794E">
        <w:rPr>
          <w:lang w:val="en-GB"/>
        </w:rPr>
        <w:t>Furthermore</w:t>
      </w:r>
      <w:r w:rsidRPr="00833FD3">
        <w:rPr>
          <w:lang w:val="en-GB"/>
        </w:rPr>
        <w:t xml:space="preserve">, as the amount of guar gum in the formulation of the </w:t>
      </w:r>
      <w:r w:rsidR="00886417">
        <w:rPr>
          <w:lang w:val="en-GB"/>
        </w:rPr>
        <w:t xml:space="preserve">coating </w:t>
      </w:r>
      <w:r w:rsidRPr="00833FD3">
        <w:rPr>
          <w:lang w:val="en-GB"/>
        </w:rPr>
        <w:t xml:space="preserve">increased, the lumps </w:t>
      </w:r>
      <w:r w:rsidR="0079794E">
        <w:rPr>
          <w:lang w:val="en-GB"/>
        </w:rPr>
        <w:t xml:space="preserve">count </w:t>
      </w:r>
      <w:r w:rsidRPr="00833FD3">
        <w:rPr>
          <w:lang w:val="en-GB"/>
        </w:rPr>
        <w:t>formed in the snacks</w:t>
      </w:r>
      <w:r w:rsidR="0079794E">
        <w:rPr>
          <w:lang w:val="en-GB"/>
        </w:rPr>
        <w:t xml:space="preserve"> </w:t>
      </w:r>
      <w:r w:rsidRPr="00833FD3">
        <w:rPr>
          <w:lang w:val="en-GB"/>
        </w:rPr>
        <w:t xml:space="preserve">gradually increased, showing </w:t>
      </w:r>
      <w:r w:rsidR="00886417">
        <w:rPr>
          <w:lang w:val="en-GB"/>
        </w:rPr>
        <w:t>irregularities to</w:t>
      </w:r>
      <w:r w:rsidRPr="00833FD3">
        <w:rPr>
          <w:lang w:val="en-GB"/>
        </w:rPr>
        <w:t xml:space="preserve"> the</w:t>
      </w:r>
      <w:r w:rsidR="00886417">
        <w:rPr>
          <w:lang w:val="en-GB"/>
        </w:rPr>
        <w:t xml:space="preserve"> final product’s</w:t>
      </w:r>
      <w:r w:rsidRPr="00833FD3">
        <w:rPr>
          <w:lang w:val="en-GB"/>
        </w:rPr>
        <w:t xml:space="preserve"> visual presentation. </w:t>
      </w:r>
      <w:r w:rsidRPr="0079794E">
        <w:rPr>
          <w:lang w:val="en-GB"/>
        </w:rPr>
        <w:t>Agglomeration is a defect in extruded snacks.</w:t>
      </w:r>
    </w:p>
    <w:p w14:paraId="66C2DDDF" w14:textId="641902A1" w:rsidR="00CE1734" w:rsidRPr="003D4FAF" w:rsidRDefault="00CE1734" w:rsidP="00B77983">
      <w:pPr>
        <w:pStyle w:val="CETTabletitle"/>
      </w:pPr>
      <w:r w:rsidRPr="003D4FAF">
        <w:t>Table 3. Specific Volume (V.E), Apparent Density (D.A.), Retraction Index (I.R.) and Agglomeration Index (I.A)</w:t>
      </w:r>
      <w:r w:rsidR="0058558A">
        <w:t xml:space="preserve"> results</w:t>
      </w:r>
      <w:r w:rsidRPr="003D4FAF">
        <w:t>.</w:t>
      </w:r>
    </w:p>
    <w:tbl>
      <w:tblPr>
        <w:tblW w:w="9300" w:type="dxa"/>
        <w:tblInd w:w="55" w:type="dxa"/>
        <w:tblCellMar>
          <w:left w:w="70" w:type="dxa"/>
          <w:right w:w="70" w:type="dxa"/>
        </w:tblCellMar>
        <w:tblLook w:val="04A0" w:firstRow="1" w:lastRow="0" w:firstColumn="1" w:lastColumn="0" w:noHBand="0" w:noVBand="1"/>
      </w:tblPr>
      <w:tblGrid>
        <w:gridCol w:w="1860"/>
        <w:gridCol w:w="1860"/>
        <w:gridCol w:w="1860"/>
        <w:gridCol w:w="1860"/>
        <w:gridCol w:w="1860"/>
      </w:tblGrid>
      <w:tr w:rsidR="00436289" w:rsidRPr="003D4FAF" w14:paraId="3F8F2CFC" w14:textId="77777777" w:rsidTr="0027726C">
        <w:tc>
          <w:tcPr>
            <w:tcW w:w="186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7ADA726C" w14:textId="30B786AD"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Tr</w:t>
            </w:r>
            <w:r w:rsidR="00CE1734" w:rsidRPr="003D4FAF">
              <w:rPr>
                <w:rFonts w:cs="Arial"/>
                <w:color w:val="000000"/>
                <w:szCs w:val="18"/>
                <w:lang w:eastAsia="ja-JP"/>
              </w:rPr>
              <w:t>eatment</w:t>
            </w:r>
          </w:p>
        </w:tc>
        <w:tc>
          <w:tcPr>
            <w:tcW w:w="186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29649385" w14:textId="7AE22DCA"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V. E. (m</w:t>
            </w:r>
            <w:r w:rsidR="00AE3EA6" w:rsidRPr="003D4FAF">
              <w:rPr>
                <w:rFonts w:cs="Arial"/>
                <w:color w:val="000000"/>
                <w:szCs w:val="18"/>
                <w:lang w:eastAsia="ja-JP"/>
              </w:rPr>
              <w:t>L</w:t>
            </w:r>
            <w:r w:rsidRPr="003D4FAF">
              <w:rPr>
                <w:rFonts w:cs="Arial"/>
                <w:color w:val="000000"/>
                <w:szCs w:val="18"/>
                <w:lang w:eastAsia="ja-JP"/>
              </w:rPr>
              <w:t>/g)</w:t>
            </w:r>
          </w:p>
        </w:tc>
        <w:tc>
          <w:tcPr>
            <w:tcW w:w="186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127C1994"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D.A. (g/L)</w:t>
            </w:r>
          </w:p>
        </w:tc>
        <w:tc>
          <w:tcPr>
            <w:tcW w:w="186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3DEE0873"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I.R.</w:t>
            </w:r>
          </w:p>
        </w:tc>
        <w:tc>
          <w:tcPr>
            <w:tcW w:w="186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6FC6FAC4" w14:textId="2D58E6A8" w:rsidR="00436289" w:rsidRPr="003D4FAF" w:rsidRDefault="00436289" w:rsidP="0027726C">
            <w:pPr>
              <w:tabs>
                <w:tab w:val="clear" w:pos="7100"/>
              </w:tabs>
              <w:spacing w:line="240" w:lineRule="atLeast"/>
              <w:jc w:val="left"/>
              <w:rPr>
                <w:rFonts w:cs="Arial"/>
                <w:color w:val="000000"/>
                <w:szCs w:val="18"/>
                <w:lang w:eastAsia="ja-JP"/>
              </w:rPr>
            </w:pPr>
            <w:proofErr w:type="gramStart"/>
            <w:r w:rsidRPr="003D4FAF">
              <w:rPr>
                <w:rFonts w:cs="Arial"/>
                <w:color w:val="000000"/>
                <w:szCs w:val="18"/>
                <w:lang w:eastAsia="ja-JP"/>
              </w:rPr>
              <w:t>IA(</w:t>
            </w:r>
            <w:proofErr w:type="gramEnd"/>
            <w:r w:rsidRPr="003D4FAF">
              <w:rPr>
                <w:rFonts w:cs="Arial"/>
                <w:color w:val="000000"/>
                <w:szCs w:val="18"/>
                <w:lang w:eastAsia="ja-JP"/>
              </w:rPr>
              <w:t>uni</w:t>
            </w:r>
            <w:r w:rsidR="006B0AEF">
              <w:rPr>
                <w:rFonts w:cs="Arial"/>
                <w:color w:val="000000"/>
                <w:szCs w:val="18"/>
                <w:lang w:eastAsia="ja-JP"/>
              </w:rPr>
              <w:t>t</w:t>
            </w:r>
            <w:r w:rsidRPr="003D4FAF">
              <w:rPr>
                <w:rFonts w:cs="Arial"/>
                <w:color w:val="000000"/>
                <w:szCs w:val="18"/>
                <w:lang w:eastAsia="ja-JP"/>
              </w:rPr>
              <w:t>.)</w:t>
            </w:r>
          </w:p>
        </w:tc>
      </w:tr>
      <w:tr w:rsidR="00436289" w:rsidRPr="003D4FAF" w14:paraId="5B121C95" w14:textId="77777777" w:rsidTr="0027726C">
        <w:tc>
          <w:tcPr>
            <w:tcW w:w="1860" w:type="dxa"/>
            <w:tcBorders>
              <w:top w:val="single" w:sz="8" w:space="0" w:color="4F6228" w:themeColor="accent3" w:themeShade="80"/>
              <w:left w:val="nil"/>
              <w:bottom w:val="nil"/>
              <w:right w:val="nil"/>
            </w:tcBorders>
            <w:shd w:val="clear" w:color="auto" w:fill="auto"/>
            <w:noWrap/>
            <w:vAlign w:val="bottom"/>
            <w:hideMark/>
          </w:tcPr>
          <w:p w14:paraId="72BD9C15"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TC0</w:t>
            </w:r>
          </w:p>
        </w:tc>
        <w:tc>
          <w:tcPr>
            <w:tcW w:w="1860" w:type="dxa"/>
            <w:tcBorders>
              <w:top w:val="single" w:sz="8" w:space="0" w:color="4F6228" w:themeColor="accent3" w:themeShade="80"/>
              <w:left w:val="nil"/>
              <w:bottom w:val="nil"/>
              <w:right w:val="nil"/>
            </w:tcBorders>
            <w:shd w:val="clear" w:color="auto" w:fill="auto"/>
            <w:noWrap/>
            <w:vAlign w:val="bottom"/>
            <w:hideMark/>
          </w:tcPr>
          <w:p w14:paraId="6F19B7FA" w14:textId="68BDDD84"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16</w:t>
            </w:r>
            <w:r w:rsidR="00CE1734" w:rsidRPr="003D4FAF">
              <w:rPr>
                <w:rFonts w:cs="Arial"/>
                <w:color w:val="000000"/>
                <w:szCs w:val="18"/>
                <w:lang w:eastAsia="ja-JP"/>
              </w:rPr>
              <w:t>.</w:t>
            </w:r>
            <w:r w:rsidRPr="003D4FAF">
              <w:rPr>
                <w:rFonts w:cs="Arial"/>
                <w:color w:val="000000"/>
                <w:szCs w:val="18"/>
                <w:lang w:eastAsia="ja-JP"/>
              </w:rPr>
              <w:t>83 ± 0</w:t>
            </w:r>
            <w:r w:rsidR="00CE1734" w:rsidRPr="003D4FAF">
              <w:rPr>
                <w:rFonts w:cs="Arial"/>
                <w:color w:val="000000"/>
                <w:szCs w:val="18"/>
                <w:lang w:eastAsia="ja-JP"/>
              </w:rPr>
              <w:t>.</w:t>
            </w:r>
            <w:r w:rsidRPr="003D4FAF">
              <w:rPr>
                <w:rFonts w:cs="Arial"/>
                <w:color w:val="000000"/>
                <w:szCs w:val="18"/>
                <w:lang w:eastAsia="ja-JP"/>
              </w:rPr>
              <w:t>83</w:t>
            </w:r>
            <w:r w:rsidRPr="003D4FAF">
              <w:rPr>
                <w:rFonts w:cs="Arial"/>
                <w:color w:val="000000"/>
                <w:szCs w:val="18"/>
                <w:vertAlign w:val="superscript"/>
                <w:lang w:eastAsia="ja-JP"/>
              </w:rPr>
              <w:t>a</w:t>
            </w:r>
          </w:p>
        </w:tc>
        <w:tc>
          <w:tcPr>
            <w:tcW w:w="1860" w:type="dxa"/>
            <w:tcBorders>
              <w:top w:val="single" w:sz="8" w:space="0" w:color="4F6228" w:themeColor="accent3" w:themeShade="80"/>
              <w:left w:val="nil"/>
              <w:bottom w:val="nil"/>
              <w:right w:val="nil"/>
            </w:tcBorders>
            <w:shd w:val="clear" w:color="auto" w:fill="auto"/>
            <w:noWrap/>
            <w:vAlign w:val="bottom"/>
            <w:hideMark/>
          </w:tcPr>
          <w:p w14:paraId="48B3F6D1" w14:textId="313FF2D3"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42</w:t>
            </w:r>
            <w:r w:rsidR="00CE1734" w:rsidRPr="003D4FAF">
              <w:rPr>
                <w:rFonts w:cs="Arial"/>
                <w:color w:val="000000"/>
                <w:szCs w:val="18"/>
                <w:lang w:eastAsia="ja-JP"/>
              </w:rPr>
              <w:t>.</w:t>
            </w:r>
            <w:r w:rsidRPr="003D4FAF">
              <w:rPr>
                <w:rFonts w:cs="Arial"/>
                <w:color w:val="000000"/>
                <w:szCs w:val="18"/>
                <w:lang w:eastAsia="ja-JP"/>
              </w:rPr>
              <w:t>31 ± 1</w:t>
            </w:r>
            <w:r w:rsidR="00CE1734" w:rsidRPr="003D4FAF">
              <w:rPr>
                <w:rFonts w:cs="Arial"/>
                <w:color w:val="000000"/>
                <w:szCs w:val="18"/>
                <w:lang w:eastAsia="ja-JP"/>
              </w:rPr>
              <w:t>.</w:t>
            </w:r>
            <w:r w:rsidRPr="003D4FAF">
              <w:rPr>
                <w:rFonts w:cs="Arial"/>
                <w:color w:val="000000"/>
                <w:szCs w:val="18"/>
                <w:lang w:eastAsia="ja-JP"/>
              </w:rPr>
              <w:t>29</w:t>
            </w:r>
            <w:r w:rsidRPr="003D4FAF">
              <w:rPr>
                <w:rFonts w:cs="Arial"/>
                <w:color w:val="000000"/>
                <w:szCs w:val="18"/>
                <w:vertAlign w:val="superscript"/>
                <w:lang w:eastAsia="ja-JP"/>
              </w:rPr>
              <w:t>a</w:t>
            </w:r>
          </w:p>
        </w:tc>
        <w:tc>
          <w:tcPr>
            <w:tcW w:w="1860" w:type="dxa"/>
            <w:tcBorders>
              <w:top w:val="single" w:sz="8" w:space="0" w:color="4F6228" w:themeColor="accent3" w:themeShade="80"/>
              <w:left w:val="nil"/>
              <w:bottom w:val="nil"/>
              <w:right w:val="nil"/>
            </w:tcBorders>
            <w:shd w:val="clear" w:color="auto" w:fill="auto"/>
            <w:noWrap/>
            <w:vAlign w:val="bottom"/>
            <w:hideMark/>
          </w:tcPr>
          <w:p w14:paraId="3B1099A6" w14:textId="59459743"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 ± 0</w:t>
            </w:r>
            <w:r w:rsidR="005C1C20">
              <w:rPr>
                <w:rFonts w:cs="Arial"/>
                <w:color w:val="000000"/>
                <w:szCs w:val="18"/>
                <w:lang w:eastAsia="ja-JP"/>
              </w:rPr>
              <w:t>.00</w:t>
            </w:r>
            <w:r w:rsidRPr="003D4FAF">
              <w:rPr>
                <w:rFonts w:cs="Arial"/>
                <w:color w:val="000000"/>
                <w:szCs w:val="18"/>
                <w:vertAlign w:val="superscript"/>
                <w:lang w:eastAsia="ja-JP"/>
              </w:rPr>
              <w:t>a</w:t>
            </w:r>
          </w:p>
        </w:tc>
        <w:tc>
          <w:tcPr>
            <w:tcW w:w="1860" w:type="dxa"/>
            <w:tcBorders>
              <w:top w:val="single" w:sz="8" w:space="0" w:color="4F6228" w:themeColor="accent3" w:themeShade="80"/>
              <w:left w:val="nil"/>
              <w:bottom w:val="nil"/>
              <w:right w:val="nil"/>
            </w:tcBorders>
            <w:shd w:val="clear" w:color="auto" w:fill="auto"/>
            <w:noWrap/>
            <w:vAlign w:val="bottom"/>
            <w:hideMark/>
          </w:tcPr>
          <w:p w14:paraId="06E35A76" w14:textId="788616F1"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000</w:t>
            </w:r>
          </w:p>
        </w:tc>
      </w:tr>
      <w:tr w:rsidR="00436289" w:rsidRPr="003D4FAF" w14:paraId="324DE99D" w14:textId="77777777" w:rsidTr="005C1C20">
        <w:tc>
          <w:tcPr>
            <w:tcW w:w="1860" w:type="dxa"/>
            <w:tcBorders>
              <w:top w:val="nil"/>
              <w:left w:val="nil"/>
              <w:bottom w:val="nil"/>
              <w:right w:val="nil"/>
            </w:tcBorders>
            <w:shd w:val="clear" w:color="auto" w:fill="auto"/>
            <w:noWrap/>
            <w:vAlign w:val="bottom"/>
            <w:hideMark/>
          </w:tcPr>
          <w:p w14:paraId="60DF776A"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TC1</w:t>
            </w:r>
          </w:p>
        </w:tc>
        <w:tc>
          <w:tcPr>
            <w:tcW w:w="1860" w:type="dxa"/>
            <w:tcBorders>
              <w:top w:val="nil"/>
              <w:left w:val="nil"/>
              <w:bottom w:val="nil"/>
              <w:right w:val="nil"/>
            </w:tcBorders>
            <w:shd w:val="clear" w:color="auto" w:fill="auto"/>
            <w:noWrap/>
            <w:vAlign w:val="bottom"/>
            <w:hideMark/>
          </w:tcPr>
          <w:p w14:paraId="77F4FDF0" w14:textId="535AB6FE"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16 ± 2</w:t>
            </w:r>
            <w:r w:rsidR="005C1C20">
              <w:rPr>
                <w:rFonts w:cs="Arial"/>
                <w:color w:val="000000"/>
                <w:szCs w:val="18"/>
                <w:lang w:eastAsia="ja-JP"/>
              </w:rPr>
              <w:t>.00</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0CBED7A0" w14:textId="03AB654D"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47</w:t>
            </w:r>
            <w:r w:rsidR="00CE1734" w:rsidRPr="003D4FAF">
              <w:rPr>
                <w:rFonts w:cs="Arial"/>
                <w:color w:val="000000"/>
                <w:szCs w:val="18"/>
                <w:lang w:eastAsia="ja-JP"/>
              </w:rPr>
              <w:t>.</w:t>
            </w:r>
            <w:r w:rsidRPr="003D4FAF">
              <w:rPr>
                <w:rFonts w:cs="Arial"/>
                <w:color w:val="000000"/>
                <w:szCs w:val="18"/>
                <w:lang w:eastAsia="ja-JP"/>
              </w:rPr>
              <w:t>82 ± 0</w:t>
            </w:r>
            <w:r w:rsidR="00CE1734" w:rsidRPr="003D4FAF">
              <w:rPr>
                <w:rFonts w:cs="Arial"/>
                <w:color w:val="000000"/>
                <w:szCs w:val="18"/>
                <w:lang w:eastAsia="ja-JP"/>
              </w:rPr>
              <w:t>.</w:t>
            </w:r>
            <w:r w:rsidRPr="003D4FAF">
              <w:rPr>
                <w:rFonts w:cs="Arial"/>
                <w:color w:val="000000"/>
                <w:szCs w:val="18"/>
                <w:lang w:eastAsia="ja-JP"/>
              </w:rPr>
              <w:t>86</w:t>
            </w:r>
            <w:r w:rsidRPr="003D4FAF">
              <w:rPr>
                <w:rFonts w:cs="Arial"/>
                <w:color w:val="000000"/>
                <w:szCs w:val="18"/>
                <w:vertAlign w:val="superscript"/>
                <w:lang w:eastAsia="ja-JP"/>
              </w:rPr>
              <w:t>b</w:t>
            </w:r>
          </w:p>
        </w:tc>
        <w:tc>
          <w:tcPr>
            <w:tcW w:w="1860" w:type="dxa"/>
            <w:tcBorders>
              <w:top w:val="nil"/>
              <w:left w:val="nil"/>
              <w:bottom w:val="nil"/>
              <w:right w:val="nil"/>
            </w:tcBorders>
            <w:shd w:val="clear" w:color="auto" w:fill="auto"/>
            <w:noWrap/>
            <w:vAlign w:val="bottom"/>
            <w:hideMark/>
          </w:tcPr>
          <w:p w14:paraId="1062DD49" w14:textId="6EE4C908"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95 ± 0</w:t>
            </w:r>
            <w:r w:rsidR="00CE1734" w:rsidRPr="003D4FAF">
              <w:rPr>
                <w:rFonts w:cs="Arial"/>
                <w:color w:val="000000"/>
                <w:szCs w:val="18"/>
                <w:lang w:eastAsia="ja-JP"/>
              </w:rPr>
              <w:t>.</w:t>
            </w:r>
            <w:r w:rsidRPr="003D4FAF">
              <w:rPr>
                <w:rFonts w:cs="Arial"/>
                <w:color w:val="000000"/>
                <w:szCs w:val="18"/>
                <w:lang w:eastAsia="ja-JP"/>
              </w:rPr>
              <w:t>07</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3BCFE9EC" w14:textId="4F72D142"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000</w:t>
            </w:r>
          </w:p>
        </w:tc>
      </w:tr>
      <w:tr w:rsidR="00436289" w:rsidRPr="003D4FAF" w14:paraId="406AEDAE" w14:textId="77777777" w:rsidTr="005C1C20">
        <w:tc>
          <w:tcPr>
            <w:tcW w:w="1860" w:type="dxa"/>
            <w:tcBorders>
              <w:top w:val="nil"/>
              <w:left w:val="nil"/>
              <w:bottom w:val="nil"/>
              <w:right w:val="nil"/>
            </w:tcBorders>
            <w:shd w:val="clear" w:color="auto" w:fill="auto"/>
            <w:noWrap/>
            <w:vAlign w:val="bottom"/>
            <w:hideMark/>
          </w:tcPr>
          <w:p w14:paraId="7207EE92"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T1</w:t>
            </w:r>
          </w:p>
        </w:tc>
        <w:tc>
          <w:tcPr>
            <w:tcW w:w="1860" w:type="dxa"/>
            <w:tcBorders>
              <w:top w:val="nil"/>
              <w:left w:val="nil"/>
              <w:bottom w:val="nil"/>
              <w:right w:val="nil"/>
            </w:tcBorders>
            <w:shd w:val="clear" w:color="auto" w:fill="auto"/>
            <w:noWrap/>
            <w:vAlign w:val="bottom"/>
            <w:hideMark/>
          </w:tcPr>
          <w:p w14:paraId="35583C45" w14:textId="22FA272C"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15</w:t>
            </w:r>
            <w:r w:rsidR="00CE1734" w:rsidRPr="003D4FAF">
              <w:rPr>
                <w:rFonts w:cs="Arial"/>
                <w:color w:val="000000"/>
                <w:szCs w:val="18"/>
                <w:lang w:eastAsia="ja-JP"/>
              </w:rPr>
              <w:t>.</w:t>
            </w:r>
            <w:r w:rsidRPr="003D4FAF">
              <w:rPr>
                <w:rFonts w:cs="Arial"/>
                <w:color w:val="000000"/>
                <w:szCs w:val="18"/>
                <w:lang w:eastAsia="ja-JP"/>
              </w:rPr>
              <w:t>16 ± 0</w:t>
            </w:r>
            <w:r w:rsidR="00CE1734" w:rsidRPr="003D4FAF">
              <w:rPr>
                <w:rFonts w:cs="Arial"/>
                <w:color w:val="000000"/>
                <w:szCs w:val="18"/>
                <w:lang w:eastAsia="ja-JP"/>
              </w:rPr>
              <w:t>.</w:t>
            </w:r>
            <w:r w:rsidRPr="003D4FAF">
              <w:rPr>
                <w:rFonts w:cs="Arial"/>
                <w:color w:val="000000"/>
                <w:szCs w:val="18"/>
                <w:lang w:eastAsia="ja-JP"/>
              </w:rPr>
              <w:t>16</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150CE5D5" w14:textId="536534B5"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47</w:t>
            </w:r>
            <w:r w:rsidR="00CE1734" w:rsidRPr="003D4FAF">
              <w:rPr>
                <w:rFonts w:cs="Arial"/>
                <w:color w:val="000000"/>
                <w:szCs w:val="18"/>
                <w:lang w:eastAsia="ja-JP"/>
              </w:rPr>
              <w:t>.</w:t>
            </w:r>
            <w:r w:rsidRPr="003D4FAF">
              <w:rPr>
                <w:rFonts w:cs="Arial"/>
                <w:color w:val="000000"/>
                <w:szCs w:val="18"/>
                <w:lang w:eastAsia="ja-JP"/>
              </w:rPr>
              <w:t>82 ± 0</w:t>
            </w:r>
            <w:r w:rsidR="00CE1734" w:rsidRPr="003D4FAF">
              <w:rPr>
                <w:rFonts w:cs="Arial"/>
                <w:color w:val="000000"/>
                <w:szCs w:val="18"/>
                <w:lang w:eastAsia="ja-JP"/>
              </w:rPr>
              <w:t>.</w:t>
            </w:r>
            <w:r w:rsidRPr="003D4FAF">
              <w:rPr>
                <w:rFonts w:cs="Arial"/>
                <w:color w:val="000000"/>
                <w:szCs w:val="18"/>
                <w:lang w:eastAsia="ja-JP"/>
              </w:rPr>
              <w:t>86</w:t>
            </w:r>
            <w:r w:rsidRPr="003D4FAF">
              <w:rPr>
                <w:rFonts w:cs="Arial"/>
                <w:color w:val="000000"/>
                <w:szCs w:val="18"/>
                <w:vertAlign w:val="superscript"/>
                <w:lang w:eastAsia="ja-JP"/>
              </w:rPr>
              <w:t>b</w:t>
            </w:r>
          </w:p>
        </w:tc>
        <w:tc>
          <w:tcPr>
            <w:tcW w:w="1860" w:type="dxa"/>
            <w:tcBorders>
              <w:top w:val="nil"/>
              <w:left w:val="nil"/>
              <w:bottom w:val="nil"/>
              <w:right w:val="nil"/>
            </w:tcBorders>
            <w:shd w:val="clear" w:color="auto" w:fill="auto"/>
            <w:noWrap/>
            <w:vAlign w:val="bottom"/>
            <w:hideMark/>
          </w:tcPr>
          <w:p w14:paraId="2AD9C9C9" w14:textId="780107E3"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 ± 0</w:t>
            </w:r>
            <w:r w:rsidR="00CE1734" w:rsidRPr="003D4FAF">
              <w:rPr>
                <w:rFonts w:cs="Arial"/>
                <w:color w:val="000000"/>
                <w:szCs w:val="18"/>
                <w:lang w:eastAsia="ja-JP"/>
              </w:rPr>
              <w:t>.</w:t>
            </w:r>
            <w:r w:rsidRPr="003D4FAF">
              <w:rPr>
                <w:rFonts w:cs="Arial"/>
                <w:color w:val="000000"/>
                <w:szCs w:val="18"/>
                <w:lang w:eastAsia="ja-JP"/>
              </w:rPr>
              <w:t>05</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001F00B6" w14:textId="65EA515D"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15</w:t>
            </w:r>
            <w:r w:rsidR="00CE1734" w:rsidRPr="003D4FAF">
              <w:rPr>
                <w:rFonts w:cs="Arial"/>
                <w:color w:val="000000"/>
                <w:szCs w:val="18"/>
                <w:lang w:eastAsia="ja-JP"/>
              </w:rPr>
              <w:t>.</w:t>
            </w:r>
            <w:r w:rsidRPr="003D4FAF">
              <w:rPr>
                <w:rFonts w:cs="Arial"/>
                <w:color w:val="000000"/>
                <w:szCs w:val="18"/>
                <w:lang w:eastAsia="ja-JP"/>
              </w:rPr>
              <w:t>667</w:t>
            </w:r>
          </w:p>
        </w:tc>
      </w:tr>
      <w:tr w:rsidR="00436289" w:rsidRPr="003D4FAF" w14:paraId="33C71661" w14:textId="77777777" w:rsidTr="005C1C20">
        <w:tc>
          <w:tcPr>
            <w:tcW w:w="1860" w:type="dxa"/>
            <w:tcBorders>
              <w:top w:val="nil"/>
              <w:left w:val="nil"/>
              <w:bottom w:val="nil"/>
              <w:right w:val="nil"/>
            </w:tcBorders>
            <w:shd w:val="clear" w:color="auto" w:fill="auto"/>
            <w:noWrap/>
            <w:vAlign w:val="bottom"/>
            <w:hideMark/>
          </w:tcPr>
          <w:p w14:paraId="612D0274"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T2</w:t>
            </w:r>
          </w:p>
        </w:tc>
        <w:tc>
          <w:tcPr>
            <w:tcW w:w="1860" w:type="dxa"/>
            <w:tcBorders>
              <w:top w:val="nil"/>
              <w:left w:val="nil"/>
              <w:bottom w:val="nil"/>
              <w:right w:val="nil"/>
            </w:tcBorders>
            <w:shd w:val="clear" w:color="auto" w:fill="auto"/>
            <w:noWrap/>
            <w:vAlign w:val="bottom"/>
            <w:hideMark/>
          </w:tcPr>
          <w:p w14:paraId="16C406FE" w14:textId="29FCD365"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16 ± 0</w:t>
            </w:r>
            <w:r w:rsidR="005C1C20">
              <w:rPr>
                <w:rFonts w:cs="Arial"/>
                <w:color w:val="000000"/>
                <w:szCs w:val="18"/>
                <w:lang w:eastAsia="ja-JP"/>
              </w:rPr>
              <w:t>.00</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794CF27F" w14:textId="63FD72F6"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49</w:t>
            </w:r>
            <w:r w:rsidR="00CE1734" w:rsidRPr="003D4FAF">
              <w:rPr>
                <w:rFonts w:cs="Arial"/>
                <w:color w:val="000000"/>
                <w:szCs w:val="18"/>
                <w:lang w:eastAsia="ja-JP"/>
              </w:rPr>
              <w:t>.</w:t>
            </w:r>
            <w:r w:rsidRPr="003D4FAF">
              <w:rPr>
                <w:rFonts w:cs="Arial"/>
                <w:color w:val="000000"/>
                <w:szCs w:val="18"/>
                <w:lang w:eastAsia="ja-JP"/>
              </w:rPr>
              <w:t>27 ± 1</w:t>
            </w:r>
            <w:r w:rsidR="00CE1734" w:rsidRPr="003D4FAF">
              <w:rPr>
                <w:rFonts w:cs="Arial"/>
                <w:color w:val="000000"/>
                <w:szCs w:val="18"/>
                <w:lang w:eastAsia="ja-JP"/>
              </w:rPr>
              <w:t>.</w:t>
            </w:r>
            <w:r w:rsidRPr="003D4FAF">
              <w:rPr>
                <w:rFonts w:cs="Arial"/>
                <w:color w:val="000000"/>
                <w:szCs w:val="18"/>
                <w:lang w:eastAsia="ja-JP"/>
              </w:rPr>
              <w:t>63</w:t>
            </w:r>
            <w:r w:rsidRPr="003D4FAF">
              <w:rPr>
                <w:rFonts w:cs="Arial"/>
                <w:color w:val="000000"/>
                <w:szCs w:val="18"/>
                <w:vertAlign w:val="superscript"/>
                <w:lang w:eastAsia="ja-JP"/>
              </w:rPr>
              <w:t>b</w:t>
            </w:r>
          </w:p>
        </w:tc>
        <w:tc>
          <w:tcPr>
            <w:tcW w:w="1860" w:type="dxa"/>
            <w:tcBorders>
              <w:top w:val="nil"/>
              <w:left w:val="nil"/>
              <w:bottom w:val="nil"/>
              <w:right w:val="nil"/>
            </w:tcBorders>
            <w:shd w:val="clear" w:color="auto" w:fill="auto"/>
            <w:noWrap/>
            <w:vAlign w:val="bottom"/>
            <w:hideMark/>
          </w:tcPr>
          <w:p w14:paraId="17FFE322" w14:textId="28091940"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95 ± 0</w:t>
            </w:r>
            <w:r w:rsidR="00CE1734" w:rsidRPr="003D4FAF">
              <w:rPr>
                <w:rFonts w:cs="Arial"/>
                <w:color w:val="000000"/>
                <w:szCs w:val="18"/>
                <w:lang w:eastAsia="ja-JP"/>
              </w:rPr>
              <w:t>.</w:t>
            </w:r>
            <w:r w:rsidRPr="003D4FAF">
              <w:rPr>
                <w:rFonts w:cs="Arial"/>
                <w:color w:val="000000"/>
                <w:szCs w:val="18"/>
                <w:lang w:eastAsia="ja-JP"/>
              </w:rPr>
              <w:t>04</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4EB93F88" w14:textId="63E06E3B"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20</w:t>
            </w:r>
            <w:r w:rsidR="00CE1734" w:rsidRPr="003D4FAF">
              <w:rPr>
                <w:rFonts w:cs="Arial"/>
                <w:color w:val="000000"/>
                <w:szCs w:val="18"/>
                <w:lang w:eastAsia="ja-JP"/>
              </w:rPr>
              <w:t>.</w:t>
            </w:r>
            <w:r w:rsidRPr="003D4FAF">
              <w:rPr>
                <w:rFonts w:cs="Arial"/>
                <w:color w:val="000000"/>
                <w:szCs w:val="18"/>
                <w:lang w:eastAsia="ja-JP"/>
              </w:rPr>
              <w:t>333</w:t>
            </w:r>
          </w:p>
        </w:tc>
      </w:tr>
      <w:tr w:rsidR="00436289" w:rsidRPr="003D4FAF" w14:paraId="72161BEB" w14:textId="77777777" w:rsidTr="005C1C20">
        <w:tc>
          <w:tcPr>
            <w:tcW w:w="1860" w:type="dxa"/>
            <w:tcBorders>
              <w:top w:val="nil"/>
              <w:left w:val="nil"/>
              <w:bottom w:val="nil"/>
              <w:right w:val="nil"/>
            </w:tcBorders>
            <w:shd w:val="clear" w:color="auto" w:fill="auto"/>
            <w:noWrap/>
            <w:vAlign w:val="bottom"/>
            <w:hideMark/>
          </w:tcPr>
          <w:p w14:paraId="77B25622"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T3</w:t>
            </w:r>
          </w:p>
        </w:tc>
        <w:tc>
          <w:tcPr>
            <w:tcW w:w="1860" w:type="dxa"/>
            <w:tcBorders>
              <w:top w:val="nil"/>
              <w:left w:val="nil"/>
              <w:bottom w:val="nil"/>
              <w:right w:val="nil"/>
            </w:tcBorders>
            <w:shd w:val="clear" w:color="auto" w:fill="auto"/>
            <w:noWrap/>
            <w:vAlign w:val="bottom"/>
            <w:hideMark/>
          </w:tcPr>
          <w:p w14:paraId="0F9F60D3" w14:textId="43DBB3D5"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15</w:t>
            </w:r>
            <w:r w:rsidR="00CE1734" w:rsidRPr="003D4FAF">
              <w:rPr>
                <w:rFonts w:cs="Arial"/>
                <w:color w:val="000000"/>
                <w:szCs w:val="18"/>
                <w:lang w:eastAsia="ja-JP"/>
              </w:rPr>
              <w:t>.</w:t>
            </w:r>
            <w:r w:rsidRPr="003D4FAF">
              <w:rPr>
                <w:rFonts w:cs="Arial"/>
                <w:color w:val="000000"/>
                <w:szCs w:val="18"/>
                <w:lang w:eastAsia="ja-JP"/>
              </w:rPr>
              <w:t>66 ± 0</w:t>
            </w:r>
            <w:r w:rsidR="00CE1734" w:rsidRPr="003D4FAF">
              <w:rPr>
                <w:rFonts w:cs="Arial"/>
                <w:color w:val="000000"/>
                <w:szCs w:val="18"/>
                <w:lang w:eastAsia="ja-JP"/>
              </w:rPr>
              <w:t>.</w:t>
            </w:r>
            <w:r w:rsidRPr="003D4FAF">
              <w:rPr>
                <w:rFonts w:cs="Arial"/>
                <w:color w:val="000000"/>
                <w:szCs w:val="18"/>
                <w:lang w:eastAsia="ja-JP"/>
              </w:rPr>
              <w:t>33</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7052258A" w14:textId="0B73B48C"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49</w:t>
            </w:r>
            <w:r w:rsidR="00CE1734" w:rsidRPr="003D4FAF">
              <w:rPr>
                <w:rFonts w:cs="Arial"/>
                <w:color w:val="000000"/>
                <w:szCs w:val="18"/>
                <w:lang w:eastAsia="ja-JP"/>
              </w:rPr>
              <w:t>.</w:t>
            </w:r>
            <w:r w:rsidRPr="003D4FAF">
              <w:rPr>
                <w:rFonts w:cs="Arial"/>
                <w:color w:val="000000"/>
                <w:szCs w:val="18"/>
                <w:lang w:eastAsia="ja-JP"/>
              </w:rPr>
              <w:t>85 ± 1</w:t>
            </w:r>
            <w:r w:rsidR="00CE1734" w:rsidRPr="003D4FAF">
              <w:rPr>
                <w:rFonts w:cs="Arial"/>
                <w:color w:val="000000"/>
                <w:szCs w:val="18"/>
                <w:lang w:eastAsia="ja-JP"/>
              </w:rPr>
              <w:t>.</w:t>
            </w:r>
            <w:r w:rsidRPr="003D4FAF">
              <w:rPr>
                <w:rFonts w:cs="Arial"/>
                <w:color w:val="000000"/>
                <w:szCs w:val="18"/>
                <w:lang w:eastAsia="ja-JP"/>
              </w:rPr>
              <w:t>29</w:t>
            </w:r>
            <w:r w:rsidRPr="003D4FAF">
              <w:rPr>
                <w:rFonts w:cs="Arial"/>
                <w:color w:val="000000"/>
                <w:szCs w:val="18"/>
                <w:vertAlign w:val="superscript"/>
                <w:lang w:eastAsia="ja-JP"/>
              </w:rPr>
              <w:t>b</w:t>
            </w:r>
          </w:p>
        </w:tc>
        <w:tc>
          <w:tcPr>
            <w:tcW w:w="1860" w:type="dxa"/>
            <w:tcBorders>
              <w:top w:val="nil"/>
              <w:left w:val="nil"/>
              <w:bottom w:val="nil"/>
              <w:right w:val="nil"/>
            </w:tcBorders>
            <w:shd w:val="clear" w:color="auto" w:fill="auto"/>
            <w:noWrap/>
            <w:vAlign w:val="bottom"/>
            <w:hideMark/>
          </w:tcPr>
          <w:p w14:paraId="1A770364" w14:textId="101645E4"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93 ± 0</w:t>
            </w:r>
            <w:r w:rsidR="00CE1734" w:rsidRPr="003D4FAF">
              <w:rPr>
                <w:rFonts w:cs="Arial"/>
                <w:color w:val="000000"/>
                <w:szCs w:val="18"/>
                <w:lang w:eastAsia="ja-JP"/>
              </w:rPr>
              <w:t>.</w:t>
            </w:r>
            <w:r w:rsidRPr="003D4FAF">
              <w:rPr>
                <w:rFonts w:cs="Arial"/>
                <w:color w:val="000000"/>
                <w:szCs w:val="18"/>
                <w:lang w:eastAsia="ja-JP"/>
              </w:rPr>
              <w:t>02</w:t>
            </w:r>
            <w:r w:rsidRPr="003D4FAF">
              <w:rPr>
                <w:rFonts w:cs="Arial"/>
                <w:color w:val="000000"/>
                <w:szCs w:val="18"/>
                <w:vertAlign w:val="superscript"/>
                <w:lang w:eastAsia="ja-JP"/>
              </w:rPr>
              <w:t>a</w:t>
            </w:r>
          </w:p>
        </w:tc>
        <w:tc>
          <w:tcPr>
            <w:tcW w:w="1860" w:type="dxa"/>
            <w:tcBorders>
              <w:top w:val="nil"/>
              <w:left w:val="nil"/>
              <w:bottom w:val="nil"/>
              <w:right w:val="nil"/>
            </w:tcBorders>
            <w:shd w:val="clear" w:color="auto" w:fill="auto"/>
            <w:noWrap/>
            <w:vAlign w:val="bottom"/>
            <w:hideMark/>
          </w:tcPr>
          <w:p w14:paraId="62C9C84D" w14:textId="5CFAC870"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22</w:t>
            </w:r>
            <w:r w:rsidR="00CE1734" w:rsidRPr="003D4FAF">
              <w:rPr>
                <w:rFonts w:cs="Arial"/>
                <w:color w:val="000000"/>
                <w:szCs w:val="18"/>
                <w:lang w:eastAsia="ja-JP"/>
              </w:rPr>
              <w:t>.</w:t>
            </w:r>
            <w:r w:rsidRPr="003D4FAF">
              <w:rPr>
                <w:rFonts w:cs="Arial"/>
                <w:color w:val="000000"/>
                <w:szCs w:val="18"/>
                <w:lang w:eastAsia="ja-JP"/>
              </w:rPr>
              <w:t>667</w:t>
            </w:r>
          </w:p>
        </w:tc>
      </w:tr>
      <w:tr w:rsidR="00436289" w:rsidRPr="003D4FAF" w14:paraId="01B16824" w14:textId="77777777" w:rsidTr="00E92172">
        <w:tc>
          <w:tcPr>
            <w:tcW w:w="1860" w:type="dxa"/>
            <w:tcBorders>
              <w:top w:val="nil"/>
              <w:left w:val="nil"/>
              <w:right w:val="nil"/>
            </w:tcBorders>
            <w:shd w:val="clear" w:color="auto" w:fill="auto"/>
            <w:noWrap/>
            <w:vAlign w:val="bottom"/>
            <w:hideMark/>
          </w:tcPr>
          <w:p w14:paraId="553A006E"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T4</w:t>
            </w:r>
          </w:p>
        </w:tc>
        <w:tc>
          <w:tcPr>
            <w:tcW w:w="1860" w:type="dxa"/>
            <w:tcBorders>
              <w:top w:val="nil"/>
              <w:left w:val="nil"/>
              <w:right w:val="nil"/>
            </w:tcBorders>
            <w:shd w:val="clear" w:color="auto" w:fill="auto"/>
            <w:noWrap/>
            <w:vAlign w:val="bottom"/>
            <w:hideMark/>
          </w:tcPr>
          <w:p w14:paraId="2D2F51C1" w14:textId="72D97C63"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16</w:t>
            </w:r>
            <w:r w:rsidR="00CE1734" w:rsidRPr="003D4FAF">
              <w:rPr>
                <w:rFonts w:cs="Arial"/>
                <w:color w:val="000000"/>
                <w:szCs w:val="18"/>
                <w:lang w:eastAsia="ja-JP"/>
              </w:rPr>
              <w:t>.</w:t>
            </w:r>
            <w:r w:rsidRPr="003D4FAF">
              <w:rPr>
                <w:rFonts w:cs="Arial"/>
                <w:color w:val="000000"/>
                <w:szCs w:val="18"/>
                <w:lang w:eastAsia="ja-JP"/>
              </w:rPr>
              <w:t>66 ± 0</w:t>
            </w:r>
            <w:r w:rsidR="00CE1734" w:rsidRPr="003D4FAF">
              <w:rPr>
                <w:rFonts w:cs="Arial"/>
                <w:color w:val="000000"/>
                <w:szCs w:val="18"/>
                <w:lang w:eastAsia="ja-JP"/>
              </w:rPr>
              <w:t>.</w:t>
            </w:r>
            <w:r w:rsidRPr="003D4FAF">
              <w:rPr>
                <w:rFonts w:cs="Arial"/>
                <w:color w:val="000000"/>
                <w:szCs w:val="18"/>
                <w:lang w:eastAsia="ja-JP"/>
              </w:rPr>
              <w:t>33</w:t>
            </w:r>
            <w:r w:rsidRPr="003D4FAF">
              <w:rPr>
                <w:rFonts w:cs="Arial"/>
                <w:color w:val="000000"/>
                <w:szCs w:val="18"/>
                <w:vertAlign w:val="superscript"/>
                <w:lang w:eastAsia="ja-JP"/>
              </w:rPr>
              <w:t>a</w:t>
            </w:r>
          </w:p>
        </w:tc>
        <w:tc>
          <w:tcPr>
            <w:tcW w:w="1860" w:type="dxa"/>
            <w:tcBorders>
              <w:top w:val="nil"/>
              <w:left w:val="nil"/>
              <w:right w:val="nil"/>
            </w:tcBorders>
            <w:shd w:val="clear" w:color="auto" w:fill="auto"/>
            <w:noWrap/>
            <w:vAlign w:val="bottom"/>
            <w:hideMark/>
          </w:tcPr>
          <w:p w14:paraId="0B603222" w14:textId="2EF9DB7B"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50</w:t>
            </w:r>
            <w:r w:rsidR="00CE1734" w:rsidRPr="003D4FAF">
              <w:rPr>
                <w:rFonts w:cs="Arial"/>
                <w:color w:val="000000"/>
                <w:szCs w:val="18"/>
                <w:lang w:eastAsia="ja-JP"/>
              </w:rPr>
              <w:t>.</w:t>
            </w:r>
            <w:r w:rsidRPr="003D4FAF">
              <w:rPr>
                <w:rFonts w:cs="Arial"/>
                <w:color w:val="000000"/>
                <w:szCs w:val="18"/>
                <w:lang w:eastAsia="ja-JP"/>
              </w:rPr>
              <w:t>43 ± 1</w:t>
            </w:r>
            <w:r w:rsidR="00CE1734" w:rsidRPr="003D4FAF">
              <w:rPr>
                <w:rFonts w:cs="Arial"/>
                <w:color w:val="000000"/>
                <w:szCs w:val="18"/>
                <w:lang w:eastAsia="ja-JP"/>
              </w:rPr>
              <w:t>.</w:t>
            </w:r>
            <w:r w:rsidRPr="003D4FAF">
              <w:rPr>
                <w:rFonts w:cs="Arial"/>
                <w:color w:val="000000"/>
                <w:szCs w:val="18"/>
                <w:lang w:eastAsia="ja-JP"/>
              </w:rPr>
              <w:t>00</w:t>
            </w:r>
            <w:r w:rsidRPr="003D4FAF">
              <w:rPr>
                <w:rFonts w:cs="Arial"/>
                <w:color w:val="000000"/>
                <w:szCs w:val="18"/>
                <w:vertAlign w:val="superscript"/>
                <w:lang w:eastAsia="ja-JP"/>
              </w:rPr>
              <w:t>b</w:t>
            </w:r>
          </w:p>
        </w:tc>
        <w:tc>
          <w:tcPr>
            <w:tcW w:w="1860" w:type="dxa"/>
            <w:tcBorders>
              <w:top w:val="nil"/>
              <w:left w:val="nil"/>
              <w:right w:val="nil"/>
            </w:tcBorders>
            <w:shd w:val="clear" w:color="auto" w:fill="auto"/>
            <w:noWrap/>
            <w:vAlign w:val="bottom"/>
            <w:hideMark/>
          </w:tcPr>
          <w:p w14:paraId="046FEDBD" w14:textId="7DDF3F1B"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99 ± 0</w:t>
            </w:r>
            <w:r w:rsidR="00CE1734" w:rsidRPr="003D4FAF">
              <w:rPr>
                <w:rFonts w:cs="Arial"/>
                <w:color w:val="000000"/>
                <w:szCs w:val="18"/>
                <w:lang w:eastAsia="ja-JP"/>
              </w:rPr>
              <w:t>.</w:t>
            </w:r>
            <w:r w:rsidRPr="003D4FAF">
              <w:rPr>
                <w:rFonts w:cs="Arial"/>
                <w:color w:val="000000"/>
                <w:szCs w:val="18"/>
                <w:lang w:eastAsia="ja-JP"/>
              </w:rPr>
              <w:t>02</w:t>
            </w:r>
            <w:r w:rsidRPr="003D4FAF">
              <w:rPr>
                <w:rFonts w:cs="Arial"/>
                <w:color w:val="000000"/>
                <w:szCs w:val="18"/>
                <w:vertAlign w:val="superscript"/>
                <w:lang w:eastAsia="ja-JP"/>
              </w:rPr>
              <w:t>a</w:t>
            </w:r>
          </w:p>
        </w:tc>
        <w:tc>
          <w:tcPr>
            <w:tcW w:w="1860" w:type="dxa"/>
            <w:tcBorders>
              <w:top w:val="nil"/>
              <w:left w:val="nil"/>
              <w:right w:val="nil"/>
            </w:tcBorders>
            <w:shd w:val="clear" w:color="auto" w:fill="auto"/>
            <w:noWrap/>
            <w:vAlign w:val="bottom"/>
            <w:hideMark/>
          </w:tcPr>
          <w:p w14:paraId="550025A7" w14:textId="3DBE7DD5"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27</w:t>
            </w:r>
            <w:r w:rsidR="00CE1734" w:rsidRPr="003D4FAF">
              <w:rPr>
                <w:rFonts w:cs="Arial"/>
                <w:color w:val="000000"/>
                <w:szCs w:val="18"/>
                <w:lang w:eastAsia="ja-JP"/>
              </w:rPr>
              <w:t>.</w:t>
            </w:r>
            <w:r w:rsidRPr="003D4FAF">
              <w:rPr>
                <w:rFonts w:cs="Arial"/>
                <w:color w:val="000000"/>
                <w:szCs w:val="18"/>
                <w:lang w:eastAsia="ja-JP"/>
              </w:rPr>
              <w:t>333</w:t>
            </w:r>
          </w:p>
        </w:tc>
      </w:tr>
      <w:tr w:rsidR="00436289" w:rsidRPr="003D4FAF" w14:paraId="7FE67AD5" w14:textId="77777777" w:rsidTr="00E92172">
        <w:tc>
          <w:tcPr>
            <w:tcW w:w="1860" w:type="dxa"/>
            <w:tcBorders>
              <w:top w:val="nil"/>
              <w:left w:val="nil"/>
              <w:bottom w:val="single" w:sz="12" w:space="0" w:color="4F6228" w:themeColor="accent3" w:themeShade="80"/>
              <w:right w:val="nil"/>
            </w:tcBorders>
            <w:shd w:val="clear" w:color="auto" w:fill="auto"/>
            <w:noWrap/>
            <w:vAlign w:val="bottom"/>
            <w:hideMark/>
          </w:tcPr>
          <w:p w14:paraId="0DF4D2D8" w14:textId="77777777"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T5</w:t>
            </w:r>
          </w:p>
        </w:tc>
        <w:tc>
          <w:tcPr>
            <w:tcW w:w="1860" w:type="dxa"/>
            <w:tcBorders>
              <w:top w:val="nil"/>
              <w:left w:val="nil"/>
              <w:bottom w:val="single" w:sz="12" w:space="0" w:color="4F6228" w:themeColor="accent3" w:themeShade="80"/>
              <w:right w:val="nil"/>
            </w:tcBorders>
            <w:shd w:val="clear" w:color="auto" w:fill="auto"/>
            <w:noWrap/>
            <w:vAlign w:val="bottom"/>
            <w:hideMark/>
          </w:tcPr>
          <w:p w14:paraId="044970EE" w14:textId="586D4FEB"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16</w:t>
            </w:r>
            <w:r w:rsidR="00CE1734" w:rsidRPr="003D4FAF">
              <w:rPr>
                <w:rFonts w:cs="Arial"/>
                <w:color w:val="000000"/>
                <w:szCs w:val="18"/>
                <w:lang w:eastAsia="ja-JP"/>
              </w:rPr>
              <w:t>.</w:t>
            </w:r>
            <w:r w:rsidRPr="003D4FAF">
              <w:rPr>
                <w:rFonts w:cs="Arial"/>
                <w:color w:val="000000"/>
                <w:szCs w:val="18"/>
                <w:lang w:eastAsia="ja-JP"/>
              </w:rPr>
              <w:t>33 ± 0</w:t>
            </w:r>
            <w:r w:rsidR="00CE1734" w:rsidRPr="003D4FAF">
              <w:rPr>
                <w:rFonts w:cs="Arial"/>
                <w:color w:val="000000"/>
                <w:szCs w:val="18"/>
                <w:lang w:eastAsia="ja-JP"/>
              </w:rPr>
              <w:t>.</w:t>
            </w:r>
            <w:r w:rsidRPr="003D4FAF">
              <w:rPr>
                <w:rFonts w:cs="Arial"/>
                <w:color w:val="000000"/>
                <w:szCs w:val="18"/>
                <w:lang w:eastAsia="ja-JP"/>
              </w:rPr>
              <w:t>33</w:t>
            </w:r>
            <w:r w:rsidRPr="003D4FAF">
              <w:rPr>
                <w:rFonts w:cs="Arial"/>
                <w:color w:val="000000"/>
                <w:szCs w:val="18"/>
                <w:vertAlign w:val="superscript"/>
                <w:lang w:eastAsia="ja-JP"/>
              </w:rPr>
              <w:t>a</w:t>
            </w:r>
          </w:p>
        </w:tc>
        <w:tc>
          <w:tcPr>
            <w:tcW w:w="1860" w:type="dxa"/>
            <w:tcBorders>
              <w:top w:val="nil"/>
              <w:left w:val="nil"/>
              <w:bottom w:val="single" w:sz="12" w:space="0" w:color="4F6228" w:themeColor="accent3" w:themeShade="80"/>
              <w:right w:val="nil"/>
            </w:tcBorders>
            <w:shd w:val="clear" w:color="auto" w:fill="auto"/>
            <w:noWrap/>
            <w:vAlign w:val="bottom"/>
            <w:hideMark/>
          </w:tcPr>
          <w:p w14:paraId="107E1762" w14:textId="557A9ED6"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49</w:t>
            </w:r>
            <w:r w:rsidR="00CE1734" w:rsidRPr="003D4FAF">
              <w:rPr>
                <w:rFonts w:cs="Arial"/>
                <w:color w:val="000000"/>
                <w:szCs w:val="18"/>
                <w:lang w:eastAsia="ja-JP"/>
              </w:rPr>
              <w:t>.</w:t>
            </w:r>
            <w:r w:rsidRPr="003D4FAF">
              <w:rPr>
                <w:rFonts w:cs="Arial"/>
                <w:color w:val="000000"/>
                <w:szCs w:val="18"/>
                <w:lang w:eastAsia="ja-JP"/>
              </w:rPr>
              <w:t>27 ± 0</w:t>
            </w:r>
            <w:r w:rsidR="00CE1734" w:rsidRPr="003D4FAF">
              <w:rPr>
                <w:rFonts w:cs="Arial"/>
                <w:color w:val="000000"/>
                <w:szCs w:val="18"/>
                <w:lang w:eastAsia="ja-JP"/>
              </w:rPr>
              <w:t>.</w:t>
            </w:r>
            <w:r w:rsidRPr="003D4FAF">
              <w:rPr>
                <w:rFonts w:cs="Arial"/>
                <w:color w:val="000000"/>
                <w:szCs w:val="18"/>
                <w:lang w:eastAsia="ja-JP"/>
              </w:rPr>
              <w:t>81</w:t>
            </w:r>
            <w:r w:rsidRPr="003D4FAF">
              <w:rPr>
                <w:rFonts w:cs="Arial"/>
                <w:color w:val="000000"/>
                <w:szCs w:val="18"/>
                <w:vertAlign w:val="superscript"/>
                <w:lang w:eastAsia="ja-JP"/>
              </w:rPr>
              <w:t>b</w:t>
            </w:r>
          </w:p>
        </w:tc>
        <w:tc>
          <w:tcPr>
            <w:tcW w:w="1860" w:type="dxa"/>
            <w:tcBorders>
              <w:top w:val="nil"/>
              <w:left w:val="nil"/>
              <w:bottom w:val="single" w:sz="12" w:space="0" w:color="4F6228" w:themeColor="accent3" w:themeShade="80"/>
              <w:right w:val="nil"/>
            </w:tcBorders>
            <w:shd w:val="clear" w:color="auto" w:fill="auto"/>
            <w:noWrap/>
            <w:vAlign w:val="bottom"/>
            <w:hideMark/>
          </w:tcPr>
          <w:p w14:paraId="5053B190" w14:textId="1C14B765"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0</w:t>
            </w:r>
            <w:r w:rsidR="00CE1734" w:rsidRPr="003D4FAF">
              <w:rPr>
                <w:rFonts w:cs="Arial"/>
                <w:color w:val="000000"/>
                <w:szCs w:val="18"/>
                <w:lang w:eastAsia="ja-JP"/>
              </w:rPr>
              <w:t>.</w:t>
            </w:r>
            <w:r w:rsidRPr="003D4FAF">
              <w:rPr>
                <w:rFonts w:cs="Arial"/>
                <w:color w:val="000000"/>
                <w:szCs w:val="18"/>
                <w:lang w:eastAsia="ja-JP"/>
              </w:rPr>
              <w:t>97 ± 0</w:t>
            </w:r>
            <w:r w:rsidR="00CE1734" w:rsidRPr="003D4FAF">
              <w:rPr>
                <w:rFonts w:cs="Arial"/>
                <w:color w:val="000000"/>
                <w:szCs w:val="18"/>
                <w:lang w:eastAsia="ja-JP"/>
              </w:rPr>
              <w:t>.</w:t>
            </w:r>
            <w:r w:rsidRPr="003D4FAF">
              <w:rPr>
                <w:rFonts w:cs="Arial"/>
                <w:color w:val="000000"/>
                <w:szCs w:val="18"/>
                <w:lang w:eastAsia="ja-JP"/>
              </w:rPr>
              <w:t>06</w:t>
            </w:r>
            <w:r w:rsidRPr="003D4FAF">
              <w:rPr>
                <w:rFonts w:cs="Arial"/>
                <w:color w:val="000000"/>
                <w:szCs w:val="18"/>
                <w:vertAlign w:val="superscript"/>
                <w:lang w:eastAsia="ja-JP"/>
              </w:rPr>
              <w:t>a</w:t>
            </w:r>
          </w:p>
        </w:tc>
        <w:tc>
          <w:tcPr>
            <w:tcW w:w="1860" w:type="dxa"/>
            <w:tcBorders>
              <w:top w:val="nil"/>
              <w:left w:val="nil"/>
              <w:bottom w:val="single" w:sz="12" w:space="0" w:color="4F6228" w:themeColor="accent3" w:themeShade="80"/>
              <w:right w:val="nil"/>
            </w:tcBorders>
            <w:shd w:val="clear" w:color="auto" w:fill="auto"/>
            <w:noWrap/>
            <w:vAlign w:val="bottom"/>
            <w:hideMark/>
          </w:tcPr>
          <w:p w14:paraId="35CFCC89" w14:textId="7BE394E1" w:rsidR="00436289" w:rsidRPr="003D4FAF" w:rsidRDefault="00436289" w:rsidP="0027726C">
            <w:pPr>
              <w:tabs>
                <w:tab w:val="clear" w:pos="7100"/>
              </w:tabs>
              <w:spacing w:line="240" w:lineRule="atLeast"/>
              <w:jc w:val="left"/>
              <w:rPr>
                <w:rFonts w:cs="Arial"/>
                <w:color w:val="000000"/>
                <w:szCs w:val="18"/>
                <w:lang w:eastAsia="ja-JP"/>
              </w:rPr>
            </w:pPr>
            <w:r w:rsidRPr="003D4FAF">
              <w:rPr>
                <w:rFonts w:cs="Arial"/>
                <w:color w:val="000000"/>
                <w:szCs w:val="18"/>
                <w:lang w:eastAsia="ja-JP"/>
              </w:rPr>
              <w:t>27</w:t>
            </w:r>
            <w:r w:rsidR="00CE1734" w:rsidRPr="003D4FAF">
              <w:rPr>
                <w:rFonts w:cs="Arial"/>
                <w:color w:val="000000"/>
                <w:szCs w:val="18"/>
                <w:lang w:eastAsia="ja-JP"/>
              </w:rPr>
              <w:t>.</w:t>
            </w:r>
            <w:r w:rsidRPr="003D4FAF">
              <w:rPr>
                <w:rFonts w:cs="Arial"/>
                <w:color w:val="000000"/>
                <w:szCs w:val="18"/>
                <w:lang w:eastAsia="ja-JP"/>
              </w:rPr>
              <w:t>667</w:t>
            </w:r>
          </w:p>
        </w:tc>
      </w:tr>
    </w:tbl>
    <w:p w14:paraId="78E9B24D" w14:textId="644538D6" w:rsidR="00CE1734" w:rsidRPr="003D4FAF" w:rsidRDefault="00CE1734" w:rsidP="00AE3EA6">
      <w:r w:rsidRPr="003D4FAF">
        <w:t>Mean ± standard deviation followed by the same lowercase letter do not differ statistically from each other in the same column (p&gt; 0.05)</w:t>
      </w:r>
      <w:r w:rsidR="00733A34">
        <w:t>, f</w:t>
      </w:r>
      <w:r w:rsidRPr="003D4FAF">
        <w:t>or treatments see Table 1.</w:t>
      </w:r>
    </w:p>
    <w:p w14:paraId="3BFEB801" w14:textId="77777777" w:rsidR="009952D0" w:rsidRPr="00CE1734" w:rsidRDefault="004D71A9" w:rsidP="004D71A9">
      <w:pPr>
        <w:pStyle w:val="CETBodytext"/>
        <w:rPr>
          <w:lang w:val="en-GB"/>
        </w:rPr>
      </w:pPr>
      <w:r w:rsidRPr="00CE1734">
        <w:rPr>
          <w:lang w:val="en-GB"/>
        </w:rPr>
        <w:tab/>
      </w:r>
    </w:p>
    <w:p w14:paraId="348D4073" w14:textId="29795C01" w:rsidR="004D71A9" w:rsidRPr="00D256AB" w:rsidRDefault="00896F11" w:rsidP="004D71A9">
      <w:pPr>
        <w:pStyle w:val="CETBodytext"/>
        <w:rPr>
          <w:lang w:val="en-GB"/>
        </w:rPr>
      </w:pPr>
      <w:r>
        <w:rPr>
          <w:lang w:val="en-GB"/>
        </w:rPr>
        <w:t>Results of s</w:t>
      </w:r>
      <w:r w:rsidRPr="00896F11">
        <w:rPr>
          <w:lang w:val="en-GB"/>
        </w:rPr>
        <w:t xml:space="preserve">ensorial </w:t>
      </w:r>
      <w:r>
        <w:rPr>
          <w:lang w:val="en-GB"/>
        </w:rPr>
        <w:t xml:space="preserve">acceptance </w:t>
      </w:r>
      <w:r w:rsidRPr="00896F11">
        <w:rPr>
          <w:lang w:val="en-GB"/>
        </w:rPr>
        <w:t>and hardness</w:t>
      </w:r>
      <w:r>
        <w:rPr>
          <w:lang w:val="en-GB"/>
        </w:rPr>
        <w:t xml:space="preserve"> </w:t>
      </w:r>
      <w:r w:rsidRPr="00896F11">
        <w:rPr>
          <w:lang w:val="en-GB"/>
        </w:rPr>
        <w:t xml:space="preserve">are presented in Table 4. There was no </w:t>
      </w:r>
      <w:r w:rsidR="004E485E">
        <w:rPr>
          <w:lang w:val="en-GB"/>
        </w:rPr>
        <w:t>interference</w:t>
      </w:r>
      <w:r w:rsidRPr="00896F11">
        <w:rPr>
          <w:lang w:val="en-GB"/>
        </w:rPr>
        <w:t xml:space="preserve"> of the</w:t>
      </w:r>
      <w:r w:rsidR="004E485E">
        <w:rPr>
          <w:lang w:val="en-GB"/>
        </w:rPr>
        <w:t xml:space="preserve"> coating</w:t>
      </w:r>
      <w:r w:rsidRPr="00896F11">
        <w:rPr>
          <w:lang w:val="en-GB"/>
        </w:rPr>
        <w:t xml:space="preserve"> addition on the instrumental hardness (p&gt; 0.05), corroborating the observed results for V.E. and I.R (Table 3). </w:t>
      </w:r>
      <w:r w:rsidR="004E485E">
        <w:rPr>
          <w:lang w:val="en-GB"/>
        </w:rPr>
        <w:t>Hence</w:t>
      </w:r>
      <w:r w:rsidRPr="00896F11">
        <w:rPr>
          <w:lang w:val="en-GB"/>
        </w:rPr>
        <w:t xml:space="preserve">, the </w:t>
      </w:r>
      <w:r w:rsidR="004E485E">
        <w:rPr>
          <w:lang w:val="en-GB"/>
        </w:rPr>
        <w:t xml:space="preserve">coated </w:t>
      </w:r>
      <w:r w:rsidRPr="00896F11">
        <w:rPr>
          <w:lang w:val="en-GB"/>
        </w:rPr>
        <w:t>products containing waxy starch and/or guar gum presented similar hardness (p&gt; 0.05) to the vegetal oil-based product.</w:t>
      </w:r>
      <w:r w:rsidR="004172D0">
        <w:rPr>
          <w:lang w:val="en-GB"/>
        </w:rPr>
        <w:t xml:space="preserve"> T</w:t>
      </w:r>
      <w:r w:rsidRPr="00896F11">
        <w:rPr>
          <w:lang w:val="en-GB"/>
        </w:rPr>
        <w:t xml:space="preserve">he present study </w:t>
      </w:r>
      <w:r w:rsidR="004172D0">
        <w:rPr>
          <w:lang w:val="en-GB"/>
        </w:rPr>
        <w:t xml:space="preserve">snacks </w:t>
      </w:r>
      <w:r w:rsidRPr="00896F11">
        <w:rPr>
          <w:lang w:val="en-GB"/>
        </w:rPr>
        <w:t xml:space="preserve">presented hardness higher than that reported by MARQUES et al. (2017) (0.67 a 1.73 kg). </w:t>
      </w:r>
      <w:r w:rsidR="004172D0">
        <w:rPr>
          <w:lang w:val="en-GB"/>
        </w:rPr>
        <w:t>Snacks h</w:t>
      </w:r>
      <w:r w:rsidRPr="00896F11">
        <w:rPr>
          <w:lang w:val="en-GB"/>
        </w:rPr>
        <w:t>ardness data were not correlated with the moisture content fact also reported by MONTEIRO et al</w:t>
      </w:r>
      <w:r w:rsidR="003D32A4">
        <w:rPr>
          <w:lang w:val="en-GB"/>
        </w:rPr>
        <w:t>.</w:t>
      </w:r>
      <w:r w:rsidRPr="00896F11">
        <w:rPr>
          <w:lang w:val="en-GB"/>
        </w:rPr>
        <w:t xml:space="preserve"> (2016) and MIKALOUSKI (2014). </w:t>
      </w:r>
      <w:r w:rsidR="004172D0">
        <w:rPr>
          <w:lang w:val="en-GB"/>
        </w:rPr>
        <w:t>H</w:t>
      </w:r>
      <w:r w:rsidRPr="00896F11">
        <w:rPr>
          <w:lang w:val="en-GB"/>
        </w:rPr>
        <w:t xml:space="preserve">ardness </w:t>
      </w:r>
      <w:r w:rsidR="004172D0">
        <w:rPr>
          <w:lang w:val="en-GB"/>
        </w:rPr>
        <w:t xml:space="preserve">maintenance </w:t>
      </w:r>
      <w:r w:rsidRPr="00896F11">
        <w:rPr>
          <w:lang w:val="en-GB"/>
        </w:rPr>
        <w:t xml:space="preserve">of products with waxy starch and/or guar gum </w:t>
      </w:r>
      <w:proofErr w:type="gramStart"/>
      <w:r w:rsidRPr="00896F11">
        <w:rPr>
          <w:lang w:val="en-GB"/>
        </w:rPr>
        <w:t>similar to</w:t>
      </w:r>
      <w:proofErr w:type="gramEnd"/>
      <w:r w:rsidRPr="00896F11">
        <w:rPr>
          <w:lang w:val="en-GB"/>
        </w:rPr>
        <w:t xml:space="preserve"> oil</w:t>
      </w:r>
      <w:r w:rsidR="004172D0">
        <w:rPr>
          <w:lang w:val="en-GB"/>
        </w:rPr>
        <w:t>-based</w:t>
      </w:r>
      <w:r w:rsidRPr="00896F11">
        <w:rPr>
          <w:lang w:val="en-GB"/>
        </w:rPr>
        <w:t xml:space="preserve"> is </w:t>
      </w:r>
      <w:r w:rsidR="00B904DC">
        <w:rPr>
          <w:lang w:val="en-GB"/>
        </w:rPr>
        <w:t>essential</w:t>
      </w:r>
      <w:r w:rsidRPr="00896F11">
        <w:rPr>
          <w:lang w:val="en-GB"/>
        </w:rPr>
        <w:t xml:space="preserve"> from a sensorial point of view since the consumer</w:t>
      </w:r>
      <w:r w:rsidR="004172D0">
        <w:rPr>
          <w:lang w:val="en-GB"/>
        </w:rPr>
        <w:t>s</w:t>
      </w:r>
      <w:r w:rsidRPr="00896F11">
        <w:rPr>
          <w:lang w:val="en-GB"/>
        </w:rPr>
        <w:t xml:space="preserve"> </w:t>
      </w:r>
      <w:r w:rsidR="004172D0">
        <w:rPr>
          <w:lang w:val="en-GB"/>
        </w:rPr>
        <w:t>desire</w:t>
      </w:r>
      <w:r w:rsidRPr="00896F11">
        <w:rPr>
          <w:lang w:val="en-GB"/>
        </w:rPr>
        <w:t xml:space="preserve"> </w:t>
      </w:r>
      <w:r w:rsidR="004172D0">
        <w:rPr>
          <w:lang w:val="en-GB"/>
        </w:rPr>
        <w:t xml:space="preserve">that </w:t>
      </w:r>
      <w:r w:rsidRPr="00896F11">
        <w:rPr>
          <w:lang w:val="en-GB"/>
        </w:rPr>
        <w:t xml:space="preserve">reformulated products have the same characteristics </w:t>
      </w:r>
      <w:r w:rsidR="004172D0">
        <w:rPr>
          <w:lang w:val="en-GB"/>
        </w:rPr>
        <w:t>of</w:t>
      </w:r>
      <w:r w:rsidRPr="00896F11">
        <w:rPr>
          <w:lang w:val="en-GB"/>
        </w:rPr>
        <w:t xml:space="preserve"> traditional </w:t>
      </w:r>
      <w:r w:rsidR="004172D0">
        <w:rPr>
          <w:lang w:val="en-GB"/>
        </w:rPr>
        <w:t>ones</w:t>
      </w:r>
      <w:r w:rsidRPr="00896F11">
        <w:rPr>
          <w:lang w:val="en-GB"/>
        </w:rPr>
        <w:t>.</w:t>
      </w:r>
      <w:r w:rsidR="004172D0">
        <w:rPr>
          <w:lang w:val="en-GB"/>
        </w:rPr>
        <w:t xml:space="preserve"> </w:t>
      </w:r>
    </w:p>
    <w:p w14:paraId="341B8551" w14:textId="7FAAC89A" w:rsidR="004D71A9" w:rsidRPr="004172D0" w:rsidRDefault="002646B4" w:rsidP="004D71A9">
      <w:pPr>
        <w:pStyle w:val="CETBodytext"/>
        <w:rPr>
          <w:lang w:val="en-GB"/>
        </w:rPr>
      </w:pPr>
      <w:r>
        <w:rPr>
          <w:lang w:val="en-GB"/>
        </w:rPr>
        <w:t>I</w:t>
      </w:r>
      <w:r w:rsidRPr="002646B4">
        <w:rPr>
          <w:lang w:val="en-GB"/>
        </w:rPr>
        <w:t xml:space="preserve">n the sensorial evaluation, it was possible to prove that it is possible to substitute the vegetable oil for starch and/or guar gum in the </w:t>
      </w:r>
      <w:r>
        <w:rPr>
          <w:lang w:val="en-GB"/>
        </w:rPr>
        <w:t>snacks flavouring</w:t>
      </w:r>
      <w:r w:rsidRPr="002646B4">
        <w:rPr>
          <w:lang w:val="en-GB"/>
        </w:rPr>
        <w:t xml:space="preserve">, since the treatments T1 to T5 presented similar sensorial acceptance to the vegetal oil </w:t>
      </w:r>
      <w:r>
        <w:rPr>
          <w:lang w:val="en-GB"/>
        </w:rPr>
        <w:t xml:space="preserve">product </w:t>
      </w:r>
      <w:r w:rsidRPr="002646B4">
        <w:rPr>
          <w:lang w:val="en-GB"/>
        </w:rPr>
        <w:t xml:space="preserve">(p&gt; 0.05, TC1). All products had scores close to or greater than </w:t>
      </w:r>
      <w:r w:rsidR="00373530">
        <w:rPr>
          <w:lang w:val="en-GB"/>
        </w:rPr>
        <w:t>six</w:t>
      </w:r>
      <w:r w:rsidRPr="002646B4">
        <w:rPr>
          <w:lang w:val="en-GB"/>
        </w:rPr>
        <w:t xml:space="preserve"> on a 9-point scale, indicating that consumers liked the products slightly. The waxy starch-only snack (T2) presented a score close to 7, suggesting that consumers liked this formulation moderately.</w:t>
      </w:r>
      <w:r w:rsidRPr="002646B4">
        <w:t xml:space="preserve"> </w:t>
      </w:r>
      <w:r w:rsidRPr="002646B4">
        <w:rPr>
          <w:lang w:val="en-GB"/>
        </w:rPr>
        <w:t>MARQUES et al. (2017) and MONTEIRO et al. (2016) found a similar conclusion for traditional snacks (oil flavo</w:t>
      </w:r>
      <w:r>
        <w:rPr>
          <w:lang w:val="en-GB"/>
        </w:rPr>
        <w:t>u</w:t>
      </w:r>
      <w:r w:rsidRPr="002646B4">
        <w:rPr>
          <w:lang w:val="en-GB"/>
        </w:rPr>
        <w:t>ring) and snacks with 4% corn starch co</w:t>
      </w:r>
      <w:r>
        <w:rPr>
          <w:lang w:val="en-GB"/>
        </w:rPr>
        <w:t xml:space="preserve">ating </w:t>
      </w:r>
      <w:r w:rsidRPr="002646B4">
        <w:rPr>
          <w:lang w:val="en-GB"/>
        </w:rPr>
        <w:t xml:space="preserve">and grades between 5.95 and 7.51. </w:t>
      </w:r>
    </w:p>
    <w:p w14:paraId="1ED64B6B" w14:textId="5D92DE59" w:rsidR="004D71A9" w:rsidRPr="00D256AB" w:rsidRDefault="00D256AB" w:rsidP="00B77983">
      <w:pPr>
        <w:pStyle w:val="CETTabletitle"/>
      </w:pPr>
      <w:r w:rsidRPr="00D256AB">
        <w:t>Table 4. Sensory acceptance and hardness of corn snacks</w:t>
      </w:r>
      <w:r w:rsidR="004C4CE9" w:rsidRPr="00D256AB">
        <w:t xml:space="preserve">. </w:t>
      </w:r>
    </w:p>
    <w:tbl>
      <w:tblPr>
        <w:tblW w:w="8760" w:type="dxa"/>
        <w:tblCellMar>
          <w:left w:w="70" w:type="dxa"/>
          <w:right w:w="70" w:type="dxa"/>
        </w:tblCellMar>
        <w:tblLook w:val="04A0" w:firstRow="1" w:lastRow="0" w:firstColumn="1" w:lastColumn="0" w:noHBand="0" w:noVBand="1"/>
      </w:tblPr>
      <w:tblGrid>
        <w:gridCol w:w="2920"/>
        <w:gridCol w:w="2920"/>
        <w:gridCol w:w="2920"/>
      </w:tblGrid>
      <w:tr w:rsidR="00943D8A" w:rsidRPr="005C1C20" w14:paraId="27DE9810" w14:textId="77777777" w:rsidTr="0027726C">
        <w:tc>
          <w:tcPr>
            <w:tcW w:w="292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56DBA377" w14:textId="09150891" w:rsidR="00943D8A" w:rsidRPr="005C1C20" w:rsidRDefault="00943D8A" w:rsidP="005C1C20">
            <w:pPr>
              <w:tabs>
                <w:tab w:val="clear" w:pos="7100"/>
              </w:tabs>
              <w:spacing w:line="240" w:lineRule="atLeast"/>
              <w:jc w:val="left"/>
              <w:rPr>
                <w:rFonts w:cs="Arial"/>
                <w:color w:val="000000"/>
                <w:szCs w:val="18"/>
                <w:lang w:eastAsia="ja-JP"/>
              </w:rPr>
            </w:pPr>
            <w:r w:rsidRPr="005C1C20">
              <w:rPr>
                <w:rFonts w:cs="Arial"/>
                <w:color w:val="000000"/>
                <w:szCs w:val="18"/>
                <w:lang w:eastAsia="ja-JP"/>
              </w:rPr>
              <w:t>Tr</w:t>
            </w:r>
            <w:r w:rsidR="00D256AB" w:rsidRPr="005C1C20">
              <w:rPr>
                <w:rFonts w:cs="Arial"/>
                <w:color w:val="000000"/>
                <w:szCs w:val="18"/>
                <w:lang w:eastAsia="ja-JP"/>
              </w:rPr>
              <w:t>eatment</w:t>
            </w:r>
          </w:p>
        </w:tc>
        <w:tc>
          <w:tcPr>
            <w:tcW w:w="292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431AF1AF" w14:textId="77777777" w:rsidR="00943D8A" w:rsidRPr="005C1C20" w:rsidRDefault="00943D8A" w:rsidP="005C1C20">
            <w:pPr>
              <w:tabs>
                <w:tab w:val="clear" w:pos="7100"/>
              </w:tabs>
              <w:spacing w:line="240" w:lineRule="atLeast"/>
              <w:jc w:val="left"/>
              <w:rPr>
                <w:rFonts w:cs="Arial"/>
                <w:color w:val="000000"/>
                <w:szCs w:val="18"/>
                <w:lang w:eastAsia="ja-JP"/>
              </w:rPr>
            </w:pPr>
            <w:r w:rsidRPr="005C1C20">
              <w:rPr>
                <w:rFonts w:cs="Arial"/>
                <w:color w:val="000000"/>
                <w:szCs w:val="18"/>
                <w:lang w:eastAsia="ja-JP"/>
              </w:rPr>
              <w:t xml:space="preserve">Sensorial </w:t>
            </w:r>
          </w:p>
        </w:tc>
        <w:tc>
          <w:tcPr>
            <w:tcW w:w="2920" w:type="dxa"/>
            <w:tcBorders>
              <w:top w:val="single" w:sz="12" w:space="0" w:color="4F6228" w:themeColor="accent3" w:themeShade="80"/>
              <w:left w:val="nil"/>
              <w:bottom w:val="single" w:sz="8" w:space="0" w:color="4F6228" w:themeColor="accent3" w:themeShade="80"/>
              <w:right w:val="nil"/>
            </w:tcBorders>
            <w:shd w:val="clear" w:color="auto" w:fill="auto"/>
            <w:noWrap/>
            <w:vAlign w:val="bottom"/>
            <w:hideMark/>
          </w:tcPr>
          <w:p w14:paraId="7BB69E29" w14:textId="38D0C331" w:rsidR="00943D8A" w:rsidRPr="005C1C20" w:rsidRDefault="00D256AB" w:rsidP="005C1C20">
            <w:pPr>
              <w:tabs>
                <w:tab w:val="clear" w:pos="7100"/>
              </w:tabs>
              <w:spacing w:line="240" w:lineRule="atLeast"/>
              <w:jc w:val="left"/>
              <w:rPr>
                <w:rFonts w:cs="Arial"/>
                <w:color w:val="000000"/>
                <w:szCs w:val="18"/>
                <w:lang w:eastAsia="ja-JP"/>
              </w:rPr>
            </w:pPr>
            <w:r w:rsidRPr="005C1C20">
              <w:rPr>
                <w:rFonts w:cs="Arial"/>
                <w:color w:val="000000"/>
                <w:szCs w:val="18"/>
                <w:lang w:eastAsia="ja-JP"/>
              </w:rPr>
              <w:t>Hardness</w:t>
            </w:r>
            <w:r w:rsidR="00943D8A" w:rsidRPr="005C1C20">
              <w:rPr>
                <w:rFonts w:cs="Arial"/>
                <w:color w:val="000000"/>
                <w:szCs w:val="18"/>
                <w:lang w:eastAsia="ja-JP"/>
              </w:rPr>
              <w:t xml:space="preserve"> (kg)</w:t>
            </w:r>
          </w:p>
        </w:tc>
      </w:tr>
      <w:tr w:rsidR="00943D8A" w:rsidRPr="005C1C20" w14:paraId="794C77F1" w14:textId="77777777" w:rsidTr="0027726C">
        <w:tc>
          <w:tcPr>
            <w:tcW w:w="2920" w:type="dxa"/>
            <w:tcBorders>
              <w:top w:val="single" w:sz="8" w:space="0" w:color="4F6228" w:themeColor="accent3" w:themeShade="80"/>
              <w:left w:val="nil"/>
              <w:bottom w:val="nil"/>
              <w:right w:val="nil"/>
            </w:tcBorders>
            <w:shd w:val="clear" w:color="auto" w:fill="auto"/>
            <w:noWrap/>
            <w:vAlign w:val="bottom"/>
            <w:hideMark/>
          </w:tcPr>
          <w:p w14:paraId="217C5962"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TC0</w:t>
            </w:r>
          </w:p>
        </w:tc>
        <w:tc>
          <w:tcPr>
            <w:tcW w:w="2920" w:type="dxa"/>
            <w:tcBorders>
              <w:top w:val="single" w:sz="8" w:space="0" w:color="4F6228" w:themeColor="accent3" w:themeShade="80"/>
              <w:left w:val="nil"/>
              <w:bottom w:val="nil"/>
              <w:right w:val="nil"/>
            </w:tcBorders>
            <w:shd w:val="clear" w:color="auto" w:fill="auto"/>
            <w:noWrap/>
            <w:vAlign w:val="bottom"/>
            <w:hideMark/>
          </w:tcPr>
          <w:p w14:paraId="3A7DC797" w14:textId="23585500" w:rsidR="00943D8A" w:rsidRPr="005C1C20" w:rsidRDefault="008750D6" w:rsidP="005C1C20">
            <w:pPr>
              <w:pStyle w:val="CETBodytext"/>
              <w:spacing w:line="240" w:lineRule="atLeast"/>
              <w:rPr>
                <w:rFonts w:cs="Arial"/>
                <w:szCs w:val="18"/>
                <w:lang w:val="en-GB"/>
              </w:rPr>
            </w:pPr>
            <w:r w:rsidRPr="005C1C20">
              <w:rPr>
                <w:rFonts w:cs="Arial"/>
                <w:szCs w:val="18"/>
                <w:lang w:val="en-GB"/>
              </w:rPr>
              <w:t>--</w:t>
            </w:r>
          </w:p>
        </w:tc>
        <w:tc>
          <w:tcPr>
            <w:tcW w:w="2920" w:type="dxa"/>
            <w:tcBorders>
              <w:top w:val="single" w:sz="8" w:space="0" w:color="4F6228" w:themeColor="accent3" w:themeShade="80"/>
              <w:left w:val="nil"/>
              <w:bottom w:val="nil"/>
              <w:right w:val="nil"/>
            </w:tcBorders>
            <w:shd w:val="clear" w:color="auto" w:fill="auto"/>
            <w:noWrap/>
            <w:vAlign w:val="bottom"/>
            <w:hideMark/>
          </w:tcPr>
          <w:p w14:paraId="065EAE2C" w14:textId="5248B571"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08 ± 0</w:t>
            </w:r>
            <w:r w:rsidR="00D256AB" w:rsidRPr="005C1C20">
              <w:rPr>
                <w:rFonts w:cs="Arial"/>
                <w:szCs w:val="18"/>
                <w:lang w:val="en-GB"/>
              </w:rPr>
              <w:t>.</w:t>
            </w:r>
            <w:r w:rsidRPr="005C1C20">
              <w:rPr>
                <w:rFonts w:cs="Arial"/>
                <w:szCs w:val="18"/>
                <w:lang w:val="en-GB"/>
              </w:rPr>
              <w:t>37a</w:t>
            </w:r>
          </w:p>
        </w:tc>
      </w:tr>
      <w:tr w:rsidR="00943D8A" w:rsidRPr="005C1C20" w14:paraId="0E1C0C11" w14:textId="77777777" w:rsidTr="005C1C20">
        <w:tc>
          <w:tcPr>
            <w:tcW w:w="2920" w:type="dxa"/>
            <w:tcBorders>
              <w:top w:val="nil"/>
              <w:left w:val="nil"/>
              <w:bottom w:val="nil"/>
              <w:right w:val="nil"/>
            </w:tcBorders>
            <w:shd w:val="clear" w:color="auto" w:fill="auto"/>
            <w:noWrap/>
            <w:vAlign w:val="bottom"/>
            <w:hideMark/>
          </w:tcPr>
          <w:p w14:paraId="05A24DF8"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TC1</w:t>
            </w:r>
          </w:p>
        </w:tc>
        <w:tc>
          <w:tcPr>
            <w:tcW w:w="2920" w:type="dxa"/>
            <w:tcBorders>
              <w:top w:val="nil"/>
              <w:left w:val="nil"/>
              <w:bottom w:val="nil"/>
              <w:right w:val="nil"/>
            </w:tcBorders>
            <w:shd w:val="clear" w:color="auto" w:fill="auto"/>
            <w:noWrap/>
            <w:vAlign w:val="bottom"/>
            <w:hideMark/>
          </w:tcPr>
          <w:p w14:paraId="3E95C87C" w14:textId="496132BB" w:rsidR="00943D8A" w:rsidRPr="005C1C20" w:rsidRDefault="00943D8A" w:rsidP="005C1C20">
            <w:pPr>
              <w:pStyle w:val="CETBodytext"/>
              <w:spacing w:line="240" w:lineRule="atLeast"/>
              <w:rPr>
                <w:rFonts w:cs="Arial"/>
                <w:szCs w:val="18"/>
                <w:lang w:val="en-GB"/>
              </w:rPr>
            </w:pPr>
            <w:r w:rsidRPr="005C1C20">
              <w:rPr>
                <w:rFonts w:cs="Arial"/>
                <w:szCs w:val="18"/>
                <w:lang w:val="en-GB"/>
              </w:rPr>
              <w:t>5</w:t>
            </w:r>
            <w:r w:rsidR="00D256AB" w:rsidRPr="005C1C20">
              <w:rPr>
                <w:rFonts w:cs="Arial"/>
                <w:szCs w:val="18"/>
                <w:lang w:val="en-GB"/>
              </w:rPr>
              <w:t>.</w:t>
            </w:r>
            <w:r w:rsidRPr="005C1C20">
              <w:rPr>
                <w:rFonts w:cs="Arial"/>
                <w:szCs w:val="18"/>
                <w:lang w:val="en-GB"/>
              </w:rPr>
              <w:t>96</w:t>
            </w:r>
            <w:r w:rsidR="008750D6" w:rsidRPr="005C1C20">
              <w:rPr>
                <w:rFonts w:cs="Arial"/>
                <w:szCs w:val="18"/>
                <w:lang w:val="en-GB"/>
              </w:rPr>
              <w:t xml:space="preserve"> ± 1</w:t>
            </w:r>
            <w:r w:rsidR="00D256AB" w:rsidRPr="005C1C20">
              <w:rPr>
                <w:rFonts w:cs="Arial"/>
                <w:szCs w:val="18"/>
                <w:lang w:val="en-GB"/>
              </w:rPr>
              <w:t>.</w:t>
            </w:r>
            <w:r w:rsidR="008750D6" w:rsidRPr="005C1C20">
              <w:rPr>
                <w:rFonts w:cs="Arial"/>
                <w:szCs w:val="18"/>
                <w:lang w:val="en-GB"/>
              </w:rPr>
              <w:t>99</w:t>
            </w:r>
            <w:r w:rsidRPr="005C1C20">
              <w:rPr>
                <w:rFonts w:cs="Arial"/>
                <w:szCs w:val="18"/>
                <w:lang w:val="en-GB"/>
              </w:rPr>
              <w:t>ab</w:t>
            </w:r>
          </w:p>
        </w:tc>
        <w:tc>
          <w:tcPr>
            <w:tcW w:w="2920" w:type="dxa"/>
            <w:tcBorders>
              <w:top w:val="nil"/>
              <w:left w:val="nil"/>
              <w:bottom w:val="nil"/>
              <w:right w:val="nil"/>
            </w:tcBorders>
            <w:shd w:val="clear" w:color="auto" w:fill="auto"/>
            <w:noWrap/>
            <w:vAlign w:val="bottom"/>
            <w:hideMark/>
          </w:tcPr>
          <w:p w14:paraId="13390907" w14:textId="3841B524"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15 ± 0</w:t>
            </w:r>
            <w:r w:rsidR="00D256AB" w:rsidRPr="005C1C20">
              <w:rPr>
                <w:rFonts w:cs="Arial"/>
                <w:szCs w:val="18"/>
                <w:lang w:val="en-GB"/>
              </w:rPr>
              <w:t>.</w:t>
            </w:r>
            <w:r w:rsidRPr="005C1C20">
              <w:rPr>
                <w:rFonts w:cs="Arial"/>
                <w:szCs w:val="18"/>
                <w:lang w:val="en-GB"/>
              </w:rPr>
              <w:t>39a</w:t>
            </w:r>
          </w:p>
        </w:tc>
      </w:tr>
      <w:tr w:rsidR="00943D8A" w:rsidRPr="005C1C20" w14:paraId="75687F9D" w14:textId="77777777" w:rsidTr="005C1C20">
        <w:tc>
          <w:tcPr>
            <w:tcW w:w="2920" w:type="dxa"/>
            <w:tcBorders>
              <w:top w:val="nil"/>
              <w:left w:val="nil"/>
              <w:bottom w:val="nil"/>
              <w:right w:val="nil"/>
            </w:tcBorders>
            <w:shd w:val="clear" w:color="auto" w:fill="auto"/>
            <w:noWrap/>
            <w:vAlign w:val="bottom"/>
            <w:hideMark/>
          </w:tcPr>
          <w:p w14:paraId="65079654"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T1</w:t>
            </w:r>
          </w:p>
        </w:tc>
        <w:tc>
          <w:tcPr>
            <w:tcW w:w="2920" w:type="dxa"/>
            <w:tcBorders>
              <w:top w:val="nil"/>
              <w:left w:val="nil"/>
              <w:bottom w:val="nil"/>
              <w:right w:val="nil"/>
            </w:tcBorders>
            <w:shd w:val="clear" w:color="auto" w:fill="auto"/>
            <w:noWrap/>
            <w:vAlign w:val="bottom"/>
            <w:hideMark/>
          </w:tcPr>
          <w:p w14:paraId="6F1F1085" w14:textId="77D83CAF" w:rsidR="00943D8A" w:rsidRPr="005C1C20" w:rsidRDefault="00943D8A" w:rsidP="005C1C20">
            <w:pPr>
              <w:pStyle w:val="CETBodytext"/>
              <w:spacing w:line="240" w:lineRule="atLeast"/>
              <w:rPr>
                <w:rFonts w:cs="Arial"/>
                <w:szCs w:val="18"/>
                <w:lang w:val="en-GB"/>
              </w:rPr>
            </w:pPr>
            <w:r w:rsidRPr="005C1C20">
              <w:rPr>
                <w:rFonts w:cs="Arial"/>
                <w:szCs w:val="18"/>
                <w:lang w:val="en-GB"/>
              </w:rPr>
              <w:t>6</w:t>
            </w:r>
            <w:r w:rsidR="00D256AB" w:rsidRPr="005C1C20">
              <w:rPr>
                <w:rFonts w:cs="Arial"/>
                <w:szCs w:val="18"/>
                <w:lang w:val="en-GB"/>
              </w:rPr>
              <w:t>.</w:t>
            </w:r>
            <w:r w:rsidRPr="005C1C20">
              <w:rPr>
                <w:rFonts w:cs="Arial"/>
                <w:szCs w:val="18"/>
                <w:lang w:val="en-GB"/>
              </w:rPr>
              <w:t>76</w:t>
            </w:r>
            <w:r w:rsidR="008750D6" w:rsidRPr="005C1C20">
              <w:rPr>
                <w:rFonts w:cs="Arial"/>
                <w:szCs w:val="18"/>
                <w:lang w:val="en-GB"/>
              </w:rPr>
              <w:t xml:space="preserve"> ± 1</w:t>
            </w:r>
            <w:r w:rsidR="00D256AB" w:rsidRPr="005C1C20">
              <w:rPr>
                <w:rFonts w:cs="Arial"/>
                <w:szCs w:val="18"/>
                <w:lang w:val="en-GB"/>
              </w:rPr>
              <w:t>.</w:t>
            </w:r>
            <w:r w:rsidR="008750D6" w:rsidRPr="005C1C20">
              <w:rPr>
                <w:rFonts w:cs="Arial"/>
                <w:szCs w:val="18"/>
                <w:lang w:val="en-GB"/>
              </w:rPr>
              <w:t>84</w:t>
            </w:r>
            <w:r w:rsidRPr="005C1C20">
              <w:rPr>
                <w:rFonts w:cs="Arial"/>
                <w:szCs w:val="18"/>
                <w:lang w:val="en-GB"/>
              </w:rPr>
              <w:t>a</w:t>
            </w:r>
          </w:p>
        </w:tc>
        <w:tc>
          <w:tcPr>
            <w:tcW w:w="2920" w:type="dxa"/>
            <w:tcBorders>
              <w:top w:val="nil"/>
              <w:left w:val="nil"/>
              <w:bottom w:val="nil"/>
              <w:right w:val="nil"/>
            </w:tcBorders>
            <w:shd w:val="clear" w:color="auto" w:fill="auto"/>
            <w:noWrap/>
            <w:vAlign w:val="bottom"/>
            <w:hideMark/>
          </w:tcPr>
          <w:p w14:paraId="15C9AFC3" w14:textId="600E829A"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31 ± 0</w:t>
            </w:r>
            <w:r w:rsidR="00D256AB" w:rsidRPr="005C1C20">
              <w:rPr>
                <w:rFonts w:cs="Arial"/>
                <w:szCs w:val="18"/>
                <w:lang w:val="en-GB"/>
              </w:rPr>
              <w:t>.</w:t>
            </w:r>
            <w:r w:rsidRPr="005C1C20">
              <w:rPr>
                <w:rFonts w:cs="Arial"/>
                <w:szCs w:val="18"/>
                <w:lang w:val="en-GB"/>
              </w:rPr>
              <w:t>48a</w:t>
            </w:r>
          </w:p>
        </w:tc>
      </w:tr>
      <w:tr w:rsidR="00943D8A" w:rsidRPr="005C1C20" w14:paraId="278E083C" w14:textId="77777777" w:rsidTr="005C1C20">
        <w:tc>
          <w:tcPr>
            <w:tcW w:w="2920" w:type="dxa"/>
            <w:tcBorders>
              <w:top w:val="nil"/>
              <w:left w:val="nil"/>
              <w:bottom w:val="nil"/>
              <w:right w:val="nil"/>
            </w:tcBorders>
            <w:shd w:val="clear" w:color="auto" w:fill="auto"/>
            <w:noWrap/>
            <w:vAlign w:val="bottom"/>
            <w:hideMark/>
          </w:tcPr>
          <w:p w14:paraId="44F49795"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T2</w:t>
            </w:r>
          </w:p>
        </w:tc>
        <w:tc>
          <w:tcPr>
            <w:tcW w:w="2920" w:type="dxa"/>
            <w:tcBorders>
              <w:top w:val="nil"/>
              <w:left w:val="nil"/>
              <w:bottom w:val="nil"/>
              <w:right w:val="nil"/>
            </w:tcBorders>
            <w:shd w:val="clear" w:color="auto" w:fill="auto"/>
            <w:noWrap/>
            <w:vAlign w:val="bottom"/>
            <w:hideMark/>
          </w:tcPr>
          <w:p w14:paraId="7667F82E" w14:textId="7C446083" w:rsidR="00943D8A" w:rsidRPr="005C1C20" w:rsidRDefault="00943D8A" w:rsidP="005C1C20">
            <w:pPr>
              <w:pStyle w:val="CETBodytext"/>
              <w:spacing w:line="240" w:lineRule="atLeast"/>
              <w:rPr>
                <w:rFonts w:cs="Arial"/>
                <w:szCs w:val="18"/>
                <w:lang w:val="en-GB"/>
              </w:rPr>
            </w:pPr>
            <w:r w:rsidRPr="005C1C20">
              <w:rPr>
                <w:rFonts w:cs="Arial"/>
                <w:szCs w:val="18"/>
                <w:lang w:val="en-GB"/>
              </w:rPr>
              <w:t>6</w:t>
            </w:r>
            <w:r w:rsidR="00D256AB" w:rsidRPr="005C1C20">
              <w:rPr>
                <w:rFonts w:cs="Arial"/>
                <w:szCs w:val="18"/>
                <w:lang w:val="en-GB"/>
              </w:rPr>
              <w:t>.</w:t>
            </w:r>
            <w:r w:rsidRPr="005C1C20">
              <w:rPr>
                <w:rFonts w:cs="Arial"/>
                <w:szCs w:val="18"/>
                <w:lang w:val="en-GB"/>
              </w:rPr>
              <w:t>47</w:t>
            </w:r>
            <w:r w:rsidR="008750D6" w:rsidRPr="005C1C20">
              <w:rPr>
                <w:rFonts w:cs="Arial"/>
                <w:szCs w:val="18"/>
                <w:lang w:val="en-GB"/>
              </w:rPr>
              <w:t xml:space="preserve"> ± 1</w:t>
            </w:r>
            <w:r w:rsidR="00D256AB" w:rsidRPr="005C1C20">
              <w:rPr>
                <w:rFonts w:cs="Arial"/>
                <w:szCs w:val="18"/>
                <w:lang w:val="en-GB"/>
              </w:rPr>
              <w:t>.</w:t>
            </w:r>
            <w:r w:rsidR="008750D6" w:rsidRPr="005C1C20">
              <w:rPr>
                <w:rFonts w:cs="Arial"/>
                <w:szCs w:val="18"/>
                <w:lang w:val="en-GB"/>
              </w:rPr>
              <w:t>75</w:t>
            </w:r>
            <w:r w:rsidRPr="005C1C20">
              <w:rPr>
                <w:rFonts w:cs="Arial"/>
                <w:szCs w:val="18"/>
                <w:lang w:val="en-GB"/>
              </w:rPr>
              <w:t>a</w:t>
            </w:r>
          </w:p>
        </w:tc>
        <w:tc>
          <w:tcPr>
            <w:tcW w:w="2920" w:type="dxa"/>
            <w:tcBorders>
              <w:top w:val="nil"/>
              <w:left w:val="nil"/>
              <w:bottom w:val="nil"/>
              <w:right w:val="nil"/>
            </w:tcBorders>
            <w:shd w:val="clear" w:color="auto" w:fill="auto"/>
            <w:noWrap/>
            <w:vAlign w:val="bottom"/>
            <w:hideMark/>
          </w:tcPr>
          <w:p w14:paraId="0DA900BD" w14:textId="6C9BB1FD"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25 ± 0</w:t>
            </w:r>
            <w:r w:rsidR="00D256AB" w:rsidRPr="005C1C20">
              <w:rPr>
                <w:rFonts w:cs="Arial"/>
                <w:szCs w:val="18"/>
                <w:lang w:val="en-GB"/>
              </w:rPr>
              <w:t>.</w:t>
            </w:r>
            <w:r w:rsidRPr="005C1C20">
              <w:rPr>
                <w:rFonts w:cs="Arial"/>
                <w:szCs w:val="18"/>
                <w:lang w:val="en-GB"/>
              </w:rPr>
              <w:t>41a</w:t>
            </w:r>
          </w:p>
        </w:tc>
      </w:tr>
      <w:tr w:rsidR="00943D8A" w:rsidRPr="005C1C20" w14:paraId="6736F49A" w14:textId="77777777" w:rsidTr="005C1C20">
        <w:tc>
          <w:tcPr>
            <w:tcW w:w="2920" w:type="dxa"/>
            <w:tcBorders>
              <w:top w:val="nil"/>
              <w:left w:val="nil"/>
              <w:bottom w:val="nil"/>
              <w:right w:val="nil"/>
            </w:tcBorders>
            <w:shd w:val="clear" w:color="auto" w:fill="auto"/>
            <w:noWrap/>
            <w:vAlign w:val="bottom"/>
            <w:hideMark/>
          </w:tcPr>
          <w:p w14:paraId="0EDEBAC5"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T3</w:t>
            </w:r>
          </w:p>
        </w:tc>
        <w:tc>
          <w:tcPr>
            <w:tcW w:w="2920" w:type="dxa"/>
            <w:tcBorders>
              <w:top w:val="nil"/>
              <w:left w:val="nil"/>
              <w:bottom w:val="nil"/>
              <w:right w:val="nil"/>
            </w:tcBorders>
            <w:shd w:val="clear" w:color="auto" w:fill="auto"/>
            <w:noWrap/>
            <w:vAlign w:val="bottom"/>
            <w:hideMark/>
          </w:tcPr>
          <w:p w14:paraId="11AFCA4C" w14:textId="48657C7F" w:rsidR="00943D8A" w:rsidRPr="005C1C20" w:rsidRDefault="00943D8A" w:rsidP="005C1C20">
            <w:pPr>
              <w:pStyle w:val="CETBodytext"/>
              <w:spacing w:line="240" w:lineRule="atLeast"/>
              <w:rPr>
                <w:rFonts w:cs="Arial"/>
                <w:szCs w:val="18"/>
                <w:lang w:val="en-GB"/>
              </w:rPr>
            </w:pPr>
            <w:r w:rsidRPr="005C1C20">
              <w:rPr>
                <w:rFonts w:cs="Arial"/>
                <w:szCs w:val="18"/>
                <w:lang w:val="en-GB"/>
              </w:rPr>
              <w:t>5</w:t>
            </w:r>
            <w:r w:rsidR="00D256AB" w:rsidRPr="005C1C20">
              <w:rPr>
                <w:rFonts w:cs="Arial"/>
                <w:szCs w:val="18"/>
                <w:lang w:val="en-GB"/>
              </w:rPr>
              <w:t>.</w:t>
            </w:r>
            <w:r w:rsidRPr="005C1C20">
              <w:rPr>
                <w:rFonts w:cs="Arial"/>
                <w:szCs w:val="18"/>
                <w:lang w:val="en-GB"/>
              </w:rPr>
              <w:t>55</w:t>
            </w:r>
            <w:r w:rsidR="008750D6" w:rsidRPr="005C1C20">
              <w:rPr>
                <w:rFonts w:cs="Arial"/>
                <w:szCs w:val="18"/>
                <w:lang w:val="en-GB"/>
              </w:rPr>
              <w:t xml:space="preserve"> ± 2</w:t>
            </w:r>
            <w:r w:rsidR="00D256AB" w:rsidRPr="005C1C20">
              <w:rPr>
                <w:rFonts w:cs="Arial"/>
                <w:szCs w:val="18"/>
                <w:lang w:val="en-GB"/>
              </w:rPr>
              <w:t>.</w:t>
            </w:r>
            <w:r w:rsidR="008750D6" w:rsidRPr="005C1C20">
              <w:rPr>
                <w:rFonts w:cs="Arial"/>
                <w:szCs w:val="18"/>
                <w:lang w:val="en-GB"/>
              </w:rPr>
              <w:t>42</w:t>
            </w:r>
            <w:r w:rsidRPr="005C1C20">
              <w:rPr>
                <w:rFonts w:cs="Arial"/>
                <w:szCs w:val="18"/>
                <w:lang w:val="en-GB"/>
              </w:rPr>
              <w:t>b</w:t>
            </w:r>
          </w:p>
        </w:tc>
        <w:tc>
          <w:tcPr>
            <w:tcW w:w="2920" w:type="dxa"/>
            <w:tcBorders>
              <w:top w:val="nil"/>
              <w:left w:val="nil"/>
              <w:bottom w:val="nil"/>
              <w:right w:val="nil"/>
            </w:tcBorders>
            <w:shd w:val="clear" w:color="auto" w:fill="auto"/>
            <w:noWrap/>
            <w:vAlign w:val="bottom"/>
            <w:hideMark/>
          </w:tcPr>
          <w:p w14:paraId="1FF077F7" w14:textId="51D289BC"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25 ± 0</w:t>
            </w:r>
            <w:r w:rsidR="00D256AB" w:rsidRPr="005C1C20">
              <w:rPr>
                <w:rFonts w:cs="Arial"/>
                <w:szCs w:val="18"/>
                <w:lang w:val="en-GB"/>
              </w:rPr>
              <w:t>.</w:t>
            </w:r>
            <w:r w:rsidRPr="005C1C20">
              <w:rPr>
                <w:rFonts w:cs="Arial"/>
                <w:szCs w:val="18"/>
                <w:lang w:val="en-GB"/>
              </w:rPr>
              <w:t>44a</w:t>
            </w:r>
          </w:p>
        </w:tc>
      </w:tr>
      <w:tr w:rsidR="00943D8A" w:rsidRPr="005C1C20" w14:paraId="2CDE4AC7" w14:textId="77777777" w:rsidTr="00E92172">
        <w:tc>
          <w:tcPr>
            <w:tcW w:w="2920" w:type="dxa"/>
            <w:tcBorders>
              <w:top w:val="nil"/>
              <w:left w:val="nil"/>
              <w:right w:val="nil"/>
            </w:tcBorders>
            <w:shd w:val="clear" w:color="auto" w:fill="auto"/>
            <w:noWrap/>
            <w:vAlign w:val="bottom"/>
            <w:hideMark/>
          </w:tcPr>
          <w:p w14:paraId="4252A8CA"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T4</w:t>
            </w:r>
          </w:p>
        </w:tc>
        <w:tc>
          <w:tcPr>
            <w:tcW w:w="2920" w:type="dxa"/>
            <w:tcBorders>
              <w:top w:val="nil"/>
              <w:left w:val="nil"/>
              <w:right w:val="nil"/>
            </w:tcBorders>
            <w:shd w:val="clear" w:color="auto" w:fill="auto"/>
            <w:noWrap/>
            <w:vAlign w:val="bottom"/>
            <w:hideMark/>
          </w:tcPr>
          <w:p w14:paraId="782215FC" w14:textId="029BC0BA" w:rsidR="00943D8A" w:rsidRPr="005C1C20" w:rsidRDefault="00943D8A" w:rsidP="005C1C20">
            <w:pPr>
              <w:pStyle w:val="CETBodytext"/>
              <w:spacing w:line="240" w:lineRule="atLeast"/>
              <w:rPr>
                <w:rFonts w:cs="Arial"/>
                <w:szCs w:val="18"/>
                <w:lang w:val="en-GB"/>
              </w:rPr>
            </w:pPr>
            <w:r w:rsidRPr="005C1C20">
              <w:rPr>
                <w:rFonts w:cs="Arial"/>
                <w:szCs w:val="18"/>
                <w:lang w:val="en-GB"/>
              </w:rPr>
              <w:t>6</w:t>
            </w:r>
            <w:r w:rsidR="00D256AB" w:rsidRPr="005C1C20">
              <w:rPr>
                <w:rFonts w:cs="Arial"/>
                <w:szCs w:val="18"/>
                <w:lang w:val="en-GB"/>
              </w:rPr>
              <w:t>.</w:t>
            </w:r>
            <w:r w:rsidRPr="005C1C20">
              <w:rPr>
                <w:rFonts w:cs="Arial"/>
                <w:szCs w:val="18"/>
                <w:lang w:val="en-GB"/>
              </w:rPr>
              <w:t>33</w:t>
            </w:r>
            <w:r w:rsidR="008750D6" w:rsidRPr="005C1C20">
              <w:rPr>
                <w:rFonts w:cs="Arial"/>
                <w:szCs w:val="18"/>
                <w:lang w:val="en-GB"/>
              </w:rPr>
              <w:t xml:space="preserve"> ± 1</w:t>
            </w:r>
            <w:r w:rsidR="00D256AB" w:rsidRPr="005C1C20">
              <w:rPr>
                <w:rFonts w:cs="Arial"/>
                <w:szCs w:val="18"/>
                <w:lang w:val="en-GB"/>
              </w:rPr>
              <w:t>.</w:t>
            </w:r>
            <w:r w:rsidR="008750D6" w:rsidRPr="005C1C20">
              <w:rPr>
                <w:rFonts w:cs="Arial"/>
                <w:szCs w:val="18"/>
                <w:lang w:val="en-GB"/>
              </w:rPr>
              <w:t>77</w:t>
            </w:r>
            <w:r w:rsidRPr="005C1C20">
              <w:rPr>
                <w:rFonts w:cs="Arial"/>
                <w:szCs w:val="18"/>
                <w:lang w:val="en-GB"/>
              </w:rPr>
              <w:t>ab</w:t>
            </w:r>
          </w:p>
        </w:tc>
        <w:tc>
          <w:tcPr>
            <w:tcW w:w="2920" w:type="dxa"/>
            <w:tcBorders>
              <w:top w:val="nil"/>
              <w:left w:val="nil"/>
              <w:right w:val="nil"/>
            </w:tcBorders>
            <w:shd w:val="clear" w:color="auto" w:fill="auto"/>
            <w:noWrap/>
            <w:vAlign w:val="bottom"/>
            <w:hideMark/>
          </w:tcPr>
          <w:p w14:paraId="4EB26520" w14:textId="72DD0011"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00 ± 0</w:t>
            </w:r>
            <w:r w:rsidR="00D256AB" w:rsidRPr="005C1C20">
              <w:rPr>
                <w:rFonts w:cs="Arial"/>
                <w:szCs w:val="18"/>
                <w:lang w:val="en-GB"/>
              </w:rPr>
              <w:t>.</w:t>
            </w:r>
            <w:r w:rsidRPr="005C1C20">
              <w:rPr>
                <w:rFonts w:cs="Arial"/>
                <w:szCs w:val="18"/>
                <w:lang w:val="en-GB"/>
              </w:rPr>
              <w:t>38a</w:t>
            </w:r>
          </w:p>
        </w:tc>
      </w:tr>
      <w:tr w:rsidR="00943D8A" w:rsidRPr="005C1C20" w14:paraId="5EFF8949" w14:textId="77777777" w:rsidTr="00E92172">
        <w:tc>
          <w:tcPr>
            <w:tcW w:w="2920" w:type="dxa"/>
            <w:tcBorders>
              <w:top w:val="nil"/>
              <w:left w:val="nil"/>
              <w:bottom w:val="single" w:sz="12" w:space="0" w:color="4F6228" w:themeColor="accent3" w:themeShade="80"/>
              <w:right w:val="nil"/>
            </w:tcBorders>
            <w:shd w:val="clear" w:color="auto" w:fill="auto"/>
            <w:noWrap/>
            <w:vAlign w:val="bottom"/>
            <w:hideMark/>
          </w:tcPr>
          <w:p w14:paraId="66E77913" w14:textId="77777777" w:rsidR="00943D8A" w:rsidRPr="005C1C20" w:rsidRDefault="00943D8A" w:rsidP="005C1C20">
            <w:pPr>
              <w:pStyle w:val="CETBodytext"/>
              <w:spacing w:line="240" w:lineRule="atLeast"/>
              <w:rPr>
                <w:rFonts w:cs="Arial"/>
                <w:szCs w:val="18"/>
                <w:lang w:val="en-GB"/>
              </w:rPr>
            </w:pPr>
            <w:r w:rsidRPr="005C1C20">
              <w:rPr>
                <w:rFonts w:cs="Arial"/>
                <w:szCs w:val="18"/>
                <w:lang w:val="en-GB"/>
              </w:rPr>
              <w:t>T5</w:t>
            </w:r>
          </w:p>
        </w:tc>
        <w:tc>
          <w:tcPr>
            <w:tcW w:w="2920" w:type="dxa"/>
            <w:tcBorders>
              <w:top w:val="nil"/>
              <w:left w:val="nil"/>
              <w:bottom w:val="single" w:sz="12" w:space="0" w:color="4F6228" w:themeColor="accent3" w:themeShade="80"/>
              <w:right w:val="nil"/>
            </w:tcBorders>
            <w:shd w:val="clear" w:color="auto" w:fill="auto"/>
            <w:noWrap/>
            <w:vAlign w:val="bottom"/>
            <w:hideMark/>
          </w:tcPr>
          <w:p w14:paraId="591CC45D" w14:textId="4EEEACA3" w:rsidR="00943D8A" w:rsidRPr="005C1C20" w:rsidRDefault="00943D8A" w:rsidP="005C1C20">
            <w:pPr>
              <w:pStyle w:val="CETBodytext"/>
              <w:spacing w:line="240" w:lineRule="atLeast"/>
              <w:rPr>
                <w:rFonts w:cs="Arial"/>
                <w:szCs w:val="18"/>
                <w:lang w:val="en-GB"/>
              </w:rPr>
            </w:pPr>
            <w:r w:rsidRPr="005C1C20">
              <w:rPr>
                <w:rFonts w:cs="Arial"/>
                <w:szCs w:val="18"/>
                <w:lang w:val="en-GB"/>
              </w:rPr>
              <w:t>6</w:t>
            </w:r>
            <w:r w:rsidR="00D256AB" w:rsidRPr="005C1C20">
              <w:rPr>
                <w:rFonts w:cs="Arial"/>
                <w:szCs w:val="18"/>
                <w:lang w:val="en-GB"/>
              </w:rPr>
              <w:t>.</w:t>
            </w:r>
            <w:r w:rsidRPr="005C1C20">
              <w:rPr>
                <w:rFonts w:cs="Arial"/>
                <w:szCs w:val="18"/>
                <w:lang w:val="en-GB"/>
              </w:rPr>
              <w:t>00</w:t>
            </w:r>
            <w:r w:rsidR="008750D6" w:rsidRPr="005C1C20">
              <w:rPr>
                <w:rFonts w:cs="Arial"/>
                <w:szCs w:val="18"/>
                <w:lang w:val="en-GB"/>
              </w:rPr>
              <w:t xml:space="preserve"> ± 2</w:t>
            </w:r>
            <w:r w:rsidR="00D256AB" w:rsidRPr="005C1C20">
              <w:rPr>
                <w:rFonts w:cs="Arial"/>
                <w:szCs w:val="18"/>
                <w:lang w:val="en-GB"/>
              </w:rPr>
              <w:t>.</w:t>
            </w:r>
            <w:r w:rsidR="008750D6" w:rsidRPr="005C1C20">
              <w:rPr>
                <w:rFonts w:cs="Arial"/>
                <w:szCs w:val="18"/>
                <w:lang w:val="en-GB"/>
              </w:rPr>
              <w:t>04</w:t>
            </w:r>
            <w:r w:rsidRPr="005C1C20">
              <w:rPr>
                <w:rFonts w:cs="Arial"/>
                <w:szCs w:val="18"/>
                <w:lang w:val="en-GB"/>
              </w:rPr>
              <w:t>ab</w:t>
            </w:r>
          </w:p>
        </w:tc>
        <w:tc>
          <w:tcPr>
            <w:tcW w:w="2920" w:type="dxa"/>
            <w:tcBorders>
              <w:top w:val="nil"/>
              <w:left w:val="nil"/>
              <w:bottom w:val="single" w:sz="12" w:space="0" w:color="4F6228" w:themeColor="accent3" w:themeShade="80"/>
              <w:right w:val="nil"/>
            </w:tcBorders>
            <w:shd w:val="clear" w:color="auto" w:fill="auto"/>
            <w:noWrap/>
            <w:vAlign w:val="bottom"/>
            <w:hideMark/>
          </w:tcPr>
          <w:p w14:paraId="3FA6044B" w14:textId="162B2121" w:rsidR="00943D8A" w:rsidRPr="005C1C20" w:rsidRDefault="00943D8A" w:rsidP="005C1C20">
            <w:pPr>
              <w:pStyle w:val="CETBodytext"/>
              <w:spacing w:line="240" w:lineRule="atLeast"/>
              <w:rPr>
                <w:rFonts w:cs="Arial"/>
                <w:szCs w:val="18"/>
                <w:lang w:val="en-GB"/>
              </w:rPr>
            </w:pPr>
            <w:r w:rsidRPr="005C1C20">
              <w:rPr>
                <w:rFonts w:cs="Arial"/>
                <w:szCs w:val="18"/>
                <w:lang w:val="en-GB"/>
              </w:rPr>
              <w:t>2</w:t>
            </w:r>
            <w:r w:rsidR="00D256AB" w:rsidRPr="005C1C20">
              <w:rPr>
                <w:rFonts w:cs="Arial"/>
                <w:szCs w:val="18"/>
                <w:lang w:val="en-GB"/>
              </w:rPr>
              <w:t>.</w:t>
            </w:r>
            <w:r w:rsidRPr="005C1C20">
              <w:rPr>
                <w:rFonts w:cs="Arial"/>
                <w:szCs w:val="18"/>
                <w:lang w:val="en-GB"/>
              </w:rPr>
              <w:t>17 ± 0</w:t>
            </w:r>
            <w:r w:rsidR="00D256AB" w:rsidRPr="005C1C20">
              <w:rPr>
                <w:rFonts w:cs="Arial"/>
                <w:szCs w:val="18"/>
                <w:lang w:val="en-GB"/>
              </w:rPr>
              <w:t>.</w:t>
            </w:r>
            <w:r w:rsidRPr="005C1C20">
              <w:rPr>
                <w:rFonts w:cs="Arial"/>
                <w:szCs w:val="18"/>
                <w:lang w:val="en-GB"/>
              </w:rPr>
              <w:t>46a</w:t>
            </w:r>
          </w:p>
        </w:tc>
      </w:tr>
    </w:tbl>
    <w:p w14:paraId="4E76E4D6" w14:textId="0DD68BC9" w:rsidR="00FD07B9" w:rsidRPr="005E0CED" w:rsidRDefault="00D256AB" w:rsidP="0005163B">
      <w:pPr>
        <w:pStyle w:val="CETBodytext"/>
        <w:rPr>
          <w:lang w:val="en-GB"/>
        </w:rPr>
      </w:pPr>
      <w:r w:rsidRPr="00D256AB">
        <w:rPr>
          <w:lang w:val="en-GB"/>
        </w:rPr>
        <w:t>Means ± standard deviation followed by the same lowercase letter do not differ statistically from each other in the same column (p&gt; 0.05)</w:t>
      </w:r>
      <w:r w:rsidR="00E45CB6">
        <w:rPr>
          <w:lang w:val="en-GB"/>
        </w:rPr>
        <w:t>, f</w:t>
      </w:r>
      <w:r w:rsidRPr="00D256AB">
        <w:rPr>
          <w:lang w:val="en-GB"/>
        </w:rPr>
        <w:t>or treatments see Table 1.</w:t>
      </w:r>
    </w:p>
    <w:p w14:paraId="519AAF01" w14:textId="77777777" w:rsidR="00FD07B9" w:rsidRPr="004D3E33" w:rsidRDefault="00FD07B9" w:rsidP="004D3E33">
      <w:pPr>
        <w:pStyle w:val="CETAcknowledgementstitle"/>
        <w:rPr>
          <w:color w:val="000000" w:themeColor="text1"/>
        </w:rPr>
      </w:pPr>
      <w:r w:rsidRPr="004D3E33">
        <w:rPr>
          <w:color w:val="000000" w:themeColor="text1"/>
        </w:rPr>
        <w:t>Conclusion</w:t>
      </w:r>
    </w:p>
    <w:p w14:paraId="24AFD588" w14:textId="5B49C1F8" w:rsidR="00FD07B9" w:rsidRPr="00FD07B9" w:rsidRDefault="00FD07B9" w:rsidP="00FD07B9">
      <w:pPr>
        <w:pStyle w:val="CETBodytext"/>
        <w:rPr>
          <w:lang w:val="en-GB"/>
        </w:rPr>
      </w:pPr>
      <w:r w:rsidRPr="00FD07B9">
        <w:rPr>
          <w:lang w:val="en-GB"/>
        </w:rPr>
        <w:t xml:space="preserve">It is concluded that </w:t>
      </w:r>
      <w:r>
        <w:rPr>
          <w:lang w:val="en-GB"/>
        </w:rPr>
        <w:t>the substitution of</w:t>
      </w:r>
      <w:r w:rsidRPr="00FD07B9">
        <w:rPr>
          <w:lang w:val="en-GB"/>
        </w:rPr>
        <w:t xml:space="preserve"> vegetable oil in the process of flavouring extruded snacks with waxy maize starch and</w:t>
      </w:r>
      <w:r w:rsidR="00373530">
        <w:rPr>
          <w:lang w:val="en-GB"/>
        </w:rPr>
        <w:t>/</w:t>
      </w:r>
      <w:r w:rsidRPr="00FD07B9">
        <w:rPr>
          <w:lang w:val="en-GB"/>
        </w:rPr>
        <w:t xml:space="preserve">or guar gum </w:t>
      </w:r>
      <w:r>
        <w:rPr>
          <w:lang w:val="en-GB"/>
        </w:rPr>
        <w:t xml:space="preserve">is </w:t>
      </w:r>
      <w:r w:rsidRPr="00FD07B9">
        <w:rPr>
          <w:lang w:val="en-GB"/>
        </w:rPr>
        <w:t>possible</w:t>
      </w:r>
      <w:r>
        <w:rPr>
          <w:lang w:val="en-GB"/>
        </w:rPr>
        <w:t>,</w:t>
      </w:r>
      <w:r w:rsidRPr="00FD07B9">
        <w:rPr>
          <w:lang w:val="en-GB"/>
        </w:rPr>
        <w:t xml:space="preserve"> resulting in products with similar characteristics (humidity, specific volume, apparent density, retraction index, se</w:t>
      </w:r>
      <w:r>
        <w:rPr>
          <w:lang w:val="en-GB"/>
        </w:rPr>
        <w:t>nsorial acceptance and hardness</w:t>
      </w:r>
      <w:r w:rsidRPr="00FD07B9">
        <w:rPr>
          <w:lang w:val="en-GB"/>
        </w:rPr>
        <w:t>). The recommended formulation would be the waxy starch-only compound (4%), as no significant improvement was observed with the use of guar gum.</w:t>
      </w:r>
    </w:p>
    <w:p w14:paraId="68F6F909" w14:textId="77777777" w:rsidR="00617553" w:rsidRDefault="00617553" w:rsidP="00600535">
      <w:pPr>
        <w:pStyle w:val="CETAcknowledgementstitle"/>
        <w:rPr>
          <w:color w:val="000000" w:themeColor="text1"/>
        </w:rPr>
      </w:pPr>
    </w:p>
    <w:p w14:paraId="7B9083B4" w14:textId="4695819D" w:rsidR="00600535" w:rsidRPr="0057440F" w:rsidRDefault="00600535" w:rsidP="00600535">
      <w:pPr>
        <w:pStyle w:val="CETAcknowledgementstitle"/>
        <w:rPr>
          <w:color w:val="000000" w:themeColor="text1"/>
        </w:rPr>
      </w:pPr>
      <w:r w:rsidRPr="003C5245">
        <w:rPr>
          <w:color w:val="000000" w:themeColor="text1"/>
        </w:rPr>
        <w:lastRenderedPageBreak/>
        <w:t>Acknowledg</w:t>
      </w:r>
      <w:r w:rsidR="006B0AEF">
        <w:rPr>
          <w:color w:val="000000" w:themeColor="text1"/>
        </w:rPr>
        <w:t>e</w:t>
      </w:r>
      <w:r w:rsidRPr="003C5245">
        <w:rPr>
          <w:color w:val="000000" w:themeColor="text1"/>
        </w:rPr>
        <w:t>ments</w:t>
      </w:r>
    </w:p>
    <w:p w14:paraId="436DB3CE" w14:textId="77777777" w:rsidR="000B110A" w:rsidRPr="00280A0B" w:rsidRDefault="000B110A" w:rsidP="000B110A">
      <w:pPr>
        <w:pStyle w:val="PargrafodaLista"/>
        <w:ind w:left="0"/>
      </w:pPr>
      <w:r w:rsidRPr="00280A0B">
        <w:rPr>
          <w:lang w:eastAsia="ar-SA"/>
        </w:rPr>
        <w:t xml:space="preserve">Financial </w:t>
      </w:r>
      <w:r w:rsidRPr="000C5589">
        <w:rPr>
          <w:lang w:eastAsia="ar-SA"/>
        </w:rPr>
        <w:t xml:space="preserve">support </w:t>
      </w:r>
      <w:r>
        <w:rPr>
          <w:lang w:eastAsia="ar-SA"/>
        </w:rPr>
        <w:t xml:space="preserve">CAPES, </w:t>
      </w:r>
      <w:r w:rsidRPr="000C5589">
        <w:rPr>
          <w:lang w:eastAsia="ar-SA"/>
        </w:rPr>
        <w:t xml:space="preserve">Brazil </w:t>
      </w:r>
      <w:r>
        <w:t xml:space="preserve">for the master </w:t>
      </w:r>
      <w:r w:rsidRPr="000C5589">
        <w:t xml:space="preserve">scholarships, and the </w:t>
      </w:r>
      <w:proofErr w:type="spellStart"/>
      <w:r w:rsidRPr="000C5589">
        <w:t>Fundação</w:t>
      </w:r>
      <w:proofErr w:type="spellEnd"/>
      <w:r w:rsidRPr="000C5589">
        <w:t xml:space="preserve"> </w:t>
      </w:r>
      <w:proofErr w:type="spellStart"/>
      <w:r w:rsidRPr="000C5589">
        <w:t>Araucária</w:t>
      </w:r>
      <w:proofErr w:type="spellEnd"/>
      <w:r w:rsidRPr="000C5589">
        <w:t xml:space="preserve"> for the support in promoting the results.</w:t>
      </w:r>
    </w:p>
    <w:p w14:paraId="7B9083B6" w14:textId="77777777" w:rsidR="00600535" w:rsidRPr="00312660" w:rsidRDefault="00600535" w:rsidP="00600535">
      <w:pPr>
        <w:pStyle w:val="CETReference"/>
        <w:rPr>
          <w:color w:val="000000" w:themeColor="text1"/>
        </w:rPr>
      </w:pPr>
      <w:r w:rsidRPr="00312660">
        <w:rPr>
          <w:color w:val="000000" w:themeColor="text1"/>
        </w:rPr>
        <w:t>References</w:t>
      </w:r>
    </w:p>
    <w:p w14:paraId="422E9C0D" w14:textId="30E848E8" w:rsidR="003C3966" w:rsidRPr="003C3966" w:rsidRDefault="003C3966" w:rsidP="0005163B">
      <w:pPr>
        <w:pStyle w:val="CETReferencetext"/>
        <w:rPr>
          <w:lang w:val="en-US"/>
        </w:rPr>
      </w:pPr>
      <w:r w:rsidRPr="003C3966">
        <w:rPr>
          <w:lang w:val="en-US"/>
        </w:rPr>
        <w:t>AOAC (Association of Official Analytical Chemists)</w:t>
      </w:r>
      <w:r w:rsidR="00530E4A">
        <w:rPr>
          <w:lang w:val="en-US"/>
        </w:rPr>
        <w:t>,</w:t>
      </w:r>
      <w:r w:rsidRPr="003C3966">
        <w:rPr>
          <w:lang w:val="en-US"/>
        </w:rPr>
        <w:t xml:space="preserve"> 2005</w:t>
      </w:r>
      <w:r w:rsidR="00530E4A">
        <w:rPr>
          <w:lang w:val="en-US"/>
        </w:rPr>
        <w:t>,</w:t>
      </w:r>
      <w:r w:rsidRPr="003C3966">
        <w:rPr>
          <w:lang w:val="en-US"/>
        </w:rPr>
        <w:t xml:space="preserve"> Official methods of analysis of the AOAC International</w:t>
      </w:r>
      <w:r w:rsidR="000C07BE" w:rsidRPr="009A014E">
        <w:rPr>
          <w:lang w:val="en-US"/>
        </w:rPr>
        <w:t>,</w:t>
      </w:r>
      <w:r w:rsidRPr="009A014E">
        <w:rPr>
          <w:lang w:val="en-US"/>
        </w:rPr>
        <w:t xml:space="preserve"> 17,</w:t>
      </w:r>
      <w:r w:rsidRPr="003C3966">
        <w:rPr>
          <w:lang w:val="en-US"/>
        </w:rPr>
        <w:t xml:space="preserve"> Gaithersburg.</w:t>
      </w:r>
    </w:p>
    <w:p w14:paraId="67F06291" w14:textId="052A76CE" w:rsidR="003C3966" w:rsidRPr="003C3966" w:rsidRDefault="003C3966" w:rsidP="0005163B">
      <w:pPr>
        <w:pStyle w:val="CETReferencetext"/>
        <w:rPr>
          <w:lang w:val="en-US"/>
        </w:rPr>
      </w:pPr>
      <w:r w:rsidRPr="003C3966">
        <w:rPr>
          <w:lang w:val="en-US"/>
        </w:rPr>
        <w:t>Bligh E.G., Dyer W.J.</w:t>
      </w:r>
      <w:r w:rsidR="000C07BE">
        <w:rPr>
          <w:lang w:val="en-US"/>
        </w:rPr>
        <w:t xml:space="preserve">, </w:t>
      </w:r>
      <w:r w:rsidRPr="003C3966">
        <w:rPr>
          <w:lang w:val="en-US"/>
        </w:rPr>
        <w:t>1959</w:t>
      </w:r>
      <w:r w:rsidR="000C07BE">
        <w:rPr>
          <w:lang w:val="en-US"/>
        </w:rPr>
        <w:t>,</w:t>
      </w:r>
      <w:r w:rsidRPr="003C3966">
        <w:rPr>
          <w:lang w:val="en-US"/>
        </w:rPr>
        <w:t xml:space="preserve"> A rapid method for total lipid extraction and purification</w:t>
      </w:r>
      <w:r w:rsidR="000C07BE">
        <w:rPr>
          <w:lang w:val="en-US"/>
        </w:rPr>
        <w:t>,</w:t>
      </w:r>
      <w:r w:rsidRPr="003C3966">
        <w:rPr>
          <w:lang w:val="en-US"/>
        </w:rPr>
        <w:t xml:space="preserve"> Can. J. </w:t>
      </w:r>
      <w:proofErr w:type="spellStart"/>
      <w:r w:rsidRPr="003C3966">
        <w:rPr>
          <w:lang w:val="en-US"/>
        </w:rPr>
        <w:t>Biochem</w:t>
      </w:r>
      <w:proofErr w:type="spellEnd"/>
      <w:r w:rsidRPr="003C3966">
        <w:rPr>
          <w:lang w:val="en-US"/>
        </w:rPr>
        <w:t>. Physiol., 37</w:t>
      </w:r>
      <w:r w:rsidR="000C07BE">
        <w:rPr>
          <w:lang w:val="en-US"/>
        </w:rPr>
        <w:t>,</w:t>
      </w:r>
      <w:r w:rsidRPr="003C3966">
        <w:rPr>
          <w:lang w:val="en-US"/>
        </w:rPr>
        <w:t xml:space="preserve"> 911-917.</w:t>
      </w:r>
    </w:p>
    <w:p w14:paraId="4BFB8166" w14:textId="0191FC31" w:rsidR="003C3966" w:rsidRPr="0005163B" w:rsidRDefault="003C3966" w:rsidP="0005163B">
      <w:pPr>
        <w:pStyle w:val="CETReferencetext"/>
        <w:rPr>
          <w:lang w:val="en-US"/>
        </w:rPr>
      </w:pPr>
      <w:r w:rsidRPr="003C3966">
        <w:rPr>
          <w:lang w:val="en-US"/>
        </w:rPr>
        <w:t xml:space="preserve">Bailey L. N., Hauck B. W., </w:t>
      </w:r>
      <w:proofErr w:type="spellStart"/>
      <w:r w:rsidRPr="003C3966">
        <w:rPr>
          <w:lang w:val="en-US"/>
        </w:rPr>
        <w:t>Sevatson</w:t>
      </w:r>
      <w:proofErr w:type="spellEnd"/>
      <w:r w:rsidRPr="003C3966">
        <w:rPr>
          <w:lang w:val="en-US"/>
        </w:rPr>
        <w:t xml:space="preserve"> E. S., Singer R. E.</w:t>
      </w:r>
      <w:r w:rsidR="00530E4A">
        <w:rPr>
          <w:lang w:val="en-US"/>
        </w:rPr>
        <w:t xml:space="preserve">, </w:t>
      </w:r>
      <w:r w:rsidRPr="003C3966">
        <w:rPr>
          <w:lang w:val="en-US"/>
        </w:rPr>
        <w:t>1991</w:t>
      </w:r>
      <w:r w:rsidR="00530E4A">
        <w:rPr>
          <w:lang w:val="en-US"/>
        </w:rPr>
        <w:t>,</w:t>
      </w:r>
      <w:r w:rsidRPr="003C3966">
        <w:rPr>
          <w:lang w:val="en-US"/>
        </w:rPr>
        <w:t xml:space="preserve"> Systems for manufacture of ready-to-eat breakfast cereals using twin-screw extrusion</w:t>
      </w:r>
      <w:r w:rsidR="000C07BE">
        <w:rPr>
          <w:lang w:val="en-US"/>
        </w:rPr>
        <w:t>,</w:t>
      </w:r>
      <w:r w:rsidRPr="003C3966">
        <w:rPr>
          <w:lang w:val="en-US"/>
        </w:rPr>
        <w:t xml:space="preserve"> Cereal Foods World, 36</w:t>
      </w:r>
      <w:r w:rsidR="000C07BE">
        <w:rPr>
          <w:lang w:val="en-US"/>
        </w:rPr>
        <w:t>,</w:t>
      </w:r>
      <w:r w:rsidRPr="003C3966">
        <w:rPr>
          <w:lang w:val="en-US"/>
        </w:rPr>
        <w:t xml:space="preserve"> 863–869.</w:t>
      </w:r>
    </w:p>
    <w:p w14:paraId="293507C7" w14:textId="3B6F2C02" w:rsidR="003C3966" w:rsidRPr="003C3966" w:rsidRDefault="003C3966" w:rsidP="0005163B">
      <w:pPr>
        <w:pStyle w:val="CETReferencetext"/>
        <w:rPr>
          <w:lang w:val="en-US"/>
        </w:rPr>
      </w:pPr>
      <w:proofErr w:type="spellStart"/>
      <w:r w:rsidRPr="004050A4">
        <w:rPr>
          <w:lang w:val="en-US"/>
        </w:rPr>
        <w:t>Dischsen</w:t>
      </w:r>
      <w:proofErr w:type="spellEnd"/>
      <w:r w:rsidRPr="004050A4">
        <w:rPr>
          <w:lang w:val="en-US"/>
        </w:rPr>
        <w:t xml:space="preserve"> A. E., Monteiro A. R. G., Fukuda G. T., Marques D. R.</w:t>
      </w:r>
      <w:r w:rsidR="00530E4A">
        <w:rPr>
          <w:lang w:val="en-US"/>
        </w:rPr>
        <w:t>,</w:t>
      </w:r>
      <w:r w:rsidRPr="004050A4">
        <w:rPr>
          <w:lang w:val="en-US"/>
        </w:rPr>
        <w:t xml:space="preserve"> 2013</w:t>
      </w:r>
      <w:r w:rsidR="00530E4A">
        <w:rPr>
          <w:lang w:val="en-US"/>
        </w:rPr>
        <w:t>,</w:t>
      </w:r>
      <w:r w:rsidRPr="004050A4">
        <w:rPr>
          <w:lang w:val="en-US"/>
        </w:rPr>
        <w:t xml:space="preserve"> Development of a breakfast cereal using waste from cassava processing industry</w:t>
      </w:r>
      <w:r w:rsidR="000C07BE">
        <w:rPr>
          <w:lang w:val="en-US"/>
        </w:rPr>
        <w:t>,</w:t>
      </w:r>
      <w:r w:rsidRPr="004050A4">
        <w:rPr>
          <w:lang w:val="en-US"/>
        </w:rPr>
        <w:t xml:space="preserve"> Acta </w:t>
      </w:r>
      <w:proofErr w:type="spellStart"/>
      <w:r w:rsidRPr="004050A4">
        <w:rPr>
          <w:lang w:val="en-US"/>
        </w:rPr>
        <w:t>Scientiarum</w:t>
      </w:r>
      <w:proofErr w:type="spellEnd"/>
      <w:r w:rsidRPr="004050A4">
        <w:rPr>
          <w:lang w:val="en-US"/>
        </w:rPr>
        <w:t xml:space="preserve">, Technology, </w:t>
      </w:r>
      <w:proofErr w:type="spellStart"/>
      <w:r w:rsidRPr="004050A4">
        <w:rPr>
          <w:lang w:val="en-US"/>
        </w:rPr>
        <w:t>Maringá</w:t>
      </w:r>
      <w:proofErr w:type="spellEnd"/>
      <w:r w:rsidRPr="004050A4">
        <w:rPr>
          <w:lang w:val="en-US"/>
        </w:rPr>
        <w:t>, 35, 1</w:t>
      </w:r>
      <w:r w:rsidR="000C07BE">
        <w:rPr>
          <w:lang w:val="en-US"/>
        </w:rPr>
        <w:t>,</w:t>
      </w:r>
      <w:r w:rsidRPr="004050A4">
        <w:rPr>
          <w:lang w:val="en-US"/>
        </w:rPr>
        <w:t xml:space="preserve"> 157-161.</w:t>
      </w:r>
    </w:p>
    <w:p w14:paraId="05EB476E" w14:textId="141C3F93" w:rsidR="003C3966" w:rsidRPr="003C5245" w:rsidRDefault="003C3966" w:rsidP="0005163B">
      <w:pPr>
        <w:pStyle w:val="CETReferencetext"/>
        <w:rPr>
          <w:lang w:val="en-US"/>
        </w:rPr>
      </w:pPr>
      <w:proofErr w:type="spellStart"/>
      <w:r w:rsidRPr="003C5245">
        <w:rPr>
          <w:lang w:val="en-US"/>
        </w:rPr>
        <w:t>Fiszman</w:t>
      </w:r>
      <w:proofErr w:type="spellEnd"/>
      <w:r w:rsidRPr="003C5245">
        <w:rPr>
          <w:lang w:val="en-US"/>
        </w:rPr>
        <w:t xml:space="preserve"> S.M., Salvador A.</w:t>
      </w:r>
      <w:r w:rsidR="00530E4A">
        <w:rPr>
          <w:lang w:val="en-US"/>
        </w:rPr>
        <w:t xml:space="preserve">, </w:t>
      </w:r>
      <w:r w:rsidRPr="003C5245">
        <w:rPr>
          <w:lang w:val="en-US"/>
        </w:rPr>
        <w:t>2003</w:t>
      </w:r>
      <w:r w:rsidR="00530E4A">
        <w:rPr>
          <w:lang w:val="en-US"/>
        </w:rPr>
        <w:t>,</w:t>
      </w:r>
      <w:r w:rsidRPr="003C5245">
        <w:rPr>
          <w:lang w:val="en-US"/>
        </w:rPr>
        <w:t xml:space="preserve"> Recent developments in coating batters</w:t>
      </w:r>
      <w:r w:rsidR="000C07BE">
        <w:rPr>
          <w:lang w:val="en-US"/>
        </w:rPr>
        <w:t>,</w:t>
      </w:r>
      <w:r w:rsidRPr="003C5245">
        <w:rPr>
          <w:lang w:val="en-US"/>
        </w:rPr>
        <w:t xml:space="preserve"> Trends in Food Science and Technology, 14</w:t>
      </w:r>
      <w:r w:rsidR="000C07BE">
        <w:rPr>
          <w:lang w:val="en-US"/>
        </w:rPr>
        <w:t>,</w:t>
      </w:r>
      <w:r w:rsidRPr="003C5245">
        <w:rPr>
          <w:lang w:val="en-US"/>
        </w:rPr>
        <w:t xml:space="preserve"> 399–407.</w:t>
      </w:r>
    </w:p>
    <w:p w14:paraId="19538955" w14:textId="0EFED6FC" w:rsidR="003C3966" w:rsidRPr="003C5245" w:rsidRDefault="003C3966" w:rsidP="0005163B">
      <w:pPr>
        <w:pStyle w:val="CETReferencetext"/>
        <w:rPr>
          <w:lang w:val="en-US"/>
        </w:rPr>
      </w:pPr>
      <w:r w:rsidRPr="003C5245">
        <w:rPr>
          <w:lang w:val="en-US"/>
        </w:rPr>
        <w:t>Guy R.</w:t>
      </w:r>
      <w:proofErr w:type="gramStart"/>
      <w:r w:rsidR="00530E4A">
        <w:rPr>
          <w:lang w:val="en-US"/>
        </w:rPr>
        <w:t xml:space="preserve">, </w:t>
      </w:r>
      <w:r w:rsidRPr="003C5245">
        <w:rPr>
          <w:lang w:val="en-US"/>
        </w:rPr>
        <w:t xml:space="preserve"> 2001</w:t>
      </w:r>
      <w:proofErr w:type="gramEnd"/>
      <w:r w:rsidR="00530E4A">
        <w:rPr>
          <w:lang w:val="en-US"/>
        </w:rPr>
        <w:t>,</w:t>
      </w:r>
      <w:r w:rsidRPr="003C5245">
        <w:rPr>
          <w:lang w:val="en-US"/>
        </w:rPr>
        <w:t xml:space="preserve"> Extrusion Cooking: Technologies and Application</w:t>
      </w:r>
      <w:r w:rsidR="000C07BE">
        <w:rPr>
          <w:lang w:val="en-US"/>
        </w:rPr>
        <w:t>,</w:t>
      </w:r>
      <w:r w:rsidRPr="003C5245">
        <w:rPr>
          <w:lang w:val="en-US"/>
        </w:rPr>
        <w:t xml:space="preserve"> </w:t>
      </w:r>
      <w:r w:rsidR="000C07BE" w:rsidRPr="006B4888">
        <w:t>Woodhead Publishing Limited, Cambridge, UK</w:t>
      </w:r>
      <w:r w:rsidR="000C07BE">
        <w:t xml:space="preserve">, </w:t>
      </w:r>
      <w:r w:rsidRPr="003C5245">
        <w:rPr>
          <w:lang w:val="en-US"/>
        </w:rPr>
        <w:t>3-5.</w:t>
      </w:r>
    </w:p>
    <w:p w14:paraId="35CA5F41" w14:textId="433F4FAA" w:rsidR="001F74C0" w:rsidRPr="003C5245" w:rsidRDefault="001F74C0" w:rsidP="0005163B">
      <w:pPr>
        <w:pStyle w:val="CETReferencetext"/>
        <w:rPr>
          <w:lang w:val="en-US"/>
        </w:rPr>
      </w:pPr>
      <w:r w:rsidRPr="003C5245">
        <w:rPr>
          <w:lang w:val="en-US"/>
        </w:rPr>
        <w:t>Kaur N., Singh B., Sharma S.</w:t>
      </w:r>
      <w:r w:rsidR="00530E4A">
        <w:rPr>
          <w:lang w:val="en-US"/>
        </w:rPr>
        <w:t xml:space="preserve">, </w:t>
      </w:r>
      <w:proofErr w:type="gramStart"/>
      <w:r w:rsidRPr="003C5245">
        <w:rPr>
          <w:lang w:val="en-US"/>
        </w:rPr>
        <w:t>2018</w:t>
      </w:r>
      <w:r w:rsidR="00530E4A">
        <w:rPr>
          <w:lang w:val="en-US"/>
        </w:rPr>
        <w:t xml:space="preserve">, </w:t>
      </w:r>
      <w:r w:rsidRPr="003C5245">
        <w:rPr>
          <w:lang w:val="en-US"/>
        </w:rPr>
        <w:t xml:space="preserve"> Storage</w:t>
      </w:r>
      <w:proofErr w:type="gramEnd"/>
      <w:r w:rsidRPr="003C5245">
        <w:rPr>
          <w:lang w:val="en-US"/>
        </w:rPr>
        <w:t xml:space="preserve"> stability of extruded normal maize and quality protein maize based extruded products</w:t>
      </w:r>
      <w:r w:rsidR="000B6684">
        <w:rPr>
          <w:lang w:val="en-US"/>
        </w:rPr>
        <w:t>,</w:t>
      </w:r>
      <w:r w:rsidRPr="003C5245">
        <w:rPr>
          <w:lang w:val="en-US"/>
        </w:rPr>
        <w:t xml:space="preserve"> </w:t>
      </w:r>
      <w:r w:rsidR="00E53D9F" w:rsidRPr="003C5245">
        <w:rPr>
          <w:lang w:val="en-US"/>
        </w:rPr>
        <w:t xml:space="preserve">Int. </w:t>
      </w:r>
      <w:r w:rsidR="00274AD8" w:rsidRPr="003C5245">
        <w:t xml:space="preserve">J. Pure App. </w:t>
      </w:r>
      <w:proofErr w:type="spellStart"/>
      <w:r w:rsidR="00274AD8" w:rsidRPr="003C5245">
        <w:t>Biosci</w:t>
      </w:r>
      <w:proofErr w:type="spellEnd"/>
      <w:r w:rsidR="00274AD8" w:rsidRPr="003C5245">
        <w:t>.</w:t>
      </w:r>
      <w:r w:rsidR="000B6684">
        <w:t>,</w:t>
      </w:r>
      <w:r w:rsidR="00274AD8" w:rsidRPr="003C5245">
        <w:t xml:space="preserve"> 6 (4)</w:t>
      </w:r>
      <w:r w:rsidR="000B6684">
        <w:t>,</w:t>
      </w:r>
      <w:r w:rsidR="00274AD8" w:rsidRPr="003C5245">
        <w:t xml:space="preserve"> 42-47.</w:t>
      </w:r>
      <w:r w:rsidRPr="003C5245">
        <w:t xml:space="preserve"> </w:t>
      </w:r>
      <w:r w:rsidRPr="003C5245">
        <w:rPr>
          <w:lang w:val="en-US"/>
        </w:rPr>
        <w:t xml:space="preserve"> </w:t>
      </w:r>
    </w:p>
    <w:p w14:paraId="308DA144" w14:textId="37DF8F67" w:rsidR="006023B5" w:rsidRPr="003C5245" w:rsidRDefault="006023B5" w:rsidP="0005163B">
      <w:pPr>
        <w:pStyle w:val="CETReferencetext"/>
        <w:rPr>
          <w:lang w:val="en-US"/>
        </w:rPr>
      </w:pPr>
      <w:r w:rsidRPr="003C5245">
        <w:rPr>
          <w:lang w:val="en-US"/>
        </w:rPr>
        <w:t>Han Y.J., Tran T. T. T.</w:t>
      </w:r>
      <w:r w:rsidR="00530E4A">
        <w:rPr>
          <w:lang w:val="en-US"/>
        </w:rPr>
        <w:t xml:space="preserve">, </w:t>
      </w:r>
      <w:r w:rsidRPr="003C5245">
        <w:rPr>
          <w:lang w:val="en-US"/>
        </w:rPr>
        <w:t>2018</w:t>
      </w:r>
      <w:r w:rsidR="00530E4A">
        <w:rPr>
          <w:lang w:val="en-US"/>
        </w:rPr>
        <w:t>,</w:t>
      </w:r>
      <w:r w:rsidRPr="003C5245">
        <w:rPr>
          <w:lang w:val="en-US"/>
        </w:rPr>
        <w:t xml:space="preserve"> Corn snack with high fiber content: Effects of different fiber types on the product quality</w:t>
      </w:r>
      <w:r w:rsidR="00EC4F4C">
        <w:rPr>
          <w:lang w:val="en-US"/>
        </w:rPr>
        <w:t>,</w:t>
      </w:r>
      <w:r w:rsidRPr="003C5245">
        <w:rPr>
          <w:lang w:val="en-US"/>
        </w:rPr>
        <w:t> LWT, 96</w:t>
      </w:r>
      <w:r w:rsidR="00EC4F4C">
        <w:rPr>
          <w:lang w:val="en-US"/>
        </w:rPr>
        <w:t xml:space="preserve">, </w:t>
      </w:r>
      <w:r w:rsidRPr="003C5245">
        <w:rPr>
          <w:lang w:val="en-US"/>
        </w:rPr>
        <w:t>1-6.</w:t>
      </w:r>
    </w:p>
    <w:p w14:paraId="7FFE725D" w14:textId="6274D946" w:rsidR="003C3966" w:rsidRPr="00530E4A" w:rsidRDefault="003C3966" w:rsidP="0005163B">
      <w:pPr>
        <w:pStyle w:val="CETReferencetext"/>
        <w:rPr>
          <w:lang w:val="en-US"/>
        </w:rPr>
      </w:pPr>
      <w:proofErr w:type="spellStart"/>
      <w:r w:rsidRPr="003C5245">
        <w:rPr>
          <w:lang w:val="en-US"/>
        </w:rPr>
        <w:t>Llo</w:t>
      </w:r>
      <w:proofErr w:type="spellEnd"/>
      <w:r w:rsidRPr="003C5245">
        <w:rPr>
          <w:lang w:val="en-US"/>
        </w:rPr>
        <w:t xml:space="preserve"> S., </w:t>
      </w:r>
      <w:proofErr w:type="spellStart"/>
      <w:r w:rsidRPr="003C5245">
        <w:rPr>
          <w:lang w:val="en-US"/>
        </w:rPr>
        <w:t>Schoenlechner</w:t>
      </w:r>
      <w:proofErr w:type="spellEnd"/>
      <w:r w:rsidRPr="003C5245">
        <w:rPr>
          <w:lang w:val="en-US"/>
        </w:rPr>
        <w:t xml:space="preserve"> R., </w:t>
      </w:r>
      <w:proofErr w:type="spellStart"/>
      <w:r w:rsidRPr="003C5245">
        <w:rPr>
          <w:lang w:val="en-US"/>
        </w:rPr>
        <w:t>Berghofe</w:t>
      </w:r>
      <w:proofErr w:type="spellEnd"/>
      <w:r w:rsidRPr="003C5245">
        <w:rPr>
          <w:lang w:val="en-US"/>
        </w:rPr>
        <w:t xml:space="preserve"> E.</w:t>
      </w:r>
      <w:r w:rsidR="00530E4A">
        <w:rPr>
          <w:lang w:val="en-US"/>
        </w:rPr>
        <w:t xml:space="preserve">, </w:t>
      </w:r>
      <w:r w:rsidRPr="003C5245">
        <w:rPr>
          <w:lang w:val="en-US"/>
        </w:rPr>
        <w:t>2000</w:t>
      </w:r>
      <w:r w:rsidR="00530E4A">
        <w:rPr>
          <w:lang w:val="en-US"/>
        </w:rPr>
        <w:t>,</w:t>
      </w:r>
      <w:r w:rsidRPr="003C5245">
        <w:rPr>
          <w:lang w:val="en-US"/>
        </w:rPr>
        <w:t xml:space="preserve"> Role of lipids in the extrusion cooking processes</w:t>
      </w:r>
      <w:r w:rsidR="00EC4F4C">
        <w:rPr>
          <w:lang w:val="en-US"/>
        </w:rPr>
        <w:t>,</w:t>
      </w:r>
      <w:r w:rsidRPr="003C5245">
        <w:rPr>
          <w:lang w:val="en-US"/>
        </w:rPr>
        <w:t xml:space="preserve"> </w:t>
      </w:r>
      <w:proofErr w:type="spellStart"/>
      <w:r w:rsidRPr="00530E4A">
        <w:rPr>
          <w:lang w:val="en-US"/>
        </w:rPr>
        <w:t>Grasas</w:t>
      </w:r>
      <w:proofErr w:type="spellEnd"/>
      <w:r w:rsidRPr="00530E4A">
        <w:rPr>
          <w:lang w:val="en-US"/>
        </w:rPr>
        <w:t xml:space="preserve"> y </w:t>
      </w:r>
      <w:proofErr w:type="spellStart"/>
      <w:r w:rsidRPr="00530E4A">
        <w:rPr>
          <w:lang w:val="en-US"/>
        </w:rPr>
        <w:t>Aceites</w:t>
      </w:r>
      <w:proofErr w:type="spellEnd"/>
      <w:r w:rsidRPr="00530E4A">
        <w:rPr>
          <w:lang w:val="en-US"/>
        </w:rPr>
        <w:t>, 51, 1-2</w:t>
      </w:r>
      <w:r w:rsidR="00EC4F4C">
        <w:rPr>
          <w:lang w:val="en-US"/>
        </w:rPr>
        <w:t>,</w:t>
      </w:r>
      <w:r w:rsidRPr="00530E4A">
        <w:rPr>
          <w:lang w:val="en-US"/>
        </w:rPr>
        <w:t xml:space="preserve"> 97-110.</w:t>
      </w:r>
    </w:p>
    <w:p w14:paraId="5B8683B9" w14:textId="5939AEA5" w:rsidR="003C3966" w:rsidRPr="003C3966" w:rsidRDefault="003C3966" w:rsidP="0005163B">
      <w:pPr>
        <w:pStyle w:val="CETReferencetext"/>
        <w:rPr>
          <w:lang w:val="en-US"/>
        </w:rPr>
      </w:pPr>
      <w:r w:rsidRPr="00B72A82">
        <w:t xml:space="preserve">Marques D.R., </w:t>
      </w:r>
      <w:proofErr w:type="spellStart"/>
      <w:r w:rsidRPr="00B72A82">
        <w:t>Berwig</w:t>
      </w:r>
      <w:proofErr w:type="spellEnd"/>
      <w:r w:rsidRPr="00B72A82">
        <w:t xml:space="preserve"> K.P., Monteiro C.C.F., Oliveira D.M., Monteiro A.R.G.</w:t>
      </w:r>
      <w:r w:rsidR="00530E4A">
        <w:t xml:space="preserve">, </w:t>
      </w:r>
      <w:r w:rsidRPr="00B72A82">
        <w:t>2017</w:t>
      </w:r>
      <w:r w:rsidR="00530E4A">
        <w:t>,</w:t>
      </w:r>
      <w:r w:rsidRPr="00B72A82">
        <w:t xml:space="preserve"> Shelf Life Evaluation of Extruded Snacks </w:t>
      </w:r>
      <w:r w:rsidRPr="003C5245">
        <w:rPr>
          <w:lang w:val="en-US"/>
        </w:rPr>
        <w:t>Coated with Maize Starch to Eliminate the Use of Fats in the Flavoring Process</w:t>
      </w:r>
      <w:r w:rsidR="00EC4F4C">
        <w:rPr>
          <w:lang w:val="en-US"/>
        </w:rPr>
        <w:t>,</w:t>
      </w:r>
      <w:r w:rsidRPr="003C5245">
        <w:rPr>
          <w:lang w:val="en-US"/>
        </w:rPr>
        <w:t xml:space="preserve"> Chemical Engineering Transactions, 57</w:t>
      </w:r>
      <w:r w:rsidR="00EC4F4C">
        <w:rPr>
          <w:lang w:val="en-US"/>
        </w:rPr>
        <w:t>,</w:t>
      </w:r>
      <w:r w:rsidRPr="003C5245">
        <w:rPr>
          <w:lang w:val="en-US"/>
        </w:rPr>
        <w:t xml:space="preserve"> 1921-1926</w:t>
      </w:r>
      <w:r w:rsidR="00EC4F4C">
        <w:rPr>
          <w:lang w:val="en-US"/>
        </w:rPr>
        <w:t>,</w:t>
      </w:r>
      <w:r w:rsidRPr="004050A4">
        <w:rPr>
          <w:lang w:val="en-US"/>
        </w:rPr>
        <w:t xml:space="preserve"> DOI: 10.3303/CET1757321</w:t>
      </w:r>
      <w:r w:rsidR="00EC4F4C">
        <w:rPr>
          <w:lang w:val="en-US"/>
        </w:rPr>
        <w:t>.</w:t>
      </w:r>
      <w:r w:rsidRPr="004050A4">
        <w:rPr>
          <w:lang w:val="en-US"/>
        </w:rPr>
        <w:t xml:space="preserve">  </w:t>
      </w:r>
    </w:p>
    <w:p w14:paraId="696763B5" w14:textId="11D2DB6F" w:rsidR="003C3966" w:rsidRPr="003C3966" w:rsidRDefault="003C3966" w:rsidP="0005163B">
      <w:pPr>
        <w:pStyle w:val="CETReferencetext"/>
        <w:rPr>
          <w:lang w:val="en-US"/>
        </w:rPr>
      </w:pPr>
      <w:r w:rsidRPr="00B535A1">
        <w:rPr>
          <w:lang w:val="en-US"/>
        </w:rPr>
        <w:t xml:space="preserve">Mercier C., </w:t>
      </w:r>
      <w:proofErr w:type="spellStart"/>
      <w:r w:rsidRPr="00B535A1">
        <w:rPr>
          <w:lang w:val="en-US"/>
        </w:rPr>
        <w:t>Linko</w:t>
      </w:r>
      <w:proofErr w:type="spellEnd"/>
      <w:r w:rsidRPr="00B535A1">
        <w:rPr>
          <w:lang w:val="en-US"/>
        </w:rPr>
        <w:t xml:space="preserve"> P., Harper J. M.</w:t>
      </w:r>
      <w:r w:rsidR="00530E4A" w:rsidRPr="00B535A1">
        <w:rPr>
          <w:lang w:val="en-US"/>
        </w:rPr>
        <w:t xml:space="preserve">, </w:t>
      </w:r>
      <w:r w:rsidRPr="00B535A1">
        <w:rPr>
          <w:lang w:val="en-US"/>
        </w:rPr>
        <w:t>1998</w:t>
      </w:r>
      <w:r w:rsidR="00530E4A" w:rsidRPr="00B535A1">
        <w:rPr>
          <w:lang w:val="en-US"/>
        </w:rPr>
        <w:t>,</w:t>
      </w:r>
      <w:r w:rsidRPr="00B535A1">
        <w:rPr>
          <w:lang w:val="en-US"/>
        </w:rPr>
        <w:t xml:space="preserve"> Extrusion Cooking. 2. ed. St. Paul: American Association of Cereal Chemists:  199</w:t>
      </w:r>
      <w:r w:rsidR="0041020E" w:rsidRPr="00B535A1">
        <w:rPr>
          <w:lang w:val="en-US"/>
        </w:rPr>
        <w:t>8</w:t>
      </w:r>
      <w:r w:rsidRPr="00B535A1">
        <w:rPr>
          <w:lang w:val="en-US"/>
        </w:rPr>
        <w:t>.</w:t>
      </w:r>
    </w:p>
    <w:p w14:paraId="5D8C0A3D" w14:textId="091616AB" w:rsidR="003C3966" w:rsidRPr="00EC4F4C" w:rsidRDefault="003C3966" w:rsidP="0005163B">
      <w:pPr>
        <w:pStyle w:val="CETReferencetext"/>
        <w:rPr>
          <w:lang w:val="pt-BR"/>
        </w:rPr>
      </w:pPr>
      <w:r w:rsidRPr="00530E4A">
        <w:rPr>
          <w:lang w:val="en-US"/>
        </w:rPr>
        <w:t xml:space="preserve">Mesquita C.B., Leonel M., </w:t>
      </w:r>
      <w:proofErr w:type="spellStart"/>
      <w:r w:rsidRPr="00530E4A">
        <w:rPr>
          <w:lang w:val="en-US"/>
        </w:rPr>
        <w:t>Mischan</w:t>
      </w:r>
      <w:proofErr w:type="spellEnd"/>
      <w:r w:rsidRPr="00530E4A">
        <w:rPr>
          <w:lang w:val="en-US"/>
        </w:rPr>
        <w:t xml:space="preserve"> M.M.</w:t>
      </w:r>
      <w:r w:rsidR="00530E4A">
        <w:rPr>
          <w:lang w:val="en-US"/>
        </w:rPr>
        <w:t xml:space="preserve">, </w:t>
      </w:r>
      <w:r w:rsidRPr="00530E4A">
        <w:rPr>
          <w:lang w:val="en-US"/>
        </w:rPr>
        <w:t>2013</w:t>
      </w:r>
      <w:r w:rsidR="00530E4A" w:rsidRPr="00530E4A">
        <w:rPr>
          <w:lang w:val="en-US"/>
        </w:rPr>
        <w:t>,</w:t>
      </w:r>
      <w:r w:rsidRPr="00530E4A">
        <w:rPr>
          <w:lang w:val="en-US"/>
        </w:rPr>
        <w:t xml:space="preserve"> </w:t>
      </w:r>
      <w:r w:rsidRPr="003C3966">
        <w:rPr>
          <w:lang w:val="en-US"/>
        </w:rPr>
        <w:t>Effects of processing on physical properties of extruded snacks with blends of sour cassava starch and flaxseed flour</w:t>
      </w:r>
      <w:r w:rsidR="00EC4F4C">
        <w:rPr>
          <w:lang w:val="en-US"/>
        </w:rPr>
        <w:t>,</w:t>
      </w:r>
      <w:r w:rsidRPr="003C3966">
        <w:rPr>
          <w:lang w:val="en-US"/>
        </w:rPr>
        <w:t xml:space="preserve"> </w:t>
      </w:r>
      <w:r w:rsidRPr="00EC4F4C">
        <w:rPr>
          <w:lang w:val="en-US"/>
        </w:rPr>
        <w:t xml:space="preserve">Food Sci. </w:t>
      </w:r>
      <w:proofErr w:type="spellStart"/>
      <w:r w:rsidRPr="00EC4F4C">
        <w:rPr>
          <w:lang w:val="pt-BR"/>
        </w:rPr>
        <w:t>Technol</w:t>
      </w:r>
      <w:proofErr w:type="spellEnd"/>
      <w:r w:rsidR="00EC4F4C">
        <w:rPr>
          <w:lang w:val="pt-BR"/>
        </w:rPr>
        <w:t>.</w:t>
      </w:r>
      <w:r w:rsidRPr="00EC4F4C">
        <w:rPr>
          <w:lang w:val="pt-BR"/>
        </w:rPr>
        <w:t>, Campinas, 33, 3</w:t>
      </w:r>
      <w:r w:rsidR="00EC4F4C" w:rsidRPr="00EC4F4C">
        <w:rPr>
          <w:lang w:val="pt-BR"/>
        </w:rPr>
        <w:t>,</w:t>
      </w:r>
      <w:r w:rsidRPr="00EC4F4C">
        <w:rPr>
          <w:lang w:val="pt-BR"/>
        </w:rPr>
        <w:t xml:space="preserve"> 404-410</w:t>
      </w:r>
      <w:r w:rsidR="00EC4F4C">
        <w:rPr>
          <w:lang w:val="pt-BR"/>
        </w:rPr>
        <w:t>,</w:t>
      </w:r>
      <w:r w:rsidRPr="00EC4F4C">
        <w:rPr>
          <w:lang w:val="pt-BR"/>
        </w:rPr>
        <w:t xml:space="preserve"> DOI http://dx.doi.org/10.1590/S0101-20612013005000073</w:t>
      </w:r>
      <w:r w:rsidR="00EC4F4C" w:rsidRPr="00EC4F4C">
        <w:rPr>
          <w:lang w:val="pt-BR"/>
        </w:rPr>
        <w:t>.</w:t>
      </w:r>
    </w:p>
    <w:p w14:paraId="051EEEA1" w14:textId="293082F2" w:rsidR="003C3966" w:rsidRPr="00EC4F4C" w:rsidRDefault="003C3966" w:rsidP="0005163B">
      <w:pPr>
        <w:pStyle w:val="CETReferencetext"/>
        <w:rPr>
          <w:lang w:val="pt-BR"/>
        </w:rPr>
      </w:pPr>
      <w:proofErr w:type="spellStart"/>
      <w:r w:rsidRPr="003C3966">
        <w:rPr>
          <w:lang w:val="pt-BR"/>
        </w:rPr>
        <w:t>Mikalouski</w:t>
      </w:r>
      <w:proofErr w:type="spellEnd"/>
      <w:r w:rsidRPr="003C3966">
        <w:rPr>
          <w:lang w:val="pt-BR"/>
        </w:rPr>
        <w:t xml:space="preserve"> F. B. S., Monteiro A. R. G., Marques D. R., Monteiro C. C. F., </w:t>
      </w:r>
      <w:proofErr w:type="spellStart"/>
      <w:r w:rsidRPr="003C3966">
        <w:rPr>
          <w:lang w:val="pt-BR"/>
        </w:rPr>
        <w:t>Benossi</w:t>
      </w:r>
      <w:proofErr w:type="spellEnd"/>
      <w:r w:rsidRPr="003C3966">
        <w:rPr>
          <w:lang w:val="pt-BR"/>
        </w:rPr>
        <w:t xml:space="preserve"> L.</w:t>
      </w:r>
      <w:r w:rsidR="00530E4A">
        <w:rPr>
          <w:lang w:val="pt-BR"/>
        </w:rPr>
        <w:t xml:space="preserve">, </w:t>
      </w:r>
      <w:r w:rsidRPr="003C3966">
        <w:rPr>
          <w:lang w:val="pt-BR"/>
        </w:rPr>
        <w:t>2014</w:t>
      </w:r>
      <w:r w:rsidR="00530E4A">
        <w:rPr>
          <w:lang w:val="pt-BR"/>
        </w:rPr>
        <w:t>,</w:t>
      </w:r>
      <w:r w:rsidRPr="003C3966">
        <w:rPr>
          <w:lang w:val="pt-BR"/>
        </w:rPr>
        <w:t xml:space="preserve"> Influência da granulometria da matéria-prima na expansão de extrusados de </w:t>
      </w:r>
      <w:proofErr w:type="gramStart"/>
      <w:r w:rsidRPr="003C3966">
        <w:rPr>
          <w:lang w:val="pt-BR"/>
        </w:rPr>
        <w:t>milho</w:t>
      </w:r>
      <w:r w:rsidR="00EC4F4C">
        <w:rPr>
          <w:lang w:val="pt-BR"/>
        </w:rPr>
        <w:t>,</w:t>
      </w:r>
      <w:r w:rsidRPr="003C3966">
        <w:rPr>
          <w:lang w:val="pt-BR"/>
        </w:rPr>
        <w:t xml:space="preserve">  </w:t>
      </w:r>
      <w:proofErr w:type="spellStart"/>
      <w:r w:rsidRPr="00EC4F4C">
        <w:rPr>
          <w:lang w:val="pt-BR"/>
        </w:rPr>
        <w:t>Brazilian</w:t>
      </w:r>
      <w:proofErr w:type="spellEnd"/>
      <w:proofErr w:type="gramEnd"/>
      <w:r w:rsidRPr="00EC4F4C">
        <w:rPr>
          <w:lang w:val="pt-BR"/>
        </w:rPr>
        <w:t xml:space="preserve"> </w:t>
      </w:r>
      <w:proofErr w:type="spellStart"/>
      <w:r w:rsidRPr="00EC4F4C">
        <w:rPr>
          <w:lang w:val="pt-BR"/>
        </w:rPr>
        <w:t>Journal</w:t>
      </w:r>
      <w:proofErr w:type="spellEnd"/>
      <w:r w:rsidRPr="00EC4F4C">
        <w:rPr>
          <w:lang w:val="pt-BR"/>
        </w:rPr>
        <w:t xml:space="preserve"> </w:t>
      </w:r>
      <w:proofErr w:type="spellStart"/>
      <w:r w:rsidRPr="00EC4F4C">
        <w:rPr>
          <w:lang w:val="pt-BR"/>
        </w:rPr>
        <w:t>of</w:t>
      </w:r>
      <w:proofErr w:type="spellEnd"/>
      <w:r w:rsidRPr="00EC4F4C">
        <w:rPr>
          <w:lang w:val="pt-BR"/>
        </w:rPr>
        <w:t xml:space="preserve"> Food Technology, 17</w:t>
      </w:r>
      <w:r w:rsidR="00EC4F4C">
        <w:rPr>
          <w:lang w:val="pt-BR"/>
        </w:rPr>
        <w:t>,</w:t>
      </w:r>
      <w:r w:rsidRPr="00EC4F4C">
        <w:rPr>
          <w:lang w:val="pt-BR"/>
        </w:rPr>
        <w:t xml:space="preserve"> 28-32</w:t>
      </w:r>
      <w:r w:rsidR="00EC4F4C">
        <w:rPr>
          <w:lang w:val="pt-BR"/>
        </w:rPr>
        <w:t>,</w:t>
      </w:r>
      <w:r w:rsidRPr="00EC4F4C">
        <w:rPr>
          <w:lang w:val="pt-BR"/>
        </w:rPr>
        <w:t xml:space="preserve"> DOI: http://dx.doi.org/10.1590/bjft.2014.005</w:t>
      </w:r>
      <w:r w:rsidR="00EC4F4C" w:rsidRPr="00EC4F4C">
        <w:rPr>
          <w:lang w:val="pt-BR"/>
        </w:rPr>
        <w:t>.</w:t>
      </w:r>
    </w:p>
    <w:p w14:paraId="5B2E428C" w14:textId="6DEC698A" w:rsidR="003C3966" w:rsidRPr="003C3966" w:rsidRDefault="003C3966" w:rsidP="0005163B">
      <w:pPr>
        <w:pStyle w:val="CETReferencetext"/>
        <w:rPr>
          <w:lang w:val="pt-BR"/>
        </w:rPr>
      </w:pPr>
      <w:r w:rsidRPr="003C3966">
        <w:rPr>
          <w:lang w:val="pt-BR"/>
        </w:rPr>
        <w:t xml:space="preserve">Monteiro A. R. G.; </w:t>
      </w:r>
      <w:proofErr w:type="spellStart"/>
      <w:r w:rsidRPr="003C3966">
        <w:rPr>
          <w:lang w:val="pt-BR"/>
        </w:rPr>
        <w:t>Cestari</w:t>
      </w:r>
      <w:proofErr w:type="spellEnd"/>
      <w:r w:rsidRPr="003C3966">
        <w:rPr>
          <w:lang w:val="pt-BR"/>
        </w:rPr>
        <w:t xml:space="preserve"> L. A.</w:t>
      </w:r>
      <w:r w:rsidR="00530E4A">
        <w:rPr>
          <w:lang w:val="pt-BR"/>
        </w:rPr>
        <w:t xml:space="preserve">, </w:t>
      </w:r>
      <w:r w:rsidRPr="003C3966">
        <w:rPr>
          <w:lang w:val="pt-BR"/>
        </w:rPr>
        <w:t>2013</w:t>
      </w:r>
      <w:r w:rsidR="00530E4A">
        <w:rPr>
          <w:lang w:val="pt-BR"/>
        </w:rPr>
        <w:t>,</w:t>
      </w:r>
      <w:r w:rsidRPr="003C3966">
        <w:rPr>
          <w:lang w:val="pt-BR"/>
        </w:rPr>
        <w:t xml:space="preserve"> Análise Sensorial de Alimentos: Testes Afetivos, discriminativos e Descritivos</w:t>
      </w:r>
      <w:r w:rsidR="00EC4F4C">
        <w:rPr>
          <w:lang w:val="pt-BR"/>
        </w:rPr>
        <w:t>,</w:t>
      </w:r>
      <w:r w:rsidRPr="003C3966">
        <w:rPr>
          <w:lang w:val="pt-BR"/>
        </w:rPr>
        <w:t xml:space="preserve"> EDUEM, </w:t>
      </w:r>
      <w:r w:rsidR="00EC4F4C" w:rsidRPr="003C3966">
        <w:rPr>
          <w:lang w:val="pt-BR"/>
        </w:rPr>
        <w:t xml:space="preserve">Maringá, </w:t>
      </w:r>
      <w:r w:rsidRPr="003C3966">
        <w:rPr>
          <w:lang w:val="pt-BR"/>
        </w:rPr>
        <w:t>1</w:t>
      </w:r>
      <w:r w:rsidR="00EC4F4C">
        <w:rPr>
          <w:lang w:val="pt-BR"/>
        </w:rPr>
        <w:t>,</w:t>
      </w:r>
      <w:r w:rsidRPr="003C3966">
        <w:rPr>
          <w:lang w:val="pt-BR"/>
        </w:rPr>
        <w:t xml:space="preserve"> 53.</w:t>
      </w:r>
    </w:p>
    <w:p w14:paraId="7C4DE8A6" w14:textId="212479C3" w:rsidR="003C3966" w:rsidRPr="003C5245" w:rsidRDefault="003C3966" w:rsidP="0005163B">
      <w:pPr>
        <w:pStyle w:val="CETReferencetext"/>
      </w:pPr>
      <w:r w:rsidRPr="00530E4A">
        <w:rPr>
          <w:lang w:val="en-US"/>
        </w:rPr>
        <w:t xml:space="preserve">Monteiro A. R. G., Marques D. R., </w:t>
      </w:r>
      <w:proofErr w:type="spellStart"/>
      <w:r w:rsidRPr="00530E4A">
        <w:rPr>
          <w:lang w:val="en-US"/>
        </w:rPr>
        <w:t>Marchi</w:t>
      </w:r>
      <w:proofErr w:type="spellEnd"/>
      <w:r w:rsidRPr="00530E4A">
        <w:rPr>
          <w:lang w:val="en-US"/>
        </w:rPr>
        <w:t xml:space="preserve"> L. B., </w:t>
      </w:r>
      <w:proofErr w:type="spellStart"/>
      <w:r w:rsidRPr="00530E4A">
        <w:rPr>
          <w:lang w:val="en-US"/>
        </w:rPr>
        <w:t>Chinellato</w:t>
      </w:r>
      <w:proofErr w:type="spellEnd"/>
      <w:r w:rsidRPr="00530E4A">
        <w:rPr>
          <w:lang w:val="en-US"/>
        </w:rPr>
        <w:t xml:space="preserve"> M. M., </w:t>
      </w:r>
      <w:proofErr w:type="spellStart"/>
      <w:r w:rsidRPr="00530E4A">
        <w:rPr>
          <w:lang w:val="en-US"/>
        </w:rPr>
        <w:t>Berwig</w:t>
      </w:r>
      <w:proofErr w:type="spellEnd"/>
      <w:r w:rsidRPr="00530E4A">
        <w:rPr>
          <w:lang w:val="en-US"/>
        </w:rPr>
        <w:t xml:space="preserve"> K. P., Wolf B.</w:t>
      </w:r>
      <w:r w:rsidR="00530E4A">
        <w:rPr>
          <w:lang w:val="en-US"/>
        </w:rPr>
        <w:t xml:space="preserve">, </w:t>
      </w:r>
      <w:r w:rsidRPr="00530E4A">
        <w:rPr>
          <w:lang w:val="en-US"/>
        </w:rPr>
        <w:t>2016</w:t>
      </w:r>
      <w:r w:rsidR="00530E4A" w:rsidRPr="00530E4A">
        <w:rPr>
          <w:lang w:val="en-US"/>
        </w:rPr>
        <w:t>,</w:t>
      </w:r>
      <w:r w:rsidRPr="00530E4A">
        <w:rPr>
          <w:lang w:val="en-US"/>
        </w:rPr>
        <w:t xml:space="preserve"> </w:t>
      </w:r>
      <w:r w:rsidRPr="004050A4">
        <w:rPr>
          <w:lang w:val="en-US"/>
        </w:rPr>
        <w:t xml:space="preserve">Eliminating the </w:t>
      </w:r>
      <w:r w:rsidRPr="003C5245">
        <w:rPr>
          <w:lang w:val="en-US"/>
        </w:rPr>
        <w:t>use of fat in the production of extruded snacks by applying starch coating</w:t>
      </w:r>
      <w:r w:rsidR="00EC4F4C">
        <w:rPr>
          <w:lang w:val="en-US"/>
        </w:rPr>
        <w:t>,</w:t>
      </w:r>
      <w:r w:rsidRPr="003C5245">
        <w:rPr>
          <w:lang w:val="en-US"/>
        </w:rPr>
        <w:t xml:space="preserve"> </w:t>
      </w:r>
      <w:r w:rsidRPr="003C5245">
        <w:t>Chemical Engineering Transactions, 49</w:t>
      </w:r>
      <w:r w:rsidR="00EC4F4C">
        <w:t>,</w:t>
      </w:r>
      <w:r w:rsidRPr="003C5245">
        <w:t xml:space="preserve"> 625-630</w:t>
      </w:r>
      <w:r w:rsidR="00EC4F4C">
        <w:t>,</w:t>
      </w:r>
      <w:r w:rsidRPr="003C5245">
        <w:t xml:space="preserve"> DOI: 10.3303/CET1649105</w:t>
      </w:r>
      <w:r w:rsidR="00EC4F4C">
        <w:t>.</w:t>
      </w:r>
    </w:p>
    <w:p w14:paraId="6457AB93" w14:textId="4CBD1729" w:rsidR="00465C48" w:rsidRPr="00EC4F4C" w:rsidRDefault="00465C48" w:rsidP="0005163B">
      <w:pPr>
        <w:pStyle w:val="CETReferencetext"/>
        <w:rPr>
          <w:lang w:val="en-US"/>
        </w:rPr>
      </w:pPr>
      <w:proofErr w:type="spellStart"/>
      <w:r w:rsidRPr="003C5245">
        <w:t>Nissar</w:t>
      </w:r>
      <w:proofErr w:type="spellEnd"/>
      <w:r w:rsidRPr="003C5245">
        <w:t xml:space="preserve"> J., Naik H.R., Hussain S.Z., </w:t>
      </w:r>
      <w:proofErr w:type="spellStart"/>
      <w:r w:rsidR="00F45AB3" w:rsidRPr="003C5245">
        <w:t>Ahad</w:t>
      </w:r>
      <w:proofErr w:type="spellEnd"/>
      <w:r w:rsidR="00F45AB3" w:rsidRPr="003C5245">
        <w:t xml:space="preserve"> T., </w:t>
      </w:r>
      <w:proofErr w:type="spellStart"/>
      <w:r w:rsidR="00F45AB3" w:rsidRPr="003C5245">
        <w:t>Masoodi</w:t>
      </w:r>
      <w:proofErr w:type="spellEnd"/>
      <w:r w:rsidR="00F45AB3" w:rsidRPr="003C5245">
        <w:t xml:space="preserve"> L., Nazir F.</w:t>
      </w:r>
      <w:r w:rsidR="00530E4A">
        <w:t xml:space="preserve">, </w:t>
      </w:r>
      <w:r w:rsidR="00F45AB3" w:rsidRPr="003C5245">
        <w:t>2017</w:t>
      </w:r>
      <w:r w:rsidR="00530E4A">
        <w:t>,</w:t>
      </w:r>
      <w:r w:rsidR="00F45AB3" w:rsidRPr="003C5245">
        <w:t xml:space="preserve"> Development of functional extruded snacks using corn and apple blends</w:t>
      </w:r>
      <w:r w:rsidR="00EC4F4C">
        <w:t>,</w:t>
      </w:r>
      <w:r w:rsidR="00F45AB3" w:rsidRPr="003C5245">
        <w:t xml:space="preserve"> </w:t>
      </w:r>
      <w:r w:rsidR="00F45AB3" w:rsidRPr="00EC4F4C">
        <w:rPr>
          <w:lang w:val="en-US"/>
        </w:rPr>
        <w:t xml:space="preserve">The Pharma </w:t>
      </w:r>
      <w:proofErr w:type="spellStart"/>
      <w:r w:rsidR="00F45AB3" w:rsidRPr="00EC4F4C">
        <w:rPr>
          <w:lang w:val="en-US"/>
        </w:rPr>
        <w:t>Innov</w:t>
      </w:r>
      <w:proofErr w:type="spellEnd"/>
      <w:r w:rsidR="00F45AB3" w:rsidRPr="00EC4F4C">
        <w:rPr>
          <w:lang w:val="en-US"/>
        </w:rPr>
        <w:t xml:space="preserve"> J, 6</w:t>
      </w:r>
      <w:r w:rsidR="00EC4F4C">
        <w:rPr>
          <w:lang w:val="en-US"/>
        </w:rPr>
        <w:t xml:space="preserve">, </w:t>
      </w:r>
      <w:r w:rsidR="00F45AB3" w:rsidRPr="00EC4F4C">
        <w:rPr>
          <w:lang w:val="en-US"/>
        </w:rPr>
        <w:t xml:space="preserve">544-555. </w:t>
      </w:r>
      <w:r w:rsidRPr="00EC4F4C">
        <w:rPr>
          <w:lang w:val="en-US"/>
        </w:rPr>
        <w:t xml:space="preserve"> </w:t>
      </w:r>
    </w:p>
    <w:p w14:paraId="493A5B91" w14:textId="2BDD1890" w:rsidR="003C3966" w:rsidRPr="00EC4F4C" w:rsidRDefault="003C3966" w:rsidP="0005163B">
      <w:pPr>
        <w:pStyle w:val="CETReferencetext"/>
        <w:rPr>
          <w:lang w:val="pt-BR"/>
        </w:rPr>
      </w:pPr>
      <w:r w:rsidRPr="003C5245">
        <w:rPr>
          <w:lang w:val="pt-BR"/>
        </w:rPr>
        <w:t xml:space="preserve">Pinto L.A.M, Tavares F.O., Pinto M.M., Hirata A.K., </w:t>
      </w:r>
      <w:r w:rsidRPr="00ED3880">
        <w:rPr>
          <w:lang w:val="pt-BR"/>
        </w:rPr>
        <w:t>M</w:t>
      </w:r>
      <w:r w:rsidR="00ED3880" w:rsidRPr="00ED3880">
        <w:rPr>
          <w:lang w:val="pt-BR"/>
        </w:rPr>
        <w:t>a</w:t>
      </w:r>
      <w:r w:rsidRPr="00ED3880">
        <w:rPr>
          <w:lang w:val="pt-BR"/>
        </w:rPr>
        <w:t>teus</w:t>
      </w:r>
      <w:r w:rsidRPr="003C5245">
        <w:rPr>
          <w:lang w:val="pt-BR"/>
        </w:rPr>
        <w:t xml:space="preserve"> G.A.P.</w:t>
      </w:r>
      <w:r w:rsidR="00530E4A">
        <w:rPr>
          <w:lang w:val="pt-BR"/>
        </w:rPr>
        <w:t xml:space="preserve">, </w:t>
      </w:r>
      <w:r w:rsidRPr="003C5245">
        <w:rPr>
          <w:lang w:val="pt-BR"/>
        </w:rPr>
        <w:t>2015</w:t>
      </w:r>
      <w:r w:rsidR="00530E4A">
        <w:rPr>
          <w:lang w:val="pt-BR"/>
        </w:rPr>
        <w:t>,</w:t>
      </w:r>
      <w:r w:rsidRPr="003C5245">
        <w:rPr>
          <w:lang w:val="pt-BR"/>
        </w:rPr>
        <w:t xml:space="preserve"> Desenvolvimento e caracterização de salgadinho produzido a partir de </w:t>
      </w:r>
      <w:proofErr w:type="spellStart"/>
      <w:r w:rsidRPr="003C5245">
        <w:rPr>
          <w:lang w:val="pt-BR"/>
        </w:rPr>
        <w:t>gritz</w:t>
      </w:r>
      <w:proofErr w:type="spellEnd"/>
      <w:r w:rsidRPr="003C5245">
        <w:rPr>
          <w:lang w:val="pt-BR"/>
        </w:rPr>
        <w:t xml:space="preserve"> de milho </w:t>
      </w:r>
      <w:proofErr w:type="spellStart"/>
      <w:r w:rsidRPr="003C5245">
        <w:rPr>
          <w:lang w:val="pt-BR"/>
        </w:rPr>
        <w:t>nixtamalizado</w:t>
      </w:r>
      <w:proofErr w:type="spellEnd"/>
      <w:r w:rsidR="00EC4F4C">
        <w:rPr>
          <w:lang w:val="pt-BR"/>
        </w:rPr>
        <w:t>,</w:t>
      </w:r>
      <w:r w:rsidRPr="003C5245">
        <w:rPr>
          <w:lang w:val="pt-BR"/>
        </w:rPr>
        <w:t xml:space="preserve"> </w:t>
      </w:r>
      <w:r w:rsidRPr="00EC4F4C">
        <w:rPr>
          <w:lang w:val="pt-BR"/>
        </w:rPr>
        <w:t xml:space="preserve">Revista Verde, </w:t>
      </w:r>
      <w:r w:rsidR="00ED3880">
        <w:rPr>
          <w:lang w:val="pt-BR"/>
        </w:rPr>
        <w:t xml:space="preserve">vol. </w:t>
      </w:r>
      <w:r w:rsidRPr="00EC4F4C">
        <w:rPr>
          <w:lang w:val="pt-BR"/>
        </w:rPr>
        <w:t>10, 4</w:t>
      </w:r>
      <w:r w:rsidR="00EC4F4C">
        <w:rPr>
          <w:lang w:val="pt-BR"/>
        </w:rPr>
        <w:t>,</w:t>
      </w:r>
      <w:r w:rsidRPr="00EC4F4C">
        <w:rPr>
          <w:lang w:val="pt-BR"/>
        </w:rPr>
        <w:t xml:space="preserve"> 12–16</w:t>
      </w:r>
      <w:r w:rsidR="00EC4F4C">
        <w:rPr>
          <w:lang w:val="pt-BR"/>
        </w:rPr>
        <w:t>,</w:t>
      </w:r>
      <w:r w:rsidRPr="00EC4F4C">
        <w:rPr>
          <w:lang w:val="pt-BR"/>
        </w:rPr>
        <w:t xml:space="preserve"> DOI: http://dx.doi.org/10.18378/rvads.v10i4.3396</w:t>
      </w:r>
      <w:r w:rsidR="00EC4F4C">
        <w:rPr>
          <w:lang w:val="pt-BR"/>
        </w:rPr>
        <w:t>.</w:t>
      </w:r>
    </w:p>
    <w:p w14:paraId="7CA444ED" w14:textId="05145890" w:rsidR="00691A63" w:rsidRDefault="00691A63" w:rsidP="0005163B">
      <w:pPr>
        <w:pStyle w:val="CETReferencetext"/>
        <w:rPr>
          <w:lang w:val="en-US"/>
        </w:rPr>
      </w:pPr>
      <w:r w:rsidRPr="003C5245">
        <w:rPr>
          <w:lang w:val="en-US"/>
        </w:rPr>
        <w:t xml:space="preserve">Primo-Martín C., Sanz, T., </w:t>
      </w:r>
      <w:proofErr w:type="spellStart"/>
      <w:r w:rsidRPr="003C5245">
        <w:rPr>
          <w:lang w:val="en-US"/>
        </w:rPr>
        <w:t>Steringa</w:t>
      </w:r>
      <w:proofErr w:type="spellEnd"/>
      <w:r w:rsidRPr="003C5245">
        <w:rPr>
          <w:lang w:val="en-US"/>
        </w:rPr>
        <w:t xml:space="preserve">, D.W., Salvador, A., </w:t>
      </w:r>
      <w:proofErr w:type="spellStart"/>
      <w:r w:rsidRPr="003C5245">
        <w:rPr>
          <w:lang w:val="en-US"/>
        </w:rPr>
        <w:t>Fiszman</w:t>
      </w:r>
      <w:proofErr w:type="spellEnd"/>
      <w:r w:rsidRPr="003C5245">
        <w:rPr>
          <w:lang w:val="en-US"/>
        </w:rPr>
        <w:t>, S.M., Van Vliet, T.</w:t>
      </w:r>
      <w:r w:rsidR="00530E4A">
        <w:rPr>
          <w:lang w:val="en-US"/>
        </w:rPr>
        <w:t xml:space="preserve">, </w:t>
      </w:r>
      <w:r w:rsidRPr="003C5245">
        <w:rPr>
          <w:lang w:val="en-US"/>
        </w:rPr>
        <w:t>2010</w:t>
      </w:r>
      <w:r w:rsidR="00530E4A">
        <w:rPr>
          <w:lang w:val="en-US"/>
        </w:rPr>
        <w:t>,</w:t>
      </w:r>
      <w:r w:rsidRPr="003C5245">
        <w:rPr>
          <w:lang w:val="en-US"/>
        </w:rPr>
        <w:t xml:space="preserve"> Performance of cellulose derivatives in deep-fried battered snacks: Oil barrier and crispy properties</w:t>
      </w:r>
      <w:r w:rsidR="00EC4F4C">
        <w:rPr>
          <w:lang w:val="en-US"/>
        </w:rPr>
        <w:t>,</w:t>
      </w:r>
      <w:r w:rsidRPr="003C5245">
        <w:rPr>
          <w:lang w:val="en-US"/>
        </w:rPr>
        <w:t> Food Hydrocolloids, </w:t>
      </w:r>
      <w:r w:rsidR="00E55572">
        <w:rPr>
          <w:lang w:val="en-US"/>
        </w:rPr>
        <w:t xml:space="preserve">vol. </w:t>
      </w:r>
      <w:r w:rsidRPr="00573F18">
        <w:rPr>
          <w:lang w:val="en-US"/>
        </w:rPr>
        <w:t>24</w:t>
      </w:r>
      <w:r w:rsidR="00573F18" w:rsidRPr="00573F18">
        <w:rPr>
          <w:lang w:val="en-US"/>
        </w:rPr>
        <w:t>,</w:t>
      </w:r>
      <w:r w:rsidR="00E55572" w:rsidRPr="00573F18">
        <w:rPr>
          <w:lang w:val="en-US"/>
        </w:rPr>
        <w:t xml:space="preserve"> </w:t>
      </w:r>
      <w:r w:rsidRPr="00573F18">
        <w:rPr>
          <w:lang w:val="en-US"/>
        </w:rPr>
        <w:t>8</w:t>
      </w:r>
      <w:r w:rsidR="00573F18" w:rsidRPr="00573F18">
        <w:rPr>
          <w:lang w:val="en-US"/>
        </w:rPr>
        <w:t xml:space="preserve">, </w:t>
      </w:r>
      <w:r w:rsidRPr="00573F18">
        <w:rPr>
          <w:lang w:val="en-US"/>
        </w:rPr>
        <w:t>702-708.</w:t>
      </w:r>
    </w:p>
    <w:p w14:paraId="5ED7A7A2" w14:textId="533FC79D" w:rsidR="003C3966" w:rsidRPr="00EC4F4C" w:rsidRDefault="003C3966" w:rsidP="003C3966">
      <w:pPr>
        <w:pStyle w:val="CETReferencetext"/>
        <w:rPr>
          <w:lang w:val="en-US"/>
        </w:rPr>
      </w:pPr>
      <w:r w:rsidRPr="003C5245">
        <w:rPr>
          <w:lang w:val="en-US"/>
        </w:rPr>
        <w:t xml:space="preserve">Rojas J.A., </w:t>
      </w:r>
      <w:proofErr w:type="spellStart"/>
      <w:r w:rsidRPr="003C5245">
        <w:rPr>
          <w:lang w:val="en-US"/>
        </w:rPr>
        <w:t>Rosell</w:t>
      </w:r>
      <w:proofErr w:type="spellEnd"/>
      <w:r w:rsidRPr="003C5245">
        <w:rPr>
          <w:lang w:val="en-US"/>
        </w:rPr>
        <w:t xml:space="preserve"> C.M., De Barber C.B.</w:t>
      </w:r>
      <w:r w:rsidR="00291EF8">
        <w:rPr>
          <w:lang w:val="en-US"/>
        </w:rPr>
        <w:t xml:space="preserve">, </w:t>
      </w:r>
      <w:r w:rsidRPr="003C5245">
        <w:rPr>
          <w:lang w:val="en-US"/>
        </w:rPr>
        <w:t>1998</w:t>
      </w:r>
      <w:r w:rsidR="00291EF8">
        <w:rPr>
          <w:lang w:val="en-US"/>
        </w:rPr>
        <w:t>,</w:t>
      </w:r>
      <w:r w:rsidRPr="003C5245">
        <w:rPr>
          <w:lang w:val="en-US"/>
        </w:rPr>
        <w:t xml:space="preserve"> Pasting properties of different wheat flour-hydrocolloid systems</w:t>
      </w:r>
      <w:r w:rsidR="00EC4F4C">
        <w:rPr>
          <w:lang w:val="en-US"/>
        </w:rPr>
        <w:t>,</w:t>
      </w:r>
      <w:r w:rsidRPr="003C5245">
        <w:rPr>
          <w:lang w:val="en-US"/>
        </w:rPr>
        <w:t xml:space="preserve"> </w:t>
      </w:r>
      <w:r w:rsidRPr="00EC4F4C">
        <w:rPr>
          <w:lang w:val="en-US"/>
        </w:rPr>
        <w:t>Food Hydrocolloids, Amsterdam, 13</w:t>
      </w:r>
      <w:r w:rsidR="00EC4F4C">
        <w:rPr>
          <w:lang w:val="en-US"/>
        </w:rPr>
        <w:t>,</w:t>
      </w:r>
      <w:r w:rsidRPr="00EC4F4C">
        <w:rPr>
          <w:lang w:val="en-US"/>
        </w:rPr>
        <w:t xml:space="preserve"> 27-33.</w:t>
      </w:r>
    </w:p>
    <w:p w14:paraId="50392EC2" w14:textId="15D0A8A4" w:rsidR="003C3966" w:rsidRPr="003C3966" w:rsidRDefault="003C3966" w:rsidP="00A067EA">
      <w:pPr>
        <w:pStyle w:val="CETReferencetext"/>
        <w:rPr>
          <w:lang w:val="pt-BR"/>
        </w:rPr>
      </w:pPr>
      <w:r w:rsidRPr="003C3966">
        <w:rPr>
          <w:lang w:val="pt-BR"/>
        </w:rPr>
        <w:t xml:space="preserve">Soares Júnior S.M., Santos T.P.B., Pereira G.F., </w:t>
      </w:r>
      <w:proofErr w:type="spellStart"/>
      <w:r w:rsidRPr="003C3966">
        <w:rPr>
          <w:lang w:val="pt-BR"/>
        </w:rPr>
        <w:t>Minafra</w:t>
      </w:r>
      <w:proofErr w:type="spellEnd"/>
      <w:r w:rsidRPr="003C3966">
        <w:rPr>
          <w:lang w:val="pt-BR"/>
        </w:rPr>
        <w:t xml:space="preserve"> C.S., </w:t>
      </w:r>
      <w:proofErr w:type="spellStart"/>
      <w:r w:rsidRPr="003C3966">
        <w:rPr>
          <w:lang w:val="pt-BR"/>
        </w:rPr>
        <w:t>Caliari</w:t>
      </w:r>
      <w:proofErr w:type="spellEnd"/>
      <w:r w:rsidRPr="003C3966">
        <w:rPr>
          <w:lang w:val="pt-BR"/>
        </w:rPr>
        <w:t xml:space="preserve"> M., Silva F.A.</w:t>
      </w:r>
      <w:r w:rsidR="00291EF8">
        <w:rPr>
          <w:lang w:val="pt-BR"/>
        </w:rPr>
        <w:t xml:space="preserve">, </w:t>
      </w:r>
      <w:r w:rsidRPr="003C3966">
        <w:rPr>
          <w:lang w:val="pt-BR"/>
        </w:rPr>
        <w:t>2011</w:t>
      </w:r>
      <w:r w:rsidR="00291EF8">
        <w:rPr>
          <w:lang w:val="pt-BR"/>
        </w:rPr>
        <w:t>,</w:t>
      </w:r>
      <w:r w:rsidRPr="003C3966">
        <w:rPr>
          <w:lang w:val="pt-BR"/>
        </w:rPr>
        <w:t xml:space="preserve"> Desenvolvimento de salgadinho </w:t>
      </w:r>
      <w:proofErr w:type="spellStart"/>
      <w:r w:rsidRPr="003C3966">
        <w:rPr>
          <w:lang w:val="pt-BR"/>
        </w:rPr>
        <w:t>extrusado</w:t>
      </w:r>
      <w:proofErr w:type="spellEnd"/>
      <w:r w:rsidRPr="003C3966">
        <w:rPr>
          <w:lang w:val="pt-BR"/>
        </w:rPr>
        <w:t xml:space="preserve"> a partir de fragmentos de arroz e feijão</w:t>
      </w:r>
      <w:r w:rsidR="00EC4F4C">
        <w:rPr>
          <w:lang w:val="pt-BR"/>
        </w:rPr>
        <w:t>,</w:t>
      </w:r>
      <w:r w:rsidRPr="003C3966">
        <w:rPr>
          <w:lang w:val="pt-BR"/>
        </w:rPr>
        <w:t xml:space="preserve"> </w:t>
      </w:r>
      <w:proofErr w:type="spellStart"/>
      <w:r w:rsidRPr="003C3966">
        <w:rPr>
          <w:lang w:val="pt-BR"/>
        </w:rPr>
        <w:t>Semina</w:t>
      </w:r>
      <w:proofErr w:type="spellEnd"/>
      <w:r w:rsidRPr="003C3966">
        <w:rPr>
          <w:lang w:val="pt-BR"/>
        </w:rPr>
        <w:t>: Ciências Agrárias, Londrina, 32,</w:t>
      </w:r>
      <w:r w:rsidR="00EC4F4C">
        <w:rPr>
          <w:lang w:val="pt-BR"/>
        </w:rPr>
        <w:t xml:space="preserve"> </w:t>
      </w:r>
      <w:r w:rsidRPr="003C3966">
        <w:rPr>
          <w:lang w:val="pt-BR"/>
        </w:rPr>
        <w:t>1</w:t>
      </w:r>
      <w:r w:rsidR="00EC4F4C">
        <w:rPr>
          <w:lang w:val="pt-BR"/>
        </w:rPr>
        <w:t>,</w:t>
      </w:r>
      <w:r w:rsidRPr="003C3966">
        <w:rPr>
          <w:lang w:val="pt-BR"/>
        </w:rPr>
        <w:t xml:space="preserve"> 191-200.</w:t>
      </w:r>
    </w:p>
    <w:p w14:paraId="38C688A2" w14:textId="213AB7F9" w:rsidR="003C3966" w:rsidRPr="00D41230" w:rsidRDefault="003C3966" w:rsidP="0005163B">
      <w:pPr>
        <w:pStyle w:val="CETReferencetext"/>
        <w:rPr>
          <w:lang w:val="en-US"/>
        </w:rPr>
      </w:pPr>
      <w:r w:rsidRPr="00B535A1">
        <w:rPr>
          <w:lang w:val="en-US"/>
        </w:rPr>
        <w:t>STATSOFT</w:t>
      </w:r>
      <w:r w:rsidR="00291EF8" w:rsidRPr="00B535A1">
        <w:rPr>
          <w:lang w:val="en-US"/>
        </w:rPr>
        <w:t xml:space="preserve">, </w:t>
      </w:r>
      <w:r w:rsidR="00CE23ED" w:rsidRPr="00B535A1">
        <w:rPr>
          <w:lang w:val="en-US"/>
        </w:rPr>
        <w:t>2004</w:t>
      </w:r>
      <w:r w:rsidR="00291EF8" w:rsidRPr="00B535A1">
        <w:rPr>
          <w:lang w:val="en-US"/>
        </w:rPr>
        <w:t>,</w:t>
      </w:r>
      <w:r w:rsidR="00CE23ED" w:rsidRPr="00B535A1">
        <w:rPr>
          <w:lang w:val="en-US"/>
        </w:rPr>
        <w:t xml:space="preserve"> </w:t>
      </w:r>
      <w:proofErr w:type="spellStart"/>
      <w:r w:rsidRPr="00B535A1">
        <w:rPr>
          <w:lang w:val="en-US"/>
        </w:rPr>
        <w:t>Statística</w:t>
      </w:r>
      <w:proofErr w:type="spellEnd"/>
      <w:r w:rsidRPr="00B535A1">
        <w:rPr>
          <w:lang w:val="en-US"/>
        </w:rPr>
        <w:t xml:space="preserve"> 7.0 software</w:t>
      </w:r>
      <w:r w:rsidR="00D41230" w:rsidRPr="00B535A1">
        <w:rPr>
          <w:lang w:val="en-US"/>
        </w:rPr>
        <w:t>,</w:t>
      </w:r>
      <w:r w:rsidRPr="00B535A1">
        <w:rPr>
          <w:lang w:val="en-US"/>
        </w:rPr>
        <w:t xml:space="preserve"> </w:t>
      </w:r>
      <w:proofErr w:type="spellStart"/>
      <w:r w:rsidRPr="00B535A1">
        <w:rPr>
          <w:lang w:val="en-US"/>
        </w:rPr>
        <w:t>Tucksa</w:t>
      </w:r>
      <w:proofErr w:type="spellEnd"/>
      <w:r w:rsidRPr="00B535A1">
        <w:rPr>
          <w:lang w:val="en-US"/>
        </w:rPr>
        <w:t xml:space="preserve">: </w:t>
      </w:r>
      <w:proofErr w:type="spellStart"/>
      <w:r w:rsidRPr="00B535A1">
        <w:rPr>
          <w:lang w:val="en-US"/>
        </w:rPr>
        <w:t>StatSoft</w:t>
      </w:r>
      <w:proofErr w:type="spellEnd"/>
      <w:r w:rsidRPr="00B535A1">
        <w:rPr>
          <w:lang w:val="en-US"/>
        </w:rPr>
        <w:t>, Inc.</w:t>
      </w:r>
    </w:p>
    <w:p w14:paraId="16795953" w14:textId="1AE6871D" w:rsidR="003C3966" w:rsidRPr="003C3966" w:rsidRDefault="003C3966" w:rsidP="0005163B">
      <w:pPr>
        <w:pStyle w:val="CETReferencetext"/>
        <w:rPr>
          <w:lang w:val="en-US"/>
        </w:rPr>
      </w:pPr>
      <w:r w:rsidRPr="003C3966">
        <w:rPr>
          <w:lang w:val="en-US"/>
        </w:rPr>
        <w:t>Stauffer C.E.</w:t>
      </w:r>
      <w:r w:rsidR="00291EF8">
        <w:rPr>
          <w:lang w:val="en-US"/>
        </w:rPr>
        <w:t xml:space="preserve">, </w:t>
      </w:r>
      <w:r w:rsidRPr="003C3966">
        <w:rPr>
          <w:lang w:val="en-US"/>
        </w:rPr>
        <w:t>1985</w:t>
      </w:r>
      <w:r w:rsidR="00291EF8">
        <w:rPr>
          <w:lang w:val="en-US"/>
        </w:rPr>
        <w:t>,</w:t>
      </w:r>
      <w:r w:rsidRPr="003C3966">
        <w:rPr>
          <w:lang w:val="en-US"/>
        </w:rPr>
        <w:t xml:space="preserve"> Functional Additives for Bakery Foods</w:t>
      </w:r>
      <w:r w:rsidR="00D41230">
        <w:rPr>
          <w:lang w:val="en-US"/>
        </w:rPr>
        <w:t>,</w:t>
      </w:r>
      <w:r w:rsidRPr="003C3966">
        <w:rPr>
          <w:lang w:val="en-US"/>
        </w:rPr>
        <w:t xml:space="preserve"> 164-177.</w:t>
      </w:r>
    </w:p>
    <w:p w14:paraId="718419E4" w14:textId="129C1110" w:rsidR="003C3966" w:rsidRPr="004E54F5" w:rsidRDefault="003C3966" w:rsidP="00617553">
      <w:pPr>
        <w:pStyle w:val="CETReferencetext"/>
      </w:pPr>
      <w:r w:rsidRPr="003C3966">
        <w:rPr>
          <w:lang w:val="en-US"/>
        </w:rPr>
        <w:t>Wang S., Li C., Yu J., Copeland L., Wang S.</w:t>
      </w:r>
      <w:r w:rsidR="00291EF8">
        <w:rPr>
          <w:lang w:val="en-US"/>
        </w:rPr>
        <w:t xml:space="preserve">, </w:t>
      </w:r>
      <w:r w:rsidRPr="003C3966">
        <w:rPr>
          <w:lang w:val="en-US"/>
        </w:rPr>
        <w:t>2014</w:t>
      </w:r>
      <w:r w:rsidR="00291EF8">
        <w:rPr>
          <w:lang w:val="en-US"/>
        </w:rPr>
        <w:t>,</w:t>
      </w:r>
      <w:r w:rsidRPr="003C3966">
        <w:rPr>
          <w:lang w:val="en-US"/>
        </w:rPr>
        <w:t xml:space="preserve"> Phase transition and swelling </w:t>
      </w:r>
      <w:proofErr w:type="spellStart"/>
      <w:r w:rsidRPr="003C3966">
        <w:rPr>
          <w:lang w:val="en-US"/>
        </w:rPr>
        <w:t>behaviour</w:t>
      </w:r>
      <w:proofErr w:type="spellEnd"/>
      <w:r w:rsidRPr="003C3966">
        <w:rPr>
          <w:lang w:val="en-US"/>
        </w:rPr>
        <w:t xml:space="preserve"> of different starch granules over a wide range of water content</w:t>
      </w:r>
      <w:r w:rsidR="00D41230">
        <w:rPr>
          <w:lang w:val="en-US"/>
        </w:rPr>
        <w:t>,</w:t>
      </w:r>
      <w:r w:rsidRPr="003C3966">
        <w:rPr>
          <w:lang w:val="en-US"/>
        </w:rPr>
        <w:t xml:space="preserve"> </w:t>
      </w:r>
      <w:r w:rsidRPr="004E54F5">
        <w:t>LWT</w:t>
      </w:r>
      <w:r w:rsidR="00D41230">
        <w:t xml:space="preserve">: </w:t>
      </w:r>
      <w:r w:rsidRPr="004E54F5">
        <w:t>Food Science and Technology, 59(1)</w:t>
      </w:r>
      <w:r w:rsidR="00D41230">
        <w:t>,</w:t>
      </w:r>
      <w:r w:rsidRPr="004E54F5">
        <w:t xml:space="preserve"> 597-604.</w:t>
      </w:r>
    </w:p>
    <w:sectPr w:rsidR="003C3966" w:rsidRPr="004E54F5"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5BE80" w14:textId="77777777" w:rsidR="00986905" w:rsidRDefault="00986905" w:rsidP="004F5E36">
      <w:r>
        <w:separator/>
      </w:r>
    </w:p>
  </w:endnote>
  <w:endnote w:type="continuationSeparator" w:id="0">
    <w:p w14:paraId="77ACA398" w14:textId="77777777" w:rsidR="00986905" w:rsidRDefault="009869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1E2C" w14:textId="77777777" w:rsidR="00986905" w:rsidRDefault="00986905" w:rsidP="004F5E36">
      <w:r>
        <w:separator/>
      </w:r>
    </w:p>
  </w:footnote>
  <w:footnote w:type="continuationSeparator" w:id="0">
    <w:p w14:paraId="457A51BC" w14:textId="77777777" w:rsidR="00986905" w:rsidRDefault="009869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4724"/>
    <w:rsid w:val="000052FB"/>
    <w:rsid w:val="00010F40"/>
    <w:rsid w:val="000117CB"/>
    <w:rsid w:val="00011D0A"/>
    <w:rsid w:val="00015F5F"/>
    <w:rsid w:val="00020E19"/>
    <w:rsid w:val="00027C84"/>
    <w:rsid w:val="0003148D"/>
    <w:rsid w:val="000332BD"/>
    <w:rsid w:val="00035592"/>
    <w:rsid w:val="000468DC"/>
    <w:rsid w:val="00047D7F"/>
    <w:rsid w:val="00051566"/>
    <w:rsid w:val="0005163B"/>
    <w:rsid w:val="0005498F"/>
    <w:rsid w:val="000626AD"/>
    <w:rsid w:val="00062A9A"/>
    <w:rsid w:val="00063D93"/>
    <w:rsid w:val="00065058"/>
    <w:rsid w:val="00084237"/>
    <w:rsid w:val="00085A82"/>
    <w:rsid w:val="00086067"/>
    <w:rsid w:val="00086C39"/>
    <w:rsid w:val="00091AA8"/>
    <w:rsid w:val="00097584"/>
    <w:rsid w:val="000A0378"/>
    <w:rsid w:val="000A03B2"/>
    <w:rsid w:val="000A3B79"/>
    <w:rsid w:val="000A78CE"/>
    <w:rsid w:val="000B110A"/>
    <w:rsid w:val="000B4AA5"/>
    <w:rsid w:val="000B6684"/>
    <w:rsid w:val="000C07BE"/>
    <w:rsid w:val="000C5165"/>
    <w:rsid w:val="000D0A28"/>
    <w:rsid w:val="000D1CD9"/>
    <w:rsid w:val="000D34BE"/>
    <w:rsid w:val="000D7F6F"/>
    <w:rsid w:val="000E102F"/>
    <w:rsid w:val="000E36F1"/>
    <w:rsid w:val="000E3A73"/>
    <w:rsid w:val="000E414A"/>
    <w:rsid w:val="000F093C"/>
    <w:rsid w:val="000F16BD"/>
    <w:rsid w:val="000F40BD"/>
    <w:rsid w:val="000F7292"/>
    <w:rsid w:val="000F787B"/>
    <w:rsid w:val="00100E4C"/>
    <w:rsid w:val="00104961"/>
    <w:rsid w:val="00107435"/>
    <w:rsid w:val="00107975"/>
    <w:rsid w:val="00115BB6"/>
    <w:rsid w:val="0012091F"/>
    <w:rsid w:val="001235AC"/>
    <w:rsid w:val="00126BC2"/>
    <w:rsid w:val="001308B6"/>
    <w:rsid w:val="00130962"/>
    <w:rsid w:val="0013121F"/>
    <w:rsid w:val="00131FAB"/>
    <w:rsid w:val="00131FE6"/>
    <w:rsid w:val="001320BA"/>
    <w:rsid w:val="0013263F"/>
    <w:rsid w:val="00134DE4"/>
    <w:rsid w:val="0014034D"/>
    <w:rsid w:val="00141DFF"/>
    <w:rsid w:val="00150E59"/>
    <w:rsid w:val="00152DE3"/>
    <w:rsid w:val="00157A3F"/>
    <w:rsid w:val="00157FDD"/>
    <w:rsid w:val="00160A58"/>
    <w:rsid w:val="00164CF9"/>
    <w:rsid w:val="001723F6"/>
    <w:rsid w:val="00184AD6"/>
    <w:rsid w:val="001901E8"/>
    <w:rsid w:val="001B0349"/>
    <w:rsid w:val="001B44F9"/>
    <w:rsid w:val="001B4C25"/>
    <w:rsid w:val="001B6400"/>
    <w:rsid w:val="001B65C1"/>
    <w:rsid w:val="001C592F"/>
    <w:rsid w:val="001C684B"/>
    <w:rsid w:val="001D53FC"/>
    <w:rsid w:val="001D5FB2"/>
    <w:rsid w:val="001E2C88"/>
    <w:rsid w:val="001E4283"/>
    <w:rsid w:val="001F04BA"/>
    <w:rsid w:val="001F42A5"/>
    <w:rsid w:val="001F74C0"/>
    <w:rsid w:val="001F79C9"/>
    <w:rsid w:val="001F7B9D"/>
    <w:rsid w:val="00201CE7"/>
    <w:rsid w:val="002074E1"/>
    <w:rsid w:val="002224B4"/>
    <w:rsid w:val="00226F89"/>
    <w:rsid w:val="00227EB7"/>
    <w:rsid w:val="0023094B"/>
    <w:rsid w:val="002328A7"/>
    <w:rsid w:val="00235DE7"/>
    <w:rsid w:val="002429C0"/>
    <w:rsid w:val="002447EF"/>
    <w:rsid w:val="00251550"/>
    <w:rsid w:val="00252C1A"/>
    <w:rsid w:val="00253282"/>
    <w:rsid w:val="00262ACF"/>
    <w:rsid w:val="00263B05"/>
    <w:rsid w:val="002646B4"/>
    <w:rsid w:val="0027221A"/>
    <w:rsid w:val="00274AD8"/>
    <w:rsid w:val="00275B61"/>
    <w:rsid w:val="00275E01"/>
    <w:rsid w:val="0027726C"/>
    <w:rsid w:val="002779DA"/>
    <w:rsid w:val="00282656"/>
    <w:rsid w:val="00291EF8"/>
    <w:rsid w:val="00294995"/>
    <w:rsid w:val="00296B83"/>
    <w:rsid w:val="00297402"/>
    <w:rsid w:val="002A5273"/>
    <w:rsid w:val="002B507B"/>
    <w:rsid w:val="002B78CE"/>
    <w:rsid w:val="002C2FB6"/>
    <w:rsid w:val="002D1A0C"/>
    <w:rsid w:val="002D5362"/>
    <w:rsid w:val="002D5BCD"/>
    <w:rsid w:val="002D65E0"/>
    <w:rsid w:val="002E0AD2"/>
    <w:rsid w:val="002E0F65"/>
    <w:rsid w:val="002E5DAB"/>
    <w:rsid w:val="003009B7"/>
    <w:rsid w:val="00300E56"/>
    <w:rsid w:val="0030469C"/>
    <w:rsid w:val="0030661F"/>
    <w:rsid w:val="00306814"/>
    <w:rsid w:val="0031094B"/>
    <w:rsid w:val="00312660"/>
    <w:rsid w:val="00314494"/>
    <w:rsid w:val="00316F97"/>
    <w:rsid w:val="00321634"/>
    <w:rsid w:val="00321CA6"/>
    <w:rsid w:val="00325443"/>
    <w:rsid w:val="00331D1B"/>
    <w:rsid w:val="00334C09"/>
    <w:rsid w:val="0033522D"/>
    <w:rsid w:val="003365E3"/>
    <w:rsid w:val="00336C44"/>
    <w:rsid w:val="00347598"/>
    <w:rsid w:val="00350C13"/>
    <w:rsid w:val="003535F3"/>
    <w:rsid w:val="00354F34"/>
    <w:rsid w:val="00361F5A"/>
    <w:rsid w:val="0036363F"/>
    <w:rsid w:val="003649B8"/>
    <w:rsid w:val="00371B42"/>
    <w:rsid w:val="003723D4"/>
    <w:rsid w:val="00373530"/>
    <w:rsid w:val="00376E42"/>
    <w:rsid w:val="00384CC8"/>
    <w:rsid w:val="003868BE"/>
    <w:rsid w:val="003871FD"/>
    <w:rsid w:val="003926DD"/>
    <w:rsid w:val="00397269"/>
    <w:rsid w:val="003A1774"/>
    <w:rsid w:val="003A1DAC"/>
    <w:rsid w:val="003A1E30"/>
    <w:rsid w:val="003A7D1C"/>
    <w:rsid w:val="003B09E1"/>
    <w:rsid w:val="003B13E6"/>
    <w:rsid w:val="003B24CA"/>
    <w:rsid w:val="003B304B"/>
    <w:rsid w:val="003B3146"/>
    <w:rsid w:val="003B3AD6"/>
    <w:rsid w:val="003B60F3"/>
    <w:rsid w:val="003C1913"/>
    <w:rsid w:val="003C3966"/>
    <w:rsid w:val="003C5245"/>
    <w:rsid w:val="003C5C24"/>
    <w:rsid w:val="003D32A4"/>
    <w:rsid w:val="003D4FAF"/>
    <w:rsid w:val="003E79CE"/>
    <w:rsid w:val="003F015E"/>
    <w:rsid w:val="003F0F5A"/>
    <w:rsid w:val="003F3696"/>
    <w:rsid w:val="003F3D33"/>
    <w:rsid w:val="003F6450"/>
    <w:rsid w:val="00400414"/>
    <w:rsid w:val="0040067E"/>
    <w:rsid w:val="004034EB"/>
    <w:rsid w:val="004050A4"/>
    <w:rsid w:val="0041020E"/>
    <w:rsid w:val="0041446B"/>
    <w:rsid w:val="004172D0"/>
    <w:rsid w:val="004219E2"/>
    <w:rsid w:val="00422F50"/>
    <w:rsid w:val="004250D5"/>
    <w:rsid w:val="00436289"/>
    <w:rsid w:val="004407A9"/>
    <w:rsid w:val="00441615"/>
    <w:rsid w:val="0044329C"/>
    <w:rsid w:val="004468EF"/>
    <w:rsid w:val="00451434"/>
    <w:rsid w:val="004557B6"/>
    <w:rsid w:val="004577FE"/>
    <w:rsid w:val="00457B9C"/>
    <w:rsid w:val="00460449"/>
    <w:rsid w:val="0046164A"/>
    <w:rsid w:val="004628D2"/>
    <w:rsid w:val="00462DCD"/>
    <w:rsid w:val="004648AD"/>
    <w:rsid w:val="00465C48"/>
    <w:rsid w:val="004703A9"/>
    <w:rsid w:val="00474B99"/>
    <w:rsid w:val="0047543A"/>
    <w:rsid w:val="004760DE"/>
    <w:rsid w:val="0047623C"/>
    <w:rsid w:val="004768E8"/>
    <w:rsid w:val="0047716E"/>
    <w:rsid w:val="00487CD9"/>
    <w:rsid w:val="00493DEC"/>
    <w:rsid w:val="004A004E"/>
    <w:rsid w:val="004A24CF"/>
    <w:rsid w:val="004A4888"/>
    <w:rsid w:val="004A5707"/>
    <w:rsid w:val="004B12BF"/>
    <w:rsid w:val="004B17DF"/>
    <w:rsid w:val="004B6721"/>
    <w:rsid w:val="004C3C85"/>
    <w:rsid w:val="004C3D1D"/>
    <w:rsid w:val="004C480F"/>
    <w:rsid w:val="004C4CE9"/>
    <w:rsid w:val="004C52AB"/>
    <w:rsid w:val="004C65E5"/>
    <w:rsid w:val="004C7913"/>
    <w:rsid w:val="004D1764"/>
    <w:rsid w:val="004D3E33"/>
    <w:rsid w:val="004D4750"/>
    <w:rsid w:val="004D5609"/>
    <w:rsid w:val="004D5E4A"/>
    <w:rsid w:val="004D6D16"/>
    <w:rsid w:val="004D71A9"/>
    <w:rsid w:val="004E485E"/>
    <w:rsid w:val="004E4DD6"/>
    <w:rsid w:val="004E520F"/>
    <w:rsid w:val="004E54F5"/>
    <w:rsid w:val="004F5E36"/>
    <w:rsid w:val="004F6451"/>
    <w:rsid w:val="00500CA5"/>
    <w:rsid w:val="005031E6"/>
    <w:rsid w:val="00503D4C"/>
    <w:rsid w:val="0050437C"/>
    <w:rsid w:val="00505137"/>
    <w:rsid w:val="00507B47"/>
    <w:rsid w:val="00507CC9"/>
    <w:rsid w:val="0051114A"/>
    <w:rsid w:val="005119A5"/>
    <w:rsid w:val="00513672"/>
    <w:rsid w:val="00515942"/>
    <w:rsid w:val="00517225"/>
    <w:rsid w:val="00520A0F"/>
    <w:rsid w:val="00520B74"/>
    <w:rsid w:val="00521379"/>
    <w:rsid w:val="005219D9"/>
    <w:rsid w:val="00522E08"/>
    <w:rsid w:val="0052616E"/>
    <w:rsid w:val="0052691E"/>
    <w:rsid w:val="005278B7"/>
    <w:rsid w:val="00530E4A"/>
    <w:rsid w:val="00532016"/>
    <w:rsid w:val="00533640"/>
    <w:rsid w:val="005346C8"/>
    <w:rsid w:val="00534E4A"/>
    <w:rsid w:val="00541F7E"/>
    <w:rsid w:val="00543E7D"/>
    <w:rsid w:val="00544C12"/>
    <w:rsid w:val="00546B05"/>
    <w:rsid w:val="00547A68"/>
    <w:rsid w:val="005531C9"/>
    <w:rsid w:val="005603BF"/>
    <w:rsid w:val="005626D8"/>
    <w:rsid w:val="005721E2"/>
    <w:rsid w:val="00573F18"/>
    <w:rsid w:val="0057440F"/>
    <w:rsid w:val="0057609E"/>
    <w:rsid w:val="00580957"/>
    <w:rsid w:val="00580AE4"/>
    <w:rsid w:val="0058558A"/>
    <w:rsid w:val="00596C99"/>
    <w:rsid w:val="005A51C1"/>
    <w:rsid w:val="005A65F6"/>
    <w:rsid w:val="005B16F5"/>
    <w:rsid w:val="005B2110"/>
    <w:rsid w:val="005B61E6"/>
    <w:rsid w:val="005B77CB"/>
    <w:rsid w:val="005B7845"/>
    <w:rsid w:val="005B7D90"/>
    <w:rsid w:val="005C1C20"/>
    <w:rsid w:val="005C77E1"/>
    <w:rsid w:val="005D1B0A"/>
    <w:rsid w:val="005D6A2F"/>
    <w:rsid w:val="005E0CED"/>
    <w:rsid w:val="005E1A82"/>
    <w:rsid w:val="005E5656"/>
    <w:rsid w:val="005E7167"/>
    <w:rsid w:val="005E794C"/>
    <w:rsid w:val="005F0A28"/>
    <w:rsid w:val="005F0E5E"/>
    <w:rsid w:val="00600535"/>
    <w:rsid w:val="006023B5"/>
    <w:rsid w:val="00605FF3"/>
    <w:rsid w:val="006078FF"/>
    <w:rsid w:val="00610CD6"/>
    <w:rsid w:val="006158EC"/>
    <w:rsid w:val="00617553"/>
    <w:rsid w:val="00617C97"/>
    <w:rsid w:val="00620DEE"/>
    <w:rsid w:val="00621498"/>
    <w:rsid w:val="00621F92"/>
    <w:rsid w:val="00624D5A"/>
    <w:rsid w:val="00625433"/>
    <w:rsid w:val="00625639"/>
    <w:rsid w:val="00627EA4"/>
    <w:rsid w:val="00630421"/>
    <w:rsid w:val="00631B33"/>
    <w:rsid w:val="00637F2A"/>
    <w:rsid w:val="0064184D"/>
    <w:rsid w:val="006422CC"/>
    <w:rsid w:val="006468F2"/>
    <w:rsid w:val="00651B7F"/>
    <w:rsid w:val="006528AD"/>
    <w:rsid w:val="00660E3E"/>
    <w:rsid w:val="00662E74"/>
    <w:rsid w:val="00663687"/>
    <w:rsid w:val="006703E3"/>
    <w:rsid w:val="00671957"/>
    <w:rsid w:val="00680C23"/>
    <w:rsid w:val="006812F4"/>
    <w:rsid w:val="0068309A"/>
    <w:rsid w:val="00691A63"/>
    <w:rsid w:val="00693766"/>
    <w:rsid w:val="006A013B"/>
    <w:rsid w:val="006A3281"/>
    <w:rsid w:val="006B0AEF"/>
    <w:rsid w:val="006B3BDC"/>
    <w:rsid w:val="006B4888"/>
    <w:rsid w:val="006C2E45"/>
    <w:rsid w:val="006C359C"/>
    <w:rsid w:val="006C3D9B"/>
    <w:rsid w:val="006C5579"/>
    <w:rsid w:val="006D04F9"/>
    <w:rsid w:val="006D7BDA"/>
    <w:rsid w:val="006E1698"/>
    <w:rsid w:val="006E737D"/>
    <w:rsid w:val="006F2591"/>
    <w:rsid w:val="006F25C0"/>
    <w:rsid w:val="006F518D"/>
    <w:rsid w:val="006F6920"/>
    <w:rsid w:val="0070195D"/>
    <w:rsid w:val="0070359A"/>
    <w:rsid w:val="0070389A"/>
    <w:rsid w:val="00710EC2"/>
    <w:rsid w:val="00711BE3"/>
    <w:rsid w:val="00712387"/>
    <w:rsid w:val="0071244E"/>
    <w:rsid w:val="00715302"/>
    <w:rsid w:val="00720A24"/>
    <w:rsid w:val="007233DF"/>
    <w:rsid w:val="007276AE"/>
    <w:rsid w:val="00732386"/>
    <w:rsid w:val="007334CA"/>
    <w:rsid w:val="00733A34"/>
    <w:rsid w:val="007447F3"/>
    <w:rsid w:val="00744DB3"/>
    <w:rsid w:val="0075499F"/>
    <w:rsid w:val="00755682"/>
    <w:rsid w:val="0076247D"/>
    <w:rsid w:val="0076451F"/>
    <w:rsid w:val="00765C93"/>
    <w:rsid w:val="007661C8"/>
    <w:rsid w:val="0077098D"/>
    <w:rsid w:val="00772B2D"/>
    <w:rsid w:val="007801C9"/>
    <w:rsid w:val="00780223"/>
    <w:rsid w:val="00782ED4"/>
    <w:rsid w:val="0079157C"/>
    <w:rsid w:val="007931FA"/>
    <w:rsid w:val="0079794E"/>
    <w:rsid w:val="00797C2E"/>
    <w:rsid w:val="007A3BFC"/>
    <w:rsid w:val="007A7BBA"/>
    <w:rsid w:val="007B0C50"/>
    <w:rsid w:val="007B31D5"/>
    <w:rsid w:val="007B4633"/>
    <w:rsid w:val="007B599E"/>
    <w:rsid w:val="007C1A43"/>
    <w:rsid w:val="007C29DF"/>
    <w:rsid w:val="007C3648"/>
    <w:rsid w:val="007D6567"/>
    <w:rsid w:val="007E0E85"/>
    <w:rsid w:val="007E1DC6"/>
    <w:rsid w:val="007E2497"/>
    <w:rsid w:val="007E77B4"/>
    <w:rsid w:val="007F7356"/>
    <w:rsid w:val="00803F0C"/>
    <w:rsid w:val="008043E8"/>
    <w:rsid w:val="0080483A"/>
    <w:rsid w:val="00807FFB"/>
    <w:rsid w:val="00813288"/>
    <w:rsid w:val="008168FC"/>
    <w:rsid w:val="00824120"/>
    <w:rsid w:val="00830996"/>
    <w:rsid w:val="00832D47"/>
    <w:rsid w:val="00833FD3"/>
    <w:rsid w:val="008345F1"/>
    <w:rsid w:val="00834FE1"/>
    <w:rsid w:val="008357FD"/>
    <w:rsid w:val="00842B10"/>
    <w:rsid w:val="00850294"/>
    <w:rsid w:val="008547CA"/>
    <w:rsid w:val="00857560"/>
    <w:rsid w:val="0086100F"/>
    <w:rsid w:val="00862E79"/>
    <w:rsid w:val="00865037"/>
    <w:rsid w:val="00865278"/>
    <w:rsid w:val="00865B07"/>
    <w:rsid w:val="008660E6"/>
    <w:rsid w:val="008667EA"/>
    <w:rsid w:val="00867577"/>
    <w:rsid w:val="008750D6"/>
    <w:rsid w:val="0087637F"/>
    <w:rsid w:val="00882F81"/>
    <w:rsid w:val="00886417"/>
    <w:rsid w:val="00886B18"/>
    <w:rsid w:val="008900CC"/>
    <w:rsid w:val="008904B9"/>
    <w:rsid w:val="00892AD5"/>
    <w:rsid w:val="008948A2"/>
    <w:rsid w:val="00894C7E"/>
    <w:rsid w:val="00896F11"/>
    <w:rsid w:val="008A1512"/>
    <w:rsid w:val="008A31BC"/>
    <w:rsid w:val="008A4308"/>
    <w:rsid w:val="008A73CD"/>
    <w:rsid w:val="008B1338"/>
    <w:rsid w:val="008B301B"/>
    <w:rsid w:val="008C770D"/>
    <w:rsid w:val="008C78C1"/>
    <w:rsid w:val="008D1ADD"/>
    <w:rsid w:val="008D32B9"/>
    <w:rsid w:val="008D433B"/>
    <w:rsid w:val="008E566E"/>
    <w:rsid w:val="008F0D9A"/>
    <w:rsid w:val="008F3F14"/>
    <w:rsid w:val="0090161A"/>
    <w:rsid w:val="00901EB6"/>
    <w:rsid w:val="00902630"/>
    <w:rsid w:val="009045CF"/>
    <w:rsid w:val="00904C62"/>
    <w:rsid w:val="00905D7E"/>
    <w:rsid w:val="009115BF"/>
    <w:rsid w:val="00912BAD"/>
    <w:rsid w:val="00921221"/>
    <w:rsid w:val="00924DAC"/>
    <w:rsid w:val="00927058"/>
    <w:rsid w:val="009369DF"/>
    <w:rsid w:val="00943D8A"/>
    <w:rsid w:val="009450CE"/>
    <w:rsid w:val="00947179"/>
    <w:rsid w:val="009507CA"/>
    <w:rsid w:val="0095164B"/>
    <w:rsid w:val="00952A62"/>
    <w:rsid w:val="00954062"/>
    <w:rsid w:val="00954090"/>
    <w:rsid w:val="009573E7"/>
    <w:rsid w:val="00962E47"/>
    <w:rsid w:val="009635B9"/>
    <w:rsid w:val="00963D67"/>
    <w:rsid w:val="00963E05"/>
    <w:rsid w:val="0096466E"/>
    <w:rsid w:val="00967644"/>
    <w:rsid w:val="009676F3"/>
    <w:rsid w:val="00967D54"/>
    <w:rsid w:val="00972775"/>
    <w:rsid w:val="00972C3E"/>
    <w:rsid w:val="00975179"/>
    <w:rsid w:val="009842A8"/>
    <w:rsid w:val="00985B3E"/>
    <w:rsid w:val="00985D0D"/>
    <w:rsid w:val="009860EA"/>
    <w:rsid w:val="00986905"/>
    <w:rsid w:val="00991573"/>
    <w:rsid w:val="00992415"/>
    <w:rsid w:val="009947D4"/>
    <w:rsid w:val="009952D0"/>
    <w:rsid w:val="00996483"/>
    <w:rsid w:val="00996F5A"/>
    <w:rsid w:val="0099722B"/>
    <w:rsid w:val="00997A4C"/>
    <w:rsid w:val="009A014E"/>
    <w:rsid w:val="009A0A3E"/>
    <w:rsid w:val="009A2AB3"/>
    <w:rsid w:val="009B041A"/>
    <w:rsid w:val="009B4785"/>
    <w:rsid w:val="009B490D"/>
    <w:rsid w:val="009B50B0"/>
    <w:rsid w:val="009B6DA8"/>
    <w:rsid w:val="009C5184"/>
    <w:rsid w:val="009C6A05"/>
    <w:rsid w:val="009C7C86"/>
    <w:rsid w:val="009D1714"/>
    <w:rsid w:val="009D1938"/>
    <w:rsid w:val="009D2FF7"/>
    <w:rsid w:val="009E7884"/>
    <w:rsid w:val="009E788A"/>
    <w:rsid w:val="009F0E08"/>
    <w:rsid w:val="009F1A72"/>
    <w:rsid w:val="00A060F1"/>
    <w:rsid w:val="00A067EA"/>
    <w:rsid w:val="00A12061"/>
    <w:rsid w:val="00A15016"/>
    <w:rsid w:val="00A1763D"/>
    <w:rsid w:val="00A17CEC"/>
    <w:rsid w:val="00A20DCE"/>
    <w:rsid w:val="00A23119"/>
    <w:rsid w:val="00A27EF0"/>
    <w:rsid w:val="00A314EB"/>
    <w:rsid w:val="00A50B20"/>
    <w:rsid w:val="00A51390"/>
    <w:rsid w:val="00A60D13"/>
    <w:rsid w:val="00A633C5"/>
    <w:rsid w:val="00A6557A"/>
    <w:rsid w:val="00A66470"/>
    <w:rsid w:val="00A7114D"/>
    <w:rsid w:val="00A72745"/>
    <w:rsid w:val="00A76EFC"/>
    <w:rsid w:val="00A8137B"/>
    <w:rsid w:val="00A91010"/>
    <w:rsid w:val="00A972EA"/>
    <w:rsid w:val="00A97F29"/>
    <w:rsid w:val="00AA702E"/>
    <w:rsid w:val="00AB0964"/>
    <w:rsid w:val="00AB0B8E"/>
    <w:rsid w:val="00AB28CB"/>
    <w:rsid w:val="00AB5011"/>
    <w:rsid w:val="00AC45FD"/>
    <w:rsid w:val="00AC7368"/>
    <w:rsid w:val="00AD11BA"/>
    <w:rsid w:val="00AD16B9"/>
    <w:rsid w:val="00AD341A"/>
    <w:rsid w:val="00AD7349"/>
    <w:rsid w:val="00AE13F3"/>
    <w:rsid w:val="00AE27A7"/>
    <w:rsid w:val="00AE377D"/>
    <w:rsid w:val="00AE3EA6"/>
    <w:rsid w:val="00AF1B16"/>
    <w:rsid w:val="00B14620"/>
    <w:rsid w:val="00B17FBD"/>
    <w:rsid w:val="00B2164F"/>
    <w:rsid w:val="00B237A4"/>
    <w:rsid w:val="00B315A6"/>
    <w:rsid w:val="00B31813"/>
    <w:rsid w:val="00B32FC5"/>
    <w:rsid w:val="00B33365"/>
    <w:rsid w:val="00B447FC"/>
    <w:rsid w:val="00B46712"/>
    <w:rsid w:val="00B469E7"/>
    <w:rsid w:val="00B535A1"/>
    <w:rsid w:val="00B564C7"/>
    <w:rsid w:val="00B57B36"/>
    <w:rsid w:val="00B61791"/>
    <w:rsid w:val="00B67EE3"/>
    <w:rsid w:val="00B7002E"/>
    <w:rsid w:val="00B71572"/>
    <w:rsid w:val="00B72A82"/>
    <w:rsid w:val="00B739F6"/>
    <w:rsid w:val="00B75FFA"/>
    <w:rsid w:val="00B76A65"/>
    <w:rsid w:val="00B76B94"/>
    <w:rsid w:val="00B77983"/>
    <w:rsid w:val="00B8686D"/>
    <w:rsid w:val="00B904DC"/>
    <w:rsid w:val="00B90FC2"/>
    <w:rsid w:val="00B91AF1"/>
    <w:rsid w:val="00B922F4"/>
    <w:rsid w:val="00B94478"/>
    <w:rsid w:val="00BA14C4"/>
    <w:rsid w:val="00BA25AC"/>
    <w:rsid w:val="00BB48AA"/>
    <w:rsid w:val="00BC154A"/>
    <w:rsid w:val="00BC212A"/>
    <w:rsid w:val="00BC30C9"/>
    <w:rsid w:val="00BC4042"/>
    <w:rsid w:val="00BC56E1"/>
    <w:rsid w:val="00BD1C9A"/>
    <w:rsid w:val="00BD798D"/>
    <w:rsid w:val="00BE3E58"/>
    <w:rsid w:val="00BF0537"/>
    <w:rsid w:val="00BF085C"/>
    <w:rsid w:val="00BF2614"/>
    <w:rsid w:val="00BF364C"/>
    <w:rsid w:val="00BF6CFB"/>
    <w:rsid w:val="00BF7DD7"/>
    <w:rsid w:val="00C01616"/>
    <w:rsid w:val="00C0162B"/>
    <w:rsid w:val="00C01A76"/>
    <w:rsid w:val="00C07976"/>
    <w:rsid w:val="00C113D2"/>
    <w:rsid w:val="00C11C13"/>
    <w:rsid w:val="00C12885"/>
    <w:rsid w:val="00C23D5A"/>
    <w:rsid w:val="00C26851"/>
    <w:rsid w:val="00C309A0"/>
    <w:rsid w:val="00C345B1"/>
    <w:rsid w:val="00C40126"/>
    <w:rsid w:val="00C40142"/>
    <w:rsid w:val="00C4121C"/>
    <w:rsid w:val="00C43E3D"/>
    <w:rsid w:val="00C54BC3"/>
    <w:rsid w:val="00C55D0E"/>
    <w:rsid w:val="00C57182"/>
    <w:rsid w:val="00C57863"/>
    <w:rsid w:val="00C655FD"/>
    <w:rsid w:val="00C76321"/>
    <w:rsid w:val="00C83196"/>
    <w:rsid w:val="00C870A8"/>
    <w:rsid w:val="00C90C72"/>
    <w:rsid w:val="00C916B4"/>
    <w:rsid w:val="00C93D9D"/>
    <w:rsid w:val="00C94434"/>
    <w:rsid w:val="00C96E6D"/>
    <w:rsid w:val="00CA0D75"/>
    <w:rsid w:val="00CA1C95"/>
    <w:rsid w:val="00CA4731"/>
    <w:rsid w:val="00CA5A9C"/>
    <w:rsid w:val="00CC0B61"/>
    <w:rsid w:val="00CC1227"/>
    <w:rsid w:val="00CD0832"/>
    <w:rsid w:val="00CD3517"/>
    <w:rsid w:val="00CD5A00"/>
    <w:rsid w:val="00CD5FE2"/>
    <w:rsid w:val="00CD7EC6"/>
    <w:rsid w:val="00CE1734"/>
    <w:rsid w:val="00CE23ED"/>
    <w:rsid w:val="00CE7BA1"/>
    <w:rsid w:val="00CE7C68"/>
    <w:rsid w:val="00CF2664"/>
    <w:rsid w:val="00CF33D7"/>
    <w:rsid w:val="00CF4E44"/>
    <w:rsid w:val="00CF5562"/>
    <w:rsid w:val="00CF5FD2"/>
    <w:rsid w:val="00CF6B23"/>
    <w:rsid w:val="00D01D3D"/>
    <w:rsid w:val="00D02B4C"/>
    <w:rsid w:val="00D040C4"/>
    <w:rsid w:val="00D0466D"/>
    <w:rsid w:val="00D1100E"/>
    <w:rsid w:val="00D231EC"/>
    <w:rsid w:val="00D24AF4"/>
    <w:rsid w:val="00D256AB"/>
    <w:rsid w:val="00D37CD7"/>
    <w:rsid w:val="00D40D4E"/>
    <w:rsid w:val="00D41230"/>
    <w:rsid w:val="00D41B9A"/>
    <w:rsid w:val="00D453C6"/>
    <w:rsid w:val="00D50D6C"/>
    <w:rsid w:val="00D54FFB"/>
    <w:rsid w:val="00D57C84"/>
    <w:rsid w:val="00D60124"/>
    <w:rsid w:val="00D6057D"/>
    <w:rsid w:val="00D64CAD"/>
    <w:rsid w:val="00D6698D"/>
    <w:rsid w:val="00D73E34"/>
    <w:rsid w:val="00D84576"/>
    <w:rsid w:val="00D85CD0"/>
    <w:rsid w:val="00D9046C"/>
    <w:rsid w:val="00D92F5C"/>
    <w:rsid w:val="00D94F10"/>
    <w:rsid w:val="00D95616"/>
    <w:rsid w:val="00DA1399"/>
    <w:rsid w:val="00DA168B"/>
    <w:rsid w:val="00DA1F6B"/>
    <w:rsid w:val="00DA235E"/>
    <w:rsid w:val="00DA24C6"/>
    <w:rsid w:val="00DA4D7B"/>
    <w:rsid w:val="00DA4DE2"/>
    <w:rsid w:val="00DB0E24"/>
    <w:rsid w:val="00DB37D2"/>
    <w:rsid w:val="00DC25C8"/>
    <w:rsid w:val="00DD744A"/>
    <w:rsid w:val="00DE264A"/>
    <w:rsid w:val="00DE4E70"/>
    <w:rsid w:val="00DF625B"/>
    <w:rsid w:val="00DF6F0B"/>
    <w:rsid w:val="00E02D18"/>
    <w:rsid w:val="00E041E7"/>
    <w:rsid w:val="00E05633"/>
    <w:rsid w:val="00E07E25"/>
    <w:rsid w:val="00E10642"/>
    <w:rsid w:val="00E23CA1"/>
    <w:rsid w:val="00E23F3C"/>
    <w:rsid w:val="00E32DA0"/>
    <w:rsid w:val="00E3554E"/>
    <w:rsid w:val="00E409A8"/>
    <w:rsid w:val="00E41D7C"/>
    <w:rsid w:val="00E43F03"/>
    <w:rsid w:val="00E45CB6"/>
    <w:rsid w:val="00E471E9"/>
    <w:rsid w:val="00E50C12"/>
    <w:rsid w:val="00E53D9F"/>
    <w:rsid w:val="00E55572"/>
    <w:rsid w:val="00E563BE"/>
    <w:rsid w:val="00E602F4"/>
    <w:rsid w:val="00E62A23"/>
    <w:rsid w:val="00E64928"/>
    <w:rsid w:val="00E65B91"/>
    <w:rsid w:val="00E7209D"/>
    <w:rsid w:val="00E77223"/>
    <w:rsid w:val="00E84915"/>
    <w:rsid w:val="00E8528B"/>
    <w:rsid w:val="00E85B94"/>
    <w:rsid w:val="00E92172"/>
    <w:rsid w:val="00E96854"/>
    <w:rsid w:val="00E978D0"/>
    <w:rsid w:val="00EA4613"/>
    <w:rsid w:val="00EA7F91"/>
    <w:rsid w:val="00EB1523"/>
    <w:rsid w:val="00EC0E49"/>
    <w:rsid w:val="00EC4F4C"/>
    <w:rsid w:val="00EC6D24"/>
    <w:rsid w:val="00ED06A1"/>
    <w:rsid w:val="00ED3880"/>
    <w:rsid w:val="00ED6D93"/>
    <w:rsid w:val="00ED7086"/>
    <w:rsid w:val="00EE0131"/>
    <w:rsid w:val="00EE20C8"/>
    <w:rsid w:val="00EF13EC"/>
    <w:rsid w:val="00EF1AE6"/>
    <w:rsid w:val="00EF555D"/>
    <w:rsid w:val="00F00864"/>
    <w:rsid w:val="00F01145"/>
    <w:rsid w:val="00F01626"/>
    <w:rsid w:val="00F04D58"/>
    <w:rsid w:val="00F07B3F"/>
    <w:rsid w:val="00F13BEC"/>
    <w:rsid w:val="00F151C4"/>
    <w:rsid w:val="00F155B2"/>
    <w:rsid w:val="00F26C4A"/>
    <w:rsid w:val="00F30C64"/>
    <w:rsid w:val="00F32CDB"/>
    <w:rsid w:val="00F33B6D"/>
    <w:rsid w:val="00F41FCE"/>
    <w:rsid w:val="00F45AB3"/>
    <w:rsid w:val="00F45BE5"/>
    <w:rsid w:val="00F62ACA"/>
    <w:rsid w:val="00F63A70"/>
    <w:rsid w:val="00F65768"/>
    <w:rsid w:val="00F675EE"/>
    <w:rsid w:val="00F722B9"/>
    <w:rsid w:val="00F72997"/>
    <w:rsid w:val="00F83E70"/>
    <w:rsid w:val="00F84FA4"/>
    <w:rsid w:val="00F97737"/>
    <w:rsid w:val="00FA21D0"/>
    <w:rsid w:val="00FA5F5F"/>
    <w:rsid w:val="00FB0372"/>
    <w:rsid w:val="00FB3142"/>
    <w:rsid w:val="00FB34C1"/>
    <w:rsid w:val="00FB730C"/>
    <w:rsid w:val="00FC2695"/>
    <w:rsid w:val="00FC3E03"/>
    <w:rsid w:val="00FC3FC1"/>
    <w:rsid w:val="00FD07B9"/>
    <w:rsid w:val="00FE53BA"/>
    <w:rsid w:val="00FE6BAD"/>
    <w:rsid w:val="00FF1557"/>
    <w:rsid w:val="00FF2F50"/>
    <w:rsid w:val="00FF5C2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0834A"/>
  <w15:docId w15:val="{2BCCA6DF-AEFA-442C-9DC2-42F9F5D0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651B7F"/>
    <w:rPr>
      <w:color w:val="605E5C"/>
      <w:shd w:val="clear" w:color="auto" w:fill="E1DFDD"/>
    </w:rPr>
  </w:style>
  <w:style w:type="paragraph" w:styleId="PargrafodaLista">
    <w:name w:val="List Paragraph"/>
    <w:basedOn w:val="Normal"/>
    <w:uiPriority w:val="34"/>
    <w:qFormat/>
    <w:rsid w:val="000B110A"/>
    <w:pPr>
      <w:tabs>
        <w:tab w:val="clear" w:pos="7100"/>
      </w:tabs>
      <w:ind w:left="720"/>
      <w:contextualSpacing/>
    </w:pPr>
  </w:style>
  <w:style w:type="character" w:customStyle="1" w:styleId="MenoPendente2">
    <w:name w:val="Menção Pendente2"/>
    <w:basedOn w:val="Fontepargpadro"/>
    <w:uiPriority w:val="99"/>
    <w:semiHidden/>
    <w:unhideWhenUsed/>
    <w:rsid w:val="00691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751">
      <w:bodyDiv w:val="1"/>
      <w:marLeft w:val="0"/>
      <w:marRight w:val="0"/>
      <w:marTop w:val="0"/>
      <w:marBottom w:val="0"/>
      <w:divBdr>
        <w:top w:val="none" w:sz="0" w:space="0" w:color="auto"/>
        <w:left w:val="none" w:sz="0" w:space="0" w:color="auto"/>
        <w:bottom w:val="none" w:sz="0" w:space="0" w:color="auto"/>
        <w:right w:val="none" w:sz="0" w:space="0" w:color="auto"/>
      </w:divBdr>
    </w:div>
    <w:div w:id="95252741">
      <w:bodyDiv w:val="1"/>
      <w:marLeft w:val="0"/>
      <w:marRight w:val="0"/>
      <w:marTop w:val="0"/>
      <w:marBottom w:val="0"/>
      <w:divBdr>
        <w:top w:val="none" w:sz="0" w:space="0" w:color="auto"/>
        <w:left w:val="none" w:sz="0" w:space="0" w:color="auto"/>
        <w:bottom w:val="none" w:sz="0" w:space="0" w:color="auto"/>
        <w:right w:val="none" w:sz="0" w:space="0" w:color="auto"/>
      </w:divBdr>
    </w:div>
    <w:div w:id="186912973">
      <w:bodyDiv w:val="1"/>
      <w:marLeft w:val="0"/>
      <w:marRight w:val="0"/>
      <w:marTop w:val="0"/>
      <w:marBottom w:val="0"/>
      <w:divBdr>
        <w:top w:val="none" w:sz="0" w:space="0" w:color="auto"/>
        <w:left w:val="none" w:sz="0" w:space="0" w:color="auto"/>
        <w:bottom w:val="none" w:sz="0" w:space="0" w:color="auto"/>
        <w:right w:val="none" w:sz="0" w:space="0" w:color="auto"/>
      </w:divBdr>
      <w:divsChild>
        <w:div w:id="902175510">
          <w:marLeft w:val="0"/>
          <w:marRight w:val="0"/>
          <w:marTop w:val="0"/>
          <w:marBottom w:val="0"/>
          <w:divBdr>
            <w:top w:val="none" w:sz="0" w:space="0" w:color="auto"/>
            <w:left w:val="none" w:sz="0" w:space="0" w:color="auto"/>
            <w:bottom w:val="none" w:sz="0" w:space="0" w:color="auto"/>
            <w:right w:val="none" w:sz="0" w:space="0" w:color="auto"/>
          </w:divBdr>
          <w:divsChild>
            <w:div w:id="1955483351">
              <w:marLeft w:val="0"/>
              <w:marRight w:val="0"/>
              <w:marTop w:val="0"/>
              <w:marBottom w:val="0"/>
              <w:divBdr>
                <w:top w:val="none" w:sz="0" w:space="0" w:color="auto"/>
                <w:left w:val="none" w:sz="0" w:space="0" w:color="auto"/>
                <w:bottom w:val="none" w:sz="0" w:space="0" w:color="auto"/>
                <w:right w:val="none" w:sz="0" w:space="0" w:color="auto"/>
              </w:divBdr>
              <w:divsChild>
                <w:div w:id="306203343">
                  <w:marLeft w:val="0"/>
                  <w:marRight w:val="0"/>
                  <w:marTop w:val="0"/>
                  <w:marBottom w:val="0"/>
                  <w:divBdr>
                    <w:top w:val="none" w:sz="0" w:space="0" w:color="auto"/>
                    <w:left w:val="none" w:sz="0" w:space="0" w:color="auto"/>
                    <w:bottom w:val="none" w:sz="0" w:space="0" w:color="auto"/>
                    <w:right w:val="none" w:sz="0" w:space="0" w:color="auto"/>
                  </w:divBdr>
                  <w:divsChild>
                    <w:div w:id="1345941672">
                      <w:marLeft w:val="0"/>
                      <w:marRight w:val="0"/>
                      <w:marTop w:val="0"/>
                      <w:marBottom w:val="0"/>
                      <w:divBdr>
                        <w:top w:val="none" w:sz="0" w:space="0" w:color="auto"/>
                        <w:left w:val="none" w:sz="0" w:space="0" w:color="auto"/>
                        <w:bottom w:val="none" w:sz="0" w:space="0" w:color="auto"/>
                        <w:right w:val="none" w:sz="0" w:space="0" w:color="auto"/>
                      </w:divBdr>
                      <w:divsChild>
                        <w:div w:id="1439372966">
                          <w:marLeft w:val="0"/>
                          <w:marRight w:val="0"/>
                          <w:marTop w:val="0"/>
                          <w:marBottom w:val="0"/>
                          <w:divBdr>
                            <w:top w:val="none" w:sz="0" w:space="0" w:color="auto"/>
                            <w:left w:val="none" w:sz="0" w:space="0" w:color="auto"/>
                            <w:bottom w:val="none" w:sz="0" w:space="0" w:color="auto"/>
                            <w:right w:val="none" w:sz="0" w:space="0" w:color="auto"/>
                          </w:divBdr>
                        </w:div>
                        <w:div w:id="828905949">
                          <w:marLeft w:val="0"/>
                          <w:marRight w:val="0"/>
                          <w:marTop w:val="0"/>
                          <w:marBottom w:val="0"/>
                          <w:divBdr>
                            <w:top w:val="none" w:sz="0" w:space="0" w:color="auto"/>
                            <w:left w:val="none" w:sz="0" w:space="0" w:color="auto"/>
                            <w:bottom w:val="none" w:sz="0" w:space="0" w:color="auto"/>
                            <w:right w:val="none" w:sz="0" w:space="0" w:color="auto"/>
                          </w:divBdr>
                          <w:divsChild>
                            <w:div w:id="1748451824">
                              <w:marLeft w:val="0"/>
                              <w:marRight w:val="300"/>
                              <w:marTop w:val="180"/>
                              <w:marBottom w:val="0"/>
                              <w:divBdr>
                                <w:top w:val="none" w:sz="0" w:space="0" w:color="auto"/>
                                <w:left w:val="none" w:sz="0" w:space="0" w:color="auto"/>
                                <w:bottom w:val="none" w:sz="0" w:space="0" w:color="auto"/>
                                <w:right w:val="none" w:sz="0" w:space="0" w:color="auto"/>
                              </w:divBdr>
                              <w:divsChild>
                                <w:div w:id="15141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373301">
          <w:marLeft w:val="0"/>
          <w:marRight w:val="0"/>
          <w:marTop w:val="0"/>
          <w:marBottom w:val="0"/>
          <w:divBdr>
            <w:top w:val="none" w:sz="0" w:space="0" w:color="auto"/>
            <w:left w:val="none" w:sz="0" w:space="0" w:color="auto"/>
            <w:bottom w:val="none" w:sz="0" w:space="0" w:color="auto"/>
            <w:right w:val="none" w:sz="0" w:space="0" w:color="auto"/>
          </w:divBdr>
          <w:divsChild>
            <w:div w:id="2005811768">
              <w:marLeft w:val="0"/>
              <w:marRight w:val="0"/>
              <w:marTop w:val="0"/>
              <w:marBottom w:val="0"/>
              <w:divBdr>
                <w:top w:val="none" w:sz="0" w:space="0" w:color="auto"/>
                <w:left w:val="none" w:sz="0" w:space="0" w:color="auto"/>
                <w:bottom w:val="none" w:sz="0" w:space="0" w:color="auto"/>
                <w:right w:val="none" w:sz="0" w:space="0" w:color="auto"/>
              </w:divBdr>
              <w:divsChild>
                <w:div w:id="1514877298">
                  <w:marLeft w:val="0"/>
                  <w:marRight w:val="0"/>
                  <w:marTop w:val="0"/>
                  <w:marBottom w:val="0"/>
                  <w:divBdr>
                    <w:top w:val="none" w:sz="0" w:space="0" w:color="auto"/>
                    <w:left w:val="none" w:sz="0" w:space="0" w:color="auto"/>
                    <w:bottom w:val="none" w:sz="0" w:space="0" w:color="auto"/>
                    <w:right w:val="none" w:sz="0" w:space="0" w:color="auto"/>
                  </w:divBdr>
                  <w:divsChild>
                    <w:div w:id="971789413">
                      <w:marLeft w:val="0"/>
                      <w:marRight w:val="0"/>
                      <w:marTop w:val="0"/>
                      <w:marBottom w:val="0"/>
                      <w:divBdr>
                        <w:top w:val="none" w:sz="0" w:space="0" w:color="auto"/>
                        <w:left w:val="none" w:sz="0" w:space="0" w:color="auto"/>
                        <w:bottom w:val="none" w:sz="0" w:space="0" w:color="auto"/>
                        <w:right w:val="none" w:sz="0" w:space="0" w:color="auto"/>
                      </w:divBdr>
                      <w:divsChild>
                        <w:div w:id="9314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42339">
      <w:bodyDiv w:val="1"/>
      <w:marLeft w:val="0"/>
      <w:marRight w:val="0"/>
      <w:marTop w:val="0"/>
      <w:marBottom w:val="0"/>
      <w:divBdr>
        <w:top w:val="none" w:sz="0" w:space="0" w:color="auto"/>
        <w:left w:val="none" w:sz="0" w:space="0" w:color="auto"/>
        <w:bottom w:val="none" w:sz="0" w:space="0" w:color="auto"/>
        <w:right w:val="none" w:sz="0" w:space="0" w:color="auto"/>
      </w:divBdr>
      <w:divsChild>
        <w:div w:id="1315253607">
          <w:marLeft w:val="0"/>
          <w:marRight w:val="0"/>
          <w:marTop w:val="0"/>
          <w:marBottom w:val="0"/>
          <w:divBdr>
            <w:top w:val="none" w:sz="0" w:space="0" w:color="auto"/>
            <w:left w:val="none" w:sz="0" w:space="0" w:color="auto"/>
            <w:bottom w:val="none" w:sz="0" w:space="0" w:color="auto"/>
            <w:right w:val="none" w:sz="0" w:space="0" w:color="auto"/>
          </w:divBdr>
          <w:divsChild>
            <w:div w:id="2004581440">
              <w:marLeft w:val="0"/>
              <w:marRight w:val="0"/>
              <w:marTop w:val="0"/>
              <w:marBottom w:val="0"/>
              <w:divBdr>
                <w:top w:val="none" w:sz="0" w:space="0" w:color="auto"/>
                <w:left w:val="none" w:sz="0" w:space="0" w:color="auto"/>
                <w:bottom w:val="none" w:sz="0" w:space="0" w:color="auto"/>
                <w:right w:val="none" w:sz="0" w:space="0" w:color="auto"/>
              </w:divBdr>
              <w:divsChild>
                <w:div w:id="1509834776">
                  <w:marLeft w:val="0"/>
                  <w:marRight w:val="0"/>
                  <w:marTop w:val="0"/>
                  <w:marBottom w:val="0"/>
                  <w:divBdr>
                    <w:top w:val="none" w:sz="0" w:space="0" w:color="auto"/>
                    <w:left w:val="none" w:sz="0" w:space="0" w:color="auto"/>
                    <w:bottom w:val="none" w:sz="0" w:space="0" w:color="auto"/>
                    <w:right w:val="none" w:sz="0" w:space="0" w:color="auto"/>
                  </w:divBdr>
                  <w:divsChild>
                    <w:div w:id="1171604660">
                      <w:marLeft w:val="0"/>
                      <w:marRight w:val="0"/>
                      <w:marTop w:val="0"/>
                      <w:marBottom w:val="0"/>
                      <w:divBdr>
                        <w:top w:val="none" w:sz="0" w:space="0" w:color="auto"/>
                        <w:left w:val="none" w:sz="0" w:space="0" w:color="auto"/>
                        <w:bottom w:val="none" w:sz="0" w:space="0" w:color="auto"/>
                        <w:right w:val="none" w:sz="0" w:space="0" w:color="auto"/>
                      </w:divBdr>
                      <w:divsChild>
                        <w:div w:id="1029796902">
                          <w:marLeft w:val="0"/>
                          <w:marRight w:val="0"/>
                          <w:marTop w:val="0"/>
                          <w:marBottom w:val="0"/>
                          <w:divBdr>
                            <w:top w:val="none" w:sz="0" w:space="0" w:color="auto"/>
                            <w:left w:val="none" w:sz="0" w:space="0" w:color="auto"/>
                            <w:bottom w:val="none" w:sz="0" w:space="0" w:color="auto"/>
                            <w:right w:val="none" w:sz="0" w:space="0" w:color="auto"/>
                          </w:divBdr>
                        </w:div>
                        <w:div w:id="60102055">
                          <w:marLeft w:val="0"/>
                          <w:marRight w:val="0"/>
                          <w:marTop w:val="0"/>
                          <w:marBottom w:val="0"/>
                          <w:divBdr>
                            <w:top w:val="none" w:sz="0" w:space="0" w:color="auto"/>
                            <w:left w:val="none" w:sz="0" w:space="0" w:color="auto"/>
                            <w:bottom w:val="none" w:sz="0" w:space="0" w:color="auto"/>
                            <w:right w:val="none" w:sz="0" w:space="0" w:color="auto"/>
                          </w:divBdr>
                          <w:divsChild>
                            <w:div w:id="1991521517">
                              <w:marLeft w:val="0"/>
                              <w:marRight w:val="300"/>
                              <w:marTop w:val="180"/>
                              <w:marBottom w:val="0"/>
                              <w:divBdr>
                                <w:top w:val="none" w:sz="0" w:space="0" w:color="auto"/>
                                <w:left w:val="none" w:sz="0" w:space="0" w:color="auto"/>
                                <w:bottom w:val="none" w:sz="0" w:space="0" w:color="auto"/>
                                <w:right w:val="none" w:sz="0" w:space="0" w:color="auto"/>
                              </w:divBdr>
                              <w:divsChild>
                                <w:div w:id="19840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756532">
          <w:marLeft w:val="0"/>
          <w:marRight w:val="0"/>
          <w:marTop w:val="0"/>
          <w:marBottom w:val="0"/>
          <w:divBdr>
            <w:top w:val="none" w:sz="0" w:space="0" w:color="auto"/>
            <w:left w:val="none" w:sz="0" w:space="0" w:color="auto"/>
            <w:bottom w:val="none" w:sz="0" w:space="0" w:color="auto"/>
            <w:right w:val="none" w:sz="0" w:space="0" w:color="auto"/>
          </w:divBdr>
          <w:divsChild>
            <w:div w:id="641275962">
              <w:marLeft w:val="0"/>
              <w:marRight w:val="0"/>
              <w:marTop w:val="0"/>
              <w:marBottom w:val="0"/>
              <w:divBdr>
                <w:top w:val="none" w:sz="0" w:space="0" w:color="auto"/>
                <w:left w:val="none" w:sz="0" w:space="0" w:color="auto"/>
                <w:bottom w:val="none" w:sz="0" w:space="0" w:color="auto"/>
                <w:right w:val="none" w:sz="0" w:space="0" w:color="auto"/>
              </w:divBdr>
              <w:divsChild>
                <w:div w:id="952710345">
                  <w:marLeft w:val="0"/>
                  <w:marRight w:val="0"/>
                  <w:marTop w:val="0"/>
                  <w:marBottom w:val="0"/>
                  <w:divBdr>
                    <w:top w:val="none" w:sz="0" w:space="0" w:color="auto"/>
                    <w:left w:val="none" w:sz="0" w:space="0" w:color="auto"/>
                    <w:bottom w:val="none" w:sz="0" w:space="0" w:color="auto"/>
                    <w:right w:val="none" w:sz="0" w:space="0" w:color="auto"/>
                  </w:divBdr>
                  <w:divsChild>
                    <w:div w:id="1927690832">
                      <w:marLeft w:val="0"/>
                      <w:marRight w:val="0"/>
                      <w:marTop w:val="0"/>
                      <w:marBottom w:val="0"/>
                      <w:divBdr>
                        <w:top w:val="none" w:sz="0" w:space="0" w:color="auto"/>
                        <w:left w:val="none" w:sz="0" w:space="0" w:color="auto"/>
                        <w:bottom w:val="none" w:sz="0" w:space="0" w:color="auto"/>
                        <w:right w:val="none" w:sz="0" w:space="0" w:color="auto"/>
                      </w:divBdr>
                      <w:divsChild>
                        <w:div w:id="15773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19997">
      <w:bodyDiv w:val="1"/>
      <w:marLeft w:val="0"/>
      <w:marRight w:val="0"/>
      <w:marTop w:val="0"/>
      <w:marBottom w:val="0"/>
      <w:divBdr>
        <w:top w:val="none" w:sz="0" w:space="0" w:color="auto"/>
        <w:left w:val="none" w:sz="0" w:space="0" w:color="auto"/>
        <w:bottom w:val="none" w:sz="0" w:space="0" w:color="auto"/>
        <w:right w:val="none" w:sz="0" w:space="0" w:color="auto"/>
      </w:divBdr>
    </w:div>
    <w:div w:id="7572900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0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82936">
      <w:bodyDiv w:val="1"/>
      <w:marLeft w:val="0"/>
      <w:marRight w:val="0"/>
      <w:marTop w:val="0"/>
      <w:marBottom w:val="0"/>
      <w:divBdr>
        <w:top w:val="none" w:sz="0" w:space="0" w:color="auto"/>
        <w:left w:val="none" w:sz="0" w:space="0" w:color="auto"/>
        <w:bottom w:val="none" w:sz="0" w:space="0" w:color="auto"/>
        <w:right w:val="none" w:sz="0" w:space="0" w:color="auto"/>
      </w:divBdr>
    </w:div>
    <w:div w:id="882641728">
      <w:bodyDiv w:val="1"/>
      <w:marLeft w:val="0"/>
      <w:marRight w:val="0"/>
      <w:marTop w:val="0"/>
      <w:marBottom w:val="0"/>
      <w:divBdr>
        <w:top w:val="none" w:sz="0" w:space="0" w:color="auto"/>
        <w:left w:val="none" w:sz="0" w:space="0" w:color="auto"/>
        <w:bottom w:val="none" w:sz="0" w:space="0" w:color="auto"/>
        <w:right w:val="none" w:sz="0" w:space="0" w:color="auto"/>
      </w:divBdr>
    </w:div>
    <w:div w:id="88875985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001">
      <w:bodyDiv w:val="1"/>
      <w:marLeft w:val="0"/>
      <w:marRight w:val="0"/>
      <w:marTop w:val="0"/>
      <w:marBottom w:val="0"/>
      <w:divBdr>
        <w:top w:val="none" w:sz="0" w:space="0" w:color="auto"/>
        <w:left w:val="none" w:sz="0" w:space="0" w:color="auto"/>
        <w:bottom w:val="none" w:sz="0" w:space="0" w:color="auto"/>
        <w:right w:val="none" w:sz="0" w:space="0" w:color="auto"/>
      </w:divBdr>
    </w:div>
    <w:div w:id="1181898555">
      <w:bodyDiv w:val="1"/>
      <w:marLeft w:val="0"/>
      <w:marRight w:val="0"/>
      <w:marTop w:val="0"/>
      <w:marBottom w:val="0"/>
      <w:divBdr>
        <w:top w:val="none" w:sz="0" w:space="0" w:color="auto"/>
        <w:left w:val="none" w:sz="0" w:space="0" w:color="auto"/>
        <w:bottom w:val="none" w:sz="0" w:space="0" w:color="auto"/>
        <w:right w:val="none" w:sz="0" w:space="0" w:color="auto"/>
      </w:divBdr>
    </w:div>
    <w:div w:id="1213224865">
      <w:bodyDiv w:val="1"/>
      <w:marLeft w:val="0"/>
      <w:marRight w:val="0"/>
      <w:marTop w:val="0"/>
      <w:marBottom w:val="0"/>
      <w:divBdr>
        <w:top w:val="none" w:sz="0" w:space="0" w:color="auto"/>
        <w:left w:val="none" w:sz="0" w:space="0" w:color="auto"/>
        <w:bottom w:val="none" w:sz="0" w:space="0" w:color="auto"/>
        <w:right w:val="none" w:sz="0" w:space="0" w:color="auto"/>
      </w:divBdr>
    </w:div>
    <w:div w:id="1214269645">
      <w:bodyDiv w:val="1"/>
      <w:marLeft w:val="0"/>
      <w:marRight w:val="0"/>
      <w:marTop w:val="0"/>
      <w:marBottom w:val="0"/>
      <w:divBdr>
        <w:top w:val="none" w:sz="0" w:space="0" w:color="auto"/>
        <w:left w:val="none" w:sz="0" w:space="0" w:color="auto"/>
        <w:bottom w:val="none" w:sz="0" w:space="0" w:color="auto"/>
        <w:right w:val="none" w:sz="0" w:space="0" w:color="auto"/>
      </w:divBdr>
      <w:divsChild>
        <w:div w:id="1906794876">
          <w:marLeft w:val="0"/>
          <w:marRight w:val="0"/>
          <w:marTop w:val="0"/>
          <w:marBottom w:val="0"/>
          <w:divBdr>
            <w:top w:val="none" w:sz="0" w:space="0" w:color="auto"/>
            <w:left w:val="none" w:sz="0" w:space="0" w:color="auto"/>
            <w:bottom w:val="none" w:sz="0" w:space="0" w:color="auto"/>
            <w:right w:val="none" w:sz="0" w:space="0" w:color="auto"/>
          </w:divBdr>
          <w:divsChild>
            <w:div w:id="1118377898">
              <w:marLeft w:val="0"/>
              <w:marRight w:val="0"/>
              <w:marTop w:val="0"/>
              <w:marBottom w:val="0"/>
              <w:divBdr>
                <w:top w:val="none" w:sz="0" w:space="0" w:color="auto"/>
                <w:left w:val="none" w:sz="0" w:space="0" w:color="auto"/>
                <w:bottom w:val="none" w:sz="0" w:space="0" w:color="auto"/>
                <w:right w:val="none" w:sz="0" w:space="0" w:color="auto"/>
              </w:divBdr>
              <w:divsChild>
                <w:div w:id="1369258780">
                  <w:marLeft w:val="0"/>
                  <w:marRight w:val="0"/>
                  <w:marTop w:val="0"/>
                  <w:marBottom w:val="0"/>
                  <w:divBdr>
                    <w:top w:val="none" w:sz="0" w:space="0" w:color="auto"/>
                    <w:left w:val="none" w:sz="0" w:space="0" w:color="auto"/>
                    <w:bottom w:val="none" w:sz="0" w:space="0" w:color="auto"/>
                    <w:right w:val="none" w:sz="0" w:space="0" w:color="auto"/>
                  </w:divBdr>
                  <w:divsChild>
                    <w:div w:id="1475024823">
                      <w:marLeft w:val="0"/>
                      <w:marRight w:val="0"/>
                      <w:marTop w:val="0"/>
                      <w:marBottom w:val="0"/>
                      <w:divBdr>
                        <w:top w:val="none" w:sz="0" w:space="0" w:color="auto"/>
                        <w:left w:val="none" w:sz="0" w:space="0" w:color="auto"/>
                        <w:bottom w:val="none" w:sz="0" w:space="0" w:color="auto"/>
                        <w:right w:val="none" w:sz="0" w:space="0" w:color="auto"/>
                      </w:divBdr>
                      <w:divsChild>
                        <w:div w:id="1546256499">
                          <w:marLeft w:val="0"/>
                          <w:marRight w:val="0"/>
                          <w:marTop w:val="0"/>
                          <w:marBottom w:val="0"/>
                          <w:divBdr>
                            <w:top w:val="none" w:sz="0" w:space="0" w:color="auto"/>
                            <w:left w:val="none" w:sz="0" w:space="0" w:color="auto"/>
                            <w:bottom w:val="none" w:sz="0" w:space="0" w:color="auto"/>
                            <w:right w:val="none" w:sz="0" w:space="0" w:color="auto"/>
                          </w:divBdr>
                        </w:div>
                        <w:div w:id="1892837913">
                          <w:marLeft w:val="0"/>
                          <w:marRight w:val="0"/>
                          <w:marTop w:val="0"/>
                          <w:marBottom w:val="0"/>
                          <w:divBdr>
                            <w:top w:val="none" w:sz="0" w:space="0" w:color="auto"/>
                            <w:left w:val="none" w:sz="0" w:space="0" w:color="auto"/>
                            <w:bottom w:val="none" w:sz="0" w:space="0" w:color="auto"/>
                            <w:right w:val="none" w:sz="0" w:space="0" w:color="auto"/>
                          </w:divBdr>
                          <w:divsChild>
                            <w:div w:id="1937322314">
                              <w:marLeft w:val="0"/>
                              <w:marRight w:val="300"/>
                              <w:marTop w:val="180"/>
                              <w:marBottom w:val="0"/>
                              <w:divBdr>
                                <w:top w:val="none" w:sz="0" w:space="0" w:color="auto"/>
                                <w:left w:val="none" w:sz="0" w:space="0" w:color="auto"/>
                                <w:bottom w:val="none" w:sz="0" w:space="0" w:color="auto"/>
                                <w:right w:val="none" w:sz="0" w:space="0" w:color="auto"/>
                              </w:divBdr>
                              <w:divsChild>
                                <w:div w:id="8861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142607">
          <w:marLeft w:val="0"/>
          <w:marRight w:val="0"/>
          <w:marTop w:val="0"/>
          <w:marBottom w:val="0"/>
          <w:divBdr>
            <w:top w:val="none" w:sz="0" w:space="0" w:color="auto"/>
            <w:left w:val="none" w:sz="0" w:space="0" w:color="auto"/>
            <w:bottom w:val="none" w:sz="0" w:space="0" w:color="auto"/>
            <w:right w:val="none" w:sz="0" w:space="0" w:color="auto"/>
          </w:divBdr>
          <w:divsChild>
            <w:div w:id="1496416072">
              <w:marLeft w:val="0"/>
              <w:marRight w:val="0"/>
              <w:marTop w:val="0"/>
              <w:marBottom w:val="0"/>
              <w:divBdr>
                <w:top w:val="none" w:sz="0" w:space="0" w:color="auto"/>
                <w:left w:val="none" w:sz="0" w:space="0" w:color="auto"/>
                <w:bottom w:val="none" w:sz="0" w:space="0" w:color="auto"/>
                <w:right w:val="none" w:sz="0" w:space="0" w:color="auto"/>
              </w:divBdr>
              <w:divsChild>
                <w:div w:id="780152317">
                  <w:marLeft w:val="0"/>
                  <w:marRight w:val="0"/>
                  <w:marTop w:val="0"/>
                  <w:marBottom w:val="0"/>
                  <w:divBdr>
                    <w:top w:val="none" w:sz="0" w:space="0" w:color="auto"/>
                    <w:left w:val="none" w:sz="0" w:space="0" w:color="auto"/>
                    <w:bottom w:val="none" w:sz="0" w:space="0" w:color="auto"/>
                    <w:right w:val="none" w:sz="0" w:space="0" w:color="auto"/>
                  </w:divBdr>
                  <w:divsChild>
                    <w:div w:id="563031368">
                      <w:marLeft w:val="0"/>
                      <w:marRight w:val="0"/>
                      <w:marTop w:val="0"/>
                      <w:marBottom w:val="0"/>
                      <w:divBdr>
                        <w:top w:val="none" w:sz="0" w:space="0" w:color="auto"/>
                        <w:left w:val="none" w:sz="0" w:space="0" w:color="auto"/>
                        <w:bottom w:val="none" w:sz="0" w:space="0" w:color="auto"/>
                        <w:right w:val="none" w:sz="0" w:space="0" w:color="auto"/>
                      </w:divBdr>
                      <w:divsChild>
                        <w:div w:id="20935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3335">
      <w:bodyDiv w:val="1"/>
      <w:marLeft w:val="0"/>
      <w:marRight w:val="0"/>
      <w:marTop w:val="0"/>
      <w:marBottom w:val="0"/>
      <w:divBdr>
        <w:top w:val="none" w:sz="0" w:space="0" w:color="auto"/>
        <w:left w:val="none" w:sz="0" w:space="0" w:color="auto"/>
        <w:bottom w:val="none" w:sz="0" w:space="0" w:color="auto"/>
        <w:right w:val="none" w:sz="0" w:space="0" w:color="auto"/>
      </w:divBdr>
    </w:div>
    <w:div w:id="1336222228">
      <w:bodyDiv w:val="1"/>
      <w:marLeft w:val="0"/>
      <w:marRight w:val="0"/>
      <w:marTop w:val="0"/>
      <w:marBottom w:val="0"/>
      <w:divBdr>
        <w:top w:val="none" w:sz="0" w:space="0" w:color="auto"/>
        <w:left w:val="none" w:sz="0" w:space="0" w:color="auto"/>
        <w:bottom w:val="none" w:sz="0" w:space="0" w:color="auto"/>
        <w:right w:val="none" w:sz="0" w:space="0" w:color="auto"/>
      </w:divBdr>
    </w:div>
    <w:div w:id="137647016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706">
      <w:bodyDiv w:val="1"/>
      <w:marLeft w:val="0"/>
      <w:marRight w:val="0"/>
      <w:marTop w:val="0"/>
      <w:marBottom w:val="0"/>
      <w:divBdr>
        <w:top w:val="none" w:sz="0" w:space="0" w:color="auto"/>
        <w:left w:val="none" w:sz="0" w:space="0" w:color="auto"/>
        <w:bottom w:val="none" w:sz="0" w:space="0" w:color="auto"/>
        <w:right w:val="none" w:sz="0" w:space="0" w:color="auto"/>
      </w:divBdr>
    </w:div>
    <w:div w:id="2009138794">
      <w:bodyDiv w:val="1"/>
      <w:marLeft w:val="0"/>
      <w:marRight w:val="0"/>
      <w:marTop w:val="0"/>
      <w:marBottom w:val="0"/>
      <w:divBdr>
        <w:top w:val="none" w:sz="0" w:space="0" w:color="auto"/>
        <w:left w:val="none" w:sz="0" w:space="0" w:color="auto"/>
        <w:bottom w:val="none" w:sz="0" w:space="0" w:color="auto"/>
        <w:right w:val="none" w:sz="0" w:space="0" w:color="auto"/>
      </w:divBdr>
    </w:div>
    <w:div w:id="20851027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8814-280D-4AD8-89CB-8A5DE070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3650</Words>
  <Characters>20807</Characters>
  <Application>Microsoft Office Word</Application>
  <DocSecurity>0</DocSecurity>
  <Lines>173</Lines>
  <Paragraphs>48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Monteiro</cp:lastModifiedBy>
  <cp:revision>31</cp:revision>
  <cp:lastPrinted>2015-05-12T18:31:00Z</cp:lastPrinted>
  <dcterms:created xsi:type="dcterms:W3CDTF">2019-04-10T13:31:00Z</dcterms:created>
  <dcterms:modified xsi:type="dcterms:W3CDTF">2019-04-10T15:51:00Z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