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proofErr w:type="spellStart"/>
            <w:r w:rsidRPr="00252C1A">
              <w:rPr>
                <w:rFonts w:ascii="Tahoma" w:hAnsi="Tahoma" w:cs="Tahoma"/>
                <w:iCs/>
                <w:color w:val="333333"/>
                <w:sz w:val="14"/>
                <w:szCs w:val="14"/>
                <w:lang w:val="it-IT" w:eastAsia="it-IT"/>
              </w:rPr>
              <w:t>Guest</w:t>
            </w:r>
            <w:proofErr w:type="spellEnd"/>
            <w:r w:rsidRPr="00252C1A">
              <w:rPr>
                <w:rFonts w:ascii="Tahoma" w:hAnsi="Tahoma" w:cs="Tahoma"/>
                <w:iCs/>
                <w:color w:val="333333"/>
                <w:sz w:val="14"/>
                <w:szCs w:val="14"/>
                <w:lang w:val="it-IT" w:eastAsia="it-IT"/>
              </w:rPr>
              <w:t xml:space="preserve"> </w:t>
            </w:r>
            <w:proofErr w:type="spellStart"/>
            <w:r w:rsidRPr="00252C1A">
              <w:rPr>
                <w:rFonts w:ascii="Tahoma" w:hAnsi="Tahoma" w:cs="Tahoma"/>
                <w:iCs/>
                <w:color w:val="333333"/>
                <w:sz w:val="14"/>
                <w:szCs w:val="14"/>
                <w:lang w:val="it-IT" w:eastAsia="it-IT"/>
              </w:rPr>
              <w:t>Editors</w:t>
            </w:r>
            <w:proofErr w:type="spellEnd"/>
            <w:r w:rsidRPr="00252C1A">
              <w:rPr>
                <w:rFonts w:ascii="Tahoma" w:hAnsi="Tahoma" w:cs="Tahoma"/>
                <w:iCs/>
                <w:color w:val="333333"/>
                <w:sz w:val="14"/>
                <w:szCs w:val="14"/>
                <w:lang w:val="it-IT" w:eastAsia="it-IT"/>
              </w:rPr>
              <w:t>:</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 xml:space="preserve">Sauro </w:t>
            </w:r>
            <w:proofErr w:type="spellStart"/>
            <w:r w:rsidR="009635B9" w:rsidRPr="00252C1A">
              <w:rPr>
                <w:rFonts w:ascii="Tahoma" w:hAnsi="Tahoma" w:cs="Tahoma"/>
                <w:sz w:val="14"/>
                <w:szCs w:val="14"/>
                <w:lang w:val="it-IT"/>
              </w:rPr>
              <w:t>Pierucci</w:t>
            </w:r>
            <w:proofErr w:type="spellEnd"/>
            <w:r w:rsidR="009635B9" w:rsidRPr="00252C1A">
              <w:rPr>
                <w:rFonts w:ascii="Tahoma" w:hAnsi="Tahoma" w:cs="Tahoma"/>
                <w:sz w:val="14"/>
                <w:szCs w:val="14"/>
                <w:lang w:val="it-IT"/>
              </w:rPr>
              <w:t>,</w:t>
            </w:r>
            <w:r w:rsidR="003B60F3" w:rsidRPr="00252C1A">
              <w:rPr>
                <w:rFonts w:ascii="Tahoma" w:hAnsi="Tahoma" w:cs="Tahoma"/>
                <w:sz w:val="14"/>
                <w:szCs w:val="14"/>
                <w:lang w:val="it-IT"/>
              </w:rPr>
              <w:t xml:space="preserve"> </w:t>
            </w:r>
            <w:proofErr w:type="spellStart"/>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2400DA" w:rsidP="00E978D0">
      <w:pPr>
        <w:pStyle w:val="CETTitle"/>
      </w:pPr>
      <w:r w:rsidRPr="002400DA">
        <w:lastRenderedPageBreak/>
        <w:t xml:space="preserve">Use of a Portable </w:t>
      </w:r>
      <w:proofErr w:type="spellStart"/>
      <w:r w:rsidRPr="002400DA">
        <w:t>vis</w:t>
      </w:r>
      <w:proofErr w:type="spellEnd"/>
      <w:r w:rsidRPr="002400DA">
        <w:t xml:space="preserve"> </w:t>
      </w:r>
      <w:proofErr w:type="spellStart"/>
      <w:r w:rsidRPr="002400DA">
        <w:t>Nir</w:t>
      </w:r>
      <w:proofErr w:type="spellEnd"/>
      <w:r w:rsidRPr="002400DA">
        <w:t xml:space="preserve"> Device to Predict Table Olives Quality </w:t>
      </w:r>
    </w:p>
    <w:p w:rsidR="00E978D0" w:rsidRPr="002400DA" w:rsidRDefault="002400DA" w:rsidP="00AB5011">
      <w:pPr>
        <w:pStyle w:val="CETAuthors"/>
        <w:rPr>
          <w:lang w:val="it-IT"/>
        </w:rPr>
      </w:pPr>
      <w:r w:rsidRPr="002400DA">
        <w:rPr>
          <w:lang w:val="it-IT"/>
        </w:rPr>
        <w:t>Mariangela Vallone</w:t>
      </w:r>
      <w:r w:rsidRPr="002400DA">
        <w:rPr>
          <w:vertAlign w:val="superscript"/>
          <w:lang w:val="it-IT"/>
        </w:rPr>
        <w:t>a</w:t>
      </w:r>
      <w:r w:rsidRPr="002400DA">
        <w:rPr>
          <w:lang w:val="it-IT"/>
        </w:rPr>
        <w:t>, Maria Alleri</w:t>
      </w:r>
      <w:r w:rsidRPr="002400DA">
        <w:rPr>
          <w:vertAlign w:val="superscript"/>
          <w:lang w:val="it-IT"/>
        </w:rPr>
        <w:t>a</w:t>
      </w:r>
      <w:r w:rsidRPr="002400DA">
        <w:rPr>
          <w:lang w:val="it-IT"/>
        </w:rPr>
        <w:t>, Filippa Bono</w:t>
      </w:r>
      <w:r w:rsidRPr="002400DA">
        <w:rPr>
          <w:vertAlign w:val="superscript"/>
          <w:lang w:val="it-IT"/>
        </w:rPr>
        <w:t>b</w:t>
      </w:r>
      <w:r w:rsidRPr="002400DA">
        <w:rPr>
          <w:lang w:val="it-IT"/>
        </w:rPr>
        <w:t>, Pietro Catania</w:t>
      </w:r>
      <w:r w:rsidRPr="002400DA">
        <w:rPr>
          <w:vertAlign w:val="superscript"/>
          <w:lang w:val="it-IT"/>
        </w:rPr>
        <w:t>a*</w:t>
      </w:r>
      <w:r w:rsidRPr="002400DA">
        <w:rPr>
          <w:lang w:val="it-IT"/>
        </w:rPr>
        <w:t xml:space="preserve"> </w:t>
      </w:r>
    </w:p>
    <w:p w:rsidR="002400DA" w:rsidRPr="002400DA" w:rsidRDefault="00E978D0" w:rsidP="002400DA">
      <w:pPr>
        <w:pStyle w:val="CETAddress"/>
        <w:rPr>
          <w:lang w:val="en-US"/>
        </w:rPr>
      </w:pPr>
      <w:r w:rsidRPr="002400DA">
        <w:rPr>
          <w:vertAlign w:val="superscript"/>
          <w:lang w:val="en-US"/>
        </w:rPr>
        <w:t>a</w:t>
      </w:r>
      <w:r w:rsidR="002400DA" w:rsidRPr="002400DA">
        <w:rPr>
          <w:lang w:val="en-US"/>
        </w:rPr>
        <w:t xml:space="preserve">University of Palermo, Department of Agricultural, Food and Forest Sciences, Viale delle Scienze ed. 4 - 90128 Palermo, Italy </w:t>
      </w:r>
    </w:p>
    <w:p w:rsidR="002400DA" w:rsidRPr="002400DA" w:rsidRDefault="002400DA" w:rsidP="002400DA">
      <w:pPr>
        <w:pStyle w:val="CETAddress"/>
        <w:rPr>
          <w:lang w:val="en-US"/>
        </w:rPr>
      </w:pPr>
      <w:r w:rsidRPr="002400DA">
        <w:rPr>
          <w:vertAlign w:val="superscript"/>
          <w:lang w:val="en-US"/>
        </w:rPr>
        <w:t>b</w:t>
      </w:r>
      <w:r w:rsidRPr="002400DA">
        <w:rPr>
          <w:lang w:val="en-US"/>
        </w:rPr>
        <w:t>University of Palermo, Department of Economic Business and Statistical Sciences, Viale delle Scienze ed. 13 - 90128 Palermo, Italy</w:t>
      </w:r>
    </w:p>
    <w:p w:rsidR="00E978D0" w:rsidRPr="00B57B36" w:rsidRDefault="002400DA" w:rsidP="002400DA">
      <w:pPr>
        <w:pStyle w:val="CETAddress"/>
      </w:pPr>
      <w:r>
        <w:t>pietro.catania@unipa.it</w:t>
      </w:r>
    </w:p>
    <w:p w:rsidR="002400DA" w:rsidRDefault="002400DA" w:rsidP="00600535">
      <w:pPr>
        <w:pStyle w:val="CETBodytext"/>
        <w:rPr>
          <w:lang w:val="en-GB"/>
        </w:rPr>
      </w:pPr>
    </w:p>
    <w:p w:rsidR="00600535" w:rsidRDefault="002400DA" w:rsidP="00600535">
      <w:pPr>
        <w:pStyle w:val="CETBodytext"/>
        <w:rPr>
          <w:lang w:val="en-GB"/>
        </w:rPr>
      </w:pPr>
      <w:r w:rsidRPr="002400DA">
        <w:rPr>
          <w:lang w:val="en-GB"/>
        </w:rPr>
        <w:t xml:space="preserve">There is a growing interest today in high-quality and sustainable production especially in the agro-food sector where the use of automated, precise and non-destructive monitoring analytical systems is spreading more and more. In table olives consumption colour and texture are very important quality attributes deriving from ripening, size of the cell wall, middle lamella and fibrous tissues that can be compromised by bruising during harvest operations or postharvest handling. Mechanical damage also accelerates physiological processes, which lead to senescence, spoilage and loss of nutritional value. </w:t>
      </w:r>
      <w:proofErr w:type="spellStart"/>
      <w:r w:rsidRPr="002400DA">
        <w:rPr>
          <w:lang w:val="en-GB"/>
        </w:rPr>
        <w:t>Nocellara</w:t>
      </w:r>
      <w:proofErr w:type="spellEnd"/>
      <w:r w:rsidRPr="002400DA">
        <w:rPr>
          <w:lang w:val="en-GB"/>
        </w:rPr>
        <w:t xml:space="preserve"> del </w:t>
      </w:r>
      <w:proofErr w:type="spellStart"/>
      <w:r w:rsidRPr="002400DA">
        <w:rPr>
          <w:lang w:val="en-GB"/>
        </w:rPr>
        <w:t>Belice</w:t>
      </w:r>
      <w:proofErr w:type="spellEnd"/>
      <w:r w:rsidRPr="002400DA">
        <w:rPr>
          <w:lang w:val="en-GB"/>
        </w:rPr>
        <w:t xml:space="preserve"> cultivar is one of the most important table olive variet</w:t>
      </w:r>
      <w:r w:rsidR="00A526F4">
        <w:rPr>
          <w:lang w:val="en-GB"/>
        </w:rPr>
        <w:t>ies</w:t>
      </w:r>
      <w:r w:rsidRPr="002400DA">
        <w:rPr>
          <w:lang w:val="en-GB"/>
        </w:rPr>
        <w:t xml:space="preserve"> in Italy both for the production and the marketed quantities, with an average annual production of 25,000 t. The aim of this study was to evaluate the feasibility of applying vis NIR spectroscopy as a non-destructive technique on </w:t>
      </w:r>
      <w:proofErr w:type="spellStart"/>
      <w:r w:rsidRPr="002400DA">
        <w:rPr>
          <w:lang w:val="en-GB"/>
        </w:rPr>
        <w:t>Nocellara</w:t>
      </w:r>
      <w:proofErr w:type="spellEnd"/>
      <w:r w:rsidRPr="002400DA">
        <w:rPr>
          <w:lang w:val="en-GB"/>
        </w:rPr>
        <w:t xml:space="preserve"> del </w:t>
      </w:r>
      <w:proofErr w:type="spellStart"/>
      <w:r w:rsidRPr="002400DA">
        <w:rPr>
          <w:lang w:val="en-GB"/>
        </w:rPr>
        <w:t>Belice</w:t>
      </w:r>
      <w:proofErr w:type="spellEnd"/>
      <w:r w:rsidRPr="002400DA">
        <w:rPr>
          <w:lang w:val="en-GB"/>
        </w:rPr>
        <w:t xml:space="preserve"> table olives to predict colour and firmness during harvest and </w:t>
      </w:r>
      <w:r w:rsidR="00F41303" w:rsidRPr="002400DA">
        <w:rPr>
          <w:lang w:val="en-GB"/>
        </w:rPr>
        <w:t>post-harvest</w:t>
      </w:r>
      <w:r w:rsidRPr="002400DA">
        <w:rPr>
          <w:lang w:val="en-GB"/>
        </w:rPr>
        <w:t xml:space="preserve"> operations. The spectral acquisitions were performed using a portable vis NIR device (600 - 1000 nm). A regression model was considered to evaluate the prediction capacity of vis NIR starting from the observed values of a validation data set. The system gave excellent performance in predicting table olives colour (R</w:t>
      </w:r>
      <w:r w:rsidRPr="002400DA">
        <w:rPr>
          <w:vertAlign w:val="superscript"/>
          <w:lang w:val="en-GB"/>
        </w:rPr>
        <w:t>2</w:t>
      </w:r>
      <w:r w:rsidRPr="002400DA">
        <w:rPr>
          <w:lang w:val="en-GB"/>
        </w:rPr>
        <w:t xml:space="preserve"> = 0.96 for “hue”), while the results showed a very low vis NIR ability to predict </w:t>
      </w:r>
      <w:proofErr w:type="spellStart"/>
      <w:r w:rsidRPr="002400DA">
        <w:rPr>
          <w:lang w:val="en-GB"/>
        </w:rPr>
        <w:t>Nocellara</w:t>
      </w:r>
      <w:proofErr w:type="spellEnd"/>
      <w:r w:rsidRPr="002400DA">
        <w:rPr>
          <w:lang w:val="en-GB"/>
        </w:rPr>
        <w:t xml:space="preserve"> del </w:t>
      </w:r>
      <w:proofErr w:type="spellStart"/>
      <w:r w:rsidRPr="002400DA">
        <w:rPr>
          <w:lang w:val="en-GB"/>
        </w:rPr>
        <w:t>Belice</w:t>
      </w:r>
      <w:proofErr w:type="spellEnd"/>
      <w:r w:rsidRPr="002400DA">
        <w:rPr>
          <w:lang w:val="en-GB"/>
        </w:rPr>
        <w:t xml:space="preserve"> table olives </w:t>
      </w:r>
      <w:r w:rsidR="008A0919" w:rsidRPr="002400DA">
        <w:rPr>
          <w:lang w:val="en-GB"/>
        </w:rPr>
        <w:t>firmness</w:t>
      </w:r>
      <w:r w:rsidRPr="002400DA">
        <w:rPr>
          <w:lang w:val="en-GB"/>
        </w:rPr>
        <w:t xml:space="preserve"> (R</w:t>
      </w:r>
      <w:r w:rsidRPr="002400DA">
        <w:rPr>
          <w:vertAlign w:val="superscript"/>
          <w:lang w:val="en-GB"/>
        </w:rPr>
        <w:t>2</w:t>
      </w:r>
      <w:r w:rsidRPr="002400DA">
        <w:rPr>
          <w:lang w:val="en-GB"/>
        </w:rPr>
        <w:t xml:space="preserve"> = 0.18) which make this device unsuitable for the purpose. The possibility of applying vis NIR spectroscopy in field before harvest or for selection in </w:t>
      </w:r>
      <w:r w:rsidR="00F41303" w:rsidRPr="002400DA">
        <w:rPr>
          <w:lang w:val="en-GB"/>
        </w:rPr>
        <w:t>post-harvest</w:t>
      </w:r>
      <w:r w:rsidRPr="002400DA">
        <w:rPr>
          <w:lang w:val="en-GB"/>
        </w:rPr>
        <w:t xml:space="preserve"> operations is very encouraging for colour prediction and seems to be not adequate for firmness or damage evaluation.</w:t>
      </w:r>
    </w:p>
    <w:p w:rsidR="00F844E0" w:rsidRPr="00B57B36" w:rsidRDefault="00F844E0" w:rsidP="00F844E0">
      <w:pPr>
        <w:pStyle w:val="CETHeading1"/>
        <w:rPr>
          <w:lang w:val="en-GB"/>
        </w:rPr>
      </w:pPr>
      <w:r w:rsidRPr="00B57B36">
        <w:rPr>
          <w:lang w:val="en-GB"/>
        </w:rPr>
        <w:t>Introduction</w:t>
      </w:r>
    </w:p>
    <w:p w:rsidR="00F41303" w:rsidRDefault="001D19AB" w:rsidP="00600535">
      <w:pPr>
        <w:pStyle w:val="CETBodytext"/>
        <w:rPr>
          <w:lang w:val="en-GB"/>
        </w:rPr>
      </w:pPr>
      <w:bookmarkStart w:id="0" w:name="_Hlk495475023"/>
      <w:r>
        <w:rPr>
          <w:lang w:val="en-GB"/>
        </w:rPr>
        <w:t>T</w:t>
      </w:r>
      <w:r w:rsidRPr="001D19AB">
        <w:rPr>
          <w:lang w:val="en-GB"/>
        </w:rPr>
        <w:t xml:space="preserve">he Italian agro-food sector </w:t>
      </w:r>
      <w:r>
        <w:rPr>
          <w:lang w:val="en-GB"/>
        </w:rPr>
        <w:t xml:space="preserve">has got a strong vocation towards quality; </w:t>
      </w:r>
      <w:r w:rsidRPr="001D19AB">
        <w:rPr>
          <w:lang w:val="en-GB"/>
        </w:rPr>
        <w:t>focusing on quality requires the activation of functions aimed at the exact</w:t>
      </w:r>
      <w:r>
        <w:rPr>
          <w:lang w:val="en-GB"/>
        </w:rPr>
        <w:t>ly define</w:t>
      </w:r>
      <w:r w:rsidRPr="001D19AB">
        <w:rPr>
          <w:lang w:val="en-GB"/>
        </w:rPr>
        <w:t xml:space="preserve"> and evaluat</w:t>
      </w:r>
      <w:r>
        <w:rPr>
          <w:lang w:val="en-GB"/>
        </w:rPr>
        <w:t>e</w:t>
      </w:r>
      <w:r w:rsidRPr="001D19AB">
        <w:rPr>
          <w:lang w:val="en-GB"/>
        </w:rPr>
        <w:t xml:space="preserve"> the quality attributes of the product</w:t>
      </w:r>
      <w:r>
        <w:rPr>
          <w:lang w:val="en-GB"/>
        </w:rPr>
        <w:t xml:space="preserve"> (Wang et al., 2015). </w:t>
      </w:r>
    </w:p>
    <w:p w:rsidR="001D19AB" w:rsidRDefault="001D19AB" w:rsidP="00600535">
      <w:pPr>
        <w:pStyle w:val="CETBodytext"/>
        <w:rPr>
          <w:rFonts w:eastAsia="Calibri"/>
          <w:bCs/>
        </w:rPr>
      </w:pPr>
      <w:r w:rsidRPr="003656D3">
        <w:rPr>
          <w:rFonts w:eastAsia="Calibri"/>
          <w:bCs/>
        </w:rPr>
        <w:t>In recent years, many researchers developed non-destructive techniques and instrumentations to increase the number of fruits to be monitored and the analyses that can be repeated on the sample fru</w:t>
      </w:r>
      <w:r w:rsidR="00F41303">
        <w:rPr>
          <w:rFonts w:eastAsia="Calibri"/>
          <w:bCs/>
        </w:rPr>
        <w:t>it</w:t>
      </w:r>
      <w:r w:rsidR="00B968DF">
        <w:rPr>
          <w:rFonts w:eastAsia="Calibri"/>
          <w:bCs/>
        </w:rPr>
        <w:t>s</w:t>
      </w:r>
      <w:r w:rsidR="00F41303">
        <w:rPr>
          <w:rFonts w:eastAsia="Calibri"/>
          <w:bCs/>
        </w:rPr>
        <w:t xml:space="preserve"> during ripening and storage </w:t>
      </w:r>
      <w:r w:rsidRPr="003656D3">
        <w:rPr>
          <w:rFonts w:eastAsia="Calibri"/>
          <w:bCs/>
        </w:rPr>
        <w:t>(Costa et al., 2009).</w:t>
      </w:r>
      <w:r w:rsidR="00F41303">
        <w:rPr>
          <w:rFonts w:eastAsia="Calibri"/>
          <w:bCs/>
        </w:rPr>
        <w:t xml:space="preserve"> V</w:t>
      </w:r>
      <w:r w:rsidR="00F41303" w:rsidRPr="00F41303">
        <w:rPr>
          <w:rFonts w:eastAsia="Calibri"/>
          <w:bCs/>
        </w:rPr>
        <w:t xml:space="preserve">is NIR </w:t>
      </w:r>
      <w:r w:rsidR="00F41303">
        <w:rPr>
          <w:rFonts w:eastAsia="Calibri"/>
          <w:bCs/>
        </w:rPr>
        <w:t xml:space="preserve">technique </w:t>
      </w:r>
      <w:r w:rsidR="00F41303" w:rsidRPr="00F41303">
        <w:rPr>
          <w:rFonts w:eastAsia="Calibri"/>
          <w:bCs/>
        </w:rPr>
        <w:t xml:space="preserve">has been increasingly studied and applied </w:t>
      </w:r>
      <w:r w:rsidR="00F41303">
        <w:rPr>
          <w:rFonts w:eastAsia="Calibri"/>
          <w:bCs/>
        </w:rPr>
        <w:t>on many</w:t>
      </w:r>
      <w:r w:rsidR="00F41303" w:rsidRPr="00F41303">
        <w:rPr>
          <w:rFonts w:eastAsia="Calibri"/>
          <w:bCs/>
        </w:rPr>
        <w:t xml:space="preserve"> agro-food products including olives</w:t>
      </w:r>
      <w:r w:rsidR="00ED3096">
        <w:rPr>
          <w:rFonts w:eastAsia="Calibri"/>
          <w:bCs/>
        </w:rPr>
        <w:t xml:space="preserve"> (</w:t>
      </w:r>
      <w:proofErr w:type="spellStart"/>
      <w:r w:rsidR="00ED3096" w:rsidRPr="00A431FA">
        <w:t>Salguero-Ch</w:t>
      </w:r>
      <w:r w:rsidR="00ED3096">
        <w:t>aparro</w:t>
      </w:r>
      <w:proofErr w:type="spellEnd"/>
      <w:r w:rsidR="00ED3096">
        <w:t xml:space="preserve"> et al., 2013)</w:t>
      </w:r>
      <w:r w:rsidR="00F41303" w:rsidRPr="00F41303">
        <w:rPr>
          <w:rFonts w:eastAsia="Calibri"/>
          <w:bCs/>
        </w:rPr>
        <w:t>.</w:t>
      </w:r>
    </w:p>
    <w:p w:rsidR="00F844E0" w:rsidRDefault="00B968DF" w:rsidP="00600535">
      <w:pPr>
        <w:pStyle w:val="CETBodytext"/>
        <w:rPr>
          <w:rFonts w:eastAsia="Calibri"/>
          <w:bCs/>
        </w:rPr>
      </w:pPr>
      <w:r w:rsidRPr="00B968DF">
        <w:rPr>
          <w:rFonts w:eastAsia="Calibri"/>
          <w:bCs/>
        </w:rPr>
        <w:t xml:space="preserve">Several studies demonstrated vis NIR </w:t>
      </w:r>
      <w:r>
        <w:rPr>
          <w:rFonts w:eastAsia="Calibri"/>
          <w:bCs/>
        </w:rPr>
        <w:t xml:space="preserve">feasibility </w:t>
      </w:r>
      <w:r w:rsidRPr="00B968DF">
        <w:rPr>
          <w:rFonts w:eastAsia="Calibri"/>
          <w:bCs/>
        </w:rPr>
        <w:t>for the prediction of oil content, moisture a</w:t>
      </w:r>
      <w:r>
        <w:rPr>
          <w:rFonts w:eastAsia="Calibri"/>
          <w:bCs/>
        </w:rPr>
        <w:t>nd fatty acid composition in</w:t>
      </w:r>
      <w:r w:rsidRPr="00B968DF">
        <w:rPr>
          <w:rFonts w:eastAsia="Calibri"/>
          <w:bCs/>
        </w:rPr>
        <w:t xml:space="preserve"> olives</w:t>
      </w:r>
      <w:r>
        <w:rPr>
          <w:rFonts w:eastAsia="Calibri"/>
          <w:bCs/>
        </w:rPr>
        <w:t xml:space="preserve"> for oil production</w:t>
      </w:r>
      <w:r w:rsidRPr="00B968DF">
        <w:rPr>
          <w:rFonts w:eastAsia="Calibri"/>
          <w:bCs/>
        </w:rPr>
        <w:t xml:space="preserve"> (</w:t>
      </w:r>
      <w:proofErr w:type="spellStart"/>
      <w:r w:rsidRPr="00B968DF">
        <w:rPr>
          <w:rFonts w:eastAsia="Calibri"/>
          <w:bCs/>
        </w:rPr>
        <w:t>Cayuela</w:t>
      </w:r>
      <w:proofErr w:type="spellEnd"/>
      <w:r w:rsidRPr="00B968DF">
        <w:rPr>
          <w:rFonts w:eastAsia="Calibri"/>
          <w:bCs/>
        </w:rPr>
        <w:t xml:space="preserve"> et al</w:t>
      </w:r>
      <w:r>
        <w:rPr>
          <w:rFonts w:eastAsia="Calibri"/>
          <w:bCs/>
        </w:rPr>
        <w:t>.,</w:t>
      </w:r>
      <w:r w:rsidRPr="00B968DF">
        <w:rPr>
          <w:rFonts w:eastAsia="Calibri"/>
          <w:bCs/>
        </w:rPr>
        <w:t xml:space="preserve"> 2009</w:t>
      </w:r>
      <w:r>
        <w:rPr>
          <w:rFonts w:eastAsia="Calibri"/>
          <w:bCs/>
        </w:rPr>
        <w:t>;</w:t>
      </w:r>
      <w:r w:rsidRPr="00B968DF">
        <w:rPr>
          <w:rFonts w:eastAsia="Calibri"/>
          <w:bCs/>
        </w:rPr>
        <w:t xml:space="preserve"> </w:t>
      </w:r>
      <w:proofErr w:type="spellStart"/>
      <w:r w:rsidRPr="00B968DF">
        <w:rPr>
          <w:rFonts w:eastAsia="Calibri"/>
          <w:bCs/>
        </w:rPr>
        <w:t>Cayuela</w:t>
      </w:r>
      <w:proofErr w:type="spellEnd"/>
      <w:r w:rsidRPr="00B968DF">
        <w:rPr>
          <w:rFonts w:eastAsia="Calibri"/>
          <w:bCs/>
        </w:rPr>
        <w:t xml:space="preserve"> et al</w:t>
      </w:r>
      <w:r>
        <w:rPr>
          <w:rFonts w:eastAsia="Calibri"/>
          <w:bCs/>
        </w:rPr>
        <w:t>.,</w:t>
      </w:r>
      <w:r w:rsidRPr="00B968DF">
        <w:rPr>
          <w:rFonts w:eastAsia="Calibri"/>
          <w:bCs/>
        </w:rPr>
        <w:t xml:space="preserve"> 2010</w:t>
      </w:r>
      <w:r>
        <w:rPr>
          <w:rFonts w:eastAsia="Calibri"/>
          <w:bCs/>
        </w:rPr>
        <w:t>;</w:t>
      </w:r>
      <w:r w:rsidRPr="00B968DF">
        <w:rPr>
          <w:rFonts w:eastAsia="Calibri"/>
          <w:bCs/>
        </w:rPr>
        <w:t xml:space="preserve"> Armenta et al</w:t>
      </w:r>
      <w:r>
        <w:rPr>
          <w:rFonts w:eastAsia="Calibri"/>
          <w:bCs/>
        </w:rPr>
        <w:t>.,</w:t>
      </w:r>
      <w:r w:rsidRPr="00B968DF">
        <w:rPr>
          <w:rFonts w:eastAsia="Calibri"/>
          <w:bCs/>
        </w:rPr>
        <w:t xml:space="preserve"> 2010</w:t>
      </w:r>
      <w:r>
        <w:rPr>
          <w:rFonts w:eastAsia="Calibri"/>
          <w:bCs/>
        </w:rPr>
        <w:t>;</w:t>
      </w:r>
      <w:r w:rsidRPr="00B968DF">
        <w:rPr>
          <w:rFonts w:eastAsia="Calibri"/>
          <w:bCs/>
        </w:rPr>
        <w:t xml:space="preserve"> </w:t>
      </w:r>
      <w:proofErr w:type="spellStart"/>
      <w:r w:rsidRPr="00B968DF">
        <w:rPr>
          <w:rFonts w:eastAsia="Calibri"/>
          <w:bCs/>
        </w:rPr>
        <w:t>Leòn</w:t>
      </w:r>
      <w:proofErr w:type="spellEnd"/>
      <w:r>
        <w:rPr>
          <w:rFonts w:eastAsia="Calibri"/>
          <w:bCs/>
        </w:rPr>
        <w:t>-</w:t>
      </w:r>
      <w:r w:rsidRPr="00B968DF">
        <w:rPr>
          <w:rFonts w:eastAsia="Calibri"/>
          <w:bCs/>
        </w:rPr>
        <w:t>Moreno 2012)</w:t>
      </w:r>
      <w:r>
        <w:rPr>
          <w:rFonts w:eastAsia="Calibri"/>
          <w:bCs/>
        </w:rPr>
        <w:t xml:space="preserve">. In </w:t>
      </w:r>
      <w:proofErr w:type="spellStart"/>
      <w:r>
        <w:rPr>
          <w:rFonts w:eastAsia="Calibri"/>
          <w:bCs/>
        </w:rPr>
        <w:t>Kavdir</w:t>
      </w:r>
      <w:proofErr w:type="spellEnd"/>
      <w:r>
        <w:rPr>
          <w:rFonts w:eastAsia="Calibri"/>
          <w:bCs/>
        </w:rPr>
        <w:t xml:space="preserve"> et al. (2009), oil content, pulp firmness and </w:t>
      </w:r>
      <w:r w:rsidR="008A0919">
        <w:rPr>
          <w:rFonts w:eastAsia="Calibri"/>
          <w:bCs/>
        </w:rPr>
        <w:t>colour</w:t>
      </w:r>
      <w:r w:rsidR="00F844E0">
        <w:rPr>
          <w:rFonts w:eastAsia="Calibri"/>
          <w:bCs/>
        </w:rPr>
        <w:t xml:space="preserve"> of two Turkish olive varieties </w:t>
      </w:r>
      <w:r w:rsidR="00F844E0" w:rsidRPr="00F844E0">
        <w:rPr>
          <w:rFonts w:eastAsia="Calibri"/>
          <w:bCs/>
        </w:rPr>
        <w:t>were predicted using Fourier transform near</w:t>
      </w:r>
      <w:r w:rsidR="00F844E0">
        <w:rPr>
          <w:rFonts w:eastAsia="Calibri"/>
          <w:bCs/>
        </w:rPr>
        <w:t xml:space="preserve"> </w:t>
      </w:r>
      <w:r w:rsidR="00F844E0" w:rsidRPr="00F844E0">
        <w:rPr>
          <w:rFonts w:eastAsia="Calibri"/>
          <w:bCs/>
        </w:rPr>
        <w:t>infrared (FT-NIR) spectroscopy.</w:t>
      </w:r>
      <w:r w:rsidR="00F844E0">
        <w:rPr>
          <w:rFonts w:eastAsia="Calibri"/>
          <w:bCs/>
        </w:rPr>
        <w:t xml:space="preserve"> V</w:t>
      </w:r>
      <w:r w:rsidR="00F844E0" w:rsidRPr="00F844E0">
        <w:rPr>
          <w:rFonts w:eastAsia="Calibri"/>
          <w:bCs/>
        </w:rPr>
        <w:t>is-NIR spectroscopy</w:t>
      </w:r>
      <w:r w:rsidR="00F844E0">
        <w:rPr>
          <w:rFonts w:eastAsia="Calibri"/>
          <w:bCs/>
        </w:rPr>
        <w:t xml:space="preserve"> was also applied to evaluate </w:t>
      </w:r>
      <w:r w:rsidR="00F844E0" w:rsidRPr="00F844E0">
        <w:rPr>
          <w:rFonts w:eastAsia="Calibri"/>
          <w:bCs/>
        </w:rPr>
        <w:t>the effect of some parameters such as focal distance and integration time on the spectral repeatability for the analysis of intact olive fruits on a conveyor belt (</w:t>
      </w:r>
      <w:proofErr w:type="spellStart"/>
      <w:r w:rsidR="00F844E0" w:rsidRPr="00F844E0">
        <w:rPr>
          <w:rFonts w:eastAsia="Calibri"/>
          <w:bCs/>
        </w:rPr>
        <w:t>Salguero-Chaparro</w:t>
      </w:r>
      <w:proofErr w:type="spellEnd"/>
      <w:r w:rsidR="00F844E0" w:rsidRPr="00F844E0">
        <w:rPr>
          <w:rFonts w:eastAsia="Calibri"/>
          <w:bCs/>
        </w:rPr>
        <w:t xml:space="preserve"> et al.</w:t>
      </w:r>
      <w:r w:rsidR="00F844E0">
        <w:rPr>
          <w:rFonts w:eastAsia="Calibri"/>
          <w:bCs/>
        </w:rPr>
        <w:t>,</w:t>
      </w:r>
      <w:r w:rsidR="00F844E0" w:rsidRPr="00F844E0">
        <w:rPr>
          <w:rFonts w:eastAsia="Calibri"/>
          <w:bCs/>
        </w:rPr>
        <w:t xml:space="preserve"> 2012</w:t>
      </w:r>
      <w:r w:rsidR="00F844E0">
        <w:rPr>
          <w:rFonts w:eastAsia="Calibri"/>
          <w:bCs/>
        </w:rPr>
        <w:t>;</w:t>
      </w:r>
      <w:r w:rsidR="00F844E0" w:rsidRPr="00F844E0">
        <w:rPr>
          <w:rFonts w:eastAsia="Calibri"/>
          <w:bCs/>
        </w:rPr>
        <w:t xml:space="preserve"> </w:t>
      </w:r>
      <w:proofErr w:type="spellStart"/>
      <w:r w:rsidR="00F844E0" w:rsidRPr="00F844E0">
        <w:rPr>
          <w:rFonts w:eastAsia="Calibri"/>
          <w:bCs/>
        </w:rPr>
        <w:t>Salguero-Chaparro</w:t>
      </w:r>
      <w:proofErr w:type="spellEnd"/>
      <w:r w:rsidR="00F844E0" w:rsidRPr="00F844E0">
        <w:rPr>
          <w:rFonts w:eastAsia="Calibri"/>
          <w:bCs/>
        </w:rPr>
        <w:t xml:space="preserve"> et al.</w:t>
      </w:r>
      <w:r w:rsidR="00F844E0">
        <w:rPr>
          <w:rFonts w:eastAsia="Calibri"/>
          <w:bCs/>
        </w:rPr>
        <w:t xml:space="preserve">, 2013); </w:t>
      </w:r>
      <w:r w:rsidR="00F844E0" w:rsidRPr="00F844E0">
        <w:rPr>
          <w:rFonts w:eastAsia="Calibri"/>
          <w:bCs/>
        </w:rPr>
        <w:t xml:space="preserve">on-line versus off-line NIRS for the determination of fat content, free acidity and moisture of intact olives </w:t>
      </w:r>
      <w:r w:rsidR="00F844E0">
        <w:rPr>
          <w:rFonts w:eastAsia="Calibri"/>
          <w:bCs/>
        </w:rPr>
        <w:t xml:space="preserve">was also studied in </w:t>
      </w:r>
      <w:proofErr w:type="spellStart"/>
      <w:r w:rsidR="00F844E0" w:rsidRPr="00F844E0">
        <w:rPr>
          <w:rFonts w:eastAsia="Calibri"/>
          <w:bCs/>
        </w:rPr>
        <w:t>Salguero-Chaparro</w:t>
      </w:r>
      <w:proofErr w:type="spellEnd"/>
      <w:r w:rsidR="00F844E0" w:rsidRPr="00F844E0">
        <w:rPr>
          <w:rFonts w:eastAsia="Calibri"/>
          <w:bCs/>
        </w:rPr>
        <w:t xml:space="preserve"> et al.</w:t>
      </w:r>
      <w:r w:rsidR="00F844E0">
        <w:rPr>
          <w:rFonts w:eastAsia="Calibri"/>
          <w:bCs/>
        </w:rPr>
        <w:t xml:space="preserve"> (</w:t>
      </w:r>
      <w:r w:rsidR="00F844E0" w:rsidRPr="00F844E0">
        <w:rPr>
          <w:rFonts w:eastAsia="Calibri"/>
          <w:bCs/>
        </w:rPr>
        <w:t>2014).</w:t>
      </w:r>
      <w:r w:rsidR="00A10659">
        <w:rPr>
          <w:rFonts w:eastAsia="Calibri"/>
          <w:bCs/>
        </w:rPr>
        <w:t xml:space="preserve"> In </w:t>
      </w:r>
      <w:r w:rsidR="00A10659" w:rsidRPr="00A10659">
        <w:rPr>
          <w:rFonts w:eastAsia="Calibri"/>
          <w:bCs/>
        </w:rPr>
        <w:t xml:space="preserve">Jiménez-Jiménez et al. </w:t>
      </w:r>
      <w:r w:rsidR="00A10659">
        <w:rPr>
          <w:rFonts w:eastAsia="Calibri"/>
          <w:bCs/>
        </w:rPr>
        <w:t>(</w:t>
      </w:r>
      <w:r w:rsidR="00A10659" w:rsidRPr="00A10659">
        <w:rPr>
          <w:rFonts w:eastAsia="Calibri"/>
          <w:bCs/>
        </w:rPr>
        <w:t>2012</w:t>
      </w:r>
      <w:r w:rsidR="00A10659">
        <w:rPr>
          <w:rFonts w:eastAsia="Calibri"/>
          <w:bCs/>
        </w:rPr>
        <w:t xml:space="preserve">) </w:t>
      </w:r>
      <w:r w:rsidR="00A10659" w:rsidRPr="00A10659">
        <w:rPr>
          <w:rFonts w:eastAsia="Calibri"/>
          <w:bCs/>
        </w:rPr>
        <w:t xml:space="preserve">the damage on </w:t>
      </w:r>
      <w:proofErr w:type="spellStart"/>
      <w:r w:rsidR="00A10659" w:rsidRPr="00A10659">
        <w:rPr>
          <w:rFonts w:eastAsia="Calibri"/>
          <w:bCs/>
        </w:rPr>
        <w:t>Manzanilla</w:t>
      </w:r>
      <w:proofErr w:type="spellEnd"/>
      <w:r w:rsidR="00A10659" w:rsidRPr="00A10659">
        <w:rPr>
          <w:rFonts w:eastAsia="Calibri"/>
          <w:bCs/>
        </w:rPr>
        <w:t xml:space="preserve"> </w:t>
      </w:r>
      <w:r w:rsidR="00A10659">
        <w:rPr>
          <w:rFonts w:eastAsia="Calibri"/>
          <w:bCs/>
        </w:rPr>
        <w:t>olive</w:t>
      </w:r>
      <w:r w:rsidR="00A526F4">
        <w:rPr>
          <w:rFonts w:eastAsia="Calibri"/>
          <w:bCs/>
        </w:rPr>
        <w:t xml:space="preserve">s </w:t>
      </w:r>
      <w:r w:rsidR="00A10659" w:rsidRPr="00A10659">
        <w:rPr>
          <w:rFonts w:eastAsia="Calibri"/>
          <w:bCs/>
        </w:rPr>
        <w:t>was analyzed by developing mathematical models able to predict this parameter thro</w:t>
      </w:r>
      <w:r w:rsidR="00A10659">
        <w:rPr>
          <w:rFonts w:eastAsia="Calibri"/>
          <w:bCs/>
        </w:rPr>
        <w:t>ugh the use of the NIR device</w:t>
      </w:r>
      <w:r w:rsidR="00A10659" w:rsidRPr="00A10659">
        <w:rPr>
          <w:rFonts w:eastAsia="Calibri"/>
          <w:bCs/>
        </w:rPr>
        <w:t>.</w:t>
      </w:r>
    </w:p>
    <w:p w:rsidR="00A526F4" w:rsidRDefault="00A526F4" w:rsidP="00600535">
      <w:pPr>
        <w:pStyle w:val="CETBodytext"/>
        <w:rPr>
          <w:rFonts w:eastAsia="Calibri"/>
          <w:bCs/>
        </w:rPr>
      </w:pPr>
      <w:r>
        <w:rPr>
          <w:lang w:val="en-GB"/>
        </w:rPr>
        <w:lastRenderedPageBreak/>
        <w:t>The aim of this study i</w:t>
      </w:r>
      <w:r w:rsidRPr="002400DA">
        <w:rPr>
          <w:lang w:val="en-GB"/>
        </w:rPr>
        <w:t xml:space="preserve">s to evaluate the feasibility of applying vis NIR spectroscopy as a non-destructive technique on </w:t>
      </w:r>
      <w:proofErr w:type="spellStart"/>
      <w:r w:rsidRPr="002400DA">
        <w:rPr>
          <w:lang w:val="en-GB"/>
        </w:rPr>
        <w:t>Nocellara</w:t>
      </w:r>
      <w:proofErr w:type="spellEnd"/>
      <w:r w:rsidRPr="002400DA">
        <w:rPr>
          <w:lang w:val="en-GB"/>
        </w:rPr>
        <w:t xml:space="preserve"> del </w:t>
      </w:r>
      <w:proofErr w:type="spellStart"/>
      <w:r w:rsidRPr="002400DA">
        <w:rPr>
          <w:lang w:val="en-GB"/>
        </w:rPr>
        <w:t>Belice</w:t>
      </w:r>
      <w:proofErr w:type="spellEnd"/>
      <w:r w:rsidRPr="002400DA">
        <w:rPr>
          <w:lang w:val="en-GB"/>
        </w:rPr>
        <w:t xml:space="preserve"> table olives</w:t>
      </w:r>
      <w:r>
        <w:rPr>
          <w:lang w:val="en-GB"/>
        </w:rPr>
        <w:t xml:space="preserve">, </w:t>
      </w:r>
      <w:r w:rsidRPr="002400DA">
        <w:rPr>
          <w:lang w:val="en-GB"/>
        </w:rPr>
        <w:t>to predict colour and firmness during harvest and post-harvest operations</w:t>
      </w:r>
      <w:r>
        <w:rPr>
          <w:lang w:val="en-GB"/>
        </w:rPr>
        <w:t>, being this cultivar</w:t>
      </w:r>
      <w:r w:rsidRPr="002400DA">
        <w:rPr>
          <w:lang w:val="en-GB"/>
        </w:rPr>
        <w:t xml:space="preserve"> one of the most important table olive variet</w:t>
      </w:r>
      <w:r>
        <w:rPr>
          <w:lang w:val="en-GB"/>
        </w:rPr>
        <w:t>ies</w:t>
      </w:r>
      <w:r w:rsidRPr="002400DA">
        <w:rPr>
          <w:lang w:val="en-GB"/>
        </w:rPr>
        <w:t xml:space="preserve"> in Italy</w:t>
      </w:r>
      <w:r>
        <w:rPr>
          <w:lang w:val="en-GB"/>
        </w:rPr>
        <w:t>.</w:t>
      </w:r>
    </w:p>
    <w:p w:rsidR="00A526F4" w:rsidRDefault="00A526F4" w:rsidP="00A526F4">
      <w:pPr>
        <w:pStyle w:val="CETHeading1"/>
        <w:tabs>
          <w:tab w:val="right" w:pos="7100"/>
        </w:tabs>
        <w:jc w:val="both"/>
        <w:rPr>
          <w:lang w:val="en-GB"/>
        </w:rPr>
      </w:pPr>
      <w:r>
        <w:rPr>
          <w:lang w:val="en-GB"/>
        </w:rPr>
        <w:t>Materials and Methods</w:t>
      </w:r>
    </w:p>
    <w:p w:rsidR="00A526F4" w:rsidRPr="00B57B36" w:rsidRDefault="00A526F4" w:rsidP="00A526F4">
      <w:pPr>
        <w:pStyle w:val="CETheadingx"/>
      </w:pPr>
      <w:r>
        <w:t>Fruit materials</w:t>
      </w:r>
    </w:p>
    <w:p w:rsidR="00AA6FFE" w:rsidRPr="00AA6FFE" w:rsidRDefault="00A526F4" w:rsidP="00AA6FFE">
      <w:pPr>
        <w:pStyle w:val="CETBodytext"/>
        <w:rPr>
          <w:szCs w:val="18"/>
        </w:rPr>
      </w:pPr>
      <w:r w:rsidRPr="00384F08">
        <w:t xml:space="preserve">The </w:t>
      </w:r>
      <w:r w:rsidR="00ED3096">
        <w:t>tests</w:t>
      </w:r>
      <w:r w:rsidRPr="00384F08">
        <w:t xml:space="preserve"> were carried out </w:t>
      </w:r>
      <w:r w:rsidR="00384F08" w:rsidRPr="00384F08">
        <w:t xml:space="preserve">in October 2017 on </w:t>
      </w:r>
      <w:proofErr w:type="spellStart"/>
      <w:r w:rsidR="00384F08" w:rsidRPr="00384F08">
        <w:rPr>
          <w:szCs w:val="18"/>
        </w:rPr>
        <w:t>Nocellara</w:t>
      </w:r>
      <w:proofErr w:type="spellEnd"/>
      <w:r w:rsidR="00384F08" w:rsidRPr="00384F08">
        <w:rPr>
          <w:szCs w:val="18"/>
        </w:rPr>
        <w:t xml:space="preserve"> del </w:t>
      </w:r>
      <w:proofErr w:type="spellStart"/>
      <w:r w:rsidR="00384F08" w:rsidRPr="00384F08">
        <w:rPr>
          <w:szCs w:val="18"/>
        </w:rPr>
        <w:t>Belice</w:t>
      </w:r>
      <w:proofErr w:type="spellEnd"/>
      <w:r w:rsidR="00384F08" w:rsidRPr="00384F08">
        <w:rPr>
          <w:szCs w:val="18"/>
        </w:rPr>
        <w:t xml:space="preserve"> table olives.</w:t>
      </w:r>
      <w:r w:rsidR="00384F08">
        <w:rPr>
          <w:szCs w:val="18"/>
        </w:rPr>
        <w:t xml:space="preserve"> </w:t>
      </w:r>
      <w:r w:rsidR="00EC0125" w:rsidRPr="00EC0125">
        <w:rPr>
          <w:szCs w:val="18"/>
        </w:rPr>
        <w:t xml:space="preserve">Table olives are the major fermented edible vegetable of the Mediterranean basin. Sicily (south Italy) </w:t>
      </w:r>
      <w:r w:rsidR="00EC0125">
        <w:rPr>
          <w:szCs w:val="18"/>
        </w:rPr>
        <w:t>is one of the most</w:t>
      </w:r>
      <w:r w:rsidR="00EC0125" w:rsidRPr="00EC0125">
        <w:rPr>
          <w:szCs w:val="18"/>
        </w:rPr>
        <w:t xml:space="preserve"> important area of production in southern Europe (</w:t>
      </w:r>
      <w:proofErr w:type="spellStart"/>
      <w:r w:rsidR="00EC0125" w:rsidRPr="00EC0125">
        <w:rPr>
          <w:szCs w:val="18"/>
        </w:rPr>
        <w:t>Poiana</w:t>
      </w:r>
      <w:proofErr w:type="spellEnd"/>
      <w:r w:rsidR="00EC0125" w:rsidRPr="00EC0125">
        <w:rPr>
          <w:szCs w:val="18"/>
        </w:rPr>
        <w:t xml:space="preserve"> et al. 2006). Among the autochthonous Sicilian cultivars, </w:t>
      </w:r>
      <w:proofErr w:type="spellStart"/>
      <w:r w:rsidR="00EC0125" w:rsidRPr="00EC0125">
        <w:rPr>
          <w:szCs w:val="18"/>
        </w:rPr>
        <w:t>Nocellara</w:t>
      </w:r>
      <w:proofErr w:type="spellEnd"/>
      <w:r w:rsidR="00EC0125" w:rsidRPr="00EC0125">
        <w:rPr>
          <w:szCs w:val="18"/>
        </w:rPr>
        <w:t xml:space="preserve"> del </w:t>
      </w:r>
      <w:proofErr w:type="spellStart"/>
      <w:r w:rsidR="00EC0125" w:rsidRPr="00EC0125">
        <w:rPr>
          <w:szCs w:val="18"/>
        </w:rPr>
        <w:t>Belice</w:t>
      </w:r>
      <w:proofErr w:type="spellEnd"/>
      <w:r w:rsidR="00EC0125" w:rsidRPr="00EC0125">
        <w:rPr>
          <w:szCs w:val="18"/>
        </w:rPr>
        <w:t xml:space="preserve"> is that quantitatively most rep</w:t>
      </w:r>
      <w:r w:rsidR="00EC0125">
        <w:rPr>
          <w:szCs w:val="18"/>
        </w:rPr>
        <w:t>resented.</w:t>
      </w:r>
      <w:r w:rsidR="00AA6FFE">
        <w:rPr>
          <w:szCs w:val="18"/>
        </w:rPr>
        <w:t xml:space="preserve"> Its main </w:t>
      </w:r>
      <w:r w:rsidR="00AA6FFE">
        <w:rPr>
          <w:lang w:val="en-GB"/>
        </w:rPr>
        <w:t>characteristics are reported in Table 1</w:t>
      </w:r>
      <w:r w:rsidR="00AA6FFE" w:rsidRPr="00435912">
        <w:rPr>
          <w:lang w:val="en-GB"/>
        </w:rPr>
        <w:t>.</w:t>
      </w:r>
      <w:r w:rsidR="00CF7655">
        <w:rPr>
          <w:lang w:val="en-GB"/>
        </w:rPr>
        <w:t xml:space="preserve"> F</w:t>
      </w:r>
      <w:proofErr w:type="spellStart"/>
      <w:r w:rsidR="00CF7655">
        <w:t>ruit</w:t>
      </w:r>
      <w:proofErr w:type="spellEnd"/>
      <w:r w:rsidR="00CF7655">
        <w:t xml:space="preserve"> and pit mass were measured by an electronic balance to an accuracy of 0.01 g (ORMA, BC4000S - Italy). Fruit and pit diameter and the </w:t>
      </w:r>
      <w:proofErr w:type="spellStart"/>
      <w:r w:rsidR="00CF7655">
        <w:t>mesocarp</w:t>
      </w:r>
      <w:proofErr w:type="spellEnd"/>
      <w:r w:rsidR="00CF7655">
        <w:t xml:space="preserve"> thickness were measured by a digital micrometer caliper to an accuracy of 0.01 mm.</w:t>
      </w:r>
    </w:p>
    <w:p w:rsidR="00AA6FFE" w:rsidRPr="00347EB5" w:rsidRDefault="00AA6FFE" w:rsidP="00AA6FFE">
      <w:pPr>
        <w:pStyle w:val="CET-table-title"/>
        <w:rPr>
          <w:lang w:val="en-GB"/>
        </w:rPr>
      </w:pPr>
      <w:r w:rsidRPr="00347EB5">
        <w:rPr>
          <w:lang w:val="en-GB"/>
        </w:rPr>
        <w:t xml:space="preserve">Table 1: </w:t>
      </w:r>
      <w:r w:rsidRPr="00D941FF">
        <w:rPr>
          <w:lang w:val="en-GB"/>
        </w:rPr>
        <w:t xml:space="preserve">Olive fruit </w:t>
      </w:r>
      <w:r w:rsidRPr="00435912">
        <w:rPr>
          <w:lang w:val="en-GB"/>
        </w:rPr>
        <w:t xml:space="preserve">Cv. </w:t>
      </w:r>
      <w:proofErr w:type="spellStart"/>
      <w:r w:rsidRPr="00435912">
        <w:rPr>
          <w:lang w:val="en-GB"/>
        </w:rPr>
        <w:t>Nocellara</w:t>
      </w:r>
      <w:proofErr w:type="spellEnd"/>
      <w:r w:rsidRPr="00435912">
        <w:rPr>
          <w:lang w:val="en-GB"/>
        </w:rPr>
        <w:t xml:space="preserve"> del </w:t>
      </w:r>
      <w:proofErr w:type="spellStart"/>
      <w:r w:rsidRPr="00435912">
        <w:rPr>
          <w:lang w:val="en-GB"/>
        </w:rPr>
        <w:t>Belice</w:t>
      </w:r>
      <w:proofErr w:type="spellEnd"/>
      <w:r w:rsidRPr="00435912">
        <w:rPr>
          <w:lang w:val="en-GB"/>
        </w:rPr>
        <w:t xml:space="preserve"> </w:t>
      </w:r>
      <w:r w:rsidRPr="00D941FF">
        <w:rPr>
          <w:lang w:val="en-GB"/>
        </w:rPr>
        <w:t>characteristics</w:t>
      </w:r>
      <w:r>
        <w:rPr>
          <w:lang w:val="en-GB"/>
        </w:rPr>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tblPr>
      <w:tblGrid>
        <w:gridCol w:w="2835"/>
        <w:gridCol w:w="1985"/>
      </w:tblGrid>
      <w:tr w:rsidR="00AA6FFE" w:rsidRPr="00C44CF4" w:rsidTr="00CC3BA0">
        <w:tc>
          <w:tcPr>
            <w:tcW w:w="2835" w:type="dxa"/>
            <w:tcBorders>
              <w:top w:val="single" w:sz="12" w:space="0" w:color="008000"/>
              <w:bottom w:val="single" w:sz="6" w:space="0" w:color="008000"/>
            </w:tcBorders>
            <w:shd w:val="clear" w:color="auto" w:fill="FFFFFF"/>
          </w:tcPr>
          <w:p w:rsidR="00AA6FFE" w:rsidRPr="00347EB5" w:rsidRDefault="00AA6FFE" w:rsidP="00CC3BA0">
            <w:pPr>
              <w:pStyle w:val="CETBodytext"/>
              <w:rPr>
                <w:lang w:val="en-GB"/>
              </w:rPr>
            </w:pPr>
            <w:r w:rsidRPr="00B15F5F">
              <w:rPr>
                <w:lang w:val="en-GB"/>
              </w:rPr>
              <w:t>Character</w:t>
            </w:r>
          </w:p>
        </w:tc>
        <w:tc>
          <w:tcPr>
            <w:tcW w:w="1985" w:type="dxa"/>
            <w:tcBorders>
              <w:top w:val="single" w:sz="12" w:space="0" w:color="008000"/>
              <w:bottom w:val="single" w:sz="6" w:space="0" w:color="008000"/>
            </w:tcBorders>
            <w:shd w:val="clear" w:color="auto" w:fill="FFFFFF"/>
          </w:tcPr>
          <w:p w:rsidR="00AA6FFE" w:rsidRPr="00347EB5" w:rsidRDefault="00AA6FFE" w:rsidP="00CC3BA0">
            <w:pPr>
              <w:pStyle w:val="CETBodytext"/>
              <w:rPr>
                <w:lang w:val="en-GB"/>
              </w:rPr>
            </w:pPr>
            <w:proofErr w:type="spellStart"/>
            <w:r w:rsidRPr="00C44CF4">
              <w:rPr>
                <w:lang w:val="en-GB"/>
              </w:rPr>
              <w:t>Value</w:t>
            </w:r>
            <w:r w:rsidRPr="00A01C7F">
              <w:rPr>
                <w:vertAlign w:val="superscript"/>
                <w:lang w:val="en-GB"/>
              </w:rPr>
              <w:t>a</w:t>
            </w:r>
            <w:proofErr w:type="spellEnd"/>
            <w:r w:rsidRPr="00347EB5">
              <w:rPr>
                <w:lang w:val="en-GB"/>
              </w:rPr>
              <w:t xml:space="preserve"> </w:t>
            </w:r>
          </w:p>
        </w:tc>
      </w:tr>
      <w:tr w:rsidR="00AA6FFE" w:rsidRPr="00C44CF4" w:rsidTr="00CC3BA0">
        <w:tc>
          <w:tcPr>
            <w:tcW w:w="2835" w:type="dxa"/>
            <w:shd w:val="clear" w:color="auto" w:fill="FFFFFF"/>
          </w:tcPr>
          <w:p w:rsidR="00AA6FFE" w:rsidRPr="00347EB5" w:rsidRDefault="00AA6FFE" w:rsidP="00CC3BA0">
            <w:pPr>
              <w:pStyle w:val="CETBodytext"/>
              <w:rPr>
                <w:lang w:val="en-GB"/>
              </w:rPr>
            </w:pPr>
            <w:r w:rsidRPr="00F32281">
              <w:rPr>
                <w:lang w:val="en-GB"/>
              </w:rPr>
              <w:t>Fruit longitudinal diameter [mm]</w:t>
            </w:r>
          </w:p>
        </w:tc>
        <w:tc>
          <w:tcPr>
            <w:tcW w:w="1985" w:type="dxa"/>
            <w:shd w:val="clear" w:color="auto" w:fill="FFFFFF"/>
            <w:vAlign w:val="center"/>
          </w:tcPr>
          <w:p w:rsidR="00AA6FFE" w:rsidRPr="000523CF" w:rsidRDefault="00AA6FFE" w:rsidP="00CC3BA0">
            <w:pPr>
              <w:pStyle w:val="CETBodytext"/>
              <w:rPr>
                <w:szCs w:val="18"/>
                <w:lang w:val="en-GB"/>
              </w:rPr>
            </w:pPr>
            <w:r w:rsidRPr="000523CF">
              <w:rPr>
                <w:szCs w:val="18"/>
                <w:lang w:val="en-GB"/>
              </w:rPr>
              <w:t>21.96 ± 0.59</w:t>
            </w:r>
          </w:p>
        </w:tc>
      </w:tr>
      <w:tr w:rsidR="00AA6FFE" w:rsidRPr="00C44CF4" w:rsidTr="00CC3BA0">
        <w:tc>
          <w:tcPr>
            <w:tcW w:w="2835" w:type="dxa"/>
            <w:shd w:val="clear" w:color="auto" w:fill="FFFFFF"/>
            <w:vAlign w:val="center"/>
          </w:tcPr>
          <w:p w:rsidR="00AA6FFE" w:rsidRPr="00D242DF" w:rsidRDefault="00AA6FFE" w:rsidP="00CC3BA0">
            <w:pPr>
              <w:pStyle w:val="CETBodytext"/>
              <w:rPr>
                <w:lang w:val="en-GB"/>
              </w:rPr>
            </w:pPr>
            <w:r w:rsidRPr="00D242DF">
              <w:rPr>
                <w:lang w:val="en-GB"/>
              </w:rPr>
              <w:t>Pit longitudinal diameter [mm]</w:t>
            </w:r>
          </w:p>
        </w:tc>
        <w:tc>
          <w:tcPr>
            <w:tcW w:w="1985" w:type="dxa"/>
            <w:shd w:val="clear" w:color="auto" w:fill="FFFFFF"/>
            <w:vAlign w:val="center"/>
          </w:tcPr>
          <w:p w:rsidR="00AA6FFE" w:rsidRPr="000523CF" w:rsidRDefault="00AA6FFE" w:rsidP="00CC3BA0">
            <w:pPr>
              <w:pStyle w:val="CETBodytext"/>
              <w:rPr>
                <w:szCs w:val="18"/>
                <w:lang w:val="en-GB"/>
              </w:rPr>
            </w:pPr>
            <w:r w:rsidRPr="000523CF">
              <w:rPr>
                <w:szCs w:val="18"/>
                <w:lang w:val="en-GB"/>
              </w:rPr>
              <w:t>12.90 ± 0.49</w:t>
            </w:r>
          </w:p>
        </w:tc>
      </w:tr>
      <w:tr w:rsidR="00AA6FFE" w:rsidRPr="00C44CF4" w:rsidTr="00CC3BA0">
        <w:tc>
          <w:tcPr>
            <w:tcW w:w="2835" w:type="dxa"/>
            <w:shd w:val="clear" w:color="auto" w:fill="FFFFFF"/>
            <w:vAlign w:val="center"/>
          </w:tcPr>
          <w:p w:rsidR="00AA6FFE" w:rsidRPr="00D242DF" w:rsidRDefault="00AA6FFE" w:rsidP="00CC3BA0">
            <w:pPr>
              <w:pStyle w:val="CETBodytext"/>
              <w:rPr>
                <w:lang w:val="en-GB"/>
              </w:rPr>
            </w:pPr>
            <w:proofErr w:type="spellStart"/>
            <w:r w:rsidRPr="00D242DF">
              <w:rPr>
                <w:lang w:val="en-GB"/>
              </w:rPr>
              <w:t>Mesocarp</w:t>
            </w:r>
            <w:proofErr w:type="spellEnd"/>
            <w:r w:rsidRPr="00D242DF">
              <w:rPr>
                <w:lang w:val="en-GB"/>
              </w:rPr>
              <w:t xml:space="preserve"> thickness [mm]</w:t>
            </w:r>
          </w:p>
        </w:tc>
        <w:tc>
          <w:tcPr>
            <w:tcW w:w="1985" w:type="dxa"/>
            <w:shd w:val="clear" w:color="auto" w:fill="FFFFFF"/>
            <w:vAlign w:val="center"/>
          </w:tcPr>
          <w:p w:rsidR="00AA6FFE" w:rsidRPr="000523CF" w:rsidRDefault="00AA6FFE" w:rsidP="00CC3BA0">
            <w:pPr>
              <w:pStyle w:val="CETBodytext"/>
              <w:rPr>
                <w:szCs w:val="18"/>
                <w:lang w:val="en-GB"/>
              </w:rPr>
            </w:pPr>
            <w:r w:rsidRPr="000523CF">
              <w:rPr>
                <w:szCs w:val="18"/>
                <w:lang w:val="en-GB"/>
              </w:rPr>
              <w:t>9.06 ± 0.94</w:t>
            </w:r>
          </w:p>
        </w:tc>
      </w:tr>
      <w:tr w:rsidR="00AA6FFE" w:rsidRPr="00C44CF4" w:rsidTr="00CC3BA0">
        <w:tc>
          <w:tcPr>
            <w:tcW w:w="2835" w:type="dxa"/>
            <w:shd w:val="clear" w:color="auto" w:fill="FFFFFF"/>
            <w:vAlign w:val="center"/>
          </w:tcPr>
          <w:p w:rsidR="00AA6FFE" w:rsidRPr="00D242DF" w:rsidRDefault="00AA6FFE" w:rsidP="00CC3BA0">
            <w:pPr>
              <w:pStyle w:val="CETBodytext"/>
              <w:rPr>
                <w:lang w:val="en-GB"/>
              </w:rPr>
            </w:pPr>
            <w:r w:rsidRPr="00D242DF">
              <w:rPr>
                <w:lang w:val="en-GB"/>
              </w:rPr>
              <w:t>Fruit mass [g]</w:t>
            </w:r>
          </w:p>
        </w:tc>
        <w:tc>
          <w:tcPr>
            <w:tcW w:w="1985" w:type="dxa"/>
            <w:shd w:val="clear" w:color="auto" w:fill="FFFFFF"/>
            <w:vAlign w:val="center"/>
          </w:tcPr>
          <w:p w:rsidR="00AA6FFE" w:rsidRPr="000523CF" w:rsidRDefault="00AA6FFE" w:rsidP="00CC3BA0">
            <w:pPr>
              <w:pStyle w:val="CETBodytext"/>
              <w:rPr>
                <w:szCs w:val="18"/>
                <w:lang w:val="en-GB"/>
              </w:rPr>
            </w:pPr>
            <w:r w:rsidRPr="000523CF">
              <w:rPr>
                <w:szCs w:val="18"/>
                <w:lang w:val="en-GB"/>
              </w:rPr>
              <w:t>8.47 ± 0.61</w:t>
            </w:r>
          </w:p>
        </w:tc>
      </w:tr>
      <w:tr w:rsidR="00AA6FFE" w:rsidRPr="00C44CF4" w:rsidTr="00CC3BA0">
        <w:tc>
          <w:tcPr>
            <w:tcW w:w="2835" w:type="dxa"/>
            <w:shd w:val="clear" w:color="auto" w:fill="FFFFFF"/>
            <w:vAlign w:val="center"/>
          </w:tcPr>
          <w:p w:rsidR="00AA6FFE" w:rsidRPr="00D242DF" w:rsidRDefault="00AA6FFE" w:rsidP="00CC3BA0">
            <w:pPr>
              <w:pStyle w:val="CETBodytext"/>
              <w:rPr>
                <w:lang w:val="en-GB"/>
              </w:rPr>
            </w:pPr>
            <w:r w:rsidRPr="00D242DF">
              <w:rPr>
                <w:lang w:val="en-GB"/>
              </w:rPr>
              <w:t>Pit mass [g]</w:t>
            </w:r>
          </w:p>
        </w:tc>
        <w:tc>
          <w:tcPr>
            <w:tcW w:w="1985" w:type="dxa"/>
            <w:shd w:val="clear" w:color="auto" w:fill="FFFFFF"/>
            <w:vAlign w:val="center"/>
          </w:tcPr>
          <w:p w:rsidR="00AA6FFE" w:rsidRPr="000523CF" w:rsidRDefault="00AA6FFE" w:rsidP="00CC3BA0">
            <w:pPr>
              <w:pStyle w:val="CETBodytext"/>
              <w:rPr>
                <w:szCs w:val="18"/>
                <w:lang w:val="en-GB"/>
              </w:rPr>
            </w:pPr>
            <w:r w:rsidRPr="000523CF">
              <w:rPr>
                <w:szCs w:val="18"/>
                <w:lang w:val="en-GB"/>
              </w:rPr>
              <w:t>0.96 ± 0.17</w:t>
            </w:r>
          </w:p>
        </w:tc>
      </w:tr>
      <w:tr w:rsidR="00AA6FFE" w:rsidRPr="00C44CF4" w:rsidTr="00CC3BA0">
        <w:tc>
          <w:tcPr>
            <w:tcW w:w="2835" w:type="dxa"/>
            <w:shd w:val="clear" w:color="auto" w:fill="FFFFFF"/>
          </w:tcPr>
          <w:p w:rsidR="00AA6FFE" w:rsidRPr="00B15F5F" w:rsidRDefault="00AA6FFE" w:rsidP="00CC3BA0">
            <w:pPr>
              <w:pStyle w:val="CETBodytext"/>
              <w:rPr>
                <w:lang w:val="en-GB"/>
              </w:rPr>
            </w:pPr>
            <w:proofErr w:type="spellStart"/>
            <w:r w:rsidRPr="00D242DF">
              <w:rPr>
                <w:lang w:val="en-GB"/>
              </w:rPr>
              <w:t>Mesocarp</w:t>
            </w:r>
            <w:proofErr w:type="spellEnd"/>
            <w:r w:rsidRPr="00D242DF">
              <w:rPr>
                <w:lang w:val="en-GB"/>
              </w:rPr>
              <w:t xml:space="preserve"> mass [g]</w:t>
            </w:r>
          </w:p>
        </w:tc>
        <w:tc>
          <w:tcPr>
            <w:tcW w:w="1985" w:type="dxa"/>
            <w:shd w:val="clear" w:color="auto" w:fill="FFFFFF"/>
            <w:vAlign w:val="center"/>
          </w:tcPr>
          <w:p w:rsidR="00AA6FFE" w:rsidRPr="000523CF" w:rsidRDefault="00AA6FFE" w:rsidP="00CC3BA0">
            <w:pPr>
              <w:pStyle w:val="CETBodytext"/>
              <w:rPr>
                <w:szCs w:val="18"/>
                <w:lang w:val="en-GB"/>
              </w:rPr>
            </w:pPr>
            <w:r w:rsidRPr="000523CF">
              <w:rPr>
                <w:szCs w:val="18"/>
                <w:lang w:val="en-GB"/>
              </w:rPr>
              <w:t>7.51 ± 0.54</w:t>
            </w:r>
          </w:p>
        </w:tc>
      </w:tr>
    </w:tbl>
    <w:p w:rsidR="00AA6FFE" w:rsidRPr="00306C83" w:rsidRDefault="00AA6FFE" w:rsidP="00AA6FFE">
      <w:pPr>
        <w:pStyle w:val="Paragrafoelenco"/>
        <w:spacing w:line="480" w:lineRule="auto"/>
        <w:ind w:left="0"/>
        <w:rPr>
          <w:rFonts w:ascii="Arial" w:eastAsia="Times New Roman" w:hAnsi="Arial" w:cs="Times New Roman"/>
          <w:sz w:val="16"/>
          <w:szCs w:val="20"/>
          <w:lang w:val="en-GB"/>
        </w:rPr>
      </w:pPr>
      <w:r w:rsidRPr="00306C83">
        <w:rPr>
          <w:rFonts w:ascii="Arial" w:eastAsia="Times New Roman" w:hAnsi="Arial" w:cs="Times New Roman"/>
          <w:sz w:val="16"/>
          <w:szCs w:val="20"/>
          <w:vertAlign w:val="superscript"/>
          <w:lang w:val="en-GB"/>
        </w:rPr>
        <w:t xml:space="preserve">a </w:t>
      </w:r>
      <w:r w:rsidRPr="00306C83">
        <w:rPr>
          <w:rFonts w:ascii="Arial" w:eastAsia="Times New Roman" w:hAnsi="Arial" w:cs="Times New Roman"/>
          <w:sz w:val="16"/>
          <w:szCs w:val="20"/>
          <w:lang w:val="en-GB"/>
        </w:rPr>
        <w:t>Numeric values are means ± standard error of thirty replicates</w:t>
      </w:r>
    </w:p>
    <w:p w:rsidR="00AA6FFE" w:rsidRPr="00AA6FFE" w:rsidRDefault="00AA6FFE" w:rsidP="00AA6FFE">
      <w:pPr>
        <w:pStyle w:val="CETheadingx"/>
      </w:pPr>
      <w:r w:rsidRPr="00AA6FFE">
        <w:t>Portable vis NIR device</w:t>
      </w:r>
    </w:p>
    <w:p w:rsidR="00AA6FFE" w:rsidRDefault="00AA6FFE" w:rsidP="00AA6FFE">
      <w:pPr>
        <w:rPr>
          <w:rFonts w:eastAsia="Calibri"/>
        </w:rPr>
      </w:pPr>
      <w:r w:rsidRPr="00456206">
        <w:rPr>
          <w:rFonts w:eastAsia="Calibri"/>
        </w:rPr>
        <w:t xml:space="preserve">The spectral </w:t>
      </w:r>
      <w:r w:rsidR="00ED3096">
        <w:rPr>
          <w:rFonts w:eastAsia="Calibri"/>
        </w:rPr>
        <w:t>measurements</w:t>
      </w:r>
      <w:r>
        <w:rPr>
          <w:rFonts w:eastAsia="Calibri"/>
        </w:rPr>
        <w:t xml:space="preserve"> were performed using a vis </w:t>
      </w:r>
      <w:r w:rsidRPr="00456206">
        <w:rPr>
          <w:rFonts w:eastAsia="Calibri"/>
        </w:rPr>
        <w:t xml:space="preserve">NIR system (model NCS001, </w:t>
      </w:r>
      <w:proofErr w:type="spellStart"/>
      <w:r w:rsidRPr="00456206">
        <w:rPr>
          <w:rFonts w:eastAsia="Calibri"/>
        </w:rPr>
        <w:t>Sacmi</w:t>
      </w:r>
      <w:proofErr w:type="spellEnd"/>
      <w:r w:rsidRPr="00456206">
        <w:rPr>
          <w:rFonts w:eastAsia="Calibri"/>
        </w:rPr>
        <w:t xml:space="preserve">, </w:t>
      </w:r>
      <w:proofErr w:type="spellStart"/>
      <w:r w:rsidRPr="00456206">
        <w:rPr>
          <w:rFonts w:eastAsia="Calibri"/>
        </w:rPr>
        <w:t>Imola</w:t>
      </w:r>
      <w:proofErr w:type="spellEnd"/>
      <w:r w:rsidRPr="00456206">
        <w:rPr>
          <w:rFonts w:eastAsia="Calibri"/>
        </w:rPr>
        <w:t>, Italy) that was operated in the wavelength range 600 - 1000 nm in transmittance mode. The sy</w:t>
      </w:r>
      <w:r>
        <w:rPr>
          <w:rFonts w:eastAsia="Calibri"/>
        </w:rPr>
        <w:t xml:space="preserve">stem consisted of five elements: </w:t>
      </w:r>
      <w:r w:rsidRPr="00456206">
        <w:rPr>
          <w:rFonts w:eastAsia="Calibri"/>
        </w:rPr>
        <w:t xml:space="preserve">a lighting system, a power pack for lighting, a spectrophotometer, a PC for the user interface, which is responsible for data display and management parameters, and a fan to control the temperature. A control keyboard and a monitor complete the system. The measurements were acquired using a dedicated software (NCS software package, </w:t>
      </w:r>
      <w:proofErr w:type="spellStart"/>
      <w:r w:rsidRPr="00456206">
        <w:rPr>
          <w:rFonts w:eastAsia="Calibri"/>
        </w:rPr>
        <w:t>Sacmi</w:t>
      </w:r>
      <w:proofErr w:type="spellEnd"/>
      <w:r w:rsidRPr="00456206">
        <w:rPr>
          <w:rFonts w:eastAsia="Calibri"/>
        </w:rPr>
        <w:t xml:space="preserve">, </w:t>
      </w:r>
      <w:proofErr w:type="spellStart"/>
      <w:r w:rsidRPr="00456206">
        <w:rPr>
          <w:rFonts w:eastAsia="Calibri"/>
        </w:rPr>
        <w:t>Imola</w:t>
      </w:r>
      <w:proofErr w:type="spellEnd"/>
      <w:r w:rsidRPr="00456206">
        <w:rPr>
          <w:rFonts w:eastAsia="Calibri"/>
        </w:rPr>
        <w:t xml:space="preserve">, Italy). The system was based on the projection of an intense light beam with a near-infrared frequency band through the body of the product. The resultant light was collimated into a single narrow beam and </w:t>
      </w:r>
      <w:r w:rsidR="00CF7655" w:rsidRPr="00456206">
        <w:rPr>
          <w:rFonts w:eastAsia="Calibri"/>
        </w:rPr>
        <w:t>analysed</w:t>
      </w:r>
      <w:r w:rsidRPr="00456206">
        <w:rPr>
          <w:rFonts w:eastAsia="Calibri"/>
        </w:rPr>
        <w:t xml:space="preserve"> to determine the parameters of interest. Two acquisitions were performed for each </w:t>
      </w:r>
      <w:r>
        <w:rPr>
          <w:rFonts w:eastAsia="Calibri"/>
        </w:rPr>
        <w:t xml:space="preserve">fruit </w:t>
      </w:r>
      <w:r w:rsidRPr="00456206">
        <w:rPr>
          <w:rFonts w:eastAsia="Calibri"/>
        </w:rPr>
        <w:t>along the equator region on opposite sides. A 100 mm</w:t>
      </w:r>
      <w:r w:rsidRPr="00456206">
        <w:rPr>
          <w:rFonts w:eastAsia="Calibri"/>
          <w:vertAlign w:val="superscript"/>
        </w:rPr>
        <w:t>2</w:t>
      </w:r>
      <w:r w:rsidRPr="00456206">
        <w:rPr>
          <w:rFonts w:eastAsia="Calibri"/>
        </w:rPr>
        <w:t xml:space="preserve"> </w:t>
      </w:r>
      <w:r w:rsidRPr="00AA6FFE">
        <w:rPr>
          <w:szCs w:val="18"/>
          <w:lang w:val="en-US"/>
        </w:rPr>
        <w:t xml:space="preserve">Teflon® </w:t>
      </w:r>
      <w:r w:rsidRPr="00456206">
        <w:rPr>
          <w:rFonts w:eastAsia="Calibri"/>
        </w:rPr>
        <w:t xml:space="preserve">disk was used as the optical reference standard for the system, since </w:t>
      </w:r>
      <w:r>
        <w:rPr>
          <w:rFonts w:eastAsia="Calibri"/>
        </w:rPr>
        <w:t>it</w:t>
      </w:r>
      <w:r w:rsidRPr="00456206">
        <w:rPr>
          <w:rFonts w:eastAsia="Calibri"/>
        </w:rPr>
        <w:t xml:space="preserve"> has low reflectance and its light-scattering characteristics were similar to those of the samples.</w:t>
      </w:r>
    </w:p>
    <w:p w:rsidR="00AA6FFE" w:rsidRPr="00AA6FFE" w:rsidRDefault="00AA6FFE" w:rsidP="00AA6FFE">
      <w:pPr>
        <w:pStyle w:val="CETheadingx"/>
      </w:pPr>
      <w:r w:rsidRPr="00AA6FFE">
        <w:t>Quality attributes</w:t>
      </w:r>
    </w:p>
    <w:p w:rsidR="00CF7655" w:rsidRDefault="00CF7655" w:rsidP="00CF7655">
      <w:pPr>
        <w:pStyle w:val="CETBodytext"/>
      </w:pPr>
      <w:r>
        <w:t>Mechanical tests to evaluate olive fruit texture were performed compressing the olives by using a mechanical dynamometer (</w:t>
      </w:r>
      <w:proofErr w:type="spellStart"/>
      <w:r>
        <w:t>Imada</w:t>
      </w:r>
      <w:proofErr w:type="spellEnd"/>
      <w:r>
        <w:t xml:space="preserve"> DPS 5R - USA) connected to an electronic stand (IMADA MX2-500N - L) and a PC for data download. Each</w:t>
      </w:r>
      <w:r w:rsidRPr="001E3B83">
        <w:t xml:space="preserve"> </w:t>
      </w:r>
      <w:r>
        <w:t>olive</w:t>
      </w:r>
      <w:r w:rsidRPr="001E3B83">
        <w:t xml:space="preserve"> </w:t>
      </w:r>
      <w:r>
        <w:t>was</w:t>
      </w:r>
      <w:r w:rsidRPr="001E3B83">
        <w:t xml:space="preserve"> longitudinally sectioned, removing half of the pulp through a blade and placed on a steel plate</w:t>
      </w:r>
      <w:r>
        <w:t xml:space="preserve">. Fruit compression was obtained by means of a cylindrical steel plate of 16 mm in diameter, </w:t>
      </w:r>
      <w:r w:rsidRPr="001E3B83">
        <w:t>whose surface was disposed orthogonally with respect to the minor axis of the olive. The test speed was set at</w:t>
      </w:r>
      <w:r>
        <w:t xml:space="preserve"> 0.125 mm s</w:t>
      </w:r>
      <w:r w:rsidRPr="001E3B83">
        <w:rPr>
          <w:vertAlign w:val="superscript"/>
        </w:rPr>
        <w:t>-1</w:t>
      </w:r>
      <w:r>
        <w:t xml:space="preserve"> and was kept constant during the tests </w:t>
      </w:r>
      <w:r>
        <w:rPr>
          <w:szCs w:val="18"/>
        </w:rPr>
        <w:t>(</w:t>
      </w:r>
      <w:r w:rsidRPr="001E3B83">
        <w:rPr>
          <w:szCs w:val="18"/>
        </w:rPr>
        <w:t>Catania et al., 2015</w:t>
      </w:r>
      <w:r>
        <w:rPr>
          <w:szCs w:val="18"/>
        </w:rPr>
        <w:t>)</w:t>
      </w:r>
      <w:r>
        <w:t xml:space="preserve">. </w:t>
      </w:r>
      <w:r w:rsidRPr="00453E2B">
        <w:t>The compression force was recorded continuously along the entire olive pulp.</w:t>
      </w:r>
      <w:r w:rsidRPr="001E3B83">
        <w:rPr>
          <w:szCs w:val="18"/>
        </w:rPr>
        <w:t xml:space="preserve"> (Catania et al., 2014</w:t>
      </w:r>
      <w:r>
        <w:rPr>
          <w:szCs w:val="18"/>
        </w:rPr>
        <w:t>).</w:t>
      </w:r>
    </w:p>
    <w:p w:rsidR="00AA6FFE" w:rsidRDefault="008A0919" w:rsidP="00AA6FFE">
      <w:pPr>
        <w:pStyle w:val="CETBodytext"/>
        <w:rPr>
          <w:szCs w:val="18"/>
        </w:rPr>
      </w:pPr>
      <w:r>
        <w:rPr>
          <w:szCs w:val="18"/>
        </w:rPr>
        <w:t>Colour</w:t>
      </w:r>
      <w:r w:rsidR="00CF7655" w:rsidRPr="00CF7655">
        <w:rPr>
          <w:szCs w:val="18"/>
        </w:rPr>
        <w:t xml:space="preserve"> was measured on four points of olive surface by means of a </w:t>
      </w:r>
      <w:proofErr w:type="spellStart"/>
      <w:r>
        <w:rPr>
          <w:szCs w:val="18"/>
        </w:rPr>
        <w:t>colour</w:t>
      </w:r>
      <w:r w:rsidR="00CF7655" w:rsidRPr="00CF7655">
        <w:rPr>
          <w:szCs w:val="18"/>
        </w:rPr>
        <w:t>imeter</w:t>
      </w:r>
      <w:proofErr w:type="spellEnd"/>
      <w:r w:rsidR="00CF7655" w:rsidRPr="00CF7655">
        <w:rPr>
          <w:szCs w:val="18"/>
        </w:rPr>
        <w:t xml:space="preserve"> (</w:t>
      </w:r>
      <w:proofErr w:type="spellStart"/>
      <w:r w:rsidR="00CF7655" w:rsidRPr="00CF7655">
        <w:rPr>
          <w:szCs w:val="18"/>
        </w:rPr>
        <w:t>Chroma</w:t>
      </w:r>
      <w:proofErr w:type="spellEnd"/>
      <w:r w:rsidR="00CF7655" w:rsidRPr="00CF7655">
        <w:rPr>
          <w:szCs w:val="18"/>
        </w:rPr>
        <w:t xml:space="preserve"> Meter CR-400C, Minolta, Osaka, Japan). </w:t>
      </w:r>
      <w:r>
        <w:rPr>
          <w:szCs w:val="18"/>
        </w:rPr>
        <w:t>Colour</w:t>
      </w:r>
      <w:r w:rsidR="00AA6FFE" w:rsidRPr="000523CF">
        <w:rPr>
          <w:szCs w:val="18"/>
        </w:rPr>
        <w:t xml:space="preserve"> readings were recorded in the format of CIE XYZ </w:t>
      </w:r>
      <w:r>
        <w:rPr>
          <w:szCs w:val="18"/>
        </w:rPr>
        <w:t>colour</w:t>
      </w:r>
      <w:r w:rsidR="00AA6FFE" w:rsidRPr="000523CF">
        <w:rPr>
          <w:szCs w:val="18"/>
        </w:rPr>
        <w:t xml:space="preserve"> space (also known as CIE 1931 </w:t>
      </w:r>
      <w:r>
        <w:rPr>
          <w:szCs w:val="18"/>
        </w:rPr>
        <w:t>colour</w:t>
      </w:r>
      <w:r w:rsidR="00AA6FFE" w:rsidRPr="000523CF">
        <w:rPr>
          <w:szCs w:val="18"/>
        </w:rPr>
        <w:t xml:space="preserve"> space). It was then converted into Lab </w:t>
      </w:r>
      <w:r>
        <w:rPr>
          <w:szCs w:val="18"/>
        </w:rPr>
        <w:t>colour</w:t>
      </w:r>
      <w:r w:rsidR="00AA6FFE" w:rsidRPr="000523CF">
        <w:rPr>
          <w:szCs w:val="18"/>
        </w:rPr>
        <w:t xml:space="preserve"> space (CIE L*a*b*) which is an absolute </w:t>
      </w:r>
      <w:r>
        <w:rPr>
          <w:szCs w:val="18"/>
        </w:rPr>
        <w:t>colour</w:t>
      </w:r>
      <w:r w:rsidR="00AA6FFE" w:rsidRPr="000523CF">
        <w:rPr>
          <w:szCs w:val="18"/>
        </w:rPr>
        <w:t xml:space="preserve"> space. </w:t>
      </w:r>
      <w:proofErr w:type="spellStart"/>
      <w:r w:rsidR="00AA6FFE" w:rsidRPr="000523CF">
        <w:rPr>
          <w:szCs w:val="18"/>
        </w:rPr>
        <w:t>Chroma</w:t>
      </w:r>
      <w:proofErr w:type="spellEnd"/>
      <w:r w:rsidR="00AA6FFE" w:rsidRPr="000523CF">
        <w:rPr>
          <w:szCs w:val="18"/>
        </w:rPr>
        <w:t xml:space="preserve"> (</w:t>
      </w:r>
      <w:r w:rsidR="00ED3096">
        <w:rPr>
          <w:szCs w:val="18"/>
        </w:rPr>
        <w:t xml:space="preserve">calculated as </w:t>
      </w:r>
      <m:oMath>
        <m:rad>
          <m:radPr>
            <m:degHide m:val="on"/>
            <m:ctrlPr>
              <w:rPr>
                <w:rFonts w:ascii="Cambria Math" w:hAnsi="Cambria Math"/>
                <w:szCs w:val="18"/>
              </w:rPr>
            </m:ctrlPr>
          </m:radPr>
          <m:deg/>
          <m:e>
            <m:sSup>
              <m:sSupPr>
                <m:ctrlPr>
                  <w:rPr>
                    <w:rFonts w:ascii="Cambria Math" w:hAnsi="Cambria Math"/>
                    <w:szCs w:val="18"/>
                  </w:rPr>
                </m:ctrlPr>
              </m:sSupPr>
              <m:e>
                <m:r>
                  <m:rPr>
                    <m:sty m:val="p"/>
                  </m:rPr>
                  <w:rPr>
                    <w:rFonts w:ascii="Cambria Math" w:hAnsi="Cambria Math"/>
                    <w:szCs w:val="18"/>
                  </w:rPr>
                  <m:t>a</m:t>
                </m:r>
              </m:e>
              <m:sup>
                <m:r>
                  <m:rPr>
                    <m:sty m:val="p"/>
                  </m:rPr>
                  <w:rPr>
                    <w:rFonts w:ascii="Cambria Math" w:hAnsi="Cambria Math"/>
                    <w:szCs w:val="18"/>
                  </w:rPr>
                  <m:t>2</m:t>
                </m:r>
              </m:sup>
            </m:sSup>
          </m:e>
        </m:rad>
        <m:r>
          <m:rPr>
            <m:sty m:val="p"/>
          </m:rPr>
          <w:rPr>
            <w:rFonts w:ascii="Cambria Math" w:hAnsi="Cambria Math"/>
            <w:szCs w:val="18"/>
          </w:rPr>
          <m:t>+</m:t>
        </m:r>
        <m:sSup>
          <m:sSupPr>
            <m:ctrlPr>
              <w:rPr>
                <w:rFonts w:ascii="Cambria Math" w:hAnsi="Cambria Math"/>
                <w:szCs w:val="18"/>
              </w:rPr>
            </m:ctrlPr>
          </m:sSupPr>
          <m:e>
            <m:r>
              <m:rPr>
                <m:sty m:val="p"/>
              </m:rPr>
              <w:rPr>
                <w:rFonts w:ascii="Cambria Math" w:hAnsi="Cambria Math"/>
                <w:szCs w:val="18"/>
              </w:rPr>
              <m:t>b</m:t>
            </m:r>
          </m:e>
          <m:sup>
            <m:r>
              <m:rPr>
                <m:sty m:val="p"/>
              </m:rPr>
              <w:rPr>
                <w:rFonts w:ascii="Cambria Math" w:hAnsi="Cambria Math"/>
                <w:szCs w:val="18"/>
              </w:rPr>
              <m:t>2</m:t>
            </m:r>
          </m:sup>
        </m:sSup>
      </m:oMath>
      <w:r w:rsidR="00AA6FFE" w:rsidRPr="000523CF">
        <w:rPr>
          <w:szCs w:val="18"/>
        </w:rPr>
        <w:t>) and hue (</w:t>
      </w:r>
      <w:r w:rsidR="00ED3096">
        <w:rPr>
          <w:szCs w:val="18"/>
        </w:rPr>
        <w:t xml:space="preserve">calculated as </w:t>
      </w:r>
      <w:r w:rsidR="00AA6FFE" w:rsidRPr="000523CF">
        <w:rPr>
          <w:szCs w:val="18"/>
        </w:rPr>
        <w:t xml:space="preserve">arc tan [b*/a*]) were derived from Lab </w:t>
      </w:r>
      <w:r>
        <w:rPr>
          <w:szCs w:val="18"/>
        </w:rPr>
        <w:t>colour</w:t>
      </w:r>
      <w:r w:rsidR="00AA6FFE" w:rsidRPr="000523CF">
        <w:rPr>
          <w:szCs w:val="18"/>
        </w:rPr>
        <w:t xml:space="preserve"> space.</w:t>
      </w:r>
    </w:p>
    <w:p w:rsidR="00CF7655" w:rsidRPr="00AA6FFE" w:rsidRDefault="00CF7655" w:rsidP="00CF7655">
      <w:pPr>
        <w:pStyle w:val="CETheadingx"/>
      </w:pPr>
      <w:r>
        <w:t>Spectroscopic</w:t>
      </w:r>
      <w:r w:rsidRPr="00AA6FFE">
        <w:t xml:space="preserve"> </w:t>
      </w:r>
      <w:r>
        <w:t>measurements</w:t>
      </w:r>
    </w:p>
    <w:p w:rsidR="00CF7655" w:rsidRPr="004E7707" w:rsidRDefault="00CF7655" w:rsidP="00CF7655">
      <w:pPr>
        <w:pStyle w:val="CETBodytext"/>
        <w:rPr>
          <w:szCs w:val="18"/>
        </w:rPr>
      </w:pPr>
      <w:r w:rsidRPr="00CF7655">
        <w:rPr>
          <w:szCs w:val="18"/>
        </w:rPr>
        <w:t xml:space="preserve">Vis NIR calibration was performed </w:t>
      </w:r>
      <w:r>
        <w:rPr>
          <w:szCs w:val="18"/>
        </w:rPr>
        <w:t>on quality m</w:t>
      </w:r>
      <w:r w:rsidRPr="00CF7655">
        <w:rPr>
          <w:szCs w:val="18"/>
        </w:rPr>
        <w:t>easurements of olives</w:t>
      </w:r>
      <w:r>
        <w:rPr>
          <w:szCs w:val="18"/>
        </w:rPr>
        <w:t xml:space="preserve"> </w:t>
      </w:r>
      <w:r w:rsidRPr="00CF7655">
        <w:rPr>
          <w:szCs w:val="18"/>
        </w:rPr>
        <w:t>carried</w:t>
      </w:r>
      <w:r>
        <w:rPr>
          <w:szCs w:val="18"/>
        </w:rPr>
        <w:t xml:space="preserve"> </w:t>
      </w:r>
      <w:r w:rsidRPr="00CF7655">
        <w:rPr>
          <w:szCs w:val="18"/>
        </w:rPr>
        <w:t>out following</w:t>
      </w:r>
      <w:r>
        <w:rPr>
          <w:szCs w:val="18"/>
        </w:rPr>
        <w:t xml:space="preserve"> </w:t>
      </w:r>
      <w:r w:rsidRPr="00CF7655">
        <w:rPr>
          <w:szCs w:val="18"/>
        </w:rPr>
        <w:t>the spectral measurements. These</w:t>
      </w:r>
      <w:r>
        <w:rPr>
          <w:szCs w:val="18"/>
        </w:rPr>
        <w:t xml:space="preserve"> </w:t>
      </w:r>
      <w:r w:rsidRPr="00CF7655">
        <w:rPr>
          <w:szCs w:val="18"/>
        </w:rPr>
        <w:t xml:space="preserve">measurements were firmness </w:t>
      </w:r>
      <w:r>
        <w:rPr>
          <w:szCs w:val="18"/>
        </w:rPr>
        <w:t xml:space="preserve">and colour </w:t>
      </w:r>
      <w:r w:rsidRPr="004E7707">
        <w:rPr>
          <w:szCs w:val="18"/>
        </w:rPr>
        <w:t>(</w:t>
      </w:r>
      <w:proofErr w:type="spellStart"/>
      <w:r w:rsidRPr="004E7707">
        <w:rPr>
          <w:szCs w:val="18"/>
        </w:rPr>
        <w:t>chroma</w:t>
      </w:r>
      <w:proofErr w:type="spellEnd"/>
      <w:r w:rsidRPr="004E7707">
        <w:rPr>
          <w:szCs w:val="18"/>
        </w:rPr>
        <w:t xml:space="preserve"> and hue).</w:t>
      </w:r>
      <w:r w:rsidR="004E7707" w:rsidRPr="004E7707">
        <w:rPr>
          <w:szCs w:val="18"/>
        </w:rPr>
        <w:t xml:space="preserve"> O</w:t>
      </w:r>
      <w:r w:rsidR="004E7707">
        <w:rPr>
          <w:szCs w:val="18"/>
        </w:rPr>
        <w:t xml:space="preserve">ne hundred olives were manually and random harvested for the purpose. Then, in the laboratory spectral acquisition were performed on 50 intact olives and on 50 artificially damaged olives </w:t>
      </w:r>
      <w:r w:rsidR="004E7707" w:rsidRPr="004E7707">
        <w:rPr>
          <w:szCs w:val="18"/>
        </w:rPr>
        <w:t>subjected to impact by dropping them from a</w:t>
      </w:r>
      <w:r w:rsidR="004E7707">
        <w:rPr>
          <w:szCs w:val="18"/>
        </w:rPr>
        <w:t xml:space="preserve"> fixed</w:t>
      </w:r>
      <w:r w:rsidR="004E7707" w:rsidRPr="004E7707">
        <w:rPr>
          <w:szCs w:val="18"/>
        </w:rPr>
        <w:t xml:space="preserve"> height of 1.9 m</w:t>
      </w:r>
      <w:r w:rsidR="004E7707">
        <w:rPr>
          <w:szCs w:val="18"/>
        </w:rPr>
        <w:t>. The</w:t>
      </w:r>
      <w:r w:rsidR="004E7707" w:rsidRPr="004E7707">
        <w:rPr>
          <w:szCs w:val="18"/>
        </w:rPr>
        <w:t xml:space="preserve"> damaged olives </w:t>
      </w:r>
      <w:r w:rsidR="004E7707">
        <w:rPr>
          <w:szCs w:val="18"/>
        </w:rPr>
        <w:t xml:space="preserve">were stored </w:t>
      </w:r>
      <w:r w:rsidR="00777833">
        <w:rPr>
          <w:szCs w:val="18"/>
        </w:rPr>
        <w:t xml:space="preserve">for 48 hours </w:t>
      </w:r>
      <w:r w:rsidR="004E7707">
        <w:rPr>
          <w:szCs w:val="18"/>
        </w:rPr>
        <w:t>at room temperature and relative humidity (</w:t>
      </w:r>
      <w:r w:rsidR="004E7707" w:rsidRPr="004E7707">
        <w:rPr>
          <w:szCs w:val="18"/>
        </w:rPr>
        <w:t>25-27 ° C</w:t>
      </w:r>
      <w:r w:rsidR="004E7707">
        <w:rPr>
          <w:szCs w:val="18"/>
        </w:rPr>
        <w:t>; 65-68% R.H.)</w:t>
      </w:r>
      <w:r w:rsidR="00777833">
        <w:rPr>
          <w:szCs w:val="18"/>
        </w:rPr>
        <w:t xml:space="preserve"> before spectral acquisition to let the damage appear.</w:t>
      </w:r>
    </w:p>
    <w:p w:rsidR="00CF7655" w:rsidRPr="00AA6FFE" w:rsidRDefault="00CF7655" w:rsidP="00CF7655">
      <w:pPr>
        <w:pStyle w:val="CETheadingx"/>
      </w:pPr>
      <w:r>
        <w:t>Statistical analysis</w:t>
      </w:r>
    </w:p>
    <w:p w:rsidR="00AC3B7B" w:rsidRDefault="00C8647B" w:rsidP="00C8647B">
      <w:pPr>
        <w:pStyle w:val="CETBodytext"/>
      </w:pPr>
      <w:r>
        <w:t>A</w:t>
      </w:r>
      <w:r w:rsidRPr="00777833">
        <w:t xml:space="preserve"> second step smoothing on the raw data </w:t>
      </w:r>
      <w:r>
        <w:t>was performed</w:t>
      </w:r>
      <w:r w:rsidR="00777833" w:rsidRPr="00777833">
        <w:t xml:space="preserve"> before the validation on the parameters</w:t>
      </w:r>
      <w:r>
        <w:t>.</w:t>
      </w:r>
      <w:r w:rsidR="00AC3B7B">
        <w:t xml:space="preserve"> It was </w:t>
      </w:r>
      <w:r w:rsidR="00AC3B7B" w:rsidRPr="00AC3B7B">
        <w:t xml:space="preserve">defined </w:t>
      </w:r>
      <w:r w:rsidR="00AC3B7B">
        <w:t>s</w:t>
      </w:r>
      <w:r w:rsidR="00AC3B7B" w:rsidRPr="00AC3B7B">
        <w:t xml:space="preserve">econd step smoothing to eliminate the outliers after </w:t>
      </w:r>
      <w:r w:rsidR="00AC3B7B">
        <w:t xml:space="preserve">calibration. We substituted </w:t>
      </w:r>
      <w:r w:rsidR="00AC3B7B" w:rsidRPr="00AC3B7B">
        <w:rPr>
          <w:szCs w:val="18"/>
        </w:rPr>
        <w:t>the outliers with median value</w:t>
      </w:r>
      <w:r w:rsidR="00AC3B7B">
        <w:rPr>
          <w:szCs w:val="18"/>
        </w:rPr>
        <w:t xml:space="preserve"> as it was</w:t>
      </w:r>
      <w:r w:rsidR="00AC3B7B" w:rsidRPr="00AC3B7B">
        <w:rPr>
          <w:szCs w:val="18"/>
        </w:rPr>
        <w:t xml:space="preserve"> considered more appropriate</w:t>
      </w:r>
      <w:r w:rsidR="00AC3B7B">
        <w:rPr>
          <w:szCs w:val="18"/>
        </w:rPr>
        <w:t xml:space="preserve"> for this research. </w:t>
      </w:r>
      <w:r w:rsidR="00AC3B7B" w:rsidRPr="00AC3B7B">
        <w:t xml:space="preserve">The correction was separately made on </w:t>
      </w:r>
      <w:r w:rsidR="00AC3B7B">
        <w:t>intact</w:t>
      </w:r>
      <w:r w:rsidR="00AC3B7B" w:rsidRPr="00AC3B7B">
        <w:t xml:space="preserve"> and damaged olives.</w:t>
      </w:r>
      <w:r w:rsidR="007620DE">
        <w:t xml:space="preserve"> T</w:t>
      </w:r>
      <w:r w:rsidR="00AC3B7B" w:rsidRPr="00AC3B7B">
        <w:t>he ratio between the standard error of the transformed data set (SEC) and the standard error of the raw data (</w:t>
      </w:r>
      <w:proofErr w:type="spellStart"/>
      <w:r w:rsidR="00AC3B7B" w:rsidRPr="00AC3B7B">
        <w:t>SD_raw</w:t>
      </w:r>
      <w:proofErr w:type="spellEnd"/>
      <w:r w:rsidR="00AC3B7B" w:rsidRPr="00AC3B7B">
        <w:t>) was calculated</w:t>
      </w:r>
      <w:r w:rsidR="007620DE" w:rsidRPr="007620DE">
        <w:t xml:space="preserve"> </w:t>
      </w:r>
      <w:r w:rsidR="007620DE">
        <w:t>in order t</w:t>
      </w:r>
      <w:r w:rsidR="007620DE" w:rsidRPr="00AC3B7B">
        <w:t>o evaluate the transformation gain applied to the raw data</w:t>
      </w:r>
      <w:r w:rsidR="007620DE">
        <w:t>. When the</w:t>
      </w:r>
      <w:r w:rsidR="00AC3B7B" w:rsidRPr="00AC3B7B">
        <w:t xml:space="preserve"> value of the ratio </w:t>
      </w:r>
      <w:r w:rsidR="007620DE">
        <w:t xml:space="preserve">is </w:t>
      </w:r>
      <w:r w:rsidR="00AC3B7B" w:rsidRPr="00AC3B7B">
        <w:t>smaller than 1</w:t>
      </w:r>
      <w:r w:rsidR="007620DE">
        <w:t>, there is</w:t>
      </w:r>
      <w:r w:rsidR="00AC3B7B" w:rsidRPr="00AC3B7B">
        <w:t xml:space="preserve"> a gain in terms of data variability.</w:t>
      </w:r>
    </w:p>
    <w:p w:rsidR="00EF2867" w:rsidRPr="00FC1313" w:rsidRDefault="00EF2867" w:rsidP="00EF2867">
      <w:pPr>
        <w:pStyle w:val="CETBodytext"/>
        <w:rPr>
          <w:szCs w:val="18"/>
        </w:rPr>
      </w:pPr>
      <w:r w:rsidRPr="00FC1313">
        <w:rPr>
          <w:szCs w:val="18"/>
        </w:rPr>
        <w:t>After calibration</w:t>
      </w:r>
      <w:r>
        <w:rPr>
          <w:szCs w:val="18"/>
        </w:rPr>
        <w:t>,</w:t>
      </w:r>
      <w:r w:rsidRPr="00FC1313">
        <w:rPr>
          <w:szCs w:val="18"/>
        </w:rPr>
        <w:t xml:space="preserve"> the performance of </w:t>
      </w:r>
      <w:r>
        <w:rPr>
          <w:szCs w:val="18"/>
        </w:rPr>
        <w:t>vis NIR device</w:t>
      </w:r>
      <w:r w:rsidRPr="00FC1313">
        <w:rPr>
          <w:szCs w:val="18"/>
        </w:rPr>
        <w:t xml:space="preserve"> was quantified using stand</w:t>
      </w:r>
      <w:r>
        <w:rPr>
          <w:szCs w:val="18"/>
        </w:rPr>
        <w:t>ard e</w:t>
      </w:r>
      <w:r w:rsidRPr="00FC1313">
        <w:rPr>
          <w:szCs w:val="18"/>
        </w:rPr>
        <w:t xml:space="preserve">rror of calibration (SEC), standard error of prediction (SEP), correlation between predicted and observed value in validation set of the parameters </w:t>
      </w:r>
      <w:r w:rsidR="001D32E2">
        <w:rPr>
          <w:szCs w:val="18"/>
        </w:rPr>
        <w:t>(r</w:t>
      </w:r>
      <w:r w:rsidR="001D32E2" w:rsidRPr="001D32E2">
        <w:rPr>
          <w:szCs w:val="18"/>
          <w:vertAlign w:val="superscript"/>
        </w:rPr>
        <w:t>2</w:t>
      </w:r>
      <w:r w:rsidR="001D32E2">
        <w:rPr>
          <w:szCs w:val="18"/>
        </w:rPr>
        <w:t>)</w:t>
      </w:r>
      <w:r w:rsidRPr="00EF2867">
        <w:rPr>
          <w:rFonts w:cs="Arial"/>
          <w:szCs w:val="18"/>
        </w:rPr>
        <w:t>,</w:t>
      </w:r>
      <w:r w:rsidRPr="00FC1313">
        <w:rPr>
          <w:szCs w:val="18"/>
        </w:rPr>
        <w:t xml:space="preserve"> root mean squared of standard error of cross validation (SECV) and coefficient of determination for validation</w:t>
      </w:r>
      <w:r w:rsidR="001D32E2">
        <w:rPr>
          <w:szCs w:val="18"/>
        </w:rPr>
        <w:t xml:space="preserve"> R</w:t>
      </w:r>
      <w:r w:rsidR="001D32E2" w:rsidRPr="001D32E2">
        <w:rPr>
          <w:szCs w:val="18"/>
          <w:vertAlign w:val="superscript"/>
        </w:rPr>
        <w:t>2</w:t>
      </w:r>
      <w:r w:rsidRPr="00EF2867">
        <w:rPr>
          <w:rFonts w:cs="Arial"/>
          <w:szCs w:val="18"/>
        </w:rPr>
        <w:t>.</w:t>
      </w:r>
      <w:r w:rsidRPr="00FC1313">
        <w:rPr>
          <w:szCs w:val="18"/>
        </w:rPr>
        <w:t xml:space="preserve"> A good model should have a low SEC and SEP. A large difference indicates that too many latent variables influence prediction. </w:t>
      </w:r>
      <w:r w:rsidR="001D32E2" w:rsidRPr="001D32E2">
        <w:rPr>
          <w:szCs w:val="18"/>
        </w:rPr>
        <w:t>R</w:t>
      </w:r>
      <w:r w:rsidR="001D32E2" w:rsidRPr="001D32E2">
        <w:rPr>
          <w:szCs w:val="18"/>
          <w:vertAlign w:val="superscript"/>
        </w:rPr>
        <w:t>2</w:t>
      </w:r>
      <w:r w:rsidR="001D32E2">
        <w:rPr>
          <w:szCs w:val="18"/>
        </w:rPr>
        <w:t xml:space="preserve"> </w:t>
      </w:r>
      <w:r w:rsidRPr="001D32E2">
        <w:rPr>
          <w:szCs w:val="18"/>
        </w:rPr>
        <w:t>and</w:t>
      </w:r>
      <w:r w:rsidR="001D32E2">
        <w:rPr>
          <w:szCs w:val="18"/>
        </w:rPr>
        <w:t xml:space="preserve"> r</w:t>
      </w:r>
      <w:r w:rsidR="001D32E2" w:rsidRPr="001D32E2">
        <w:rPr>
          <w:szCs w:val="18"/>
          <w:vertAlign w:val="superscript"/>
        </w:rPr>
        <w:t>2</w:t>
      </w:r>
      <w:r w:rsidR="001D32E2">
        <w:rPr>
          <w:szCs w:val="18"/>
        </w:rPr>
        <w:t xml:space="preserve"> </w:t>
      </w:r>
      <w:r w:rsidRPr="00FC1313">
        <w:rPr>
          <w:szCs w:val="18"/>
        </w:rPr>
        <w:t xml:space="preserve">must be instead high. </w:t>
      </w:r>
    </w:p>
    <w:p w:rsidR="00EF2867" w:rsidRPr="00FC1313" w:rsidRDefault="00EF2867" w:rsidP="00EF2867">
      <w:pPr>
        <w:pStyle w:val="CETBodytext"/>
        <w:rPr>
          <w:szCs w:val="18"/>
        </w:rPr>
      </w:pPr>
      <w:r w:rsidRPr="00FC1313">
        <w:rPr>
          <w:szCs w:val="18"/>
        </w:rPr>
        <w:t>Regression model</w:t>
      </w:r>
      <w:r>
        <w:rPr>
          <w:szCs w:val="18"/>
        </w:rPr>
        <w:t>s</w:t>
      </w:r>
      <w:r w:rsidRPr="00FC1313">
        <w:rPr>
          <w:szCs w:val="18"/>
        </w:rPr>
        <w:t xml:space="preserve"> </w:t>
      </w:r>
      <w:r>
        <w:rPr>
          <w:szCs w:val="18"/>
        </w:rPr>
        <w:t>were</w:t>
      </w:r>
      <w:r w:rsidRPr="00FC1313">
        <w:rPr>
          <w:szCs w:val="18"/>
        </w:rPr>
        <w:t xml:space="preserve"> considered </w:t>
      </w:r>
      <w:r w:rsidR="003609FF">
        <w:rPr>
          <w:szCs w:val="18"/>
        </w:rPr>
        <w:t>(</w:t>
      </w:r>
      <w:proofErr w:type="spellStart"/>
      <w:r w:rsidR="003609FF" w:rsidRPr="003609FF">
        <w:t>Magwaza</w:t>
      </w:r>
      <w:proofErr w:type="spellEnd"/>
      <w:r w:rsidR="003609FF" w:rsidRPr="00FC1313">
        <w:rPr>
          <w:szCs w:val="18"/>
        </w:rPr>
        <w:t xml:space="preserve"> </w:t>
      </w:r>
      <w:r w:rsidR="003609FF">
        <w:rPr>
          <w:szCs w:val="18"/>
        </w:rPr>
        <w:t xml:space="preserve">et al., 2012) </w:t>
      </w:r>
      <w:r w:rsidRPr="00FC1313">
        <w:rPr>
          <w:szCs w:val="18"/>
        </w:rPr>
        <w:t xml:space="preserve">to evaluate </w:t>
      </w:r>
      <w:r>
        <w:rPr>
          <w:szCs w:val="18"/>
        </w:rPr>
        <w:t xml:space="preserve">the </w:t>
      </w:r>
      <w:r w:rsidRPr="00FC1313">
        <w:rPr>
          <w:szCs w:val="18"/>
        </w:rPr>
        <w:t>prediction capacity of vis</w:t>
      </w:r>
      <w:r>
        <w:rPr>
          <w:szCs w:val="18"/>
        </w:rPr>
        <w:t xml:space="preserve"> </w:t>
      </w:r>
      <w:r w:rsidRPr="00FC1313">
        <w:rPr>
          <w:szCs w:val="18"/>
        </w:rPr>
        <w:t>NIR starting from</w:t>
      </w:r>
      <w:r>
        <w:rPr>
          <w:szCs w:val="18"/>
        </w:rPr>
        <w:t xml:space="preserve"> the</w:t>
      </w:r>
      <w:r w:rsidRPr="00FC1313">
        <w:rPr>
          <w:szCs w:val="18"/>
        </w:rPr>
        <w:t xml:space="preserve"> observed values of </w:t>
      </w:r>
      <w:r>
        <w:rPr>
          <w:szCs w:val="18"/>
        </w:rPr>
        <w:t xml:space="preserve">the </w:t>
      </w:r>
      <w:r w:rsidR="001D32E2">
        <w:rPr>
          <w:szCs w:val="18"/>
        </w:rPr>
        <w:t>validation set. R</w:t>
      </w:r>
      <w:r w:rsidR="001D32E2" w:rsidRPr="001D32E2">
        <w:rPr>
          <w:szCs w:val="18"/>
          <w:vertAlign w:val="superscript"/>
        </w:rPr>
        <w:t>2</w:t>
      </w:r>
      <w:r w:rsidRPr="00FC1313">
        <w:rPr>
          <w:szCs w:val="18"/>
        </w:rPr>
        <w:t xml:space="preserve"> </w:t>
      </w:r>
      <w:r w:rsidR="001D32E2">
        <w:rPr>
          <w:szCs w:val="18"/>
        </w:rPr>
        <w:t xml:space="preserve">was defined as </w:t>
      </w:r>
      <w:r w:rsidRPr="00FC1313">
        <w:rPr>
          <w:szCs w:val="18"/>
        </w:rPr>
        <w:t>SSR/SST with SSR</w:t>
      </w:r>
      <w:r w:rsidR="001D32E2">
        <w:rPr>
          <w:szCs w:val="18"/>
        </w:rPr>
        <w:t xml:space="preserve"> </w:t>
      </w:r>
      <w:r w:rsidRPr="00FC1313">
        <w:rPr>
          <w:szCs w:val="18"/>
        </w:rPr>
        <w:t>deviance explained by regression and SST the total deviance of observed values of the calibration set.</w:t>
      </w:r>
      <w:r w:rsidR="003609FF">
        <w:rPr>
          <w:szCs w:val="18"/>
        </w:rPr>
        <w:t xml:space="preserve"> The root mean standard error of </w:t>
      </w:r>
      <w:r w:rsidR="004B67C3">
        <w:rPr>
          <w:szCs w:val="18"/>
        </w:rPr>
        <w:t>cross-valid</w:t>
      </w:r>
      <w:r w:rsidR="003609FF">
        <w:rPr>
          <w:szCs w:val="18"/>
        </w:rPr>
        <w:t>ation (RMSECV) was calculated as:</w:t>
      </w:r>
    </w:p>
    <w:p w:rsidR="00EF2867" w:rsidRPr="00FC1313" w:rsidRDefault="00EF2867" w:rsidP="00EF2867">
      <w:pPr>
        <w:pStyle w:val="CETBodytext"/>
        <w:rPr>
          <w:szCs w:val="18"/>
        </w:rPr>
      </w:pPr>
    </w:p>
    <w:p w:rsidR="00EF2867" w:rsidRPr="00FC1313" w:rsidRDefault="00EF2867" w:rsidP="00EF2867">
      <w:pPr>
        <w:pStyle w:val="CETBodytext"/>
        <w:rPr>
          <w:szCs w:val="18"/>
        </w:rPr>
      </w:pPr>
      <m:oMath>
        <m:r>
          <m:rPr>
            <m:sty m:val="p"/>
          </m:rPr>
          <w:rPr>
            <w:rFonts w:ascii="Cambria Math" w:cs="Arial"/>
            <w:szCs w:val="18"/>
          </w:rPr>
          <m:t>RMSECV=</m:t>
        </m:r>
        <m:rad>
          <m:radPr>
            <m:degHide m:val="on"/>
            <m:ctrlPr>
              <w:rPr>
                <w:rFonts w:ascii="Cambria Math" w:cs="Arial"/>
                <w:szCs w:val="18"/>
              </w:rPr>
            </m:ctrlPr>
          </m:radPr>
          <m:deg/>
          <m:e>
            <m:f>
              <m:fPr>
                <m:ctrlPr>
                  <w:rPr>
                    <w:rFonts w:ascii="Cambria Math" w:cs="Arial"/>
                    <w:szCs w:val="18"/>
                  </w:rPr>
                </m:ctrlPr>
              </m:fPr>
              <m:num>
                <m:r>
                  <m:rPr>
                    <m:sty m:val="p"/>
                  </m:rPr>
                  <w:rPr>
                    <w:rFonts w:ascii="Cambria Math" w:cs="Arial"/>
                    <w:szCs w:val="18"/>
                  </w:rPr>
                  <m:t>1</m:t>
                </m:r>
              </m:num>
              <m:den>
                <m:sSub>
                  <m:sSubPr>
                    <m:ctrlPr>
                      <w:rPr>
                        <w:rFonts w:ascii="Cambria Math" w:cs="Arial"/>
                        <w:szCs w:val="18"/>
                      </w:rPr>
                    </m:ctrlPr>
                  </m:sSubPr>
                  <m:e>
                    <m:r>
                      <m:rPr>
                        <m:sty m:val="p"/>
                      </m:rPr>
                      <w:rPr>
                        <w:rFonts w:ascii="Cambria Math" w:cs="Arial"/>
                        <w:szCs w:val="18"/>
                      </w:rPr>
                      <m:t>I</m:t>
                    </m:r>
                  </m:e>
                  <m:sub>
                    <m:r>
                      <m:rPr>
                        <m:sty m:val="p"/>
                      </m:rPr>
                      <w:rPr>
                        <w:rFonts w:ascii="Cambria Math" w:cs="Arial"/>
                        <w:szCs w:val="18"/>
                      </w:rPr>
                      <m:t>c</m:t>
                    </m:r>
                  </m:sub>
                </m:sSub>
                <m:r>
                  <m:rPr>
                    <m:sty m:val="p"/>
                  </m:rPr>
                  <w:rPr>
                    <w:rFonts w:cs="Arial"/>
                    <w:szCs w:val="18"/>
                  </w:rPr>
                  <m:t>-</m:t>
                </m:r>
                <m:r>
                  <m:rPr>
                    <m:sty m:val="p"/>
                  </m:rPr>
                  <w:rPr>
                    <w:rFonts w:ascii="Cambria Math" w:cs="Arial"/>
                    <w:szCs w:val="18"/>
                  </w:rPr>
                  <m:t>1</m:t>
                </m:r>
              </m:den>
            </m:f>
            <m:nary>
              <m:naryPr>
                <m:chr m:val="∑"/>
                <m:limLoc m:val="undOvr"/>
                <m:ctrlPr>
                  <w:rPr>
                    <w:rFonts w:ascii="Cambria Math" w:cs="Arial"/>
                    <w:szCs w:val="18"/>
                  </w:rPr>
                </m:ctrlPr>
              </m:naryPr>
              <m:sub>
                <m:r>
                  <m:rPr>
                    <m:sty m:val="p"/>
                  </m:rPr>
                  <w:rPr>
                    <w:rFonts w:ascii="Cambria Math" w:cs="Arial"/>
                    <w:szCs w:val="18"/>
                  </w:rPr>
                  <m:t>i=1</m:t>
                </m:r>
              </m:sub>
              <m:sup>
                <m:sSub>
                  <m:sSubPr>
                    <m:ctrlPr>
                      <w:rPr>
                        <w:rFonts w:ascii="Cambria Math" w:cs="Arial"/>
                        <w:szCs w:val="18"/>
                      </w:rPr>
                    </m:ctrlPr>
                  </m:sSubPr>
                  <m:e>
                    <m:r>
                      <m:rPr>
                        <m:sty m:val="p"/>
                      </m:rPr>
                      <w:rPr>
                        <w:rFonts w:ascii="Cambria Math" w:cs="Arial"/>
                        <w:szCs w:val="18"/>
                      </w:rPr>
                      <m:t>I</m:t>
                    </m:r>
                  </m:e>
                  <m:sub>
                    <m:r>
                      <m:rPr>
                        <m:sty m:val="p"/>
                      </m:rPr>
                      <w:rPr>
                        <w:rFonts w:ascii="Cambria Math" w:cs="Arial"/>
                        <w:szCs w:val="18"/>
                      </w:rPr>
                      <m:t>c</m:t>
                    </m:r>
                  </m:sub>
                </m:sSub>
              </m:sup>
              <m:e>
                <m:sSup>
                  <m:sSupPr>
                    <m:ctrlPr>
                      <w:rPr>
                        <w:rFonts w:ascii="Cambria Math" w:cs="Arial"/>
                        <w:szCs w:val="18"/>
                      </w:rPr>
                    </m:ctrlPr>
                  </m:sSupPr>
                  <m:e>
                    <m:d>
                      <m:dPr>
                        <m:ctrlPr>
                          <w:rPr>
                            <w:rFonts w:ascii="Cambria Math" w:cs="Arial"/>
                            <w:szCs w:val="18"/>
                          </w:rPr>
                        </m:ctrlPr>
                      </m:dPr>
                      <m:e>
                        <m:acc>
                          <m:accPr>
                            <m:ctrlPr>
                              <w:rPr>
                                <w:rFonts w:ascii="Cambria Math" w:cs="Arial"/>
                                <w:szCs w:val="18"/>
                              </w:rPr>
                            </m:ctrlPr>
                          </m:accPr>
                          <m:e>
                            <m:sSub>
                              <m:sSubPr>
                                <m:ctrlPr>
                                  <w:rPr>
                                    <w:rFonts w:ascii="Cambria Math" w:cs="Arial"/>
                                    <w:szCs w:val="18"/>
                                  </w:rPr>
                                </m:ctrlPr>
                              </m:sSubPr>
                              <m:e>
                                <m:r>
                                  <m:rPr>
                                    <m:sty m:val="p"/>
                                  </m:rPr>
                                  <w:rPr>
                                    <w:rFonts w:ascii="Cambria Math" w:cs="Arial"/>
                                    <w:szCs w:val="18"/>
                                  </w:rPr>
                                  <m:t>y</m:t>
                                </m:r>
                              </m:e>
                              <m:sub>
                                <m:r>
                                  <m:rPr>
                                    <m:sty m:val="p"/>
                                  </m:rPr>
                                  <w:rPr>
                                    <w:rFonts w:ascii="Cambria Math" w:cs="Arial"/>
                                    <w:szCs w:val="18"/>
                                  </w:rPr>
                                  <m:t>i</m:t>
                                </m:r>
                              </m:sub>
                            </m:sSub>
                          </m:e>
                        </m:acc>
                        <m:r>
                          <m:rPr>
                            <m:sty m:val="p"/>
                          </m:rPr>
                          <w:rPr>
                            <w:rFonts w:cs="Arial"/>
                            <w:szCs w:val="18"/>
                          </w:rPr>
                          <m:t>-</m:t>
                        </m:r>
                        <m:sSub>
                          <m:sSubPr>
                            <m:ctrlPr>
                              <w:rPr>
                                <w:rFonts w:ascii="Cambria Math" w:cs="Arial"/>
                                <w:szCs w:val="18"/>
                              </w:rPr>
                            </m:ctrlPr>
                          </m:sSubPr>
                          <m:e>
                            <m:r>
                              <m:rPr>
                                <m:sty m:val="p"/>
                              </m:rPr>
                              <w:rPr>
                                <w:rFonts w:ascii="Cambria Math" w:cs="Arial"/>
                                <w:szCs w:val="18"/>
                              </w:rPr>
                              <m:t>y</m:t>
                            </m:r>
                          </m:e>
                          <m:sub>
                            <m:r>
                              <m:rPr>
                                <m:sty m:val="p"/>
                              </m:rPr>
                              <w:rPr>
                                <w:rFonts w:ascii="Cambria Math" w:cs="Arial"/>
                                <w:szCs w:val="18"/>
                              </w:rPr>
                              <m:t>i</m:t>
                            </m:r>
                          </m:sub>
                        </m:sSub>
                      </m:e>
                    </m:d>
                  </m:e>
                  <m:sup>
                    <m:r>
                      <m:rPr>
                        <m:sty m:val="p"/>
                      </m:rPr>
                      <w:rPr>
                        <w:rFonts w:ascii="Cambria Math" w:cs="Arial"/>
                        <w:szCs w:val="18"/>
                      </w:rPr>
                      <m:t>2</m:t>
                    </m:r>
                  </m:sup>
                </m:sSup>
              </m:e>
            </m:nary>
          </m:e>
        </m:rad>
      </m:oMath>
      <w:r w:rsidRPr="003609FF">
        <w:rPr>
          <w:rFonts w:cs="Arial"/>
          <w:szCs w:val="18"/>
        </w:rPr>
        <w:t xml:space="preserve"> </w:t>
      </w:r>
      <w:r w:rsidRPr="00FC1313">
        <w:rPr>
          <w:szCs w:val="18"/>
        </w:rPr>
        <w:tab/>
      </w:r>
      <w:r w:rsidRPr="00FC1313">
        <w:rPr>
          <w:szCs w:val="18"/>
        </w:rPr>
        <w:tab/>
      </w:r>
      <w:r w:rsidRPr="00FC1313">
        <w:rPr>
          <w:szCs w:val="18"/>
        </w:rPr>
        <w:tab/>
        <w:t>(1)</w:t>
      </w:r>
    </w:p>
    <w:p w:rsidR="00EF2867" w:rsidRPr="00FC1313" w:rsidRDefault="00EF2867" w:rsidP="00EF2867">
      <w:pPr>
        <w:pStyle w:val="CETBodytext"/>
        <w:rPr>
          <w:szCs w:val="18"/>
        </w:rPr>
      </w:pPr>
      <m:oMath>
        <m:r>
          <m:rPr>
            <m:sty m:val="p"/>
          </m:rPr>
          <w:rPr>
            <w:rFonts w:ascii="Cambria Math" w:hAnsi="Cambria Math"/>
            <w:szCs w:val="18"/>
          </w:rPr>
          <m:t>SEP=</m:t>
        </m:r>
        <m:rad>
          <m:radPr>
            <m:degHide m:val="on"/>
            <m:ctrlPr>
              <w:rPr>
                <w:rFonts w:ascii="Cambria Math" w:hAnsi="Cambria Math"/>
                <w:szCs w:val="18"/>
              </w:rPr>
            </m:ctrlPr>
          </m:radPr>
          <m:deg/>
          <m:e>
            <m:f>
              <m:fPr>
                <m:ctrlPr>
                  <w:rPr>
                    <w:rFonts w:ascii="Cambria Math" w:hAnsi="Cambria Math"/>
                    <w:szCs w:val="18"/>
                  </w:rPr>
                </m:ctrlPr>
              </m:fPr>
              <m:num>
                <m:r>
                  <m:rPr>
                    <m:sty m:val="p"/>
                  </m:rPr>
                  <w:rPr>
                    <w:rFonts w:ascii="Cambria Math" w:hAnsi="Cambria Math"/>
                    <w:szCs w:val="18"/>
                  </w:rPr>
                  <m:t>1</m:t>
                </m:r>
              </m:num>
              <m:den>
                <m:sSub>
                  <m:sSubPr>
                    <m:ctrlPr>
                      <w:rPr>
                        <w:rFonts w:ascii="Cambria Math" w:hAnsi="Cambria Math"/>
                        <w:szCs w:val="18"/>
                      </w:rPr>
                    </m:ctrlPr>
                  </m:sSubPr>
                  <m:e>
                    <m:r>
                      <m:rPr>
                        <m:sty m:val="p"/>
                      </m:rPr>
                      <w:rPr>
                        <w:rFonts w:ascii="Cambria Math" w:hAnsi="Cambria Math"/>
                        <w:szCs w:val="18"/>
                      </w:rPr>
                      <m:t>I</m:t>
                    </m:r>
                  </m:e>
                  <m:sub>
                    <m:r>
                      <m:rPr>
                        <m:sty m:val="p"/>
                      </m:rPr>
                      <w:rPr>
                        <w:rFonts w:ascii="Cambria Math" w:hAnsi="Cambria Math"/>
                        <w:szCs w:val="18"/>
                      </w:rPr>
                      <m:t>p</m:t>
                    </m:r>
                  </m:sub>
                </m:sSub>
                <m:r>
                  <m:rPr>
                    <m:sty m:val="p"/>
                  </m:rPr>
                  <w:rPr>
                    <w:rFonts w:ascii="Cambria Math" w:hAnsi="Cambria Math"/>
                    <w:szCs w:val="18"/>
                  </w:rPr>
                  <m:t>-1</m:t>
                </m:r>
              </m:den>
            </m:f>
            <m:nary>
              <m:naryPr>
                <m:chr m:val="∑"/>
                <m:limLoc m:val="undOvr"/>
                <m:ctrlPr>
                  <w:rPr>
                    <w:rFonts w:ascii="Cambria Math" w:hAnsi="Cambria Math"/>
                    <w:szCs w:val="18"/>
                  </w:rPr>
                </m:ctrlPr>
              </m:naryPr>
              <m:sub>
                <m:r>
                  <m:rPr>
                    <m:sty m:val="p"/>
                  </m:rPr>
                  <w:rPr>
                    <w:rFonts w:ascii="Cambria Math" w:hAnsi="Cambria Math"/>
                    <w:szCs w:val="18"/>
                  </w:rPr>
                  <m:t>i=1</m:t>
                </m:r>
              </m:sub>
              <m:sup>
                <m:sSub>
                  <m:sSubPr>
                    <m:ctrlPr>
                      <w:rPr>
                        <w:rFonts w:ascii="Cambria Math" w:hAnsi="Cambria Math"/>
                        <w:szCs w:val="18"/>
                      </w:rPr>
                    </m:ctrlPr>
                  </m:sSubPr>
                  <m:e>
                    <m:r>
                      <m:rPr>
                        <m:sty m:val="p"/>
                      </m:rPr>
                      <w:rPr>
                        <w:rFonts w:ascii="Cambria Math" w:hAnsi="Cambria Math"/>
                        <w:szCs w:val="18"/>
                      </w:rPr>
                      <m:t>I</m:t>
                    </m:r>
                  </m:e>
                  <m:sub>
                    <m:r>
                      <m:rPr>
                        <m:sty m:val="p"/>
                      </m:rPr>
                      <w:rPr>
                        <w:rFonts w:ascii="Cambria Math" w:hAnsi="Cambria Math"/>
                        <w:szCs w:val="18"/>
                      </w:rPr>
                      <m:t>p</m:t>
                    </m:r>
                  </m:sub>
                </m:sSub>
              </m:sup>
              <m:e>
                <m:sSup>
                  <m:sSupPr>
                    <m:ctrlPr>
                      <w:rPr>
                        <w:rFonts w:ascii="Cambria Math" w:hAnsi="Cambria Math"/>
                        <w:szCs w:val="18"/>
                      </w:rPr>
                    </m:ctrlPr>
                  </m:sSupPr>
                  <m:e>
                    <m:d>
                      <m:dPr>
                        <m:ctrlPr>
                          <w:rPr>
                            <w:rFonts w:ascii="Cambria Math" w:hAnsi="Cambria Math"/>
                            <w:szCs w:val="18"/>
                          </w:rPr>
                        </m:ctrlPr>
                      </m:dPr>
                      <m:e>
                        <m:acc>
                          <m:accPr>
                            <m:ctrlPr>
                              <w:rPr>
                                <w:rFonts w:ascii="Cambria Math" w:hAnsi="Cambria Math"/>
                                <w:szCs w:val="18"/>
                              </w:rPr>
                            </m:ctrlPr>
                          </m:accPr>
                          <m:e>
                            <m:sSub>
                              <m:sSubPr>
                                <m:ctrlPr>
                                  <w:rPr>
                                    <w:rFonts w:ascii="Cambria Math" w:hAnsi="Cambria Math"/>
                                    <w:szCs w:val="18"/>
                                  </w:rPr>
                                </m:ctrlPr>
                              </m:sSubPr>
                              <m:e>
                                <m:r>
                                  <m:rPr>
                                    <m:sty m:val="p"/>
                                  </m:rPr>
                                  <w:rPr>
                                    <w:rFonts w:ascii="Cambria Math" w:hAnsi="Cambria Math"/>
                                    <w:szCs w:val="18"/>
                                  </w:rPr>
                                  <m:t>y</m:t>
                                </m:r>
                              </m:e>
                              <m:sub>
                                <m:r>
                                  <m:rPr>
                                    <m:sty m:val="p"/>
                                  </m:rPr>
                                  <w:rPr>
                                    <w:rFonts w:ascii="Cambria Math" w:hAnsi="Cambria Math"/>
                                    <w:szCs w:val="18"/>
                                  </w:rPr>
                                  <m:t>i</m:t>
                                </m:r>
                              </m:sub>
                            </m:sSub>
                          </m:e>
                        </m:acc>
                        <m:r>
                          <m:rPr>
                            <m:sty m:val="p"/>
                          </m:rPr>
                          <w:rPr>
                            <w:rFonts w:ascii="Cambria Math" w:hAnsi="Cambria Math"/>
                            <w:szCs w:val="18"/>
                          </w:rPr>
                          <m:t>-</m:t>
                        </m:r>
                        <m:acc>
                          <m:accPr>
                            <m:chr m:val="̅"/>
                            <m:ctrlPr>
                              <w:rPr>
                                <w:rFonts w:ascii="Cambria Math" w:hAnsi="Cambria Math"/>
                                <w:szCs w:val="18"/>
                              </w:rPr>
                            </m:ctrlPr>
                          </m:accPr>
                          <m:e>
                            <m:r>
                              <m:rPr>
                                <m:sty m:val="p"/>
                              </m:rPr>
                              <w:rPr>
                                <w:rFonts w:ascii="Cambria Math" w:hAnsi="Cambria Math"/>
                                <w:szCs w:val="18"/>
                              </w:rPr>
                              <m:t>y</m:t>
                            </m:r>
                          </m:e>
                        </m:acc>
                      </m:e>
                    </m:d>
                  </m:e>
                  <m:sup>
                    <m:r>
                      <m:rPr>
                        <m:sty m:val="p"/>
                      </m:rPr>
                      <w:rPr>
                        <w:rFonts w:ascii="Cambria Math" w:hAnsi="Cambria Math"/>
                        <w:szCs w:val="18"/>
                      </w:rPr>
                      <m:t>2</m:t>
                    </m:r>
                  </m:sup>
                </m:sSup>
              </m:e>
            </m:nary>
          </m:e>
        </m:rad>
      </m:oMath>
      <w:r w:rsidRPr="00FC1313">
        <w:rPr>
          <w:szCs w:val="18"/>
        </w:rPr>
        <w:tab/>
      </w:r>
      <w:r w:rsidRPr="00FC1313">
        <w:rPr>
          <w:szCs w:val="18"/>
        </w:rPr>
        <w:tab/>
      </w:r>
      <w:r w:rsidRPr="00FC1313">
        <w:rPr>
          <w:szCs w:val="18"/>
        </w:rPr>
        <w:tab/>
        <w:t>(2)</w:t>
      </w:r>
    </w:p>
    <w:p w:rsidR="00EF2867" w:rsidRPr="00FC1313" w:rsidRDefault="00EF2867" w:rsidP="00EF2867">
      <w:pPr>
        <w:pStyle w:val="CETBodytext"/>
        <w:rPr>
          <w:szCs w:val="18"/>
        </w:rPr>
      </w:pPr>
      <m:oMath>
        <m:r>
          <m:rPr>
            <m:sty m:val="p"/>
          </m:rPr>
          <w:rPr>
            <w:rFonts w:ascii="Cambria Math" w:hAnsi="Cambria Math"/>
            <w:szCs w:val="18"/>
          </w:rPr>
          <m:t>SEC=</m:t>
        </m:r>
        <m:rad>
          <m:radPr>
            <m:degHide m:val="on"/>
            <m:ctrlPr>
              <w:rPr>
                <w:rFonts w:ascii="Cambria Math" w:hAnsi="Cambria Math"/>
                <w:szCs w:val="18"/>
              </w:rPr>
            </m:ctrlPr>
          </m:radPr>
          <m:deg/>
          <m:e>
            <m:f>
              <m:fPr>
                <m:ctrlPr>
                  <w:rPr>
                    <w:rFonts w:ascii="Cambria Math" w:hAnsi="Cambria Math"/>
                    <w:szCs w:val="18"/>
                  </w:rPr>
                </m:ctrlPr>
              </m:fPr>
              <m:num>
                <m:r>
                  <m:rPr>
                    <m:sty m:val="p"/>
                  </m:rPr>
                  <w:rPr>
                    <w:rFonts w:ascii="Cambria Math" w:hAnsi="Cambria Math"/>
                    <w:szCs w:val="18"/>
                  </w:rPr>
                  <m:t>1</m:t>
                </m:r>
              </m:num>
              <m:den>
                <m:sSub>
                  <m:sSubPr>
                    <m:ctrlPr>
                      <w:rPr>
                        <w:rFonts w:ascii="Cambria Math" w:hAnsi="Cambria Math"/>
                        <w:szCs w:val="18"/>
                      </w:rPr>
                    </m:ctrlPr>
                  </m:sSubPr>
                  <m:e>
                    <m:r>
                      <m:rPr>
                        <m:sty m:val="p"/>
                      </m:rPr>
                      <w:rPr>
                        <w:rFonts w:ascii="Cambria Math" w:hAnsi="Cambria Math"/>
                        <w:szCs w:val="18"/>
                      </w:rPr>
                      <m:t>I</m:t>
                    </m:r>
                  </m:e>
                  <m:sub>
                    <m:r>
                      <m:rPr>
                        <m:sty m:val="p"/>
                      </m:rPr>
                      <w:rPr>
                        <w:rFonts w:ascii="Cambria Math" w:hAnsi="Cambria Math"/>
                        <w:szCs w:val="18"/>
                      </w:rPr>
                      <m:t>c</m:t>
                    </m:r>
                  </m:sub>
                </m:sSub>
                <m:r>
                  <m:rPr>
                    <m:sty m:val="p"/>
                  </m:rPr>
                  <w:rPr>
                    <w:rFonts w:ascii="Cambria Math" w:hAnsi="Cambria Math"/>
                    <w:szCs w:val="18"/>
                  </w:rPr>
                  <m:t>-1</m:t>
                </m:r>
              </m:den>
            </m:f>
            <m:nary>
              <m:naryPr>
                <m:chr m:val="∑"/>
                <m:limLoc m:val="undOvr"/>
                <m:ctrlPr>
                  <w:rPr>
                    <w:rFonts w:ascii="Cambria Math" w:hAnsi="Cambria Math"/>
                    <w:szCs w:val="18"/>
                  </w:rPr>
                </m:ctrlPr>
              </m:naryPr>
              <m:sub>
                <m:r>
                  <m:rPr>
                    <m:sty m:val="p"/>
                  </m:rPr>
                  <w:rPr>
                    <w:rFonts w:ascii="Cambria Math" w:hAnsi="Cambria Math"/>
                    <w:szCs w:val="18"/>
                  </w:rPr>
                  <m:t>i=1</m:t>
                </m:r>
              </m:sub>
              <m:sup>
                <m:sSub>
                  <m:sSubPr>
                    <m:ctrlPr>
                      <w:rPr>
                        <w:rFonts w:ascii="Cambria Math" w:hAnsi="Cambria Math"/>
                        <w:szCs w:val="18"/>
                      </w:rPr>
                    </m:ctrlPr>
                  </m:sSubPr>
                  <m:e>
                    <m:r>
                      <m:rPr>
                        <m:sty m:val="p"/>
                      </m:rPr>
                      <w:rPr>
                        <w:rFonts w:ascii="Cambria Math" w:hAnsi="Cambria Math"/>
                        <w:szCs w:val="18"/>
                      </w:rPr>
                      <m:t>I</m:t>
                    </m:r>
                  </m:e>
                  <m:sub>
                    <m:r>
                      <m:rPr>
                        <m:sty m:val="p"/>
                      </m:rPr>
                      <w:rPr>
                        <w:rFonts w:ascii="Cambria Math" w:hAnsi="Cambria Math"/>
                        <w:szCs w:val="18"/>
                      </w:rPr>
                      <m:t>c</m:t>
                    </m:r>
                  </m:sub>
                </m:sSub>
              </m:sup>
              <m:e>
                <m:sSup>
                  <m:sSupPr>
                    <m:ctrlPr>
                      <w:rPr>
                        <w:rFonts w:ascii="Cambria Math" w:hAnsi="Cambria Math"/>
                        <w:szCs w:val="18"/>
                      </w:rPr>
                    </m:ctrlPr>
                  </m:sSupPr>
                  <m:e>
                    <m:d>
                      <m:dPr>
                        <m:ctrlPr>
                          <w:rPr>
                            <w:rFonts w:ascii="Cambria Math" w:hAnsi="Cambria Math"/>
                            <w:szCs w:val="18"/>
                          </w:rPr>
                        </m:ctrlPr>
                      </m:dPr>
                      <m:e>
                        <m:acc>
                          <m:accPr>
                            <m:ctrlPr>
                              <w:rPr>
                                <w:rFonts w:ascii="Cambria Math" w:hAnsi="Cambria Math"/>
                                <w:szCs w:val="18"/>
                              </w:rPr>
                            </m:ctrlPr>
                          </m:accPr>
                          <m:e>
                            <m:sSub>
                              <m:sSubPr>
                                <m:ctrlPr>
                                  <w:rPr>
                                    <w:rFonts w:ascii="Cambria Math" w:hAnsi="Cambria Math"/>
                                    <w:szCs w:val="18"/>
                                  </w:rPr>
                                </m:ctrlPr>
                              </m:sSubPr>
                              <m:e>
                                <m:r>
                                  <m:rPr>
                                    <m:sty m:val="p"/>
                                  </m:rPr>
                                  <w:rPr>
                                    <w:rFonts w:ascii="Cambria Math" w:hAnsi="Cambria Math"/>
                                    <w:szCs w:val="18"/>
                                  </w:rPr>
                                  <m:t>y</m:t>
                                </m:r>
                              </m:e>
                              <m:sub>
                                <m:r>
                                  <m:rPr>
                                    <m:sty m:val="p"/>
                                  </m:rPr>
                                  <w:rPr>
                                    <w:rFonts w:ascii="Cambria Math" w:hAnsi="Cambria Math"/>
                                    <w:szCs w:val="18"/>
                                  </w:rPr>
                                  <m:t>i</m:t>
                                </m:r>
                              </m:sub>
                            </m:sSub>
                          </m:e>
                        </m:acc>
                        <m:r>
                          <m:rPr>
                            <m:sty m:val="p"/>
                          </m:rPr>
                          <w:rPr>
                            <w:rFonts w:ascii="Cambria Math" w:hAnsi="Cambria Math"/>
                            <w:szCs w:val="18"/>
                          </w:rPr>
                          <m:t>-</m:t>
                        </m:r>
                        <m:acc>
                          <m:accPr>
                            <m:chr m:val="̅"/>
                            <m:ctrlPr>
                              <w:rPr>
                                <w:rFonts w:ascii="Cambria Math" w:hAnsi="Cambria Math"/>
                                <w:szCs w:val="18"/>
                              </w:rPr>
                            </m:ctrlPr>
                          </m:accPr>
                          <m:e>
                            <m:r>
                              <m:rPr>
                                <m:sty m:val="p"/>
                              </m:rPr>
                              <w:rPr>
                                <w:rFonts w:ascii="Cambria Math" w:hAnsi="Cambria Math"/>
                                <w:szCs w:val="18"/>
                              </w:rPr>
                              <m:t>y</m:t>
                            </m:r>
                          </m:e>
                        </m:acc>
                      </m:e>
                    </m:d>
                  </m:e>
                  <m:sup>
                    <m:r>
                      <m:rPr>
                        <m:sty m:val="p"/>
                      </m:rPr>
                      <w:rPr>
                        <w:rFonts w:ascii="Cambria Math" w:hAnsi="Cambria Math"/>
                        <w:szCs w:val="18"/>
                      </w:rPr>
                      <m:t>2</m:t>
                    </m:r>
                  </m:sup>
                </m:sSup>
              </m:e>
            </m:nary>
          </m:e>
        </m:rad>
      </m:oMath>
      <w:r w:rsidRPr="00FC1313">
        <w:rPr>
          <w:szCs w:val="18"/>
        </w:rPr>
        <w:tab/>
      </w:r>
      <w:r w:rsidRPr="00FC1313">
        <w:rPr>
          <w:szCs w:val="18"/>
        </w:rPr>
        <w:tab/>
      </w:r>
      <w:r w:rsidRPr="00FC1313">
        <w:rPr>
          <w:szCs w:val="18"/>
        </w:rPr>
        <w:tab/>
        <w:t>(3)</w:t>
      </w:r>
    </w:p>
    <w:p w:rsidR="00EF2867" w:rsidRPr="00FC1313" w:rsidRDefault="00EF2867" w:rsidP="00EF2867">
      <w:pPr>
        <w:pStyle w:val="CETBodytext"/>
        <w:rPr>
          <w:szCs w:val="18"/>
        </w:rPr>
      </w:pPr>
    </w:p>
    <w:p w:rsidR="00EF2867" w:rsidRDefault="00E75C88" w:rsidP="00EF2867">
      <w:pPr>
        <w:pStyle w:val="CETBodytext"/>
        <w:rPr>
          <w:szCs w:val="18"/>
        </w:rPr>
      </w:pPr>
      <w:r>
        <w:rPr>
          <w:szCs w:val="18"/>
        </w:rPr>
        <w:t>w</w:t>
      </w:r>
      <w:r w:rsidR="00EF2867" w:rsidRPr="00FC1313">
        <w:rPr>
          <w:szCs w:val="18"/>
        </w:rPr>
        <w:t xml:space="preserve">here </w:t>
      </w:r>
      <m:oMath>
        <m:sSub>
          <m:sSubPr>
            <m:ctrlPr>
              <w:rPr>
                <w:rFonts w:ascii="Cambria Math" w:hAnsi="Cambria Math"/>
                <w:szCs w:val="18"/>
              </w:rPr>
            </m:ctrlPr>
          </m:sSubPr>
          <m:e>
            <m:r>
              <m:rPr>
                <m:sty m:val="p"/>
              </m:rPr>
              <w:rPr>
                <w:rFonts w:ascii="Cambria Math" w:hAnsi="Cambria Math"/>
                <w:szCs w:val="18"/>
              </w:rPr>
              <m:t>I</m:t>
            </m:r>
          </m:e>
          <m:sub>
            <m:r>
              <m:rPr>
                <m:sty m:val="p"/>
              </m:rPr>
              <w:rPr>
                <w:rFonts w:ascii="Cambria Math" w:hAnsi="Cambria Math"/>
                <w:szCs w:val="18"/>
              </w:rPr>
              <m:t>c</m:t>
            </m:r>
          </m:sub>
        </m:sSub>
      </m:oMath>
      <w:r>
        <w:rPr>
          <w:szCs w:val="18"/>
        </w:rPr>
        <w:t xml:space="preserve"> is the</w:t>
      </w:r>
      <w:r w:rsidR="00EF2867" w:rsidRPr="00FC1313">
        <w:rPr>
          <w:szCs w:val="18"/>
        </w:rPr>
        <w:t xml:space="preserve"> number of observations in </w:t>
      </w:r>
      <w:r>
        <w:rPr>
          <w:szCs w:val="18"/>
        </w:rPr>
        <w:t xml:space="preserve">the </w:t>
      </w:r>
      <w:r w:rsidR="00EF2867" w:rsidRPr="00FC1313">
        <w:rPr>
          <w:szCs w:val="18"/>
        </w:rPr>
        <w:t xml:space="preserve">calibration set, </w:t>
      </w:r>
      <m:oMath>
        <m:acc>
          <m:accPr>
            <m:ctrlPr>
              <w:rPr>
                <w:rFonts w:ascii="Cambria Math" w:hAnsi="Cambria Math"/>
                <w:szCs w:val="18"/>
              </w:rPr>
            </m:ctrlPr>
          </m:accPr>
          <m:e>
            <m:sSub>
              <m:sSubPr>
                <m:ctrlPr>
                  <w:rPr>
                    <w:rFonts w:ascii="Cambria Math" w:hAnsi="Cambria Math"/>
                    <w:szCs w:val="18"/>
                  </w:rPr>
                </m:ctrlPr>
              </m:sSubPr>
              <m:e>
                <m:r>
                  <m:rPr>
                    <m:sty m:val="p"/>
                  </m:rPr>
                  <w:rPr>
                    <w:rFonts w:ascii="Cambria Math" w:hAnsi="Cambria Math"/>
                    <w:szCs w:val="18"/>
                  </w:rPr>
                  <m:t>y</m:t>
                </m:r>
              </m:e>
              <m:sub>
                <m:r>
                  <m:rPr>
                    <m:sty m:val="p"/>
                  </m:rPr>
                  <w:rPr>
                    <w:rFonts w:ascii="Cambria Math" w:hAnsi="Cambria Math"/>
                    <w:szCs w:val="18"/>
                  </w:rPr>
                  <m:t>i</m:t>
                </m:r>
              </m:sub>
            </m:sSub>
          </m:e>
        </m:acc>
      </m:oMath>
      <w:r w:rsidR="00EF2867" w:rsidRPr="00FC1313">
        <w:rPr>
          <w:szCs w:val="18"/>
        </w:rPr>
        <w:t xml:space="preserve"> and </w:t>
      </w:r>
      <m:oMath>
        <m:sSub>
          <m:sSubPr>
            <m:ctrlPr>
              <w:rPr>
                <w:rFonts w:ascii="Cambria Math" w:hAnsi="Cambria Math"/>
                <w:szCs w:val="18"/>
              </w:rPr>
            </m:ctrlPr>
          </m:sSubPr>
          <m:e>
            <m:r>
              <m:rPr>
                <m:sty m:val="p"/>
              </m:rPr>
              <w:rPr>
                <w:rFonts w:ascii="Cambria Math" w:hAnsi="Cambria Math"/>
                <w:szCs w:val="18"/>
              </w:rPr>
              <m:t>y</m:t>
            </m:r>
          </m:e>
          <m:sub>
            <m:r>
              <m:rPr>
                <m:sty m:val="p"/>
              </m:rPr>
              <w:rPr>
                <w:rFonts w:ascii="Cambria Math" w:hAnsi="Cambria Math"/>
                <w:szCs w:val="18"/>
              </w:rPr>
              <m:t>i</m:t>
            </m:r>
          </m:sub>
        </m:sSub>
      </m:oMath>
      <w:r w:rsidR="00EF2867" w:rsidRPr="00FC1313">
        <w:rPr>
          <w:szCs w:val="18"/>
        </w:rPr>
        <w:t xml:space="preserve"> are respectively predicted and observed values and </w:t>
      </w:r>
      <m:oMath>
        <m:acc>
          <m:accPr>
            <m:chr m:val="̅"/>
            <m:ctrlPr>
              <w:rPr>
                <w:rFonts w:ascii="Cambria Math" w:hAnsi="Cambria Math"/>
                <w:szCs w:val="18"/>
              </w:rPr>
            </m:ctrlPr>
          </m:accPr>
          <m:e>
            <m:r>
              <m:rPr>
                <m:sty m:val="p"/>
              </m:rPr>
              <w:rPr>
                <w:rFonts w:ascii="Cambria Math" w:hAnsi="Cambria Math"/>
                <w:szCs w:val="18"/>
              </w:rPr>
              <m:t>y</m:t>
            </m:r>
          </m:e>
        </m:acc>
      </m:oMath>
      <w:r w:rsidR="00EF2867" w:rsidRPr="00FC1313">
        <w:rPr>
          <w:szCs w:val="18"/>
        </w:rPr>
        <w:t xml:space="preserve"> in (2) and (3) </w:t>
      </w:r>
      <w:r w:rsidRPr="00FC1313">
        <w:rPr>
          <w:szCs w:val="18"/>
        </w:rPr>
        <w:t xml:space="preserve">respectively </w:t>
      </w:r>
      <w:r w:rsidR="00EF2867" w:rsidRPr="00FC1313">
        <w:rPr>
          <w:szCs w:val="18"/>
        </w:rPr>
        <w:t xml:space="preserve">represent the mean value in the validation and in the calibration set. </w:t>
      </w:r>
    </w:p>
    <w:p w:rsidR="00EF2867" w:rsidRPr="00FC1313" w:rsidRDefault="00EF2867" w:rsidP="00EF2867">
      <w:pPr>
        <w:pStyle w:val="CETBodytext"/>
        <w:rPr>
          <w:szCs w:val="18"/>
        </w:rPr>
      </w:pPr>
    </w:p>
    <w:p w:rsidR="00C8647B" w:rsidRPr="00E75C88" w:rsidRDefault="00E75C88" w:rsidP="00E75C88">
      <w:pPr>
        <w:pStyle w:val="CETHeading1"/>
        <w:tabs>
          <w:tab w:val="right" w:pos="7100"/>
        </w:tabs>
        <w:jc w:val="both"/>
        <w:rPr>
          <w:lang w:val="en-GB"/>
        </w:rPr>
      </w:pPr>
      <w:r w:rsidRPr="00E75C88">
        <w:rPr>
          <w:lang w:val="en-GB"/>
        </w:rPr>
        <w:t>Results and discussion</w:t>
      </w:r>
    </w:p>
    <w:p w:rsidR="00E75C88" w:rsidRPr="00E75C88" w:rsidRDefault="00E75C88" w:rsidP="00E75C88">
      <w:pPr>
        <w:pStyle w:val="CETheadingx"/>
      </w:pPr>
      <w:r w:rsidRPr="00E75C88">
        <w:t>Olive fruit NIR spectrum</w:t>
      </w:r>
    </w:p>
    <w:p w:rsidR="00E75C88" w:rsidRDefault="00E75C88" w:rsidP="00E75C88">
      <w:pPr>
        <w:pStyle w:val="CETBodytext"/>
      </w:pPr>
      <w:r w:rsidRPr="00E75C88">
        <w:t xml:space="preserve">Spectral data </w:t>
      </w:r>
      <w:r>
        <w:t>plots</w:t>
      </w:r>
      <w:r w:rsidRPr="00E75C88">
        <w:t xml:space="preserve"> for absorbance are shown in Figure </w:t>
      </w:r>
      <w:r w:rsidR="001C774F">
        <w:t>1; t</w:t>
      </w:r>
      <w:r w:rsidR="001C774F" w:rsidRPr="001C774F">
        <w:t>he wavelength</w:t>
      </w:r>
      <w:r w:rsidR="001C774F">
        <w:t xml:space="preserve"> range is 300-1140 nm with</w:t>
      </w:r>
      <w:r w:rsidR="001C774F" w:rsidRPr="001C774F">
        <w:t xml:space="preserve"> an increase in absorbance between 700-900 nm.</w:t>
      </w:r>
    </w:p>
    <w:p w:rsidR="001C774F" w:rsidRPr="00E75C88" w:rsidRDefault="001C774F" w:rsidP="00E75C88">
      <w:pPr>
        <w:pStyle w:val="CETBodytext"/>
      </w:pPr>
    </w:p>
    <w:p w:rsidR="001C774F" w:rsidRDefault="001C774F" w:rsidP="001C774F">
      <w:pPr>
        <w:pStyle w:val="CETBodytext"/>
        <w:jc w:val="left"/>
        <w:rPr>
          <w:noProof/>
          <w:lang w:val="it-IT" w:eastAsia="it-IT"/>
        </w:rPr>
      </w:pPr>
      <w:r w:rsidRPr="001C774F">
        <w:rPr>
          <w:noProof/>
          <w:lang w:val="it-IT" w:eastAsia="it-IT"/>
        </w:rPr>
        <w:drawing>
          <wp:inline distT="0" distB="0" distL="0" distR="0">
            <wp:extent cx="3533786" cy="2032908"/>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543685" cy="2038603"/>
                    </a:xfrm>
                    <a:prstGeom prst="rect">
                      <a:avLst/>
                    </a:prstGeom>
                    <a:noFill/>
                  </pic:spPr>
                </pic:pic>
              </a:graphicData>
            </a:graphic>
          </wp:inline>
        </w:drawing>
      </w:r>
    </w:p>
    <w:p w:rsidR="001C774F" w:rsidRPr="00B57B36" w:rsidRDefault="001C774F" w:rsidP="001C774F">
      <w:pPr>
        <w:pStyle w:val="CETCaption"/>
      </w:pPr>
      <w:r w:rsidRPr="00B57B36">
        <w:t xml:space="preserve">Figure 1: </w:t>
      </w:r>
      <w:r>
        <w:t>S</w:t>
      </w:r>
      <w:r w:rsidRPr="001C774F">
        <w:t xml:space="preserve">pectra for </w:t>
      </w:r>
      <w:proofErr w:type="spellStart"/>
      <w:r>
        <w:t>Nocellara</w:t>
      </w:r>
      <w:proofErr w:type="spellEnd"/>
      <w:r>
        <w:t xml:space="preserve"> del </w:t>
      </w:r>
      <w:proofErr w:type="spellStart"/>
      <w:r>
        <w:t>Belice</w:t>
      </w:r>
      <w:proofErr w:type="spellEnd"/>
      <w:r>
        <w:t xml:space="preserve"> table olives </w:t>
      </w:r>
      <w:r>
        <w:rPr>
          <w:rFonts w:eastAsia="Calibri"/>
        </w:rPr>
        <w:t xml:space="preserve">(n = 100) </w:t>
      </w:r>
      <w:r>
        <w:t xml:space="preserve">acquired by </w:t>
      </w:r>
      <w:r>
        <w:rPr>
          <w:rFonts w:eastAsia="Calibri"/>
        </w:rPr>
        <w:t>NCS001 vis NIR system (</w:t>
      </w:r>
      <w:proofErr w:type="spellStart"/>
      <w:r w:rsidRPr="00456206">
        <w:rPr>
          <w:rFonts w:eastAsia="Calibri"/>
        </w:rPr>
        <w:t>Sacmi</w:t>
      </w:r>
      <w:proofErr w:type="spellEnd"/>
      <w:r w:rsidRPr="00456206">
        <w:rPr>
          <w:rFonts w:eastAsia="Calibri"/>
        </w:rPr>
        <w:t>, Italy</w:t>
      </w:r>
      <w:r>
        <w:rPr>
          <w:rFonts w:eastAsia="Calibri"/>
        </w:rPr>
        <w:t xml:space="preserve">) </w:t>
      </w:r>
    </w:p>
    <w:p w:rsidR="004A3613" w:rsidRDefault="004A3613" w:rsidP="00E75C88">
      <w:pPr>
        <w:pStyle w:val="CETBodytext"/>
      </w:pPr>
      <w:proofErr w:type="spellStart"/>
      <w:r>
        <w:t>Cayuela</w:t>
      </w:r>
      <w:proofErr w:type="spellEnd"/>
      <w:r>
        <w:t xml:space="preserve"> et al. (2010), studying intact olives samples of</w:t>
      </w:r>
      <w:r w:rsidRPr="004A3613">
        <w:t xml:space="preserve"> </w:t>
      </w:r>
      <w:proofErr w:type="spellStart"/>
      <w:r w:rsidRPr="004A3613">
        <w:t>Picual</w:t>
      </w:r>
      <w:proofErr w:type="spellEnd"/>
      <w:r w:rsidRPr="004A3613">
        <w:t xml:space="preserve"> and </w:t>
      </w:r>
      <w:proofErr w:type="spellStart"/>
      <w:r w:rsidRPr="004A3613">
        <w:t>Arbequina</w:t>
      </w:r>
      <w:proofErr w:type="spellEnd"/>
      <w:r w:rsidRPr="004A3613">
        <w:t xml:space="preserve"> varieties</w:t>
      </w:r>
      <w:r>
        <w:t>,</w:t>
      </w:r>
      <w:r w:rsidRPr="004A3613">
        <w:t xml:space="preserve"> found that an increase in </w:t>
      </w:r>
      <w:r>
        <w:t>absorbance in the wavelengths</w:t>
      </w:r>
      <w:r w:rsidRPr="004A3613">
        <w:t xml:space="preserve"> 600-650 nm is due to the presence of anthocyanins, which determine the red </w:t>
      </w:r>
      <w:r w:rsidR="008A0919">
        <w:t>colour</w:t>
      </w:r>
      <w:r w:rsidRPr="004A3613">
        <w:t xml:space="preserve">, as well as the green and </w:t>
      </w:r>
      <w:r>
        <w:t xml:space="preserve">the yellow appear in 550-625 nm. The </w:t>
      </w:r>
      <w:r w:rsidRPr="004A3613">
        <w:t xml:space="preserve">wavelength </w:t>
      </w:r>
      <w:r>
        <w:t>range</w:t>
      </w:r>
      <w:r w:rsidRPr="004A3613">
        <w:t xml:space="preserve"> between 780 and 2500 nm for reflectance, and between 800 and 1725 nm for transmittance were analyzed to find optimal intervals to obtain the best correlations between physical parameters and spectroscopic measurements</w:t>
      </w:r>
      <w:r>
        <w:t xml:space="preserve"> in Turkish olives</w:t>
      </w:r>
      <w:r w:rsidRPr="004A3613">
        <w:t xml:space="preserve"> </w:t>
      </w:r>
      <w:r>
        <w:t>(</w:t>
      </w:r>
      <w:proofErr w:type="spellStart"/>
      <w:r>
        <w:t>Kavdir</w:t>
      </w:r>
      <w:proofErr w:type="spellEnd"/>
      <w:r>
        <w:t xml:space="preserve"> et al., </w:t>
      </w:r>
      <w:r w:rsidRPr="004A3613">
        <w:t>2009).</w:t>
      </w:r>
      <w:r>
        <w:t xml:space="preserve"> </w:t>
      </w:r>
      <w:r w:rsidRPr="004A3613">
        <w:t xml:space="preserve">Other studies suggest that the region between 700 </w:t>
      </w:r>
      <w:r>
        <w:t>and 950 nm of the near infrared</w:t>
      </w:r>
      <w:r w:rsidRPr="004A3613">
        <w:t xml:space="preserve"> can be useful to distinguish damaged olives according to the diffe</w:t>
      </w:r>
      <w:r>
        <w:t>rent levels of absorbed energy (</w:t>
      </w:r>
      <w:proofErr w:type="spellStart"/>
      <w:r>
        <w:t>Jimènez-Jimènez</w:t>
      </w:r>
      <w:proofErr w:type="spellEnd"/>
      <w:r>
        <w:t xml:space="preserve"> et al., </w:t>
      </w:r>
      <w:r w:rsidRPr="004A3613">
        <w:t>2012).</w:t>
      </w:r>
      <w:r>
        <w:t xml:space="preserve"> </w:t>
      </w:r>
      <w:r w:rsidRPr="004A3613">
        <w:t>Although in literature many studies report the creation of calibration models with a pretreatment of the spectra for a correct use of NIR, this allows to obtain useful and significant results (</w:t>
      </w:r>
      <w:proofErr w:type="spellStart"/>
      <w:r w:rsidRPr="004A3613">
        <w:t>Fernández</w:t>
      </w:r>
      <w:proofErr w:type="spellEnd"/>
      <w:r w:rsidRPr="004A3613">
        <w:t>-Cabañas et al., 2008).</w:t>
      </w:r>
    </w:p>
    <w:p w:rsidR="004A3613" w:rsidRDefault="004A3613" w:rsidP="00E75C88">
      <w:pPr>
        <w:pStyle w:val="CETBodytext"/>
      </w:pPr>
      <w:r>
        <w:t>Table 2</w:t>
      </w:r>
      <w:r w:rsidRPr="004A3613">
        <w:t xml:space="preserve"> shows the descriptive statistics of the parameters calculated on the raw data (firmness</w:t>
      </w:r>
      <w:r w:rsidR="008A0919">
        <w:t>,</w:t>
      </w:r>
      <w:r w:rsidRPr="004A3613">
        <w:t xml:space="preserve"> </w:t>
      </w:r>
      <w:proofErr w:type="spellStart"/>
      <w:r w:rsidRPr="004A3613">
        <w:t>chroma</w:t>
      </w:r>
      <w:proofErr w:type="spellEnd"/>
      <w:r w:rsidRPr="004A3613">
        <w:t xml:space="preserve"> and hue) and on the transformed data (firmness_01, chroma_01 and hue_01).</w:t>
      </w:r>
    </w:p>
    <w:tbl>
      <w:tblPr>
        <w:tblW w:w="3983" w:type="pct"/>
        <w:tblCellMar>
          <w:left w:w="70" w:type="dxa"/>
          <w:right w:w="70" w:type="dxa"/>
        </w:tblCellMar>
        <w:tblLook w:val="04A0"/>
      </w:tblPr>
      <w:tblGrid>
        <w:gridCol w:w="1502"/>
        <w:gridCol w:w="2386"/>
        <w:gridCol w:w="920"/>
        <w:gridCol w:w="917"/>
        <w:gridCol w:w="773"/>
        <w:gridCol w:w="776"/>
      </w:tblGrid>
      <w:tr w:rsidR="004A3613" w:rsidRPr="004A3613" w:rsidTr="004A3613">
        <w:trPr>
          <w:trHeight w:val="458"/>
        </w:trPr>
        <w:tc>
          <w:tcPr>
            <w:tcW w:w="5000" w:type="pct"/>
            <w:gridSpan w:val="6"/>
            <w:tcBorders>
              <w:top w:val="nil"/>
              <w:left w:val="nil"/>
              <w:bottom w:val="single" w:sz="12" w:space="0" w:color="008000"/>
              <w:right w:val="nil"/>
            </w:tcBorders>
            <w:shd w:val="clear" w:color="auto" w:fill="auto"/>
            <w:noWrap/>
            <w:vAlign w:val="bottom"/>
          </w:tcPr>
          <w:p w:rsidR="004A3613" w:rsidRPr="004A3613" w:rsidRDefault="004A3613" w:rsidP="004A3613">
            <w:pPr>
              <w:pStyle w:val="CET-table-title"/>
              <w:rPr>
                <w:lang w:val="en-GB"/>
              </w:rPr>
            </w:pPr>
            <w:r w:rsidRPr="004A3613">
              <w:rPr>
                <w:lang w:val="en-GB"/>
              </w:rPr>
              <w:t xml:space="preserve">Table </w:t>
            </w:r>
            <w:r>
              <w:rPr>
                <w:lang w:val="en-GB"/>
              </w:rPr>
              <w:t>2</w:t>
            </w:r>
            <w:r w:rsidRPr="004A3613">
              <w:rPr>
                <w:lang w:val="en-GB"/>
              </w:rPr>
              <w:t>. Descriptive stat</w:t>
            </w:r>
            <w:r>
              <w:rPr>
                <w:lang w:val="en-GB"/>
              </w:rPr>
              <w:t>istics in pre-calibration and</w:t>
            </w:r>
            <w:r w:rsidRPr="004A3613">
              <w:rPr>
                <w:lang w:val="en-GB"/>
              </w:rPr>
              <w:t xml:space="preserve"> transformed </w:t>
            </w:r>
            <w:r>
              <w:rPr>
                <w:lang w:val="en-GB"/>
              </w:rPr>
              <w:t xml:space="preserve">data </w:t>
            </w:r>
            <w:r w:rsidRPr="004A3613">
              <w:rPr>
                <w:lang w:val="en-GB"/>
              </w:rPr>
              <w:t>sets (calibration set)</w:t>
            </w:r>
          </w:p>
        </w:tc>
      </w:tr>
      <w:tr w:rsidR="004A3613" w:rsidRPr="00297868" w:rsidTr="004A3613">
        <w:trPr>
          <w:trHeight w:val="300"/>
        </w:trPr>
        <w:tc>
          <w:tcPr>
            <w:tcW w:w="1032" w:type="pct"/>
            <w:tcBorders>
              <w:top w:val="single" w:sz="12" w:space="0" w:color="008000"/>
              <w:left w:val="nil"/>
              <w:bottom w:val="single" w:sz="4" w:space="0" w:color="008000"/>
              <w:right w:val="nil"/>
            </w:tcBorders>
            <w:shd w:val="clear" w:color="auto" w:fill="auto"/>
            <w:noWrap/>
            <w:vAlign w:val="bottom"/>
            <w:hideMark/>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Variable</w:t>
            </w:r>
          </w:p>
        </w:tc>
        <w:tc>
          <w:tcPr>
            <w:tcW w:w="1640" w:type="pct"/>
            <w:tcBorders>
              <w:top w:val="single" w:sz="12" w:space="0" w:color="008000"/>
              <w:left w:val="nil"/>
              <w:bottom w:val="single" w:sz="4" w:space="0" w:color="008000"/>
              <w:right w:val="nil"/>
            </w:tcBorders>
            <w:shd w:val="clear" w:color="auto" w:fill="auto"/>
            <w:noWrap/>
            <w:vAlign w:val="bottom"/>
            <w:hideMark/>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 xml:space="preserve">Number of samples (fruit) </w:t>
            </w:r>
          </w:p>
        </w:tc>
        <w:tc>
          <w:tcPr>
            <w:tcW w:w="632" w:type="pct"/>
            <w:tcBorders>
              <w:top w:val="single" w:sz="12" w:space="0" w:color="008000"/>
              <w:left w:val="nil"/>
              <w:bottom w:val="single" w:sz="4" w:space="0" w:color="008000"/>
              <w:right w:val="nil"/>
            </w:tcBorders>
            <w:shd w:val="clear" w:color="auto" w:fill="auto"/>
            <w:noWrap/>
            <w:vAlign w:val="bottom"/>
            <w:hideMark/>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Mean</w:t>
            </w:r>
          </w:p>
        </w:tc>
        <w:tc>
          <w:tcPr>
            <w:tcW w:w="630" w:type="pct"/>
            <w:tcBorders>
              <w:top w:val="single" w:sz="12" w:space="0" w:color="008000"/>
              <w:left w:val="nil"/>
              <w:bottom w:val="single" w:sz="4" w:space="0" w:color="008000"/>
              <w:right w:val="nil"/>
            </w:tcBorders>
            <w:shd w:val="clear" w:color="auto" w:fill="auto"/>
            <w:noWrap/>
            <w:vAlign w:val="bottom"/>
            <w:hideMark/>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SEC</w:t>
            </w:r>
          </w:p>
        </w:tc>
        <w:tc>
          <w:tcPr>
            <w:tcW w:w="532" w:type="pct"/>
            <w:tcBorders>
              <w:top w:val="single" w:sz="12" w:space="0" w:color="008000"/>
              <w:left w:val="nil"/>
              <w:bottom w:val="single" w:sz="4" w:space="0" w:color="008000"/>
              <w:right w:val="nil"/>
            </w:tcBorders>
            <w:shd w:val="clear" w:color="auto" w:fill="auto"/>
            <w:noWrap/>
            <w:vAlign w:val="bottom"/>
            <w:hideMark/>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Min</w:t>
            </w:r>
          </w:p>
        </w:tc>
        <w:tc>
          <w:tcPr>
            <w:tcW w:w="535" w:type="pct"/>
            <w:tcBorders>
              <w:top w:val="single" w:sz="12" w:space="0" w:color="008000"/>
              <w:left w:val="nil"/>
              <w:bottom w:val="single" w:sz="4" w:space="0" w:color="008000"/>
              <w:right w:val="nil"/>
            </w:tcBorders>
            <w:shd w:val="clear" w:color="auto" w:fill="auto"/>
            <w:noWrap/>
            <w:vAlign w:val="bottom"/>
            <w:hideMark/>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Max</w:t>
            </w:r>
          </w:p>
        </w:tc>
      </w:tr>
      <w:tr w:rsidR="004A3613" w:rsidRPr="0024363E" w:rsidTr="004A3613">
        <w:trPr>
          <w:trHeight w:val="300"/>
        </w:trPr>
        <w:tc>
          <w:tcPr>
            <w:tcW w:w="1032" w:type="pct"/>
            <w:tcBorders>
              <w:top w:val="single" w:sz="4" w:space="0" w:color="008000"/>
              <w:left w:val="nil"/>
              <w:bottom w:val="nil"/>
              <w:right w:val="nil"/>
            </w:tcBorders>
            <w:shd w:val="clear" w:color="auto" w:fill="auto"/>
            <w:noWrap/>
            <w:vAlign w:val="bottom"/>
            <w:hideMark/>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 xml:space="preserve">Firmness </w:t>
            </w:r>
          </w:p>
        </w:tc>
        <w:tc>
          <w:tcPr>
            <w:tcW w:w="1640" w:type="pct"/>
            <w:tcBorders>
              <w:top w:val="single" w:sz="4" w:space="0" w:color="008000"/>
              <w:left w:val="nil"/>
              <w:bottom w:val="nil"/>
              <w:right w:val="nil"/>
            </w:tcBorders>
            <w:shd w:val="clear" w:color="auto" w:fill="auto"/>
            <w:noWrap/>
            <w:vAlign w:val="bottom"/>
            <w:hideMark/>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100</w:t>
            </w:r>
          </w:p>
        </w:tc>
        <w:tc>
          <w:tcPr>
            <w:tcW w:w="632" w:type="pct"/>
            <w:tcBorders>
              <w:top w:val="single" w:sz="4" w:space="0" w:color="008000"/>
              <w:left w:val="nil"/>
              <w:bottom w:val="nil"/>
              <w:right w:val="nil"/>
            </w:tcBorders>
            <w:shd w:val="clear" w:color="auto" w:fill="auto"/>
            <w:noWrap/>
            <w:vAlign w:val="bottom"/>
            <w:hideMark/>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32.81</w:t>
            </w:r>
          </w:p>
        </w:tc>
        <w:tc>
          <w:tcPr>
            <w:tcW w:w="630" w:type="pct"/>
            <w:tcBorders>
              <w:top w:val="single" w:sz="4" w:space="0" w:color="008000"/>
              <w:left w:val="nil"/>
              <w:bottom w:val="nil"/>
              <w:right w:val="nil"/>
            </w:tcBorders>
            <w:shd w:val="clear" w:color="auto" w:fill="auto"/>
            <w:noWrap/>
            <w:vAlign w:val="bottom"/>
            <w:hideMark/>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14.87</w:t>
            </w:r>
          </w:p>
        </w:tc>
        <w:tc>
          <w:tcPr>
            <w:tcW w:w="532" w:type="pct"/>
            <w:tcBorders>
              <w:top w:val="single" w:sz="4" w:space="0" w:color="008000"/>
              <w:left w:val="nil"/>
              <w:bottom w:val="nil"/>
              <w:right w:val="nil"/>
            </w:tcBorders>
            <w:shd w:val="clear" w:color="auto" w:fill="auto"/>
            <w:noWrap/>
            <w:vAlign w:val="bottom"/>
            <w:hideMark/>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6.6</w:t>
            </w:r>
          </w:p>
        </w:tc>
        <w:tc>
          <w:tcPr>
            <w:tcW w:w="535" w:type="pct"/>
            <w:tcBorders>
              <w:top w:val="single" w:sz="4" w:space="0" w:color="008000"/>
              <w:left w:val="nil"/>
              <w:bottom w:val="nil"/>
              <w:right w:val="nil"/>
            </w:tcBorders>
            <w:shd w:val="clear" w:color="auto" w:fill="auto"/>
            <w:noWrap/>
            <w:vAlign w:val="bottom"/>
            <w:hideMark/>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72.5</w:t>
            </w:r>
          </w:p>
        </w:tc>
      </w:tr>
      <w:tr w:rsidR="004A3613" w:rsidRPr="0024363E" w:rsidTr="004A3613">
        <w:trPr>
          <w:trHeight w:val="300"/>
        </w:trPr>
        <w:tc>
          <w:tcPr>
            <w:tcW w:w="1032" w:type="pct"/>
            <w:tcBorders>
              <w:top w:val="nil"/>
              <w:left w:val="nil"/>
              <w:bottom w:val="nil"/>
              <w:right w:val="nil"/>
            </w:tcBorders>
            <w:shd w:val="clear" w:color="auto" w:fill="auto"/>
            <w:noWrap/>
            <w:vAlign w:val="bottom"/>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 xml:space="preserve">Chroma </w:t>
            </w:r>
          </w:p>
        </w:tc>
        <w:tc>
          <w:tcPr>
            <w:tcW w:w="1640" w:type="pct"/>
            <w:tcBorders>
              <w:top w:val="nil"/>
              <w:left w:val="nil"/>
              <w:bottom w:val="nil"/>
              <w:right w:val="nil"/>
            </w:tcBorders>
            <w:shd w:val="clear" w:color="auto" w:fill="auto"/>
            <w:noWrap/>
            <w:vAlign w:val="bottom"/>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100</w:t>
            </w:r>
          </w:p>
        </w:tc>
        <w:tc>
          <w:tcPr>
            <w:tcW w:w="632" w:type="pct"/>
            <w:tcBorders>
              <w:top w:val="nil"/>
              <w:left w:val="nil"/>
              <w:bottom w:val="nil"/>
              <w:right w:val="nil"/>
            </w:tcBorders>
            <w:shd w:val="clear" w:color="auto" w:fill="auto"/>
            <w:noWrap/>
            <w:vAlign w:val="bottom"/>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38.63</w:t>
            </w:r>
          </w:p>
        </w:tc>
        <w:tc>
          <w:tcPr>
            <w:tcW w:w="630" w:type="pct"/>
            <w:tcBorders>
              <w:top w:val="nil"/>
              <w:left w:val="nil"/>
              <w:bottom w:val="nil"/>
              <w:right w:val="nil"/>
            </w:tcBorders>
            <w:shd w:val="clear" w:color="auto" w:fill="auto"/>
            <w:noWrap/>
            <w:vAlign w:val="bottom"/>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7.24</w:t>
            </w:r>
          </w:p>
        </w:tc>
        <w:tc>
          <w:tcPr>
            <w:tcW w:w="532" w:type="pct"/>
            <w:tcBorders>
              <w:top w:val="nil"/>
              <w:left w:val="nil"/>
              <w:bottom w:val="nil"/>
              <w:right w:val="nil"/>
            </w:tcBorders>
            <w:shd w:val="clear" w:color="auto" w:fill="auto"/>
            <w:noWrap/>
            <w:vAlign w:val="bottom"/>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20.82</w:t>
            </w:r>
          </w:p>
        </w:tc>
        <w:tc>
          <w:tcPr>
            <w:tcW w:w="535" w:type="pct"/>
            <w:tcBorders>
              <w:top w:val="nil"/>
              <w:left w:val="nil"/>
              <w:bottom w:val="nil"/>
              <w:right w:val="nil"/>
            </w:tcBorders>
            <w:shd w:val="clear" w:color="auto" w:fill="auto"/>
            <w:noWrap/>
            <w:vAlign w:val="bottom"/>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48.33</w:t>
            </w:r>
          </w:p>
        </w:tc>
      </w:tr>
      <w:tr w:rsidR="004A3613" w:rsidRPr="0024363E" w:rsidTr="004A3613">
        <w:trPr>
          <w:trHeight w:val="300"/>
        </w:trPr>
        <w:tc>
          <w:tcPr>
            <w:tcW w:w="1032" w:type="pct"/>
            <w:tcBorders>
              <w:top w:val="nil"/>
              <w:left w:val="nil"/>
              <w:bottom w:val="nil"/>
              <w:right w:val="nil"/>
            </w:tcBorders>
            <w:shd w:val="clear" w:color="auto" w:fill="auto"/>
            <w:noWrap/>
            <w:vAlign w:val="bottom"/>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 xml:space="preserve">Hue </w:t>
            </w:r>
          </w:p>
        </w:tc>
        <w:tc>
          <w:tcPr>
            <w:tcW w:w="1640" w:type="pct"/>
            <w:tcBorders>
              <w:top w:val="nil"/>
              <w:left w:val="nil"/>
              <w:bottom w:val="nil"/>
              <w:right w:val="nil"/>
            </w:tcBorders>
            <w:shd w:val="clear" w:color="auto" w:fill="auto"/>
            <w:noWrap/>
            <w:vAlign w:val="bottom"/>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100</w:t>
            </w:r>
          </w:p>
        </w:tc>
        <w:tc>
          <w:tcPr>
            <w:tcW w:w="632" w:type="pct"/>
            <w:tcBorders>
              <w:top w:val="nil"/>
              <w:left w:val="nil"/>
              <w:bottom w:val="nil"/>
              <w:right w:val="nil"/>
            </w:tcBorders>
            <w:shd w:val="clear" w:color="auto" w:fill="auto"/>
            <w:noWrap/>
            <w:vAlign w:val="bottom"/>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2.61</w:t>
            </w:r>
          </w:p>
        </w:tc>
        <w:tc>
          <w:tcPr>
            <w:tcW w:w="630" w:type="pct"/>
            <w:tcBorders>
              <w:top w:val="nil"/>
              <w:left w:val="nil"/>
              <w:bottom w:val="nil"/>
              <w:right w:val="nil"/>
            </w:tcBorders>
            <w:shd w:val="clear" w:color="auto" w:fill="auto"/>
            <w:noWrap/>
            <w:vAlign w:val="bottom"/>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1.52</w:t>
            </w:r>
          </w:p>
        </w:tc>
        <w:tc>
          <w:tcPr>
            <w:tcW w:w="532" w:type="pct"/>
            <w:tcBorders>
              <w:top w:val="nil"/>
              <w:left w:val="nil"/>
              <w:bottom w:val="nil"/>
              <w:right w:val="nil"/>
            </w:tcBorders>
            <w:shd w:val="clear" w:color="auto" w:fill="auto"/>
            <w:noWrap/>
            <w:vAlign w:val="bottom"/>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0</w:t>
            </w:r>
          </w:p>
        </w:tc>
        <w:tc>
          <w:tcPr>
            <w:tcW w:w="535" w:type="pct"/>
            <w:tcBorders>
              <w:top w:val="nil"/>
              <w:left w:val="nil"/>
              <w:bottom w:val="nil"/>
              <w:right w:val="nil"/>
            </w:tcBorders>
            <w:shd w:val="clear" w:color="auto" w:fill="auto"/>
            <w:noWrap/>
            <w:vAlign w:val="bottom"/>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11.06</w:t>
            </w:r>
          </w:p>
        </w:tc>
      </w:tr>
      <w:tr w:rsidR="004A3613" w:rsidRPr="0024363E" w:rsidTr="004A3613">
        <w:trPr>
          <w:trHeight w:val="300"/>
        </w:trPr>
        <w:tc>
          <w:tcPr>
            <w:tcW w:w="1032" w:type="pct"/>
            <w:tcBorders>
              <w:top w:val="nil"/>
              <w:left w:val="nil"/>
              <w:bottom w:val="nil"/>
              <w:right w:val="nil"/>
            </w:tcBorders>
            <w:shd w:val="clear" w:color="auto" w:fill="auto"/>
            <w:noWrap/>
            <w:vAlign w:val="bottom"/>
            <w:hideMark/>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Firmness 01</w:t>
            </w:r>
          </w:p>
        </w:tc>
        <w:tc>
          <w:tcPr>
            <w:tcW w:w="1640" w:type="pct"/>
            <w:tcBorders>
              <w:top w:val="nil"/>
              <w:left w:val="nil"/>
              <w:bottom w:val="nil"/>
              <w:right w:val="nil"/>
            </w:tcBorders>
            <w:shd w:val="clear" w:color="auto" w:fill="auto"/>
            <w:noWrap/>
            <w:vAlign w:val="bottom"/>
            <w:hideMark/>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100</w:t>
            </w:r>
          </w:p>
        </w:tc>
        <w:tc>
          <w:tcPr>
            <w:tcW w:w="632" w:type="pct"/>
            <w:tcBorders>
              <w:top w:val="nil"/>
              <w:left w:val="nil"/>
              <w:bottom w:val="nil"/>
              <w:right w:val="nil"/>
            </w:tcBorders>
            <w:shd w:val="clear" w:color="auto" w:fill="auto"/>
            <w:noWrap/>
            <w:vAlign w:val="bottom"/>
            <w:hideMark/>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32.42</w:t>
            </w:r>
          </w:p>
        </w:tc>
        <w:tc>
          <w:tcPr>
            <w:tcW w:w="630" w:type="pct"/>
            <w:tcBorders>
              <w:top w:val="nil"/>
              <w:left w:val="nil"/>
              <w:bottom w:val="nil"/>
              <w:right w:val="nil"/>
            </w:tcBorders>
            <w:shd w:val="clear" w:color="auto" w:fill="auto"/>
            <w:noWrap/>
            <w:vAlign w:val="bottom"/>
            <w:hideMark/>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14.51</w:t>
            </w:r>
          </w:p>
        </w:tc>
        <w:tc>
          <w:tcPr>
            <w:tcW w:w="532" w:type="pct"/>
            <w:tcBorders>
              <w:top w:val="nil"/>
              <w:left w:val="nil"/>
              <w:bottom w:val="nil"/>
              <w:right w:val="nil"/>
            </w:tcBorders>
            <w:shd w:val="clear" w:color="auto" w:fill="auto"/>
            <w:noWrap/>
            <w:vAlign w:val="bottom"/>
            <w:hideMark/>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6.6</w:t>
            </w:r>
          </w:p>
        </w:tc>
        <w:tc>
          <w:tcPr>
            <w:tcW w:w="535" w:type="pct"/>
            <w:tcBorders>
              <w:top w:val="nil"/>
              <w:left w:val="nil"/>
              <w:bottom w:val="nil"/>
              <w:right w:val="nil"/>
            </w:tcBorders>
            <w:shd w:val="clear" w:color="auto" w:fill="auto"/>
            <w:noWrap/>
            <w:vAlign w:val="bottom"/>
            <w:hideMark/>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72.5</w:t>
            </w:r>
          </w:p>
        </w:tc>
      </w:tr>
      <w:tr w:rsidR="004A3613" w:rsidRPr="0024363E" w:rsidTr="00CC3BA0">
        <w:trPr>
          <w:trHeight w:val="300"/>
        </w:trPr>
        <w:tc>
          <w:tcPr>
            <w:tcW w:w="1032" w:type="pct"/>
            <w:tcBorders>
              <w:top w:val="nil"/>
              <w:left w:val="nil"/>
              <w:right w:val="nil"/>
            </w:tcBorders>
            <w:shd w:val="clear" w:color="auto" w:fill="auto"/>
            <w:noWrap/>
            <w:vAlign w:val="bottom"/>
            <w:hideMark/>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Chroma 01</w:t>
            </w:r>
          </w:p>
        </w:tc>
        <w:tc>
          <w:tcPr>
            <w:tcW w:w="1640" w:type="pct"/>
            <w:tcBorders>
              <w:top w:val="nil"/>
              <w:left w:val="nil"/>
              <w:right w:val="nil"/>
            </w:tcBorders>
            <w:shd w:val="clear" w:color="auto" w:fill="auto"/>
            <w:noWrap/>
            <w:vAlign w:val="bottom"/>
            <w:hideMark/>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100</w:t>
            </w:r>
          </w:p>
        </w:tc>
        <w:tc>
          <w:tcPr>
            <w:tcW w:w="632" w:type="pct"/>
            <w:tcBorders>
              <w:top w:val="nil"/>
              <w:left w:val="nil"/>
              <w:right w:val="nil"/>
            </w:tcBorders>
            <w:shd w:val="clear" w:color="auto" w:fill="auto"/>
            <w:noWrap/>
            <w:vAlign w:val="bottom"/>
            <w:hideMark/>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38.92</w:t>
            </w:r>
          </w:p>
        </w:tc>
        <w:tc>
          <w:tcPr>
            <w:tcW w:w="630" w:type="pct"/>
            <w:tcBorders>
              <w:top w:val="nil"/>
              <w:left w:val="nil"/>
              <w:right w:val="nil"/>
            </w:tcBorders>
            <w:shd w:val="clear" w:color="auto" w:fill="auto"/>
            <w:noWrap/>
            <w:vAlign w:val="bottom"/>
            <w:hideMark/>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7.31</w:t>
            </w:r>
          </w:p>
        </w:tc>
        <w:tc>
          <w:tcPr>
            <w:tcW w:w="532" w:type="pct"/>
            <w:tcBorders>
              <w:top w:val="nil"/>
              <w:left w:val="nil"/>
              <w:right w:val="nil"/>
            </w:tcBorders>
            <w:shd w:val="clear" w:color="auto" w:fill="auto"/>
            <w:noWrap/>
            <w:vAlign w:val="bottom"/>
            <w:hideMark/>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20.82</w:t>
            </w:r>
          </w:p>
        </w:tc>
        <w:tc>
          <w:tcPr>
            <w:tcW w:w="535" w:type="pct"/>
            <w:tcBorders>
              <w:top w:val="nil"/>
              <w:left w:val="nil"/>
              <w:right w:val="nil"/>
            </w:tcBorders>
            <w:shd w:val="clear" w:color="auto" w:fill="auto"/>
            <w:noWrap/>
            <w:vAlign w:val="bottom"/>
            <w:hideMark/>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48.33</w:t>
            </w:r>
          </w:p>
        </w:tc>
      </w:tr>
      <w:tr w:rsidR="004A3613" w:rsidRPr="0024363E" w:rsidTr="004A3613">
        <w:trPr>
          <w:trHeight w:val="300"/>
        </w:trPr>
        <w:tc>
          <w:tcPr>
            <w:tcW w:w="1032" w:type="pct"/>
            <w:tcBorders>
              <w:top w:val="nil"/>
              <w:left w:val="nil"/>
              <w:bottom w:val="single" w:sz="12" w:space="0" w:color="008000"/>
              <w:right w:val="nil"/>
            </w:tcBorders>
            <w:shd w:val="clear" w:color="auto" w:fill="auto"/>
            <w:noWrap/>
            <w:vAlign w:val="bottom"/>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 xml:space="preserve">Hue 01 </w:t>
            </w:r>
          </w:p>
        </w:tc>
        <w:tc>
          <w:tcPr>
            <w:tcW w:w="1640" w:type="pct"/>
            <w:tcBorders>
              <w:top w:val="nil"/>
              <w:left w:val="nil"/>
              <w:bottom w:val="single" w:sz="12" w:space="0" w:color="008000"/>
              <w:right w:val="nil"/>
            </w:tcBorders>
            <w:shd w:val="clear" w:color="auto" w:fill="auto"/>
            <w:noWrap/>
            <w:vAlign w:val="bottom"/>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100</w:t>
            </w:r>
          </w:p>
        </w:tc>
        <w:tc>
          <w:tcPr>
            <w:tcW w:w="632" w:type="pct"/>
            <w:tcBorders>
              <w:top w:val="nil"/>
              <w:left w:val="nil"/>
              <w:bottom w:val="single" w:sz="12" w:space="0" w:color="008000"/>
              <w:right w:val="nil"/>
            </w:tcBorders>
            <w:shd w:val="clear" w:color="auto" w:fill="auto"/>
            <w:noWrap/>
            <w:vAlign w:val="bottom"/>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2.40</w:t>
            </w:r>
          </w:p>
        </w:tc>
        <w:tc>
          <w:tcPr>
            <w:tcW w:w="630" w:type="pct"/>
            <w:tcBorders>
              <w:top w:val="nil"/>
              <w:left w:val="nil"/>
              <w:bottom w:val="single" w:sz="12" w:space="0" w:color="008000"/>
              <w:right w:val="nil"/>
            </w:tcBorders>
            <w:shd w:val="clear" w:color="auto" w:fill="auto"/>
            <w:noWrap/>
            <w:vAlign w:val="bottom"/>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0.82</w:t>
            </w:r>
          </w:p>
        </w:tc>
        <w:tc>
          <w:tcPr>
            <w:tcW w:w="532" w:type="pct"/>
            <w:tcBorders>
              <w:top w:val="nil"/>
              <w:left w:val="nil"/>
              <w:bottom w:val="single" w:sz="12" w:space="0" w:color="008000"/>
              <w:right w:val="nil"/>
            </w:tcBorders>
            <w:shd w:val="clear" w:color="auto" w:fill="auto"/>
            <w:noWrap/>
            <w:vAlign w:val="bottom"/>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0</w:t>
            </w:r>
          </w:p>
        </w:tc>
        <w:tc>
          <w:tcPr>
            <w:tcW w:w="535" w:type="pct"/>
            <w:tcBorders>
              <w:top w:val="nil"/>
              <w:left w:val="nil"/>
              <w:bottom w:val="single" w:sz="12" w:space="0" w:color="008000"/>
              <w:right w:val="nil"/>
            </w:tcBorders>
            <w:shd w:val="clear" w:color="auto" w:fill="auto"/>
            <w:noWrap/>
            <w:vAlign w:val="bottom"/>
          </w:tcPr>
          <w:p w:rsidR="004A3613" w:rsidRPr="00570959" w:rsidRDefault="004A3613" w:rsidP="00CC3BA0">
            <w:pPr>
              <w:spacing w:line="240" w:lineRule="auto"/>
              <w:rPr>
                <w:rFonts w:eastAsia="Calibri"/>
                <w:szCs w:val="18"/>
                <w:lang w:val="en-US" w:eastAsia="it-IT"/>
              </w:rPr>
            </w:pPr>
            <w:r w:rsidRPr="00570959">
              <w:rPr>
                <w:rFonts w:eastAsia="Calibri"/>
                <w:szCs w:val="18"/>
                <w:lang w:val="en-US" w:eastAsia="it-IT"/>
              </w:rPr>
              <w:t>4.93</w:t>
            </w:r>
          </w:p>
        </w:tc>
      </w:tr>
    </w:tbl>
    <w:p w:rsidR="004A3613" w:rsidRDefault="004A3613" w:rsidP="00E75C88">
      <w:pPr>
        <w:pStyle w:val="CETBodytext"/>
      </w:pPr>
    </w:p>
    <w:p w:rsidR="0077029C" w:rsidRDefault="0077029C" w:rsidP="00C8647B">
      <w:pPr>
        <w:pStyle w:val="CETBodytext"/>
        <w:rPr>
          <w:rFonts w:eastAsia="Calibri"/>
          <w:szCs w:val="18"/>
          <w:lang w:eastAsia="it-IT"/>
        </w:rPr>
      </w:pPr>
      <w:r w:rsidRPr="0077029C">
        <w:rPr>
          <w:rFonts w:eastAsia="Calibri"/>
          <w:szCs w:val="18"/>
          <w:lang w:eastAsia="it-IT"/>
        </w:rPr>
        <w:t xml:space="preserve">Table </w:t>
      </w:r>
      <w:r w:rsidR="00CC3BA0">
        <w:rPr>
          <w:rFonts w:eastAsia="Calibri"/>
          <w:szCs w:val="18"/>
          <w:lang w:eastAsia="it-IT"/>
        </w:rPr>
        <w:t>3</w:t>
      </w:r>
      <w:r w:rsidRPr="0077029C">
        <w:rPr>
          <w:rFonts w:eastAsia="Calibri"/>
          <w:szCs w:val="18"/>
          <w:lang w:eastAsia="it-IT"/>
        </w:rPr>
        <w:t xml:space="preserve"> shows the </w:t>
      </w:r>
      <w:r>
        <w:rPr>
          <w:rFonts w:eastAsia="Calibri"/>
          <w:szCs w:val="18"/>
          <w:lang w:eastAsia="it-IT"/>
        </w:rPr>
        <w:t>ratio</w:t>
      </w:r>
      <w:r w:rsidRPr="0077029C">
        <w:rPr>
          <w:rFonts w:eastAsia="Calibri"/>
          <w:szCs w:val="18"/>
          <w:lang w:eastAsia="it-IT"/>
        </w:rPr>
        <w:t xml:space="preserve"> between </w:t>
      </w:r>
      <w:r>
        <w:rPr>
          <w:rFonts w:eastAsia="Calibri"/>
          <w:szCs w:val="18"/>
          <w:lang w:eastAsia="it-IT"/>
        </w:rPr>
        <w:t>SEC</w:t>
      </w:r>
      <w:r w:rsidRPr="0077029C">
        <w:rPr>
          <w:rFonts w:eastAsia="Calibri"/>
          <w:szCs w:val="18"/>
          <w:lang w:eastAsia="it-IT"/>
        </w:rPr>
        <w:t xml:space="preserve"> in the raw and transformed data in order to evaluate the gain of the transformation in the standard error of the parameters</w:t>
      </w:r>
      <w:r>
        <w:rPr>
          <w:rFonts w:eastAsia="Calibri"/>
          <w:szCs w:val="18"/>
          <w:lang w:eastAsia="it-IT"/>
        </w:rPr>
        <w:t xml:space="preserve">. </w:t>
      </w:r>
      <w:r w:rsidRPr="0077029C">
        <w:rPr>
          <w:rFonts w:eastAsia="Calibri"/>
          <w:szCs w:val="18"/>
          <w:lang w:eastAsia="it-IT"/>
        </w:rPr>
        <w:t xml:space="preserve">The data show that correcting raw data results in a standard error reduction for hue while the standard errors for firmness and chroma do not change. The correction was made for </w:t>
      </w:r>
      <w:proofErr w:type="spellStart"/>
      <w:r w:rsidRPr="0077029C">
        <w:rPr>
          <w:rFonts w:eastAsia="Calibri"/>
          <w:szCs w:val="18"/>
          <w:lang w:eastAsia="it-IT"/>
        </w:rPr>
        <w:t>chroma</w:t>
      </w:r>
      <w:proofErr w:type="spellEnd"/>
      <w:r w:rsidRPr="0077029C">
        <w:rPr>
          <w:rFonts w:eastAsia="Calibri"/>
          <w:szCs w:val="18"/>
          <w:lang w:eastAsia="it-IT"/>
        </w:rPr>
        <w:t xml:space="preserve"> and hue parameters of </w:t>
      </w:r>
      <w:r>
        <w:rPr>
          <w:rFonts w:eastAsia="Calibri"/>
          <w:szCs w:val="18"/>
          <w:lang w:eastAsia="it-IT"/>
        </w:rPr>
        <w:t>intact</w:t>
      </w:r>
      <w:r w:rsidRPr="0077029C">
        <w:rPr>
          <w:rFonts w:eastAsia="Calibri"/>
          <w:szCs w:val="18"/>
          <w:lang w:eastAsia="it-IT"/>
        </w:rPr>
        <w:t xml:space="preserve"> olives while for the damaged </w:t>
      </w:r>
      <w:r>
        <w:rPr>
          <w:rFonts w:eastAsia="Calibri"/>
          <w:szCs w:val="18"/>
          <w:lang w:eastAsia="it-IT"/>
        </w:rPr>
        <w:t>ones</w:t>
      </w:r>
      <w:r w:rsidRPr="0077029C">
        <w:rPr>
          <w:rFonts w:eastAsia="Calibri"/>
          <w:szCs w:val="18"/>
          <w:lang w:eastAsia="it-IT"/>
        </w:rPr>
        <w:t xml:space="preserve"> it was necessary to correct the abnormal values of the hue parameter.</w:t>
      </w:r>
    </w:p>
    <w:p w:rsidR="00CC3BA0" w:rsidRPr="00CC3BA0" w:rsidRDefault="00CC3BA0" w:rsidP="00CC3BA0">
      <w:pPr>
        <w:pStyle w:val="CET-table-title"/>
        <w:rPr>
          <w:lang w:val="en-GB"/>
        </w:rPr>
      </w:pPr>
      <w:r w:rsidRPr="00CC3BA0">
        <w:rPr>
          <w:lang w:val="en-GB"/>
        </w:rPr>
        <w:t xml:space="preserve">Table </w:t>
      </w:r>
      <w:r>
        <w:rPr>
          <w:lang w:val="en-GB"/>
        </w:rPr>
        <w:t>3</w:t>
      </w:r>
      <w:r w:rsidRPr="00CC3BA0">
        <w:rPr>
          <w:lang w:val="en-GB"/>
        </w:rPr>
        <w:t xml:space="preserve">. Descriptive statistics in raw data </w:t>
      </w:r>
    </w:p>
    <w:tbl>
      <w:tblPr>
        <w:tblW w:w="0" w:type="auto"/>
        <w:tblBorders>
          <w:top w:val="single" w:sz="12" w:space="0" w:color="008000"/>
          <w:bottom w:val="single" w:sz="12" w:space="0" w:color="008000"/>
        </w:tblBorders>
        <w:shd w:val="clear" w:color="auto" w:fill="FFFFFF"/>
        <w:tblCellMar>
          <w:left w:w="0" w:type="dxa"/>
          <w:right w:w="0" w:type="dxa"/>
        </w:tblCellMar>
        <w:tblLook w:val="00A0"/>
      </w:tblPr>
      <w:tblGrid>
        <w:gridCol w:w="1701"/>
        <w:gridCol w:w="993"/>
        <w:gridCol w:w="992"/>
        <w:gridCol w:w="850"/>
      </w:tblGrid>
      <w:tr w:rsidR="00CC3BA0" w:rsidRPr="00B57B36" w:rsidTr="00CC3BA0">
        <w:tc>
          <w:tcPr>
            <w:tcW w:w="1701" w:type="dxa"/>
            <w:tcBorders>
              <w:top w:val="single" w:sz="12" w:space="0" w:color="008000"/>
              <w:bottom w:val="single" w:sz="6" w:space="0" w:color="008000"/>
            </w:tcBorders>
            <w:shd w:val="clear" w:color="auto" w:fill="FFFFFF"/>
          </w:tcPr>
          <w:p w:rsidR="00CC3BA0" w:rsidRPr="00B57B36" w:rsidRDefault="00CC3BA0" w:rsidP="00CC3BA0">
            <w:pPr>
              <w:pStyle w:val="CETBodytext"/>
              <w:rPr>
                <w:lang w:val="en-GB"/>
              </w:rPr>
            </w:pPr>
            <w:r>
              <w:rPr>
                <w:lang w:val="en-GB"/>
              </w:rPr>
              <w:t>SEC</w:t>
            </w:r>
            <w:r w:rsidRPr="00B57B36">
              <w:rPr>
                <w:lang w:val="en-GB"/>
              </w:rPr>
              <w:t xml:space="preserve"> </w:t>
            </w:r>
          </w:p>
        </w:tc>
        <w:tc>
          <w:tcPr>
            <w:tcW w:w="993" w:type="dxa"/>
            <w:tcBorders>
              <w:top w:val="single" w:sz="12" w:space="0" w:color="008000"/>
              <w:bottom w:val="single" w:sz="6" w:space="0" w:color="008000"/>
            </w:tcBorders>
            <w:shd w:val="clear" w:color="auto" w:fill="FFFFFF"/>
          </w:tcPr>
          <w:p w:rsidR="00CC3BA0" w:rsidRPr="00B57B36" w:rsidRDefault="00CC3BA0" w:rsidP="00CC3BA0">
            <w:pPr>
              <w:pStyle w:val="CETBodytext"/>
              <w:rPr>
                <w:lang w:val="en-GB"/>
              </w:rPr>
            </w:pPr>
            <w:r>
              <w:rPr>
                <w:lang w:val="en-GB"/>
              </w:rPr>
              <w:t>Firmness</w:t>
            </w:r>
          </w:p>
        </w:tc>
        <w:tc>
          <w:tcPr>
            <w:tcW w:w="992" w:type="dxa"/>
            <w:tcBorders>
              <w:top w:val="single" w:sz="12" w:space="0" w:color="008000"/>
              <w:bottom w:val="single" w:sz="6" w:space="0" w:color="008000"/>
            </w:tcBorders>
            <w:shd w:val="clear" w:color="auto" w:fill="FFFFFF"/>
          </w:tcPr>
          <w:p w:rsidR="00CC3BA0" w:rsidRPr="00B57B36" w:rsidRDefault="00CC3BA0" w:rsidP="00CC3BA0">
            <w:pPr>
              <w:pStyle w:val="CETBodytext"/>
              <w:rPr>
                <w:lang w:val="en-GB"/>
              </w:rPr>
            </w:pPr>
            <w:r>
              <w:rPr>
                <w:lang w:val="en-GB"/>
              </w:rPr>
              <w:t>Chroma</w:t>
            </w:r>
          </w:p>
        </w:tc>
        <w:tc>
          <w:tcPr>
            <w:tcW w:w="850" w:type="dxa"/>
            <w:tcBorders>
              <w:top w:val="single" w:sz="12" w:space="0" w:color="008000"/>
              <w:bottom w:val="single" w:sz="6" w:space="0" w:color="008000"/>
            </w:tcBorders>
            <w:shd w:val="clear" w:color="auto" w:fill="FFFFFF"/>
          </w:tcPr>
          <w:p w:rsidR="00CC3BA0" w:rsidRPr="00B57B36" w:rsidRDefault="00CC3BA0" w:rsidP="00CC3BA0">
            <w:pPr>
              <w:pStyle w:val="CETBodytext"/>
              <w:ind w:right="-1"/>
              <w:rPr>
                <w:rFonts w:cs="Arial"/>
                <w:szCs w:val="18"/>
                <w:lang w:val="en-GB"/>
              </w:rPr>
            </w:pPr>
            <w:r>
              <w:rPr>
                <w:rFonts w:cs="Arial"/>
                <w:szCs w:val="18"/>
                <w:lang w:val="en-GB"/>
              </w:rPr>
              <w:t>Hue</w:t>
            </w:r>
          </w:p>
        </w:tc>
      </w:tr>
      <w:tr w:rsidR="00CC3BA0" w:rsidRPr="00B57B36" w:rsidTr="00CC3BA0">
        <w:tc>
          <w:tcPr>
            <w:tcW w:w="1701" w:type="dxa"/>
            <w:shd w:val="clear" w:color="auto" w:fill="FFFFFF"/>
          </w:tcPr>
          <w:p w:rsidR="00CC3BA0" w:rsidRPr="00B57B36" w:rsidRDefault="00CC3BA0" w:rsidP="00CC3BA0">
            <w:pPr>
              <w:pStyle w:val="CETBodytext"/>
              <w:rPr>
                <w:lang w:val="en-GB"/>
              </w:rPr>
            </w:pPr>
            <w:r w:rsidRPr="00297868">
              <w:rPr>
                <w:rFonts w:eastAsia="Calibri"/>
                <w:szCs w:val="18"/>
              </w:rPr>
              <w:t>SEC_R</w:t>
            </w:r>
          </w:p>
        </w:tc>
        <w:tc>
          <w:tcPr>
            <w:tcW w:w="993" w:type="dxa"/>
            <w:shd w:val="clear" w:color="auto" w:fill="FFFFFF"/>
          </w:tcPr>
          <w:p w:rsidR="00CC3BA0" w:rsidRPr="00B57B36" w:rsidRDefault="00CC3BA0" w:rsidP="00CC3BA0">
            <w:pPr>
              <w:pStyle w:val="CETBodytext"/>
              <w:rPr>
                <w:lang w:val="en-GB"/>
              </w:rPr>
            </w:pPr>
            <w:r>
              <w:rPr>
                <w:lang w:val="en-GB"/>
              </w:rPr>
              <w:t>14.87</w:t>
            </w:r>
          </w:p>
        </w:tc>
        <w:tc>
          <w:tcPr>
            <w:tcW w:w="992" w:type="dxa"/>
            <w:shd w:val="clear" w:color="auto" w:fill="FFFFFF"/>
          </w:tcPr>
          <w:p w:rsidR="00CC3BA0" w:rsidRPr="00B57B36" w:rsidRDefault="00CC3BA0" w:rsidP="00CC3BA0">
            <w:pPr>
              <w:pStyle w:val="CETBodytext"/>
              <w:rPr>
                <w:lang w:val="en-GB"/>
              </w:rPr>
            </w:pPr>
            <w:r>
              <w:rPr>
                <w:lang w:val="en-GB"/>
              </w:rPr>
              <w:t>7.24</w:t>
            </w:r>
          </w:p>
        </w:tc>
        <w:tc>
          <w:tcPr>
            <w:tcW w:w="850" w:type="dxa"/>
            <w:shd w:val="clear" w:color="auto" w:fill="FFFFFF"/>
          </w:tcPr>
          <w:p w:rsidR="00CC3BA0" w:rsidRPr="00B57B36" w:rsidRDefault="00CC3BA0" w:rsidP="00CC3BA0">
            <w:pPr>
              <w:pStyle w:val="CETBodytext"/>
              <w:ind w:right="-1"/>
              <w:rPr>
                <w:rFonts w:cs="Arial"/>
                <w:szCs w:val="18"/>
                <w:lang w:val="en-GB"/>
              </w:rPr>
            </w:pPr>
            <w:r>
              <w:rPr>
                <w:rFonts w:cs="Arial"/>
                <w:szCs w:val="18"/>
                <w:lang w:val="en-GB"/>
              </w:rPr>
              <w:t>1.52</w:t>
            </w:r>
          </w:p>
        </w:tc>
      </w:tr>
      <w:tr w:rsidR="00CC3BA0" w:rsidRPr="00B57B36" w:rsidTr="00CC3BA0">
        <w:tc>
          <w:tcPr>
            <w:tcW w:w="1701" w:type="dxa"/>
            <w:shd w:val="clear" w:color="auto" w:fill="FFFFFF"/>
          </w:tcPr>
          <w:p w:rsidR="00CC3BA0" w:rsidRPr="00B57B36" w:rsidRDefault="00CC3BA0" w:rsidP="00CC3BA0">
            <w:pPr>
              <w:pStyle w:val="CETBodytext"/>
              <w:rPr>
                <w:lang w:val="en-GB"/>
              </w:rPr>
            </w:pPr>
            <w:r w:rsidRPr="00297868">
              <w:rPr>
                <w:rFonts w:eastAsia="Calibri"/>
                <w:szCs w:val="18"/>
              </w:rPr>
              <w:t>SEC_T</w:t>
            </w:r>
          </w:p>
        </w:tc>
        <w:tc>
          <w:tcPr>
            <w:tcW w:w="993" w:type="dxa"/>
            <w:shd w:val="clear" w:color="auto" w:fill="FFFFFF"/>
          </w:tcPr>
          <w:p w:rsidR="00CC3BA0" w:rsidRPr="00B57B36" w:rsidRDefault="00CC3BA0" w:rsidP="00CC3BA0">
            <w:pPr>
              <w:pStyle w:val="CETBodytext"/>
              <w:rPr>
                <w:lang w:val="en-GB"/>
              </w:rPr>
            </w:pPr>
            <w:r>
              <w:rPr>
                <w:lang w:val="en-GB"/>
              </w:rPr>
              <w:t>14.51</w:t>
            </w:r>
          </w:p>
        </w:tc>
        <w:tc>
          <w:tcPr>
            <w:tcW w:w="992" w:type="dxa"/>
            <w:shd w:val="clear" w:color="auto" w:fill="FFFFFF"/>
          </w:tcPr>
          <w:p w:rsidR="00CC3BA0" w:rsidRPr="00B57B36" w:rsidRDefault="00CC3BA0" w:rsidP="00CC3BA0">
            <w:pPr>
              <w:pStyle w:val="CETBodytext"/>
              <w:rPr>
                <w:lang w:val="en-GB"/>
              </w:rPr>
            </w:pPr>
            <w:r>
              <w:rPr>
                <w:lang w:val="en-GB"/>
              </w:rPr>
              <w:t>7.31</w:t>
            </w:r>
          </w:p>
        </w:tc>
        <w:tc>
          <w:tcPr>
            <w:tcW w:w="850" w:type="dxa"/>
            <w:shd w:val="clear" w:color="auto" w:fill="FFFFFF"/>
          </w:tcPr>
          <w:p w:rsidR="00CC3BA0" w:rsidRPr="00B57B36" w:rsidRDefault="00CC3BA0" w:rsidP="00CC3BA0">
            <w:pPr>
              <w:pStyle w:val="CETBodytext"/>
              <w:ind w:right="-1"/>
              <w:rPr>
                <w:rFonts w:cs="Arial"/>
                <w:szCs w:val="18"/>
                <w:lang w:val="en-GB"/>
              </w:rPr>
            </w:pPr>
            <w:r>
              <w:rPr>
                <w:rFonts w:cs="Arial"/>
                <w:szCs w:val="18"/>
                <w:lang w:val="en-GB"/>
              </w:rPr>
              <w:t>0.82</w:t>
            </w:r>
          </w:p>
        </w:tc>
      </w:tr>
      <w:tr w:rsidR="00CC3BA0" w:rsidRPr="00B57B36" w:rsidTr="00CC3BA0">
        <w:tc>
          <w:tcPr>
            <w:tcW w:w="1701" w:type="dxa"/>
            <w:shd w:val="clear" w:color="auto" w:fill="FFFFFF"/>
          </w:tcPr>
          <w:p w:rsidR="00CC3BA0" w:rsidRPr="00B57B36" w:rsidRDefault="00CC3BA0" w:rsidP="00CC3BA0">
            <w:pPr>
              <w:pStyle w:val="CETBodytext"/>
              <w:ind w:right="-1"/>
              <w:rPr>
                <w:rFonts w:cs="Arial"/>
                <w:szCs w:val="18"/>
                <w:lang w:val="en-GB"/>
              </w:rPr>
            </w:pPr>
            <w:r w:rsidRPr="00297868">
              <w:rPr>
                <w:rFonts w:eastAsia="Calibri"/>
                <w:szCs w:val="18"/>
              </w:rPr>
              <w:t>SEC_R vs SEC_T</w:t>
            </w:r>
          </w:p>
        </w:tc>
        <w:tc>
          <w:tcPr>
            <w:tcW w:w="993" w:type="dxa"/>
            <w:shd w:val="clear" w:color="auto" w:fill="FFFFFF"/>
          </w:tcPr>
          <w:p w:rsidR="00CC3BA0" w:rsidRPr="00B57B36" w:rsidRDefault="00CC3BA0" w:rsidP="00CC3BA0">
            <w:pPr>
              <w:pStyle w:val="CETBodytext"/>
              <w:ind w:right="-1"/>
              <w:rPr>
                <w:rFonts w:cs="Arial"/>
                <w:szCs w:val="18"/>
                <w:lang w:val="en-GB"/>
              </w:rPr>
            </w:pPr>
            <w:r>
              <w:rPr>
                <w:rFonts w:cs="Arial"/>
                <w:szCs w:val="18"/>
                <w:lang w:val="en-GB"/>
              </w:rPr>
              <w:t>0.98</w:t>
            </w:r>
          </w:p>
        </w:tc>
        <w:tc>
          <w:tcPr>
            <w:tcW w:w="992" w:type="dxa"/>
            <w:shd w:val="clear" w:color="auto" w:fill="FFFFFF"/>
          </w:tcPr>
          <w:p w:rsidR="00CC3BA0" w:rsidRPr="00B57B36" w:rsidRDefault="00CC3BA0" w:rsidP="00CC3BA0">
            <w:pPr>
              <w:pStyle w:val="CETBodytext"/>
              <w:ind w:right="-1"/>
              <w:rPr>
                <w:rFonts w:cs="Arial"/>
                <w:szCs w:val="18"/>
                <w:lang w:val="en-GB"/>
              </w:rPr>
            </w:pPr>
            <w:r>
              <w:rPr>
                <w:rFonts w:cs="Arial"/>
                <w:szCs w:val="18"/>
                <w:lang w:val="en-GB"/>
              </w:rPr>
              <w:t>1.01</w:t>
            </w:r>
          </w:p>
        </w:tc>
        <w:tc>
          <w:tcPr>
            <w:tcW w:w="850" w:type="dxa"/>
            <w:shd w:val="clear" w:color="auto" w:fill="FFFFFF"/>
          </w:tcPr>
          <w:p w:rsidR="00CC3BA0" w:rsidRPr="00B57B36" w:rsidRDefault="00CC3BA0" w:rsidP="00CC3BA0">
            <w:pPr>
              <w:pStyle w:val="CETBodytext"/>
              <w:ind w:right="-1"/>
              <w:rPr>
                <w:rFonts w:cs="Arial"/>
                <w:szCs w:val="18"/>
                <w:lang w:val="en-GB"/>
              </w:rPr>
            </w:pPr>
            <w:r>
              <w:rPr>
                <w:rFonts w:cs="Arial"/>
                <w:szCs w:val="18"/>
                <w:lang w:val="en-GB"/>
              </w:rPr>
              <w:t>0.54</w:t>
            </w:r>
          </w:p>
        </w:tc>
      </w:tr>
    </w:tbl>
    <w:p w:rsidR="00CC3BA0" w:rsidRPr="0077029C" w:rsidRDefault="00CC3BA0" w:rsidP="00C8647B">
      <w:pPr>
        <w:pStyle w:val="CETBodytext"/>
        <w:rPr>
          <w:rFonts w:eastAsia="Calibri"/>
          <w:szCs w:val="18"/>
          <w:lang w:eastAsia="it-IT"/>
        </w:rPr>
      </w:pPr>
    </w:p>
    <w:p w:rsidR="00D345DD" w:rsidRPr="00D345DD" w:rsidRDefault="00CC3BA0" w:rsidP="00D345DD">
      <w:pPr>
        <w:pStyle w:val="CETBodytext"/>
        <w:ind w:right="-1"/>
        <w:rPr>
          <w:rFonts w:eastAsia="Calibri"/>
          <w:szCs w:val="18"/>
          <w:lang w:eastAsia="it-IT"/>
        </w:rPr>
      </w:pPr>
      <w:r w:rsidRPr="00CC3BA0">
        <w:rPr>
          <w:rFonts w:eastAsia="Calibri"/>
          <w:szCs w:val="18"/>
          <w:lang w:eastAsia="it-IT"/>
        </w:rPr>
        <w:t>The quality indicators</w:t>
      </w:r>
      <w:r w:rsidR="00A24296">
        <w:rPr>
          <w:rFonts w:eastAsia="Calibri"/>
          <w:szCs w:val="18"/>
          <w:lang w:eastAsia="it-IT"/>
        </w:rPr>
        <w:t xml:space="preserve"> </w:t>
      </w:r>
      <w:r w:rsidR="00A24296" w:rsidRPr="00A24296">
        <w:rPr>
          <w:rFonts w:eastAsia="Calibri"/>
          <w:szCs w:val="18"/>
          <w:lang w:eastAsia="it-IT"/>
        </w:rPr>
        <w:t>of prediction</w:t>
      </w:r>
      <w:r w:rsidRPr="00CC3BA0">
        <w:rPr>
          <w:rFonts w:eastAsia="Calibri"/>
          <w:szCs w:val="18"/>
          <w:lang w:eastAsia="it-IT"/>
        </w:rPr>
        <w:t xml:space="preserve"> (Table 4) show a poor </w:t>
      </w:r>
      <w:r w:rsidR="00A24296">
        <w:rPr>
          <w:rFonts w:eastAsia="Calibri"/>
          <w:szCs w:val="18"/>
          <w:lang w:eastAsia="it-IT"/>
        </w:rPr>
        <w:t xml:space="preserve">predictive ability of the vis </w:t>
      </w:r>
      <w:r w:rsidRPr="00CC3BA0">
        <w:rPr>
          <w:rFonts w:eastAsia="Calibri"/>
          <w:szCs w:val="18"/>
          <w:lang w:eastAsia="it-IT"/>
        </w:rPr>
        <w:t xml:space="preserve">NIR </w:t>
      </w:r>
      <w:r w:rsidR="00A24296">
        <w:rPr>
          <w:rFonts w:eastAsia="Calibri"/>
          <w:szCs w:val="18"/>
          <w:lang w:eastAsia="it-IT"/>
        </w:rPr>
        <w:t>device for f</w:t>
      </w:r>
      <w:r w:rsidRPr="00CC3BA0">
        <w:rPr>
          <w:rFonts w:eastAsia="Calibri"/>
          <w:szCs w:val="18"/>
          <w:lang w:eastAsia="it-IT"/>
        </w:rPr>
        <w:t>irmness parameter (R</w:t>
      </w:r>
      <w:r w:rsidRPr="00A24296">
        <w:rPr>
          <w:rFonts w:eastAsia="Calibri"/>
          <w:szCs w:val="18"/>
          <w:vertAlign w:val="superscript"/>
          <w:lang w:eastAsia="it-IT"/>
        </w:rPr>
        <w:t xml:space="preserve">2 </w:t>
      </w:r>
      <w:r w:rsidRPr="00CC3BA0">
        <w:rPr>
          <w:rFonts w:eastAsia="Calibri"/>
          <w:szCs w:val="18"/>
          <w:lang w:eastAsia="it-IT"/>
        </w:rPr>
        <w:t xml:space="preserve">= 0.18) </w:t>
      </w:r>
      <w:r w:rsidR="00A24296">
        <w:rPr>
          <w:rFonts w:eastAsia="Calibri"/>
          <w:szCs w:val="18"/>
          <w:lang w:eastAsia="it-IT"/>
        </w:rPr>
        <w:t>in front of</w:t>
      </w:r>
      <w:r w:rsidRPr="00CC3BA0">
        <w:rPr>
          <w:rFonts w:eastAsia="Calibri"/>
          <w:szCs w:val="18"/>
          <w:lang w:eastAsia="it-IT"/>
        </w:rPr>
        <w:t xml:space="preserve"> an average correlation between predicted and </w:t>
      </w:r>
      <w:r w:rsidR="00A24296">
        <w:rPr>
          <w:rFonts w:eastAsia="Calibri"/>
          <w:szCs w:val="18"/>
          <w:lang w:eastAsia="it-IT"/>
        </w:rPr>
        <w:t>measured</w:t>
      </w:r>
      <w:r w:rsidRPr="00CC3BA0">
        <w:rPr>
          <w:rFonts w:eastAsia="Calibri"/>
          <w:szCs w:val="18"/>
          <w:lang w:eastAsia="it-IT"/>
        </w:rPr>
        <w:t xml:space="preserve"> values. This result can be consider</w:t>
      </w:r>
      <w:r w:rsidR="00A24296">
        <w:rPr>
          <w:rFonts w:eastAsia="Calibri"/>
          <w:szCs w:val="18"/>
          <w:lang w:eastAsia="it-IT"/>
        </w:rPr>
        <w:t xml:space="preserve">ed a limit of the vis </w:t>
      </w:r>
      <w:r w:rsidRPr="00CC3BA0">
        <w:rPr>
          <w:rFonts w:eastAsia="Calibri"/>
          <w:szCs w:val="18"/>
          <w:lang w:eastAsia="it-IT"/>
        </w:rPr>
        <w:t>NIR device</w:t>
      </w:r>
      <w:r w:rsidR="00A24296">
        <w:rPr>
          <w:rFonts w:eastAsia="Calibri"/>
          <w:szCs w:val="18"/>
          <w:lang w:eastAsia="it-IT"/>
        </w:rPr>
        <w:t xml:space="preserve"> application for firmness prediction in table olives.</w:t>
      </w:r>
      <w:r w:rsidR="00D345DD" w:rsidRPr="00D345DD">
        <w:rPr>
          <w:rFonts w:eastAsia="Calibri"/>
          <w:szCs w:val="18"/>
          <w:lang w:eastAsia="it-IT"/>
        </w:rPr>
        <w:t xml:space="preserve"> </w:t>
      </w:r>
      <w:r w:rsidR="00D345DD">
        <w:rPr>
          <w:rFonts w:eastAsia="Calibri"/>
          <w:szCs w:val="18"/>
          <w:lang w:eastAsia="it-IT"/>
        </w:rPr>
        <w:t>Conversely, a</w:t>
      </w:r>
      <w:r w:rsidR="00D345DD" w:rsidRPr="00D345DD">
        <w:rPr>
          <w:rFonts w:eastAsia="Calibri"/>
          <w:szCs w:val="18"/>
          <w:lang w:eastAsia="it-IT"/>
        </w:rPr>
        <w:t xml:space="preserve"> good prediction was obtained </w:t>
      </w:r>
      <w:r w:rsidR="00D345DD">
        <w:rPr>
          <w:rFonts w:eastAsia="Calibri"/>
          <w:szCs w:val="18"/>
          <w:lang w:eastAsia="it-IT"/>
        </w:rPr>
        <w:t xml:space="preserve">for </w:t>
      </w:r>
      <w:proofErr w:type="spellStart"/>
      <w:r w:rsidR="00D345DD">
        <w:rPr>
          <w:rFonts w:eastAsia="Calibri"/>
          <w:szCs w:val="18"/>
          <w:lang w:eastAsia="it-IT"/>
        </w:rPr>
        <w:t>chroma</w:t>
      </w:r>
      <w:proofErr w:type="spellEnd"/>
      <w:r w:rsidR="00D345DD">
        <w:rPr>
          <w:rFonts w:eastAsia="Calibri"/>
          <w:szCs w:val="18"/>
          <w:lang w:eastAsia="it-IT"/>
        </w:rPr>
        <w:t xml:space="preserve"> </w:t>
      </w:r>
      <w:r w:rsidR="00D345DD" w:rsidRPr="00F76A73">
        <w:rPr>
          <w:rFonts w:eastAsia="Calibri"/>
          <w:szCs w:val="18"/>
          <w:lang w:eastAsia="it-IT"/>
        </w:rPr>
        <w:t>(R</w:t>
      </w:r>
      <w:r w:rsidR="00D345DD" w:rsidRPr="00F76A73">
        <w:rPr>
          <w:rFonts w:eastAsia="Calibri"/>
          <w:szCs w:val="18"/>
          <w:vertAlign w:val="superscript"/>
          <w:lang w:eastAsia="it-IT"/>
        </w:rPr>
        <w:t>2</w:t>
      </w:r>
      <w:r w:rsidR="00D345DD" w:rsidRPr="00F76A73">
        <w:rPr>
          <w:rFonts w:eastAsia="Calibri"/>
          <w:szCs w:val="18"/>
          <w:lang w:eastAsia="it-IT"/>
        </w:rPr>
        <w:t xml:space="preserve"> = 0.73)</w:t>
      </w:r>
      <w:r w:rsidR="00D345DD">
        <w:rPr>
          <w:rFonts w:eastAsia="Calibri"/>
          <w:szCs w:val="18"/>
          <w:lang w:eastAsia="it-IT"/>
        </w:rPr>
        <w:t xml:space="preserve"> where</w:t>
      </w:r>
      <w:r w:rsidR="00D345DD" w:rsidRPr="00F76A73">
        <w:rPr>
          <w:rFonts w:eastAsia="Calibri"/>
          <w:szCs w:val="18"/>
          <w:lang w:eastAsia="it-IT"/>
        </w:rPr>
        <w:t xml:space="preserve"> SEC </w:t>
      </w:r>
      <w:r w:rsidR="00D345DD">
        <w:rPr>
          <w:rFonts w:eastAsia="Calibri"/>
          <w:szCs w:val="18"/>
          <w:lang w:eastAsia="it-IT"/>
        </w:rPr>
        <w:t>and</w:t>
      </w:r>
      <w:r w:rsidR="00D345DD" w:rsidRPr="00F76A73">
        <w:rPr>
          <w:rFonts w:eastAsia="Calibri"/>
          <w:szCs w:val="18"/>
          <w:lang w:eastAsia="it-IT"/>
        </w:rPr>
        <w:t xml:space="preserve"> RMSECV </w:t>
      </w:r>
      <w:r w:rsidR="00D345DD">
        <w:rPr>
          <w:rFonts w:eastAsia="Calibri"/>
          <w:szCs w:val="18"/>
          <w:lang w:eastAsia="it-IT"/>
        </w:rPr>
        <w:t xml:space="preserve">are very similar. </w:t>
      </w:r>
      <w:r w:rsidR="00D345DD" w:rsidRPr="00D345DD">
        <w:rPr>
          <w:rFonts w:eastAsia="Calibri"/>
          <w:szCs w:val="18"/>
          <w:lang w:eastAsia="it-IT"/>
        </w:rPr>
        <w:t xml:space="preserve">Similar results were obtained by </w:t>
      </w:r>
      <w:proofErr w:type="spellStart"/>
      <w:r w:rsidR="00D345DD" w:rsidRPr="00D345DD">
        <w:rPr>
          <w:rFonts w:eastAsia="Calibri"/>
          <w:szCs w:val="18"/>
          <w:lang w:eastAsia="it-IT"/>
        </w:rPr>
        <w:t>Kavdir</w:t>
      </w:r>
      <w:proofErr w:type="spellEnd"/>
      <w:r w:rsidR="00D345DD" w:rsidRPr="00D345DD">
        <w:rPr>
          <w:rFonts w:eastAsia="Calibri"/>
          <w:szCs w:val="18"/>
          <w:lang w:eastAsia="it-IT"/>
        </w:rPr>
        <w:t xml:space="preserve"> et al. (2009) with R</w:t>
      </w:r>
      <w:r w:rsidR="00D345DD" w:rsidRPr="00D345DD">
        <w:rPr>
          <w:rFonts w:eastAsia="Calibri"/>
          <w:szCs w:val="18"/>
          <w:vertAlign w:val="superscript"/>
          <w:lang w:eastAsia="it-IT"/>
        </w:rPr>
        <w:t>2</w:t>
      </w:r>
      <w:r w:rsidR="00D345DD">
        <w:rPr>
          <w:rFonts w:eastAsia="Calibri"/>
          <w:szCs w:val="18"/>
          <w:lang w:eastAsia="it-IT"/>
        </w:rPr>
        <w:t xml:space="preserve"> =</w:t>
      </w:r>
      <w:r w:rsidR="00D345DD" w:rsidRPr="00D345DD">
        <w:rPr>
          <w:rFonts w:eastAsia="Calibri"/>
          <w:szCs w:val="18"/>
          <w:lang w:eastAsia="it-IT"/>
        </w:rPr>
        <w:t xml:space="preserve"> 0.83 and 0.88 in reflectance and between 0.85 and 0.92 in transm</w:t>
      </w:r>
      <w:r w:rsidR="00D345DD">
        <w:rPr>
          <w:rFonts w:eastAsia="Calibri"/>
          <w:szCs w:val="18"/>
          <w:lang w:eastAsia="it-IT"/>
        </w:rPr>
        <w:t>ittance for two varieties of</w:t>
      </w:r>
      <w:r w:rsidR="00D345DD" w:rsidRPr="00D345DD">
        <w:rPr>
          <w:rFonts w:eastAsia="Calibri"/>
          <w:szCs w:val="18"/>
          <w:lang w:eastAsia="it-IT"/>
        </w:rPr>
        <w:t xml:space="preserve"> olives</w:t>
      </w:r>
      <w:r w:rsidR="00D345DD">
        <w:rPr>
          <w:rFonts w:eastAsia="Calibri"/>
          <w:szCs w:val="18"/>
          <w:lang w:eastAsia="it-IT"/>
        </w:rPr>
        <w:t xml:space="preserve"> for oil production. Hue shows a high R</w:t>
      </w:r>
      <w:r w:rsidR="00D345DD" w:rsidRPr="00D345DD">
        <w:rPr>
          <w:rFonts w:eastAsia="Calibri"/>
          <w:szCs w:val="18"/>
          <w:vertAlign w:val="superscript"/>
          <w:lang w:eastAsia="it-IT"/>
        </w:rPr>
        <w:t>2</w:t>
      </w:r>
      <w:r w:rsidR="00D345DD">
        <w:rPr>
          <w:rFonts w:eastAsia="Calibri"/>
          <w:szCs w:val="18"/>
          <w:lang w:eastAsia="it-IT"/>
        </w:rPr>
        <w:t xml:space="preserve"> value (equal to 0.96) and low values for RMSECV, SEC and</w:t>
      </w:r>
      <w:r w:rsidR="00D345DD" w:rsidRPr="00D345DD">
        <w:rPr>
          <w:rFonts w:eastAsia="Calibri"/>
          <w:szCs w:val="18"/>
          <w:lang w:eastAsia="it-IT"/>
        </w:rPr>
        <w:t xml:space="preserve"> SEP.</w:t>
      </w:r>
      <w:r w:rsidR="006D5F8F">
        <w:rPr>
          <w:rFonts w:eastAsia="Calibri"/>
          <w:szCs w:val="18"/>
          <w:lang w:eastAsia="it-IT"/>
        </w:rPr>
        <w:t xml:space="preserve"> However</w:t>
      </w:r>
      <w:r w:rsidR="006D5F8F" w:rsidRPr="006D5F8F">
        <w:rPr>
          <w:rFonts w:eastAsia="Calibri"/>
          <w:szCs w:val="18"/>
          <w:lang w:eastAsia="it-IT"/>
        </w:rPr>
        <w:t xml:space="preserve">, by comparing the indicators to the respective </w:t>
      </w:r>
      <w:r w:rsidR="006D5F8F">
        <w:rPr>
          <w:rFonts w:eastAsia="Calibri"/>
          <w:szCs w:val="18"/>
          <w:lang w:eastAsia="it-IT"/>
        </w:rPr>
        <w:t>mean</w:t>
      </w:r>
      <w:r w:rsidR="006D5F8F" w:rsidRPr="006D5F8F">
        <w:rPr>
          <w:rFonts w:eastAsia="Calibri"/>
          <w:szCs w:val="18"/>
          <w:lang w:eastAsia="it-IT"/>
        </w:rPr>
        <w:t xml:space="preserve"> value of the parameter, given their different units of measurement, hue </w:t>
      </w:r>
      <w:r w:rsidR="006D5F8F">
        <w:rPr>
          <w:rFonts w:eastAsia="Calibri"/>
          <w:szCs w:val="18"/>
          <w:lang w:eastAsia="it-IT"/>
        </w:rPr>
        <w:t>shows</w:t>
      </w:r>
      <w:r w:rsidR="006D5F8F" w:rsidRPr="006D5F8F">
        <w:rPr>
          <w:rFonts w:eastAsia="Calibri"/>
          <w:szCs w:val="18"/>
          <w:lang w:eastAsia="it-IT"/>
        </w:rPr>
        <w:t xml:space="preserve"> the highest SEC and SEP</w:t>
      </w:r>
      <w:r w:rsidR="006D5F8F">
        <w:rPr>
          <w:rFonts w:eastAsia="Calibri"/>
          <w:szCs w:val="18"/>
          <w:lang w:eastAsia="it-IT"/>
        </w:rPr>
        <w:t xml:space="preserve"> values (Table 5). </w:t>
      </w:r>
      <w:r w:rsidR="006D5F8F" w:rsidRPr="006D5F8F">
        <w:rPr>
          <w:rFonts w:eastAsia="Calibri"/>
          <w:szCs w:val="18"/>
          <w:lang w:eastAsia="it-IT"/>
        </w:rPr>
        <w:t>This result is probably related to the overestimation of the parameter, especially for values above the average</w:t>
      </w:r>
      <w:r w:rsidR="006D5F8F">
        <w:rPr>
          <w:rFonts w:eastAsia="Calibri"/>
          <w:szCs w:val="18"/>
          <w:lang w:eastAsia="it-IT"/>
        </w:rPr>
        <w:t>.</w:t>
      </w:r>
    </w:p>
    <w:p w:rsidR="00CC3BA0" w:rsidRPr="00CC3BA0" w:rsidRDefault="00CC3BA0" w:rsidP="00CC3BA0">
      <w:pPr>
        <w:pStyle w:val="CET-table-title"/>
        <w:rPr>
          <w:lang w:val="en-GB"/>
        </w:rPr>
      </w:pPr>
      <w:r>
        <w:rPr>
          <w:lang w:val="en-GB"/>
        </w:rPr>
        <w:t>Table 4</w:t>
      </w:r>
      <w:r w:rsidRPr="00CC3BA0">
        <w:rPr>
          <w:lang w:val="en-GB"/>
        </w:rPr>
        <w:t xml:space="preserve">. </w:t>
      </w:r>
      <w:r w:rsidR="00A24296">
        <w:rPr>
          <w:lang w:val="en-GB"/>
        </w:rPr>
        <w:t>Q</w:t>
      </w:r>
      <w:r w:rsidR="00A24296" w:rsidRPr="00CC3BA0">
        <w:rPr>
          <w:lang w:val="en-GB"/>
        </w:rPr>
        <w:t xml:space="preserve">uality </w:t>
      </w:r>
      <w:r w:rsidR="00A24296">
        <w:rPr>
          <w:lang w:val="en-GB"/>
        </w:rPr>
        <w:t>i</w:t>
      </w:r>
      <w:r w:rsidRPr="00CC3BA0">
        <w:rPr>
          <w:lang w:val="en-GB"/>
        </w:rPr>
        <w:t xml:space="preserve">ndicators of prediction </w:t>
      </w:r>
      <w:r w:rsidR="006D5F8F">
        <w:rPr>
          <w:lang w:val="en-GB"/>
        </w:rPr>
        <w:t>for each parameter</w:t>
      </w:r>
    </w:p>
    <w:tbl>
      <w:tblPr>
        <w:tblW w:w="0" w:type="auto"/>
        <w:tblBorders>
          <w:top w:val="single" w:sz="12" w:space="0" w:color="008000"/>
          <w:bottom w:val="single" w:sz="12" w:space="0" w:color="008000"/>
        </w:tblBorders>
        <w:shd w:val="clear" w:color="auto" w:fill="FFFFFF"/>
        <w:tblCellMar>
          <w:left w:w="0" w:type="dxa"/>
          <w:right w:w="0" w:type="dxa"/>
        </w:tblCellMar>
        <w:tblLook w:val="00A0"/>
      </w:tblPr>
      <w:tblGrid>
        <w:gridCol w:w="1276"/>
        <w:gridCol w:w="567"/>
        <w:gridCol w:w="709"/>
        <w:gridCol w:w="850"/>
        <w:gridCol w:w="993"/>
        <w:gridCol w:w="850"/>
        <w:gridCol w:w="707"/>
        <w:gridCol w:w="850"/>
      </w:tblGrid>
      <w:tr w:rsidR="00450BB5" w:rsidRPr="00B57B36" w:rsidTr="00450BB5">
        <w:tc>
          <w:tcPr>
            <w:tcW w:w="1276" w:type="dxa"/>
            <w:tcBorders>
              <w:top w:val="single" w:sz="12" w:space="0" w:color="008000"/>
              <w:bottom w:val="single" w:sz="6" w:space="0" w:color="008000"/>
            </w:tcBorders>
            <w:shd w:val="clear" w:color="auto" w:fill="FFFFFF"/>
          </w:tcPr>
          <w:p w:rsidR="00450BB5" w:rsidRPr="00B57B36" w:rsidRDefault="00450BB5" w:rsidP="00DC2BBD">
            <w:pPr>
              <w:pStyle w:val="CETBodytext"/>
              <w:rPr>
                <w:lang w:val="en-GB"/>
              </w:rPr>
            </w:pPr>
            <w:r>
              <w:rPr>
                <w:lang w:val="en-GB"/>
              </w:rPr>
              <w:t>Parameter</w:t>
            </w:r>
            <w:r w:rsidRPr="00B57B36">
              <w:rPr>
                <w:lang w:val="en-GB"/>
              </w:rPr>
              <w:t xml:space="preserve"> </w:t>
            </w:r>
          </w:p>
        </w:tc>
        <w:tc>
          <w:tcPr>
            <w:tcW w:w="567" w:type="dxa"/>
            <w:tcBorders>
              <w:top w:val="single" w:sz="12" w:space="0" w:color="008000"/>
              <w:bottom w:val="single" w:sz="6" w:space="0" w:color="008000"/>
            </w:tcBorders>
            <w:shd w:val="clear" w:color="auto" w:fill="FFFFFF"/>
          </w:tcPr>
          <w:p w:rsidR="00450BB5" w:rsidRPr="00B57B36" w:rsidRDefault="00450BB5" w:rsidP="00DC2BBD">
            <w:pPr>
              <w:pStyle w:val="CETBodytext"/>
              <w:rPr>
                <w:lang w:val="en-GB"/>
              </w:rPr>
            </w:pPr>
            <w:r>
              <w:rPr>
                <w:lang w:val="en-GB"/>
              </w:rPr>
              <w:t>N</w:t>
            </w:r>
          </w:p>
        </w:tc>
        <w:tc>
          <w:tcPr>
            <w:tcW w:w="709" w:type="dxa"/>
            <w:tcBorders>
              <w:top w:val="single" w:sz="12" w:space="0" w:color="008000"/>
              <w:bottom w:val="single" w:sz="6" w:space="0" w:color="008000"/>
            </w:tcBorders>
            <w:shd w:val="clear" w:color="auto" w:fill="FFFFFF"/>
          </w:tcPr>
          <w:p w:rsidR="00450BB5" w:rsidRPr="00B57B36" w:rsidRDefault="00450BB5" w:rsidP="00DC2BBD">
            <w:pPr>
              <w:pStyle w:val="CETBodytext"/>
              <w:rPr>
                <w:lang w:val="en-GB"/>
              </w:rPr>
            </w:pPr>
            <w:r w:rsidRPr="00CC3BA0">
              <w:rPr>
                <w:rFonts w:eastAsia="Calibri"/>
                <w:szCs w:val="18"/>
                <w:lang w:eastAsia="it-IT"/>
              </w:rPr>
              <w:t>R</w:t>
            </w:r>
            <w:r w:rsidRPr="00A24296">
              <w:rPr>
                <w:rFonts w:eastAsia="Calibri"/>
                <w:szCs w:val="18"/>
                <w:vertAlign w:val="superscript"/>
                <w:lang w:eastAsia="it-IT"/>
              </w:rPr>
              <w:t>2</w:t>
            </w:r>
          </w:p>
        </w:tc>
        <w:tc>
          <w:tcPr>
            <w:tcW w:w="850" w:type="dxa"/>
            <w:tcBorders>
              <w:top w:val="single" w:sz="12" w:space="0" w:color="008000"/>
              <w:bottom w:val="single" w:sz="6" w:space="0" w:color="008000"/>
            </w:tcBorders>
            <w:shd w:val="clear" w:color="auto" w:fill="FFFFFF"/>
          </w:tcPr>
          <w:p w:rsidR="00450BB5" w:rsidRPr="00B57B36" w:rsidRDefault="00450BB5" w:rsidP="00450BB5">
            <w:pPr>
              <w:pStyle w:val="CETBodytext"/>
              <w:ind w:right="-1"/>
              <w:rPr>
                <w:rFonts w:cs="Arial"/>
                <w:szCs w:val="18"/>
                <w:lang w:val="en-GB"/>
              </w:rPr>
            </w:pPr>
            <w:r>
              <w:rPr>
                <w:rFonts w:eastAsia="Calibri"/>
                <w:szCs w:val="18"/>
                <w:lang w:eastAsia="it-IT"/>
              </w:rPr>
              <w:t>r</w:t>
            </w:r>
            <w:r w:rsidRPr="00A24296">
              <w:rPr>
                <w:rFonts w:eastAsia="Calibri"/>
                <w:szCs w:val="18"/>
                <w:vertAlign w:val="superscript"/>
                <w:lang w:eastAsia="it-IT"/>
              </w:rPr>
              <w:t>2</w:t>
            </w:r>
          </w:p>
        </w:tc>
        <w:tc>
          <w:tcPr>
            <w:tcW w:w="993" w:type="dxa"/>
            <w:tcBorders>
              <w:top w:val="single" w:sz="12" w:space="0" w:color="008000"/>
              <w:bottom w:val="single" w:sz="6" w:space="0" w:color="008000"/>
            </w:tcBorders>
            <w:shd w:val="clear" w:color="auto" w:fill="FFFFFF"/>
          </w:tcPr>
          <w:p w:rsidR="00450BB5" w:rsidRDefault="00450BB5" w:rsidP="00DC2BBD">
            <w:pPr>
              <w:pStyle w:val="CETBodytext"/>
              <w:ind w:right="-1"/>
              <w:rPr>
                <w:rFonts w:cs="Arial"/>
                <w:szCs w:val="18"/>
                <w:lang w:val="en-GB"/>
              </w:rPr>
            </w:pPr>
            <w:r>
              <w:rPr>
                <w:rFonts w:cs="Arial"/>
                <w:szCs w:val="18"/>
                <w:lang w:val="en-GB"/>
              </w:rPr>
              <w:t>RMSECV</w:t>
            </w:r>
          </w:p>
        </w:tc>
        <w:tc>
          <w:tcPr>
            <w:tcW w:w="850" w:type="dxa"/>
            <w:tcBorders>
              <w:top w:val="single" w:sz="12" w:space="0" w:color="008000"/>
              <w:bottom w:val="single" w:sz="6" w:space="0" w:color="008000"/>
            </w:tcBorders>
            <w:shd w:val="clear" w:color="auto" w:fill="FFFFFF"/>
          </w:tcPr>
          <w:p w:rsidR="00450BB5" w:rsidRDefault="00450BB5" w:rsidP="00DC2BBD">
            <w:pPr>
              <w:pStyle w:val="CETBodytext"/>
              <w:ind w:right="-1"/>
              <w:rPr>
                <w:rFonts w:cs="Arial"/>
                <w:szCs w:val="18"/>
                <w:lang w:val="en-GB"/>
              </w:rPr>
            </w:pPr>
            <w:r>
              <w:rPr>
                <w:rFonts w:cs="Arial"/>
                <w:szCs w:val="18"/>
                <w:lang w:val="en-GB"/>
              </w:rPr>
              <w:t>BIAS</w:t>
            </w:r>
          </w:p>
        </w:tc>
        <w:tc>
          <w:tcPr>
            <w:tcW w:w="707" w:type="dxa"/>
            <w:tcBorders>
              <w:top w:val="single" w:sz="12" w:space="0" w:color="008000"/>
              <w:bottom w:val="single" w:sz="6" w:space="0" w:color="008000"/>
            </w:tcBorders>
            <w:shd w:val="clear" w:color="auto" w:fill="FFFFFF"/>
          </w:tcPr>
          <w:p w:rsidR="00450BB5" w:rsidRDefault="00450BB5" w:rsidP="00DC2BBD">
            <w:pPr>
              <w:pStyle w:val="CETBodytext"/>
              <w:ind w:right="-1"/>
              <w:rPr>
                <w:rFonts w:cs="Arial"/>
                <w:szCs w:val="18"/>
                <w:lang w:val="en-GB"/>
              </w:rPr>
            </w:pPr>
            <w:r>
              <w:rPr>
                <w:rFonts w:cs="Arial"/>
                <w:szCs w:val="18"/>
                <w:lang w:val="en-GB"/>
              </w:rPr>
              <w:t>SEC</w:t>
            </w:r>
          </w:p>
        </w:tc>
        <w:tc>
          <w:tcPr>
            <w:tcW w:w="850" w:type="dxa"/>
            <w:tcBorders>
              <w:top w:val="single" w:sz="12" w:space="0" w:color="008000"/>
              <w:bottom w:val="single" w:sz="6" w:space="0" w:color="008000"/>
            </w:tcBorders>
            <w:shd w:val="clear" w:color="auto" w:fill="FFFFFF"/>
          </w:tcPr>
          <w:p w:rsidR="00450BB5" w:rsidRDefault="00450BB5" w:rsidP="00DC2BBD">
            <w:pPr>
              <w:pStyle w:val="CETBodytext"/>
              <w:ind w:right="-1"/>
              <w:rPr>
                <w:rFonts w:cs="Arial"/>
                <w:szCs w:val="18"/>
                <w:lang w:val="en-GB"/>
              </w:rPr>
            </w:pPr>
            <w:r>
              <w:rPr>
                <w:rFonts w:cs="Arial"/>
                <w:szCs w:val="18"/>
                <w:lang w:val="en-GB"/>
              </w:rPr>
              <w:t>SEP</w:t>
            </w:r>
          </w:p>
        </w:tc>
      </w:tr>
      <w:tr w:rsidR="00450BB5" w:rsidRPr="00B57B36" w:rsidTr="00450BB5">
        <w:tc>
          <w:tcPr>
            <w:tcW w:w="1276" w:type="dxa"/>
            <w:shd w:val="clear" w:color="auto" w:fill="FFFFFF"/>
          </w:tcPr>
          <w:p w:rsidR="00450BB5" w:rsidRPr="00B57B36" w:rsidRDefault="00450BB5" w:rsidP="00450BB5">
            <w:pPr>
              <w:pStyle w:val="CETBodytext"/>
              <w:rPr>
                <w:lang w:val="en-GB"/>
              </w:rPr>
            </w:pPr>
            <w:r>
              <w:rPr>
                <w:lang w:val="en-GB"/>
              </w:rPr>
              <w:t>Firmness</w:t>
            </w:r>
            <w:r w:rsidRPr="00297868">
              <w:rPr>
                <w:rFonts w:eastAsia="Calibri"/>
                <w:szCs w:val="18"/>
              </w:rPr>
              <w:t xml:space="preserve"> </w:t>
            </w:r>
          </w:p>
        </w:tc>
        <w:tc>
          <w:tcPr>
            <w:tcW w:w="567" w:type="dxa"/>
            <w:shd w:val="clear" w:color="auto" w:fill="FFFFFF"/>
          </w:tcPr>
          <w:p w:rsidR="00450BB5" w:rsidRPr="00B57B36" w:rsidRDefault="00450BB5" w:rsidP="00DC2BBD">
            <w:pPr>
              <w:pStyle w:val="CETBodytext"/>
              <w:rPr>
                <w:lang w:val="en-GB"/>
              </w:rPr>
            </w:pPr>
            <w:r>
              <w:rPr>
                <w:lang w:val="en-GB"/>
              </w:rPr>
              <w:t>100</w:t>
            </w:r>
          </w:p>
        </w:tc>
        <w:tc>
          <w:tcPr>
            <w:tcW w:w="709" w:type="dxa"/>
            <w:shd w:val="clear" w:color="auto" w:fill="FFFFFF"/>
          </w:tcPr>
          <w:p w:rsidR="00450BB5" w:rsidRPr="00B57B36" w:rsidRDefault="00450BB5" w:rsidP="00DC2BBD">
            <w:pPr>
              <w:pStyle w:val="CETBodytext"/>
              <w:rPr>
                <w:lang w:val="en-GB"/>
              </w:rPr>
            </w:pPr>
            <w:r>
              <w:rPr>
                <w:lang w:val="en-GB"/>
              </w:rPr>
              <w:t>0.18</w:t>
            </w:r>
          </w:p>
        </w:tc>
        <w:tc>
          <w:tcPr>
            <w:tcW w:w="850" w:type="dxa"/>
            <w:shd w:val="clear" w:color="auto" w:fill="FFFFFF"/>
          </w:tcPr>
          <w:p w:rsidR="00450BB5" w:rsidRPr="00B57B36" w:rsidRDefault="00450BB5" w:rsidP="00DC2BBD">
            <w:pPr>
              <w:pStyle w:val="CETBodytext"/>
              <w:ind w:right="-1"/>
              <w:rPr>
                <w:rFonts w:cs="Arial"/>
                <w:szCs w:val="18"/>
                <w:lang w:val="en-GB"/>
              </w:rPr>
            </w:pPr>
            <w:r>
              <w:rPr>
                <w:rFonts w:cs="Arial"/>
                <w:szCs w:val="18"/>
                <w:lang w:val="en-GB"/>
              </w:rPr>
              <w:t>0.43</w:t>
            </w:r>
          </w:p>
        </w:tc>
        <w:tc>
          <w:tcPr>
            <w:tcW w:w="993" w:type="dxa"/>
            <w:shd w:val="clear" w:color="auto" w:fill="FFFFFF"/>
          </w:tcPr>
          <w:p w:rsidR="00450BB5" w:rsidRDefault="00450BB5" w:rsidP="00DC2BBD">
            <w:pPr>
              <w:pStyle w:val="CETBodytext"/>
              <w:ind w:right="-1"/>
              <w:rPr>
                <w:rFonts w:cs="Arial"/>
                <w:szCs w:val="18"/>
                <w:lang w:val="en-GB"/>
              </w:rPr>
            </w:pPr>
            <w:r>
              <w:rPr>
                <w:rFonts w:cs="Arial"/>
                <w:szCs w:val="18"/>
                <w:lang w:val="en-GB"/>
              </w:rPr>
              <w:t>12.15</w:t>
            </w:r>
          </w:p>
        </w:tc>
        <w:tc>
          <w:tcPr>
            <w:tcW w:w="850" w:type="dxa"/>
            <w:shd w:val="clear" w:color="auto" w:fill="FFFFFF"/>
          </w:tcPr>
          <w:p w:rsidR="00450BB5" w:rsidRDefault="00450BB5" w:rsidP="00DC2BBD">
            <w:pPr>
              <w:pStyle w:val="CETBodytext"/>
              <w:ind w:right="-1"/>
              <w:rPr>
                <w:rFonts w:cs="Arial"/>
                <w:szCs w:val="18"/>
                <w:lang w:val="en-GB"/>
              </w:rPr>
            </w:pPr>
            <w:r>
              <w:rPr>
                <w:rFonts w:cs="Arial"/>
                <w:szCs w:val="18"/>
                <w:lang w:val="en-GB"/>
              </w:rPr>
              <w:t>-3.23</w:t>
            </w:r>
          </w:p>
        </w:tc>
        <w:tc>
          <w:tcPr>
            <w:tcW w:w="707" w:type="dxa"/>
            <w:shd w:val="clear" w:color="auto" w:fill="FFFFFF"/>
          </w:tcPr>
          <w:p w:rsidR="00450BB5" w:rsidRDefault="00450BB5" w:rsidP="00DC2BBD">
            <w:pPr>
              <w:pStyle w:val="CETBodytext"/>
              <w:ind w:right="-1"/>
              <w:rPr>
                <w:rFonts w:cs="Arial"/>
                <w:szCs w:val="18"/>
                <w:lang w:val="en-GB"/>
              </w:rPr>
            </w:pPr>
            <w:r>
              <w:rPr>
                <w:rFonts w:cs="Arial"/>
                <w:szCs w:val="18"/>
                <w:lang w:val="en-GB"/>
              </w:rPr>
              <w:t>9.37</w:t>
            </w:r>
          </w:p>
        </w:tc>
        <w:tc>
          <w:tcPr>
            <w:tcW w:w="850" w:type="dxa"/>
            <w:shd w:val="clear" w:color="auto" w:fill="FFFFFF"/>
          </w:tcPr>
          <w:p w:rsidR="00450BB5" w:rsidRDefault="00450BB5" w:rsidP="00DC2BBD">
            <w:pPr>
              <w:pStyle w:val="CETBodytext"/>
              <w:ind w:right="-1"/>
              <w:rPr>
                <w:rFonts w:cs="Arial"/>
                <w:szCs w:val="18"/>
                <w:lang w:val="en-GB"/>
              </w:rPr>
            </w:pPr>
            <w:r>
              <w:rPr>
                <w:rFonts w:cs="Arial"/>
                <w:szCs w:val="18"/>
                <w:lang w:val="en-GB"/>
              </w:rPr>
              <w:t>12.10</w:t>
            </w:r>
          </w:p>
        </w:tc>
      </w:tr>
      <w:tr w:rsidR="00450BB5" w:rsidRPr="00B57B36" w:rsidTr="00450BB5">
        <w:tc>
          <w:tcPr>
            <w:tcW w:w="1276" w:type="dxa"/>
            <w:shd w:val="clear" w:color="auto" w:fill="FFFFFF"/>
          </w:tcPr>
          <w:p w:rsidR="00450BB5" w:rsidRPr="00B57B36" w:rsidRDefault="00450BB5" w:rsidP="00DC2BBD">
            <w:pPr>
              <w:pStyle w:val="CETBodytext"/>
              <w:rPr>
                <w:lang w:val="en-GB"/>
              </w:rPr>
            </w:pPr>
            <w:r>
              <w:rPr>
                <w:rFonts w:eastAsia="Calibri"/>
                <w:szCs w:val="18"/>
              </w:rPr>
              <w:t>Chroma</w:t>
            </w:r>
          </w:p>
        </w:tc>
        <w:tc>
          <w:tcPr>
            <w:tcW w:w="567" w:type="dxa"/>
            <w:shd w:val="clear" w:color="auto" w:fill="FFFFFF"/>
          </w:tcPr>
          <w:p w:rsidR="00450BB5" w:rsidRPr="00B57B36" w:rsidRDefault="00450BB5" w:rsidP="00450BB5">
            <w:pPr>
              <w:pStyle w:val="CETBodytext"/>
              <w:rPr>
                <w:lang w:val="en-GB"/>
              </w:rPr>
            </w:pPr>
            <w:r>
              <w:rPr>
                <w:lang w:val="en-GB"/>
              </w:rPr>
              <w:t>100</w:t>
            </w:r>
          </w:p>
        </w:tc>
        <w:tc>
          <w:tcPr>
            <w:tcW w:w="709" w:type="dxa"/>
            <w:shd w:val="clear" w:color="auto" w:fill="FFFFFF"/>
          </w:tcPr>
          <w:p w:rsidR="00450BB5" w:rsidRPr="00B57B36" w:rsidRDefault="00450BB5" w:rsidP="00DC2BBD">
            <w:pPr>
              <w:pStyle w:val="CETBodytext"/>
              <w:rPr>
                <w:lang w:val="en-GB"/>
              </w:rPr>
            </w:pPr>
            <w:r>
              <w:rPr>
                <w:lang w:val="en-GB"/>
              </w:rPr>
              <w:t>0.73</w:t>
            </w:r>
          </w:p>
        </w:tc>
        <w:tc>
          <w:tcPr>
            <w:tcW w:w="850" w:type="dxa"/>
            <w:shd w:val="clear" w:color="auto" w:fill="FFFFFF"/>
          </w:tcPr>
          <w:p w:rsidR="00450BB5" w:rsidRPr="00B57B36" w:rsidRDefault="00450BB5" w:rsidP="00450BB5">
            <w:pPr>
              <w:pStyle w:val="CETBodytext"/>
              <w:ind w:right="-1"/>
              <w:rPr>
                <w:rFonts w:cs="Arial"/>
                <w:szCs w:val="18"/>
                <w:lang w:val="en-GB"/>
              </w:rPr>
            </w:pPr>
            <w:r>
              <w:rPr>
                <w:rFonts w:cs="Arial"/>
                <w:szCs w:val="18"/>
                <w:lang w:val="en-GB"/>
              </w:rPr>
              <w:t>0.86</w:t>
            </w:r>
          </w:p>
        </w:tc>
        <w:tc>
          <w:tcPr>
            <w:tcW w:w="993" w:type="dxa"/>
            <w:shd w:val="clear" w:color="auto" w:fill="FFFFFF"/>
          </w:tcPr>
          <w:p w:rsidR="00450BB5" w:rsidRDefault="00450BB5" w:rsidP="00DC2BBD">
            <w:pPr>
              <w:pStyle w:val="CETBodytext"/>
              <w:ind w:right="-1"/>
              <w:rPr>
                <w:rFonts w:cs="Arial"/>
                <w:szCs w:val="18"/>
                <w:lang w:val="en-GB"/>
              </w:rPr>
            </w:pPr>
            <w:r>
              <w:rPr>
                <w:rFonts w:cs="Arial"/>
                <w:szCs w:val="18"/>
                <w:lang w:val="en-GB"/>
              </w:rPr>
              <w:t>6.29</w:t>
            </w:r>
          </w:p>
        </w:tc>
        <w:tc>
          <w:tcPr>
            <w:tcW w:w="850" w:type="dxa"/>
            <w:shd w:val="clear" w:color="auto" w:fill="FFFFFF"/>
          </w:tcPr>
          <w:p w:rsidR="00450BB5" w:rsidRDefault="00450BB5" w:rsidP="00DC2BBD">
            <w:pPr>
              <w:pStyle w:val="CETBodytext"/>
              <w:ind w:right="-1"/>
              <w:rPr>
                <w:rFonts w:cs="Arial"/>
                <w:szCs w:val="18"/>
                <w:lang w:val="en-GB"/>
              </w:rPr>
            </w:pPr>
            <w:r>
              <w:rPr>
                <w:rFonts w:cs="Arial"/>
                <w:szCs w:val="18"/>
                <w:lang w:val="en-GB"/>
              </w:rPr>
              <w:t>4.34</w:t>
            </w:r>
          </w:p>
        </w:tc>
        <w:tc>
          <w:tcPr>
            <w:tcW w:w="707" w:type="dxa"/>
            <w:shd w:val="clear" w:color="auto" w:fill="FFFFFF"/>
          </w:tcPr>
          <w:p w:rsidR="00450BB5" w:rsidRDefault="00450BB5" w:rsidP="00DC2BBD">
            <w:pPr>
              <w:pStyle w:val="CETBodytext"/>
              <w:ind w:right="-1"/>
              <w:rPr>
                <w:rFonts w:cs="Arial"/>
                <w:szCs w:val="18"/>
                <w:lang w:val="en-GB"/>
              </w:rPr>
            </w:pPr>
            <w:r>
              <w:rPr>
                <w:rFonts w:cs="Arial"/>
                <w:szCs w:val="18"/>
                <w:lang w:val="en-GB"/>
              </w:rPr>
              <w:t>7.08</w:t>
            </w:r>
          </w:p>
        </w:tc>
        <w:tc>
          <w:tcPr>
            <w:tcW w:w="850" w:type="dxa"/>
            <w:shd w:val="clear" w:color="auto" w:fill="FFFFFF"/>
          </w:tcPr>
          <w:p w:rsidR="00450BB5" w:rsidRDefault="00450BB5" w:rsidP="00DC2BBD">
            <w:pPr>
              <w:pStyle w:val="CETBodytext"/>
              <w:ind w:right="-1"/>
              <w:rPr>
                <w:rFonts w:cs="Arial"/>
                <w:szCs w:val="18"/>
                <w:lang w:val="en-GB"/>
              </w:rPr>
            </w:pPr>
            <w:r>
              <w:rPr>
                <w:rFonts w:cs="Arial"/>
                <w:szCs w:val="18"/>
                <w:lang w:val="en-GB"/>
              </w:rPr>
              <w:t>8.78</w:t>
            </w:r>
          </w:p>
        </w:tc>
      </w:tr>
      <w:tr w:rsidR="00450BB5" w:rsidRPr="00B57B36" w:rsidTr="00450BB5">
        <w:tc>
          <w:tcPr>
            <w:tcW w:w="1276" w:type="dxa"/>
            <w:shd w:val="clear" w:color="auto" w:fill="FFFFFF"/>
          </w:tcPr>
          <w:p w:rsidR="00450BB5" w:rsidRPr="00B57B36" w:rsidRDefault="00450BB5" w:rsidP="00DC2BBD">
            <w:pPr>
              <w:pStyle w:val="CETBodytext"/>
              <w:ind w:right="-1"/>
              <w:rPr>
                <w:rFonts w:cs="Arial"/>
                <w:szCs w:val="18"/>
                <w:lang w:val="en-GB"/>
              </w:rPr>
            </w:pPr>
            <w:r>
              <w:rPr>
                <w:rFonts w:eastAsia="Calibri"/>
                <w:szCs w:val="18"/>
              </w:rPr>
              <w:t>Hue</w:t>
            </w:r>
          </w:p>
        </w:tc>
        <w:tc>
          <w:tcPr>
            <w:tcW w:w="567" w:type="dxa"/>
            <w:shd w:val="clear" w:color="auto" w:fill="FFFFFF"/>
          </w:tcPr>
          <w:p w:rsidR="00450BB5" w:rsidRPr="00B57B36" w:rsidRDefault="00450BB5" w:rsidP="00DC2BBD">
            <w:pPr>
              <w:pStyle w:val="CETBodytext"/>
              <w:ind w:right="-1"/>
              <w:rPr>
                <w:rFonts w:cs="Arial"/>
                <w:szCs w:val="18"/>
                <w:lang w:val="en-GB"/>
              </w:rPr>
            </w:pPr>
            <w:r>
              <w:rPr>
                <w:rFonts w:cs="Arial"/>
                <w:szCs w:val="18"/>
                <w:lang w:val="en-GB"/>
              </w:rPr>
              <w:t>100</w:t>
            </w:r>
          </w:p>
        </w:tc>
        <w:tc>
          <w:tcPr>
            <w:tcW w:w="709" w:type="dxa"/>
            <w:shd w:val="clear" w:color="auto" w:fill="FFFFFF"/>
          </w:tcPr>
          <w:p w:rsidR="00450BB5" w:rsidRPr="00B57B36" w:rsidRDefault="00450BB5" w:rsidP="00DC2BBD">
            <w:pPr>
              <w:pStyle w:val="CETBodytext"/>
              <w:ind w:right="-1"/>
              <w:rPr>
                <w:rFonts w:cs="Arial"/>
                <w:szCs w:val="18"/>
                <w:lang w:val="en-GB"/>
              </w:rPr>
            </w:pPr>
            <w:r>
              <w:rPr>
                <w:rFonts w:cs="Arial"/>
                <w:szCs w:val="18"/>
                <w:lang w:val="en-GB"/>
              </w:rPr>
              <w:t>0.96</w:t>
            </w:r>
          </w:p>
        </w:tc>
        <w:tc>
          <w:tcPr>
            <w:tcW w:w="850" w:type="dxa"/>
            <w:shd w:val="clear" w:color="auto" w:fill="FFFFFF"/>
          </w:tcPr>
          <w:p w:rsidR="00450BB5" w:rsidRPr="00B57B36" w:rsidRDefault="00450BB5" w:rsidP="00DC2BBD">
            <w:pPr>
              <w:pStyle w:val="CETBodytext"/>
              <w:ind w:right="-1"/>
              <w:rPr>
                <w:rFonts w:cs="Arial"/>
                <w:szCs w:val="18"/>
                <w:lang w:val="en-GB"/>
              </w:rPr>
            </w:pPr>
            <w:r>
              <w:rPr>
                <w:rFonts w:cs="Arial"/>
                <w:szCs w:val="18"/>
                <w:lang w:val="en-GB"/>
              </w:rPr>
              <w:t>0.98</w:t>
            </w:r>
          </w:p>
        </w:tc>
        <w:tc>
          <w:tcPr>
            <w:tcW w:w="993" w:type="dxa"/>
            <w:shd w:val="clear" w:color="auto" w:fill="FFFFFF"/>
          </w:tcPr>
          <w:p w:rsidR="00450BB5" w:rsidRDefault="00450BB5" w:rsidP="00DC2BBD">
            <w:pPr>
              <w:pStyle w:val="CETBodytext"/>
              <w:ind w:right="-1"/>
              <w:rPr>
                <w:rFonts w:cs="Arial"/>
                <w:szCs w:val="18"/>
                <w:lang w:val="en-GB"/>
              </w:rPr>
            </w:pPr>
            <w:r>
              <w:rPr>
                <w:rFonts w:cs="Arial"/>
                <w:szCs w:val="18"/>
                <w:lang w:val="en-GB"/>
              </w:rPr>
              <w:t>0.43</w:t>
            </w:r>
          </w:p>
        </w:tc>
        <w:tc>
          <w:tcPr>
            <w:tcW w:w="850" w:type="dxa"/>
            <w:shd w:val="clear" w:color="auto" w:fill="FFFFFF"/>
          </w:tcPr>
          <w:p w:rsidR="00450BB5" w:rsidRDefault="00450BB5" w:rsidP="00DC2BBD">
            <w:pPr>
              <w:pStyle w:val="CETBodytext"/>
              <w:ind w:right="-1"/>
              <w:rPr>
                <w:rFonts w:cs="Arial"/>
                <w:szCs w:val="18"/>
                <w:lang w:val="en-GB"/>
              </w:rPr>
            </w:pPr>
            <w:r>
              <w:rPr>
                <w:rFonts w:cs="Arial"/>
                <w:szCs w:val="18"/>
                <w:lang w:val="en-GB"/>
              </w:rPr>
              <w:t>0.30</w:t>
            </w:r>
          </w:p>
        </w:tc>
        <w:tc>
          <w:tcPr>
            <w:tcW w:w="707" w:type="dxa"/>
            <w:shd w:val="clear" w:color="auto" w:fill="FFFFFF"/>
          </w:tcPr>
          <w:p w:rsidR="00450BB5" w:rsidRDefault="00450BB5" w:rsidP="00DC2BBD">
            <w:pPr>
              <w:pStyle w:val="CETBodytext"/>
              <w:ind w:right="-1"/>
              <w:rPr>
                <w:rFonts w:cs="Arial"/>
                <w:szCs w:val="18"/>
                <w:lang w:val="en-GB"/>
              </w:rPr>
            </w:pPr>
            <w:r>
              <w:rPr>
                <w:rFonts w:cs="Arial"/>
                <w:szCs w:val="18"/>
                <w:lang w:val="en-GB"/>
              </w:rPr>
              <w:t>1.51</w:t>
            </w:r>
          </w:p>
        </w:tc>
        <w:tc>
          <w:tcPr>
            <w:tcW w:w="850" w:type="dxa"/>
            <w:shd w:val="clear" w:color="auto" w:fill="FFFFFF"/>
          </w:tcPr>
          <w:p w:rsidR="00450BB5" w:rsidRDefault="00450BB5" w:rsidP="00DC2BBD">
            <w:pPr>
              <w:pStyle w:val="CETBodytext"/>
              <w:ind w:right="-1"/>
              <w:rPr>
                <w:rFonts w:cs="Arial"/>
                <w:szCs w:val="18"/>
                <w:lang w:val="en-GB"/>
              </w:rPr>
            </w:pPr>
            <w:r>
              <w:rPr>
                <w:rFonts w:cs="Arial"/>
                <w:szCs w:val="18"/>
                <w:lang w:val="en-GB"/>
              </w:rPr>
              <w:t>1.51</w:t>
            </w:r>
          </w:p>
        </w:tc>
      </w:tr>
    </w:tbl>
    <w:p w:rsidR="006D5F8F" w:rsidRPr="00CC3BA0" w:rsidRDefault="006D5F8F" w:rsidP="006D5F8F">
      <w:pPr>
        <w:pStyle w:val="CET-table-title"/>
        <w:rPr>
          <w:lang w:val="en-GB"/>
        </w:rPr>
      </w:pPr>
      <w:r>
        <w:rPr>
          <w:lang w:val="en-GB"/>
        </w:rPr>
        <w:t>Table 5</w:t>
      </w:r>
      <w:r w:rsidRPr="00CC3BA0">
        <w:rPr>
          <w:lang w:val="en-GB"/>
        </w:rPr>
        <w:t xml:space="preserve">. </w:t>
      </w:r>
      <w:r>
        <w:rPr>
          <w:lang w:val="en-GB"/>
        </w:rPr>
        <w:t>Q</w:t>
      </w:r>
      <w:r w:rsidRPr="00CC3BA0">
        <w:rPr>
          <w:lang w:val="en-GB"/>
        </w:rPr>
        <w:t xml:space="preserve">uality </w:t>
      </w:r>
      <w:r>
        <w:rPr>
          <w:lang w:val="en-GB"/>
        </w:rPr>
        <w:t>i</w:t>
      </w:r>
      <w:r w:rsidRPr="00CC3BA0">
        <w:rPr>
          <w:lang w:val="en-GB"/>
        </w:rPr>
        <w:t xml:space="preserve">ndicators of prediction </w:t>
      </w:r>
      <w:r w:rsidRPr="0024363E">
        <w:rPr>
          <w:iCs/>
          <w:szCs w:val="18"/>
          <w:lang w:val="en-GB" w:eastAsia="en-US"/>
        </w:rPr>
        <w:t>on the mean</w:t>
      </w:r>
      <w:r>
        <w:rPr>
          <w:iCs/>
          <w:szCs w:val="18"/>
          <w:lang w:val="en-GB" w:eastAsia="en-US"/>
        </w:rPr>
        <w:t xml:space="preserve"> value of each parameter</w:t>
      </w:r>
    </w:p>
    <w:tbl>
      <w:tblPr>
        <w:tblW w:w="0" w:type="auto"/>
        <w:tblBorders>
          <w:top w:val="single" w:sz="12" w:space="0" w:color="008000"/>
          <w:bottom w:val="single" w:sz="12" w:space="0" w:color="008000"/>
        </w:tblBorders>
        <w:shd w:val="clear" w:color="auto" w:fill="FFFFFF"/>
        <w:tblCellMar>
          <w:left w:w="0" w:type="dxa"/>
          <w:right w:w="0" w:type="dxa"/>
        </w:tblCellMar>
        <w:tblLook w:val="00A0"/>
      </w:tblPr>
      <w:tblGrid>
        <w:gridCol w:w="1276"/>
        <w:gridCol w:w="1418"/>
        <w:gridCol w:w="1134"/>
        <w:gridCol w:w="992"/>
        <w:gridCol w:w="860"/>
      </w:tblGrid>
      <w:tr w:rsidR="00612BF7" w:rsidRPr="00B57B36" w:rsidTr="004B67C3">
        <w:tc>
          <w:tcPr>
            <w:tcW w:w="1276" w:type="dxa"/>
            <w:tcBorders>
              <w:top w:val="single" w:sz="12" w:space="0" w:color="008000"/>
              <w:bottom w:val="single" w:sz="6" w:space="0" w:color="008000"/>
            </w:tcBorders>
            <w:shd w:val="clear" w:color="auto" w:fill="FFFFFF"/>
          </w:tcPr>
          <w:p w:rsidR="00612BF7" w:rsidRPr="00B57B36" w:rsidRDefault="00612BF7" w:rsidP="00DC2BBD">
            <w:pPr>
              <w:pStyle w:val="CETBodytext"/>
              <w:rPr>
                <w:lang w:val="en-GB"/>
              </w:rPr>
            </w:pPr>
            <w:r>
              <w:rPr>
                <w:lang w:val="en-GB"/>
              </w:rPr>
              <w:t>Parameter</w:t>
            </w:r>
            <w:r w:rsidRPr="00B57B36">
              <w:rPr>
                <w:lang w:val="en-GB"/>
              </w:rPr>
              <w:t xml:space="preserve"> </w:t>
            </w:r>
          </w:p>
        </w:tc>
        <w:tc>
          <w:tcPr>
            <w:tcW w:w="1418" w:type="dxa"/>
            <w:tcBorders>
              <w:top w:val="single" w:sz="12" w:space="0" w:color="008000"/>
              <w:bottom w:val="single" w:sz="6" w:space="0" w:color="008000"/>
            </w:tcBorders>
            <w:shd w:val="clear" w:color="auto" w:fill="FFFFFF"/>
          </w:tcPr>
          <w:p w:rsidR="00612BF7" w:rsidRDefault="00612BF7" w:rsidP="00DC2BBD">
            <w:pPr>
              <w:pStyle w:val="CETBodytext"/>
              <w:ind w:right="-1"/>
              <w:rPr>
                <w:rFonts w:cs="Arial"/>
                <w:szCs w:val="18"/>
                <w:lang w:val="en-GB"/>
              </w:rPr>
            </w:pPr>
            <w:r>
              <w:rPr>
                <w:rFonts w:cs="Arial"/>
                <w:szCs w:val="18"/>
                <w:lang w:val="en-GB"/>
              </w:rPr>
              <w:t>RMSECV/mean</w:t>
            </w:r>
          </w:p>
        </w:tc>
        <w:tc>
          <w:tcPr>
            <w:tcW w:w="1134" w:type="dxa"/>
            <w:tcBorders>
              <w:top w:val="single" w:sz="12" w:space="0" w:color="008000"/>
              <w:bottom w:val="single" w:sz="6" w:space="0" w:color="008000"/>
            </w:tcBorders>
            <w:shd w:val="clear" w:color="auto" w:fill="FFFFFF"/>
          </w:tcPr>
          <w:p w:rsidR="00612BF7" w:rsidRDefault="00612BF7" w:rsidP="00DC2BBD">
            <w:pPr>
              <w:pStyle w:val="CETBodytext"/>
              <w:ind w:right="-1"/>
              <w:rPr>
                <w:rFonts w:cs="Arial"/>
                <w:szCs w:val="18"/>
                <w:lang w:val="en-GB"/>
              </w:rPr>
            </w:pPr>
            <w:r>
              <w:rPr>
                <w:rFonts w:cs="Arial"/>
                <w:szCs w:val="18"/>
                <w:lang w:val="en-GB"/>
              </w:rPr>
              <w:t>BIAS/mean</w:t>
            </w:r>
          </w:p>
        </w:tc>
        <w:tc>
          <w:tcPr>
            <w:tcW w:w="992" w:type="dxa"/>
            <w:tcBorders>
              <w:top w:val="single" w:sz="12" w:space="0" w:color="008000"/>
              <w:bottom w:val="single" w:sz="6" w:space="0" w:color="008000"/>
            </w:tcBorders>
            <w:shd w:val="clear" w:color="auto" w:fill="FFFFFF"/>
          </w:tcPr>
          <w:p w:rsidR="00612BF7" w:rsidRDefault="00612BF7" w:rsidP="00DC2BBD">
            <w:pPr>
              <w:pStyle w:val="CETBodytext"/>
              <w:ind w:right="-1"/>
              <w:rPr>
                <w:rFonts w:cs="Arial"/>
                <w:szCs w:val="18"/>
                <w:lang w:val="en-GB"/>
              </w:rPr>
            </w:pPr>
            <w:r>
              <w:rPr>
                <w:rFonts w:cs="Arial"/>
                <w:szCs w:val="18"/>
                <w:lang w:val="en-GB"/>
              </w:rPr>
              <w:t>SEC/mean</w:t>
            </w:r>
          </w:p>
        </w:tc>
        <w:tc>
          <w:tcPr>
            <w:tcW w:w="860" w:type="dxa"/>
            <w:tcBorders>
              <w:top w:val="single" w:sz="12" w:space="0" w:color="008000"/>
              <w:bottom w:val="single" w:sz="6" w:space="0" w:color="008000"/>
            </w:tcBorders>
            <w:shd w:val="clear" w:color="auto" w:fill="FFFFFF"/>
          </w:tcPr>
          <w:p w:rsidR="00612BF7" w:rsidRDefault="00612BF7" w:rsidP="00DC2BBD">
            <w:pPr>
              <w:pStyle w:val="CETBodytext"/>
              <w:ind w:right="-1"/>
              <w:rPr>
                <w:rFonts w:cs="Arial"/>
                <w:szCs w:val="18"/>
                <w:lang w:val="en-GB"/>
              </w:rPr>
            </w:pPr>
            <w:r>
              <w:rPr>
                <w:rFonts w:cs="Arial"/>
                <w:szCs w:val="18"/>
                <w:lang w:val="en-GB"/>
              </w:rPr>
              <w:t>SEP/mean</w:t>
            </w:r>
          </w:p>
        </w:tc>
      </w:tr>
      <w:tr w:rsidR="00612BF7" w:rsidRPr="00B57B36" w:rsidTr="004B67C3">
        <w:tc>
          <w:tcPr>
            <w:tcW w:w="1276" w:type="dxa"/>
            <w:shd w:val="clear" w:color="auto" w:fill="FFFFFF"/>
          </w:tcPr>
          <w:p w:rsidR="00612BF7" w:rsidRPr="00B57B36" w:rsidRDefault="00612BF7" w:rsidP="00DC2BBD">
            <w:pPr>
              <w:pStyle w:val="CETBodytext"/>
              <w:rPr>
                <w:lang w:val="en-GB"/>
              </w:rPr>
            </w:pPr>
            <w:r>
              <w:rPr>
                <w:lang w:val="en-GB"/>
              </w:rPr>
              <w:t>Firmness</w:t>
            </w:r>
            <w:r w:rsidRPr="00297868">
              <w:rPr>
                <w:rFonts w:eastAsia="Calibri"/>
                <w:szCs w:val="18"/>
              </w:rPr>
              <w:t xml:space="preserve"> </w:t>
            </w:r>
          </w:p>
        </w:tc>
        <w:tc>
          <w:tcPr>
            <w:tcW w:w="1418" w:type="dxa"/>
            <w:shd w:val="clear" w:color="auto" w:fill="FFFFFF"/>
          </w:tcPr>
          <w:p w:rsidR="00612BF7" w:rsidRDefault="00612BF7" w:rsidP="00DC2BBD">
            <w:pPr>
              <w:pStyle w:val="CETBodytext"/>
              <w:ind w:right="-1"/>
              <w:rPr>
                <w:rFonts w:cs="Arial"/>
                <w:szCs w:val="18"/>
                <w:lang w:val="en-GB"/>
              </w:rPr>
            </w:pPr>
            <w:r>
              <w:rPr>
                <w:rFonts w:cs="Arial"/>
                <w:szCs w:val="18"/>
                <w:lang w:val="en-GB"/>
              </w:rPr>
              <w:t>0.37</w:t>
            </w:r>
          </w:p>
        </w:tc>
        <w:tc>
          <w:tcPr>
            <w:tcW w:w="1134" w:type="dxa"/>
            <w:shd w:val="clear" w:color="auto" w:fill="FFFFFF"/>
          </w:tcPr>
          <w:p w:rsidR="00612BF7" w:rsidRDefault="00612BF7" w:rsidP="00612BF7">
            <w:pPr>
              <w:pStyle w:val="CETBodytext"/>
              <w:ind w:right="-1"/>
              <w:rPr>
                <w:rFonts w:cs="Arial"/>
                <w:szCs w:val="18"/>
                <w:lang w:val="en-GB"/>
              </w:rPr>
            </w:pPr>
            <w:r>
              <w:rPr>
                <w:rFonts w:cs="Arial"/>
                <w:szCs w:val="18"/>
                <w:lang w:val="en-GB"/>
              </w:rPr>
              <w:t>-0.10</w:t>
            </w:r>
          </w:p>
        </w:tc>
        <w:tc>
          <w:tcPr>
            <w:tcW w:w="992" w:type="dxa"/>
            <w:shd w:val="clear" w:color="auto" w:fill="FFFFFF"/>
          </w:tcPr>
          <w:p w:rsidR="00612BF7" w:rsidRDefault="00612BF7" w:rsidP="00DC2BBD">
            <w:pPr>
              <w:pStyle w:val="CETBodytext"/>
              <w:ind w:right="-1"/>
              <w:rPr>
                <w:rFonts w:cs="Arial"/>
                <w:szCs w:val="18"/>
                <w:lang w:val="en-GB"/>
              </w:rPr>
            </w:pPr>
            <w:r>
              <w:rPr>
                <w:rFonts w:cs="Arial"/>
                <w:szCs w:val="18"/>
                <w:lang w:val="en-GB"/>
              </w:rPr>
              <w:t>0.29</w:t>
            </w:r>
          </w:p>
        </w:tc>
        <w:tc>
          <w:tcPr>
            <w:tcW w:w="860" w:type="dxa"/>
            <w:shd w:val="clear" w:color="auto" w:fill="FFFFFF"/>
          </w:tcPr>
          <w:p w:rsidR="00612BF7" w:rsidRDefault="00612BF7" w:rsidP="00DC2BBD">
            <w:pPr>
              <w:pStyle w:val="CETBodytext"/>
              <w:ind w:right="-1"/>
              <w:rPr>
                <w:rFonts w:cs="Arial"/>
                <w:szCs w:val="18"/>
                <w:lang w:val="en-GB"/>
              </w:rPr>
            </w:pPr>
            <w:r>
              <w:rPr>
                <w:rFonts w:cs="Arial"/>
                <w:szCs w:val="18"/>
                <w:lang w:val="en-GB"/>
              </w:rPr>
              <w:t>0.37</w:t>
            </w:r>
          </w:p>
        </w:tc>
      </w:tr>
      <w:tr w:rsidR="00612BF7" w:rsidRPr="00B57B36" w:rsidTr="004B67C3">
        <w:tc>
          <w:tcPr>
            <w:tcW w:w="1276" w:type="dxa"/>
            <w:shd w:val="clear" w:color="auto" w:fill="FFFFFF"/>
          </w:tcPr>
          <w:p w:rsidR="00612BF7" w:rsidRPr="00B57B36" w:rsidRDefault="00612BF7" w:rsidP="00DC2BBD">
            <w:pPr>
              <w:pStyle w:val="CETBodytext"/>
              <w:rPr>
                <w:lang w:val="en-GB"/>
              </w:rPr>
            </w:pPr>
            <w:r>
              <w:rPr>
                <w:rFonts w:eastAsia="Calibri"/>
                <w:szCs w:val="18"/>
              </w:rPr>
              <w:t>Chroma</w:t>
            </w:r>
          </w:p>
        </w:tc>
        <w:tc>
          <w:tcPr>
            <w:tcW w:w="1418" w:type="dxa"/>
            <w:shd w:val="clear" w:color="auto" w:fill="FFFFFF"/>
          </w:tcPr>
          <w:p w:rsidR="00612BF7" w:rsidRDefault="00612BF7" w:rsidP="00DC2BBD">
            <w:pPr>
              <w:pStyle w:val="CETBodytext"/>
              <w:ind w:right="-1"/>
              <w:rPr>
                <w:rFonts w:cs="Arial"/>
                <w:szCs w:val="18"/>
                <w:lang w:val="en-GB"/>
              </w:rPr>
            </w:pPr>
            <w:r>
              <w:rPr>
                <w:rFonts w:cs="Arial"/>
                <w:szCs w:val="18"/>
                <w:lang w:val="en-GB"/>
              </w:rPr>
              <w:t>0.16</w:t>
            </w:r>
          </w:p>
        </w:tc>
        <w:tc>
          <w:tcPr>
            <w:tcW w:w="1134" w:type="dxa"/>
            <w:shd w:val="clear" w:color="auto" w:fill="FFFFFF"/>
          </w:tcPr>
          <w:p w:rsidR="00612BF7" w:rsidRDefault="00612BF7" w:rsidP="00DC2BBD">
            <w:pPr>
              <w:pStyle w:val="CETBodytext"/>
              <w:ind w:right="-1"/>
              <w:rPr>
                <w:rFonts w:cs="Arial"/>
                <w:szCs w:val="18"/>
                <w:lang w:val="en-GB"/>
              </w:rPr>
            </w:pPr>
            <w:r>
              <w:rPr>
                <w:rFonts w:cs="Arial"/>
                <w:szCs w:val="18"/>
                <w:lang w:val="en-GB"/>
              </w:rPr>
              <w:t>0.11</w:t>
            </w:r>
          </w:p>
        </w:tc>
        <w:tc>
          <w:tcPr>
            <w:tcW w:w="992" w:type="dxa"/>
            <w:shd w:val="clear" w:color="auto" w:fill="FFFFFF"/>
          </w:tcPr>
          <w:p w:rsidR="00612BF7" w:rsidRDefault="00612BF7" w:rsidP="00DC2BBD">
            <w:pPr>
              <w:pStyle w:val="CETBodytext"/>
              <w:ind w:right="-1"/>
              <w:rPr>
                <w:rFonts w:cs="Arial"/>
                <w:szCs w:val="18"/>
                <w:lang w:val="en-GB"/>
              </w:rPr>
            </w:pPr>
            <w:r>
              <w:rPr>
                <w:rFonts w:cs="Arial"/>
                <w:szCs w:val="18"/>
                <w:lang w:val="en-GB"/>
              </w:rPr>
              <w:t>0.18</w:t>
            </w:r>
          </w:p>
        </w:tc>
        <w:tc>
          <w:tcPr>
            <w:tcW w:w="860" w:type="dxa"/>
            <w:shd w:val="clear" w:color="auto" w:fill="FFFFFF"/>
          </w:tcPr>
          <w:p w:rsidR="00612BF7" w:rsidRDefault="00612BF7" w:rsidP="00DC2BBD">
            <w:pPr>
              <w:pStyle w:val="CETBodytext"/>
              <w:ind w:right="-1"/>
              <w:rPr>
                <w:rFonts w:cs="Arial"/>
                <w:szCs w:val="18"/>
                <w:lang w:val="en-GB"/>
              </w:rPr>
            </w:pPr>
            <w:r>
              <w:rPr>
                <w:rFonts w:cs="Arial"/>
                <w:szCs w:val="18"/>
                <w:lang w:val="en-GB"/>
              </w:rPr>
              <w:t>0.23</w:t>
            </w:r>
          </w:p>
        </w:tc>
      </w:tr>
      <w:tr w:rsidR="00612BF7" w:rsidRPr="00B57B36" w:rsidTr="004B67C3">
        <w:tc>
          <w:tcPr>
            <w:tcW w:w="1276" w:type="dxa"/>
            <w:shd w:val="clear" w:color="auto" w:fill="FFFFFF"/>
          </w:tcPr>
          <w:p w:rsidR="00612BF7" w:rsidRPr="00B57B36" w:rsidRDefault="00612BF7" w:rsidP="00DC2BBD">
            <w:pPr>
              <w:pStyle w:val="CETBodytext"/>
              <w:ind w:right="-1"/>
              <w:rPr>
                <w:rFonts w:cs="Arial"/>
                <w:szCs w:val="18"/>
                <w:lang w:val="en-GB"/>
              </w:rPr>
            </w:pPr>
            <w:r>
              <w:rPr>
                <w:rFonts w:eastAsia="Calibri"/>
                <w:szCs w:val="18"/>
              </w:rPr>
              <w:t>Hue</w:t>
            </w:r>
          </w:p>
        </w:tc>
        <w:tc>
          <w:tcPr>
            <w:tcW w:w="1418" w:type="dxa"/>
            <w:shd w:val="clear" w:color="auto" w:fill="FFFFFF"/>
          </w:tcPr>
          <w:p w:rsidR="00612BF7" w:rsidRDefault="00612BF7" w:rsidP="00612BF7">
            <w:pPr>
              <w:pStyle w:val="CETBodytext"/>
              <w:ind w:right="-1"/>
              <w:rPr>
                <w:rFonts w:cs="Arial"/>
                <w:szCs w:val="18"/>
                <w:lang w:val="en-GB"/>
              </w:rPr>
            </w:pPr>
            <w:r>
              <w:rPr>
                <w:rFonts w:cs="Arial"/>
                <w:szCs w:val="18"/>
                <w:lang w:val="en-GB"/>
              </w:rPr>
              <w:t>0.16</w:t>
            </w:r>
          </w:p>
        </w:tc>
        <w:tc>
          <w:tcPr>
            <w:tcW w:w="1134" w:type="dxa"/>
            <w:shd w:val="clear" w:color="auto" w:fill="FFFFFF"/>
          </w:tcPr>
          <w:p w:rsidR="00612BF7" w:rsidRDefault="00612BF7" w:rsidP="00DC2BBD">
            <w:pPr>
              <w:pStyle w:val="CETBodytext"/>
              <w:ind w:right="-1"/>
              <w:rPr>
                <w:rFonts w:cs="Arial"/>
                <w:szCs w:val="18"/>
                <w:lang w:val="en-GB"/>
              </w:rPr>
            </w:pPr>
            <w:r>
              <w:rPr>
                <w:rFonts w:cs="Arial"/>
                <w:szCs w:val="18"/>
                <w:lang w:val="en-GB"/>
              </w:rPr>
              <w:t>0.11</w:t>
            </w:r>
          </w:p>
        </w:tc>
        <w:tc>
          <w:tcPr>
            <w:tcW w:w="992" w:type="dxa"/>
            <w:shd w:val="clear" w:color="auto" w:fill="FFFFFF"/>
          </w:tcPr>
          <w:p w:rsidR="00612BF7" w:rsidRDefault="00612BF7" w:rsidP="00612BF7">
            <w:pPr>
              <w:pStyle w:val="CETBodytext"/>
              <w:ind w:right="-1"/>
              <w:rPr>
                <w:rFonts w:cs="Arial"/>
                <w:szCs w:val="18"/>
                <w:lang w:val="en-GB"/>
              </w:rPr>
            </w:pPr>
            <w:r>
              <w:rPr>
                <w:rFonts w:cs="Arial"/>
                <w:szCs w:val="18"/>
                <w:lang w:val="en-GB"/>
              </w:rPr>
              <w:t>0.58</w:t>
            </w:r>
          </w:p>
        </w:tc>
        <w:tc>
          <w:tcPr>
            <w:tcW w:w="860" w:type="dxa"/>
            <w:shd w:val="clear" w:color="auto" w:fill="FFFFFF"/>
          </w:tcPr>
          <w:p w:rsidR="00612BF7" w:rsidRDefault="00612BF7" w:rsidP="00DC2BBD">
            <w:pPr>
              <w:pStyle w:val="CETBodytext"/>
              <w:ind w:right="-1"/>
              <w:rPr>
                <w:rFonts w:cs="Arial"/>
                <w:szCs w:val="18"/>
                <w:lang w:val="en-GB"/>
              </w:rPr>
            </w:pPr>
            <w:r>
              <w:rPr>
                <w:rFonts w:cs="Arial"/>
                <w:szCs w:val="18"/>
                <w:lang w:val="en-GB"/>
              </w:rPr>
              <w:t>0.58</w:t>
            </w:r>
          </w:p>
        </w:tc>
      </w:tr>
    </w:tbl>
    <w:p w:rsidR="004B67C3" w:rsidRDefault="004B67C3" w:rsidP="004B67C3">
      <w:pPr>
        <w:pStyle w:val="CETBodytext"/>
        <w:spacing w:line="240" w:lineRule="auto"/>
        <w:rPr>
          <w:rFonts w:eastAsia="Calibri"/>
          <w:szCs w:val="18"/>
          <w:lang w:eastAsia="it-IT"/>
        </w:rPr>
      </w:pPr>
      <w:r w:rsidRPr="0024363E">
        <w:rPr>
          <w:rFonts w:eastAsia="Calibri"/>
          <w:szCs w:val="18"/>
          <w:lang w:eastAsia="it-IT"/>
        </w:rPr>
        <w:t>Figure</w:t>
      </w:r>
      <w:r>
        <w:rPr>
          <w:rFonts w:eastAsia="Calibri"/>
          <w:szCs w:val="18"/>
          <w:lang w:eastAsia="it-IT"/>
        </w:rPr>
        <w:t>s 2,</w:t>
      </w:r>
      <w:r w:rsidRPr="0024363E">
        <w:rPr>
          <w:rFonts w:eastAsia="Calibri"/>
          <w:szCs w:val="18"/>
          <w:lang w:eastAsia="it-IT"/>
        </w:rPr>
        <w:t xml:space="preserve"> 3 and 4</w:t>
      </w:r>
      <w:r>
        <w:rPr>
          <w:rFonts w:eastAsia="Calibri"/>
          <w:szCs w:val="18"/>
          <w:lang w:eastAsia="it-IT"/>
        </w:rPr>
        <w:t xml:space="preserve"> show</w:t>
      </w:r>
      <w:r w:rsidRPr="0024363E">
        <w:rPr>
          <w:rFonts w:eastAsia="Calibri"/>
          <w:szCs w:val="18"/>
          <w:lang w:eastAsia="it-IT"/>
        </w:rPr>
        <w:t xml:space="preserve"> predicted value</w:t>
      </w:r>
      <w:r>
        <w:rPr>
          <w:rFonts w:eastAsia="Calibri"/>
          <w:szCs w:val="18"/>
          <w:lang w:eastAsia="it-IT"/>
        </w:rPr>
        <w:t>s</w:t>
      </w:r>
      <w:r w:rsidRPr="0024363E">
        <w:rPr>
          <w:rFonts w:eastAsia="Calibri"/>
          <w:szCs w:val="18"/>
          <w:lang w:eastAsia="it-IT"/>
        </w:rPr>
        <w:t xml:space="preserve"> and the Interval of </w:t>
      </w:r>
      <w:r>
        <w:rPr>
          <w:rFonts w:eastAsia="Calibri"/>
          <w:szCs w:val="18"/>
          <w:lang w:eastAsia="it-IT"/>
        </w:rPr>
        <w:t>C</w:t>
      </w:r>
      <w:r w:rsidRPr="0024363E">
        <w:rPr>
          <w:rFonts w:eastAsia="Calibri"/>
          <w:szCs w:val="18"/>
          <w:lang w:eastAsia="it-IT"/>
        </w:rPr>
        <w:t>onfidence at 95% of probability</w:t>
      </w:r>
      <w:r>
        <w:rPr>
          <w:rFonts w:eastAsia="Calibri"/>
          <w:szCs w:val="18"/>
          <w:lang w:eastAsia="it-IT"/>
        </w:rPr>
        <w:t xml:space="preserve"> for the three parameters</w:t>
      </w:r>
      <w:r w:rsidRPr="0024363E">
        <w:rPr>
          <w:rFonts w:eastAsia="Calibri"/>
          <w:szCs w:val="18"/>
          <w:lang w:eastAsia="it-IT"/>
        </w:rPr>
        <w:t xml:space="preserve">. </w:t>
      </w:r>
      <w:r w:rsidRPr="007B4200">
        <w:rPr>
          <w:rFonts w:eastAsia="Calibri"/>
          <w:szCs w:val="18"/>
          <w:lang w:eastAsia="it-IT"/>
        </w:rPr>
        <w:t xml:space="preserve">A very large interval was observed for firmness </w:t>
      </w:r>
      <w:r>
        <w:rPr>
          <w:rFonts w:eastAsia="Calibri"/>
          <w:szCs w:val="18"/>
          <w:lang w:eastAsia="it-IT"/>
        </w:rPr>
        <w:t>and t</w:t>
      </w:r>
      <w:r w:rsidRPr="007B4200">
        <w:rPr>
          <w:rFonts w:eastAsia="Calibri"/>
          <w:szCs w:val="18"/>
          <w:lang w:eastAsia="it-IT"/>
        </w:rPr>
        <w:t xml:space="preserve">his causes us not to consider valid the values </w:t>
      </w:r>
      <w:r>
        <w:rPr>
          <w:rFonts w:eastAsia="Calibri"/>
          <w:szCs w:val="18"/>
          <w:lang w:eastAsia="it-IT"/>
        </w:rPr>
        <w:t xml:space="preserve">predicted </w:t>
      </w:r>
      <w:r w:rsidRPr="007B4200">
        <w:rPr>
          <w:rFonts w:eastAsia="Calibri"/>
          <w:szCs w:val="18"/>
          <w:lang w:eastAsia="it-IT"/>
        </w:rPr>
        <w:t xml:space="preserve">by </w:t>
      </w:r>
      <w:proofErr w:type="spellStart"/>
      <w:r w:rsidRPr="007B4200">
        <w:rPr>
          <w:rFonts w:eastAsia="Calibri"/>
          <w:szCs w:val="18"/>
          <w:lang w:eastAsia="it-IT"/>
        </w:rPr>
        <w:t>vis</w:t>
      </w:r>
      <w:proofErr w:type="spellEnd"/>
      <w:r>
        <w:rPr>
          <w:rFonts w:eastAsia="Calibri"/>
          <w:szCs w:val="18"/>
          <w:lang w:eastAsia="it-IT"/>
        </w:rPr>
        <w:t xml:space="preserve"> </w:t>
      </w:r>
      <w:r w:rsidRPr="007B4200">
        <w:rPr>
          <w:rFonts w:eastAsia="Calibri"/>
          <w:szCs w:val="18"/>
          <w:lang w:eastAsia="it-IT"/>
        </w:rPr>
        <w:t xml:space="preserve">NIR to </w:t>
      </w:r>
      <w:r>
        <w:rPr>
          <w:rFonts w:eastAsia="Calibri"/>
          <w:szCs w:val="18"/>
          <w:lang w:eastAsia="it-IT"/>
        </w:rPr>
        <w:t>evaluate</w:t>
      </w:r>
      <w:r w:rsidRPr="007B4200">
        <w:rPr>
          <w:rFonts w:eastAsia="Calibri"/>
          <w:szCs w:val="18"/>
          <w:lang w:eastAsia="it-IT"/>
        </w:rPr>
        <w:t xml:space="preserve"> this parameter</w:t>
      </w:r>
      <w:r>
        <w:rPr>
          <w:rFonts w:eastAsia="Calibri"/>
          <w:szCs w:val="18"/>
          <w:lang w:eastAsia="it-IT"/>
        </w:rPr>
        <w:t xml:space="preserve"> on </w:t>
      </w:r>
      <w:proofErr w:type="spellStart"/>
      <w:r>
        <w:rPr>
          <w:rFonts w:eastAsia="Calibri"/>
          <w:szCs w:val="18"/>
          <w:lang w:eastAsia="it-IT"/>
        </w:rPr>
        <w:t>Nocellara</w:t>
      </w:r>
      <w:proofErr w:type="spellEnd"/>
      <w:r>
        <w:rPr>
          <w:rFonts w:eastAsia="Calibri"/>
          <w:szCs w:val="18"/>
          <w:lang w:eastAsia="it-IT"/>
        </w:rPr>
        <w:t xml:space="preserve"> del </w:t>
      </w:r>
      <w:proofErr w:type="spellStart"/>
      <w:r>
        <w:rPr>
          <w:rFonts w:eastAsia="Calibri"/>
          <w:szCs w:val="18"/>
          <w:lang w:eastAsia="it-IT"/>
        </w:rPr>
        <w:t>Belice</w:t>
      </w:r>
      <w:proofErr w:type="spellEnd"/>
      <w:r>
        <w:rPr>
          <w:rFonts w:eastAsia="Calibri"/>
          <w:szCs w:val="18"/>
          <w:lang w:eastAsia="it-IT"/>
        </w:rPr>
        <w:t xml:space="preserve"> table olives</w:t>
      </w:r>
      <w:r w:rsidRPr="007B4200">
        <w:rPr>
          <w:rFonts w:eastAsia="Calibri"/>
          <w:szCs w:val="18"/>
          <w:lang w:eastAsia="it-IT"/>
        </w:rPr>
        <w:t>.</w:t>
      </w:r>
      <w:r>
        <w:rPr>
          <w:rFonts w:eastAsia="Calibri"/>
          <w:szCs w:val="18"/>
          <w:lang w:eastAsia="it-IT"/>
        </w:rPr>
        <w:t xml:space="preserve"> Figure 2 shows that the Confidence I</w:t>
      </w:r>
      <w:r w:rsidRPr="007B4200">
        <w:rPr>
          <w:rFonts w:eastAsia="Calibri"/>
          <w:szCs w:val="18"/>
          <w:lang w:eastAsia="it-IT"/>
        </w:rPr>
        <w:t xml:space="preserve">ntervals are wider </w:t>
      </w:r>
      <w:r>
        <w:rPr>
          <w:rFonts w:eastAsia="Calibri"/>
          <w:szCs w:val="18"/>
          <w:lang w:eastAsia="it-IT"/>
        </w:rPr>
        <w:t>moving</w:t>
      </w:r>
      <w:r w:rsidRPr="007B4200">
        <w:rPr>
          <w:rFonts w:eastAsia="Calibri"/>
          <w:szCs w:val="18"/>
          <w:lang w:eastAsia="it-IT"/>
        </w:rPr>
        <w:t xml:space="preserve"> away from the </w:t>
      </w:r>
      <w:r>
        <w:rPr>
          <w:rFonts w:eastAsia="Calibri"/>
          <w:szCs w:val="18"/>
          <w:lang w:eastAsia="it-IT"/>
        </w:rPr>
        <w:t>mean value</w:t>
      </w:r>
      <w:r w:rsidRPr="007B4200">
        <w:rPr>
          <w:rFonts w:eastAsia="Calibri"/>
          <w:szCs w:val="18"/>
          <w:lang w:eastAsia="it-IT"/>
        </w:rPr>
        <w:t xml:space="preserve">. </w:t>
      </w:r>
      <w:r>
        <w:rPr>
          <w:rFonts w:eastAsia="Calibri"/>
          <w:szCs w:val="18"/>
          <w:lang w:eastAsia="it-IT"/>
        </w:rPr>
        <w:t>T</w:t>
      </w:r>
      <w:r w:rsidRPr="007B4200">
        <w:rPr>
          <w:rFonts w:eastAsia="Calibri"/>
          <w:szCs w:val="18"/>
          <w:lang w:eastAsia="it-IT"/>
        </w:rPr>
        <w:t xml:space="preserve">he amplitude of the </w:t>
      </w:r>
      <w:r>
        <w:rPr>
          <w:rFonts w:eastAsia="Calibri"/>
          <w:szCs w:val="18"/>
          <w:lang w:eastAsia="it-IT"/>
        </w:rPr>
        <w:t>prediction</w:t>
      </w:r>
      <w:r w:rsidRPr="007B4200">
        <w:rPr>
          <w:rFonts w:eastAsia="Calibri"/>
          <w:szCs w:val="18"/>
          <w:lang w:eastAsia="it-IT"/>
        </w:rPr>
        <w:t xml:space="preserve"> interval </w:t>
      </w:r>
      <w:r>
        <w:rPr>
          <w:rFonts w:eastAsia="Calibri"/>
          <w:szCs w:val="18"/>
          <w:lang w:eastAsia="it-IT"/>
        </w:rPr>
        <w:t>for</w:t>
      </w:r>
      <w:r w:rsidRPr="007B4200">
        <w:rPr>
          <w:rFonts w:eastAsia="Calibri"/>
          <w:szCs w:val="18"/>
          <w:lang w:eastAsia="it-IT"/>
        </w:rPr>
        <w:t xml:space="preserve"> hue and </w:t>
      </w:r>
      <w:proofErr w:type="spellStart"/>
      <w:r w:rsidRPr="007B4200">
        <w:rPr>
          <w:rFonts w:eastAsia="Calibri"/>
          <w:szCs w:val="18"/>
          <w:lang w:eastAsia="it-IT"/>
        </w:rPr>
        <w:t>chroma</w:t>
      </w:r>
      <w:proofErr w:type="spellEnd"/>
      <w:r w:rsidRPr="007B4200">
        <w:rPr>
          <w:rFonts w:eastAsia="Calibri"/>
          <w:szCs w:val="18"/>
          <w:lang w:eastAsia="it-IT"/>
        </w:rPr>
        <w:t xml:space="preserve"> parameters</w:t>
      </w:r>
      <w:r>
        <w:rPr>
          <w:rFonts w:eastAsia="Calibri"/>
          <w:szCs w:val="18"/>
          <w:lang w:eastAsia="it-IT"/>
        </w:rPr>
        <w:t xml:space="preserve"> (Figures 3 and 4)</w:t>
      </w:r>
      <w:r w:rsidRPr="007B4200">
        <w:rPr>
          <w:rFonts w:eastAsia="Calibri"/>
          <w:szCs w:val="18"/>
          <w:lang w:eastAsia="it-IT"/>
        </w:rPr>
        <w:t xml:space="preserve"> is smaller than firmness and therefore </w:t>
      </w:r>
      <w:r>
        <w:rPr>
          <w:rFonts w:eastAsia="Calibri"/>
          <w:szCs w:val="18"/>
          <w:lang w:eastAsia="it-IT"/>
        </w:rPr>
        <w:t xml:space="preserve">they are </w:t>
      </w:r>
      <w:r w:rsidRPr="007B4200">
        <w:rPr>
          <w:rFonts w:eastAsia="Calibri"/>
          <w:szCs w:val="18"/>
          <w:lang w:eastAsia="it-IT"/>
        </w:rPr>
        <w:t>subject to a lower predictive error</w:t>
      </w:r>
      <w:r>
        <w:rPr>
          <w:rFonts w:eastAsia="Calibri"/>
          <w:szCs w:val="18"/>
          <w:lang w:eastAsia="it-IT"/>
        </w:rPr>
        <w:t>.</w:t>
      </w:r>
    </w:p>
    <w:p w:rsidR="00D345DD" w:rsidRDefault="00D345DD" w:rsidP="00450BB5">
      <w:pPr>
        <w:pStyle w:val="CETBodytext"/>
        <w:ind w:right="-1"/>
        <w:rPr>
          <w:rFonts w:eastAsia="Calibri"/>
          <w:szCs w:val="18"/>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9"/>
      </w:tblGrid>
      <w:tr w:rsidR="00C2370B" w:rsidRPr="00C2370B" w:rsidTr="00C2370B">
        <w:tc>
          <w:tcPr>
            <w:tcW w:w="4939" w:type="dxa"/>
          </w:tcPr>
          <w:p w:rsidR="00C2370B" w:rsidRPr="00C2370B" w:rsidRDefault="00C2370B" w:rsidP="00C2370B">
            <w:pPr>
              <w:pStyle w:val="CETBodytext"/>
              <w:jc w:val="left"/>
              <w:rPr>
                <w:noProof/>
                <w:lang w:val="it-IT" w:eastAsia="it-IT"/>
              </w:rPr>
            </w:pPr>
            <w:r w:rsidRPr="00C2370B">
              <w:rPr>
                <w:noProof/>
                <w:lang w:val="it-IT" w:eastAsia="it-IT"/>
              </w:rPr>
              <w:drawing>
                <wp:inline distT="0" distB="0" distL="0" distR="0">
                  <wp:extent cx="2906879" cy="2114093"/>
                  <wp:effectExtent l="19050" t="0" r="7771"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09243" cy="2115812"/>
                          </a:xfrm>
                          <a:prstGeom prst="rect">
                            <a:avLst/>
                          </a:prstGeom>
                        </pic:spPr>
                      </pic:pic>
                    </a:graphicData>
                  </a:graphic>
                </wp:inline>
              </w:drawing>
            </w:r>
          </w:p>
        </w:tc>
      </w:tr>
    </w:tbl>
    <w:p w:rsidR="00612BF7" w:rsidRDefault="00612BF7" w:rsidP="00612BF7">
      <w:pPr>
        <w:pStyle w:val="CETCaption"/>
      </w:pPr>
      <w:r w:rsidRPr="00612BF7">
        <w:t xml:space="preserve">Figure </w:t>
      </w:r>
      <w:r>
        <w:t>2</w:t>
      </w:r>
      <w:r w:rsidRPr="00612BF7">
        <w:t xml:space="preserve">: </w:t>
      </w:r>
      <w:r>
        <w:t xml:space="preserve">Predicted vis </w:t>
      </w:r>
      <w:r w:rsidRPr="00612BF7">
        <w:t xml:space="preserve">NIR versus </w:t>
      </w:r>
      <w:r>
        <w:t>measured</w:t>
      </w:r>
      <w:r w:rsidRPr="00612BF7">
        <w:t xml:space="preserve"> values and Confidence Interval </w:t>
      </w:r>
      <w:r>
        <w:t>for</w:t>
      </w:r>
      <w:r w:rsidRPr="00612BF7">
        <w:t xml:space="preserve"> firmness </w:t>
      </w:r>
      <w:r>
        <w:t>parameter</w:t>
      </w:r>
      <w:r w:rsidRPr="00612BF7">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0"/>
      </w:tblGrid>
      <w:tr w:rsidR="00C2370B" w:rsidRPr="00C2370B" w:rsidTr="00C2370B">
        <w:tc>
          <w:tcPr>
            <w:tcW w:w="4940" w:type="dxa"/>
          </w:tcPr>
          <w:p w:rsidR="00C2370B" w:rsidRPr="00C2370B" w:rsidRDefault="00C2370B" w:rsidP="00C2370B">
            <w:pPr>
              <w:pStyle w:val="CETBodytext"/>
              <w:jc w:val="left"/>
              <w:rPr>
                <w:noProof/>
                <w:lang w:val="it-IT" w:eastAsia="it-IT"/>
              </w:rPr>
            </w:pPr>
            <w:r w:rsidRPr="00C2370B">
              <w:rPr>
                <w:noProof/>
                <w:lang w:val="it-IT" w:eastAsia="it-IT"/>
              </w:rPr>
              <w:drawing>
                <wp:inline distT="0" distB="0" distL="0" distR="0">
                  <wp:extent cx="2874873" cy="2060725"/>
                  <wp:effectExtent l="19050" t="0" r="1677"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3.jpg"/>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86" t="2899" r="1695" b="2319"/>
                          <a:stretch/>
                        </pic:blipFill>
                        <pic:spPr bwMode="auto">
                          <a:xfrm>
                            <a:off x="0" y="0"/>
                            <a:ext cx="2886882" cy="206933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bl>
    <w:p w:rsidR="00612BF7" w:rsidRDefault="00612BF7" w:rsidP="00612BF7">
      <w:pPr>
        <w:pStyle w:val="CETCaption"/>
      </w:pPr>
      <w:r w:rsidRPr="00612BF7">
        <w:t xml:space="preserve">Figure </w:t>
      </w:r>
      <w:r>
        <w:t>3</w:t>
      </w:r>
      <w:r w:rsidRPr="00612BF7">
        <w:t xml:space="preserve">: </w:t>
      </w:r>
      <w:r>
        <w:t xml:space="preserve">Predicted vis </w:t>
      </w:r>
      <w:r w:rsidRPr="00612BF7">
        <w:t xml:space="preserve">NIR versus </w:t>
      </w:r>
      <w:r>
        <w:t>measured</w:t>
      </w:r>
      <w:r w:rsidRPr="00612BF7">
        <w:t xml:space="preserve"> values and Confidence Interval </w:t>
      </w:r>
      <w:r>
        <w:t>for</w:t>
      </w:r>
      <w:r w:rsidRPr="00612BF7">
        <w:t xml:space="preserve"> </w:t>
      </w:r>
      <w:r w:rsidR="00C2370B">
        <w:t>hue</w:t>
      </w:r>
      <w:r w:rsidRPr="00612BF7">
        <w:t xml:space="preserve"> </w:t>
      </w:r>
      <w:r>
        <w:t>parameter</w:t>
      </w:r>
      <w:r w:rsidRPr="00612BF7">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7"/>
      </w:tblGrid>
      <w:tr w:rsidR="00C2370B" w:rsidRPr="00C2370B" w:rsidTr="00C2370B">
        <w:tc>
          <w:tcPr>
            <w:tcW w:w="4957" w:type="dxa"/>
          </w:tcPr>
          <w:p w:rsidR="00C2370B" w:rsidRPr="00C2370B" w:rsidRDefault="00C2370B" w:rsidP="00C2370B">
            <w:pPr>
              <w:pStyle w:val="CETBodytext"/>
              <w:jc w:val="left"/>
              <w:rPr>
                <w:noProof/>
                <w:lang w:val="it-IT" w:eastAsia="it-IT"/>
              </w:rPr>
            </w:pPr>
            <w:r w:rsidRPr="00C2370B">
              <w:rPr>
                <w:noProof/>
                <w:lang w:val="it-IT" w:eastAsia="it-IT"/>
              </w:rPr>
              <w:drawing>
                <wp:inline distT="0" distB="0" distL="0" distR="0">
                  <wp:extent cx="2876499" cy="2054643"/>
                  <wp:effectExtent l="19050" t="0" r="51"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4.jpg"/>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28" t="2689" r="1442" b="3193"/>
                          <a:stretch/>
                        </pic:blipFill>
                        <pic:spPr bwMode="auto">
                          <a:xfrm>
                            <a:off x="0" y="0"/>
                            <a:ext cx="2878808" cy="205629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bl>
    <w:p w:rsidR="00C2370B" w:rsidRDefault="00C2370B" w:rsidP="00C2370B">
      <w:pPr>
        <w:pStyle w:val="CETCaption"/>
      </w:pPr>
      <w:r w:rsidRPr="00612BF7">
        <w:t xml:space="preserve">Figure </w:t>
      </w:r>
      <w:r>
        <w:t>4</w:t>
      </w:r>
      <w:r w:rsidRPr="00612BF7">
        <w:t xml:space="preserve">: </w:t>
      </w:r>
      <w:r>
        <w:t xml:space="preserve">Predicted vis </w:t>
      </w:r>
      <w:r w:rsidRPr="00612BF7">
        <w:t xml:space="preserve">NIR versus </w:t>
      </w:r>
      <w:r>
        <w:t>measured</w:t>
      </w:r>
      <w:r w:rsidRPr="00612BF7">
        <w:t xml:space="preserve"> values and Confidence Interval </w:t>
      </w:r>
      <w:r>
        <w:t>for</w:t>
      </w:r>
      <w:r w:rsidRPr="00612BF7">
        <w:t xml:space="preserve"> </w:t>
      </w:r>
      <w:proofErr w:type="spellStart"/>
      <w:r>
        <w:t>chroma</w:t>
      </w:r>
      <w:proofErr w:type="spellEnd"/>
      <w:r w:rsidRPr="00612BF7">
        <w:t xml:space="preserve"> </w:t>
      </w:r>
      <w:r>
        <w:t>parameter</w:t>
      </w:r>
      <w:r w:rsidRPr="00612BF7">
        <w:t xml:space="preserve"> </w:t>
      </w:r>
    </w:p>
    <w:bookmarkEnd w:id="0"/>
    <w:p w:rsidR="00600535" w:rsidRPr="00B57B36" w:rsidRDefault="00600535" w:rsidP="00612BF7">
      <w:pPr>
        <w:pStyle w:val="CETHeading1"/>
        <w:tabs>
          <w:tab w:val="right" w:pos="7100"/>
        </w:tabs>
        <w:jc w:val="both"/>
        <w:rPr>
          <w:lang w:val="en-GB"/>
        </w:rPr>
      </w:pPr>
      <w:r w:rsidRPr="00B57B36">
        <w:rPr>
          <w:lang w:val="en-GB"/>
        </w:rPr>
        <w:t>Conclusions</w:t>
      </w:r>
    </w:p>
    <w:p w:rsidR="00F838B7" w:rsidRDefault="00F838B7" w:rsidP="00600535">
      <w:pPr>
        <w:pStyle w:val="CETBodytext"/>
        <w:rPr>
          <w:lang w:val="en-GB"/>
        </w:rPr>
      </w:pPr>
      <w:r w:rsidRPr="00F838B7">
        <w:rPr>
          <w:rFonts w:eastAsia="Calibri"/>
          <w:szCs w:val="18"/>
          <w:lang w:eastAsia="it-IT"/>
        </w:rPr>
        <w:t xml:space="preserve">The prediction capabilities of a portable vis NIR device operating in the wavelength range 600-1000 nm were tested on </w:t>
      </w:r>
      <w:proofErr w:type="spellStart"/>
      <w:r>
        <w:rPr>
          <w:rFonts w:eastAsia="Calibri"/>
          <w:szCs w:val="18"/>
          <w:lang w:eastAsia="it-IT"/>
        </w:rPr>
        <w:t>Nocellara</w:t>
      </w:r>
      <w:proofErr w:type="spellEnd"/>
      <w:r>
        <w:rPr>
          <w:rFonts w:eastAsia="Calibri"/>
          <w:szCs w:val="18"/>
          <w:lang w:eastAsia="it-IT"/>
        </w:rPr>
        <w:t xml:space="preserve"> del </w:t>
      </w:r>
      <w:proofErr w:type="spellStart"/>
      <w:r>
        <w:rPr>
          <w:rFonts w:eastAsia="Calibri"/>
          <w:szCs w:val="18"/>
          <w:lang w:eastAsia="it-IT"/>
        </w:rPr>
        <w:t>Belice</w:t>
      </w:r>
      <w:proofErr w:type="spellEnd"/>
      <w:r>
        <w:rPr>
          <w:rFonts w:eastAsia="Calibri"/>
          <w:szCs w:val="18"/>
          <w:lang w:eastAsia="it-IT"/>
        </w:rPr>
        <w:t xml:space="preserve"> table olives</w:t>
      </w:r>
      <w:r w:rsidRPr="00F838B7">
        <w:rPr>
          <w:rFonts w:eastAsia="Calibri"/>
          <w:szCs w:val="18"/>
          <w:lang w:eastAsia="it-IT"/>
        </w:rPr>
        <w:t xml:space="preserve"> to evaluate </w:t>
      </w:r>
      <w:r>
        <w:rPr>
          <w:rFonts w:eastAsia="Calibri"/>
          <w:szCs w:val="18"/>
          <w:lang w:eastAsia="it-IT"/>
        </w:rPr>
        <w:t>some olive</w:t>
      </w:r>
      <w:r w:rsidRPr="00F838B7">
        <w:rPr>
          <w:rFonts w:eastAsia="Calibri"/>
          <w:szCs w:val="18"/>
          <w:lang w:eastAsia="it-IT"/>
        </w:rPr>
        <w:t xml:space="preserve"> characteristics in</w:t>
      </w:r>
      <w:r w:rsidR="008A0919">
        <w:rPr>
          <w:rFonts w:eastAsia="Calibri"/>
          <w:szCs w:val="18"/>
          <w:lang w:eastAsia="it-IT"/>
        </w:rPr>
        <w:t xml:space="preserve"> rapid and</w:t>
      </w:r>
      <w:r w:rsidRPr="00F838B7">
        <w:rPr>
          <w:rFonts w:eastAsia="Calibri"/>
          <w:szCs w:val="18"/>
          <w:lang w:eastAsia="it-IT"/>
        </w:rPr>
        <w:t xml:space="preserve"> non-destructive way </w:t>
      </w:r>
      <w:r w:rsidRPr="002400DA">
        <w:rPr>
          <w:lang w:val="en-GB"/>
        </w:rPr>
        <w:t>during harvest operations or postharvest handling.</w:t>
      </w:r>
    </w:p>
    <w:p w:rsidR="008A0919" w:rsidRPr="00F203D2" w:rsidRDefault="008A0919" w:rsidP="00600535">
      <w:pPr>
        <w:pStyle w:val="CETBodytext"/>
      </w:pPr>
      <w:r>
        <w:rPr>
          <w:lang w:val="en-GB"/>
        </w:rPr>
        <w:t>The system gave excellent results to predict table olives colour</w:t>
      </w:r>
      <w:r w:rsidR="00F203D2">
        <w:rPr>
          <w:lang w:val="en-GB"/>
        </w:rPr>
        <w:t xml:space="preserve"> </w:t>
      </w:r>
      <w:r w:rsidR="00F203D2" w:rsidRPr="00F203D2">
        <w:rPr>
          <w:szCs w:val="18"/>
        </w:rPr>
        <w:t>(R</w:t>
      </w:r>
      <w:r w:rsidR="00F203D2" w:rsidRPr="00F203D2">
        <w:rPr>
          <w:szCs w:val="18"/>
          <w:vertAlign w:val="superscript"/>
        </w:rPr>
        <w:t>2</w:t>
      </w:r>
      <w:r w:rsidR="00781BFE">
        <w:rPr>
          <w:szCs w:val="18"/>
        </w:rPr>
        <w:t xml:space="preserve"> = 0.</w:t>
      </w:r>
      <w:r w:rsidR="00F203D2" w:rsidRPr="00F203D2">
        <w:rPr>
          <w:szCs w:val="18"/>
        </w:rPr>
        <w:t xml:space="preserve">96 </w:t>
      </w:r>
      <w:r w:rsidR="00F203D2">
        <w:rPr>
          <w:szCs w:val="18"/>
        </w:rPr>
        <w:t>for h</w:t>
      </w:r>
      <w:r w:rsidR="00F203D2" w:rsidRPr="00F203D2">
        <w:rPr>
          <w:szCs w:val="18"/>
        </w:rPr>
        <w:t>ue),</w:t>
      </w:r>
      <w:r w:rsidR="00F203D2">
        <w:rPr>
          <w:szCs w:val="18"/>
        </w:rPr>
        <w:t xml:space="preserve"> while a low feasibility in predicting</w:t>
      </w:r>
      <w:r w:rsidR="00F203D2" w:rsidRPr="00F203D2">
        <w:rPr>
          <w:szCs w:val="18"/>
        </w:rPr>
        <w:t xml:space="preserve"> </w:t>
      </w:r>
      <w:proofErr w:type="spellStart"/>
      <w:r w:rsidR="00F203D2" w:rsidRPr="00F203D2">
        <w:rPr>
          <w:szCs w:val="18"/>
        </w:rPr>
        <w:t>Nocellara</w:t>
      </w:r>
      <w:proofErr w:type="spellEnd"/>
      <w:r w:rsidR="00F203D2" w:rsidRPr="00F203D2">
        <w:rPr>
          <w:szCs w:val="18"/>
        </w:rPr>
        <w:t xml:space="preserve"> del </w:t>
      </w:r>
      <w:proofErr w:type="spellStart"/>
      <w:r w:rsidR="00F203D2" w:rsidRPr="00F203D2">
        <w:rPr>
          <w:szCs w:val="18"/>
        </w:rPr>
        <w:t>Belice</w:t>
      </w:r>
      <w:proofErr w:type="spellEnd"/>
      <w:r w:rsidR="00F203D2" w:rsidRPr="00F203D2">
        <w:rPr>
          <w:szCs w:val="18"/>
        </w:rPr>
        <w:t xml:space="preserve"> table olives</w:t>
      </w:r>
      <w:r w:rsidR="00F203D2">
        <w:rPr>
          <w:szCs w:val="18"/>
        </w:rPr>
        <w:t xml:space="preserve"> firmness was observed </w:t>
      </w:r>
      <w:r w:rsidR="00F203D2" w:rsidRPr="00F203D2">
        <w:rPr>
          <w:szCs w:val="18"/>
        </w:rPr>
        <w:t>(R</w:t>
      </w:r>
      <w:r w:rsidR="00F203D2" w:rsidRPr="00F203D2">
        <w:rPr>
          <w:szCs w:val="18"/>
          <w:vertAlign w:val="superscript"/>
        </w:rPr>
        <w:t>2</w:t>
      </w:r>
      <w:r w:rsidR="00781BFE">
        <w:rPr>
          <w:szCs w:val="18"/>
        </w:rPr>
        <w:t xml:space="preserve"> = 0.</w:t>
      </w:r>
      <w:r w:rsidR="00F203D2" w:rsidRPr="00F203D2">
        <w:rPr>
          <w:szCs w:val="18"/>
        </w:rPr>
        <w:t>18)</w:t>
      </w:r>
      <w:r w:rsidR="00F203D2">
        <w:rPr>
          <w:szCs w:val="18"/>
        </w:rPr>
        <w:t xml:space="preserve"> making</w:t>
      </w:r>
      <w:r w:rsidR="00F203D2" w:rsidRPr="00F203D2">
        <w:rPr>
          <w:szCs w:val="18"/>
        </w:rPr>
        <w:t xml:space="preserve"> this device unsuitable for the purpose</w:t>
      </w:r>
      <w:r w:rsidR="00F203D2">
        <w:rPr>
          <w:szCs w:val="18"/>
        </w:rPr>
        <w:t xml:space="preserve"> </w:t>
      </w:r>
      <w:r w:rsidR="00F203D2" w:rsidRPr="00F203D2">
        <w:rPr>
          <w:szCs w:val="18"/>
        </w:rPr>
        <w:t>also with reference to the evaluation of the damage suffered by the fruits</w:t>
      </w:r>
      <w:r w:rsidR="00F203D2">
        <w:rPr>
          <w:szCs w:val="18"/>
        </w:rPr>
        <w:t xml:space="preserve"> during </w:t>
      </w:r>
      <w:r w:rsidR="00F203D2" w:rsidRPr="002400DA">
        <w:rPr>
          <w:lang w:val="en-GB"/>
        </w:rPr>
        <w:t>harvest and post-harvest operations</w:t>
      </w:r>
      <w:r w:rsidR="00F203D2">
        <w:rPr>
          <w:lang w:val="en-GB"/>
        </w:rPr>
        <w:t>. T</w:t>
      </w:r>
      <w:r w:rsidR="00F203D2" w:rsidRPr="00F203D2">
        <w:rPr>
          <w:lang w:val="en-GB"/>
        </w:rPr>
        <w:t xml:space="preserve">he results can be considered encouraging for the application of </w:t>
      </w:r>
      <w:proofErr w:type="spellStart"/>
      <w:r w:rsidR="00726FC5" w:rsidRPr="00F203D2">
        <w:rPr>
          <w:lang w:val="en-GB"/>
        </w:rPr>
        <w:t>vis</w:t>
      </w:r>
      <w:proofErr w:type="spellEnd"/>
      <w:r w:rsidR="00726FC5" w:rsidRPr="00F203D2">
        <w:rPr>
          <w:lang w:val="en-GB"/>
        </w:rPr>
        <w:t xml:space="preserve"> </w:t>
      </w:r>
      <w:r w:rsidR="00F203D2" w:rsidRPr="00F203D2">
        <w:rPr>
          <w:lang w:val="en-GB"/>
        </w:rPr>
        <w:t xml:space="preserve">NIR spectroscopy in the field during pre-harvest </w:t>
      </w:r>
      <w:r w:rsidR="00F203D2">
        <w:rPr>
          <w:lang w:val="en-GB"/>
        </w:rPr>
        <w:t>operations</w:t>
      </w:r>
      <w:r w:rsidR="00F203D2" w:rsidRPr="00F203D2">
        <w:rPr>
          <w:lang w:val="en-GB"/>
        </w:rPr>
        <w:t xml:space="preserve"> as well as for the selection of the fruits in post-harvest </w:t>
      </w:r>
      <w:r w:rsidR="00F203D2">
        <w:rPr>
          <w:lang w:val="en-GB"/>
        </w:rPr>
        <w:t>procedures</w:t>
      </w:r>
      <w:r w:rsidR="00F203D2" w:rsidRPr="00F203D2">
        <w:rPr>
          <w:lang w:val="en-GB"/>
        </w:rPr>
        <w:t>.</w:t>
      </w:r>
    </w:p>
    <w:p w:rsidR="00600535" w:rsidRPr="00B57B36" w:rsidRDefault="00600535" w:rsidP="00600535">
      <w:pPr>
        <w:pStyle w:val="CETReference"/>
      </w:pPr>
      <w:r w:rsidRPr="00B57B36">
        <w:t>References</w:t>
      </w:r>
    </w:p>
    <w:p w:rsidR="00F41303" w:rsidRPr="00297868" w:rsidRDefault="00600711" w:rsidP="00F41303">
      <w:pPr>
        <w:pStyle w:val="CETReference-text"/>
        <w:rPr>
          <w:lang w:val="en-US"/>
        </w:rPr>
      </w:pPr>
      <w:proofErr w:type="spellStart"/>
      <w:r>
        <w:rPr>
          <w:lang w:val="en-US"/>
        </w:rPr>
        <w:t>Armenta</w:t>
      </w:r>
      <w:proofErr w:type="spellEnd"/>
      <w:r w:rsidR="00F41303" w:rsidRPr="00297868">
        <w:rPr>
          <w:lang w:val="en-US"/>
        </w:rPr>
        <w:t xml:space="preserve"> S., Moros J., </w:t>
      </w:r>
      <w:proofErr w:type="spellStart"/>
      <w:r w:rsidR="00F41303" w:rsidRPr="00297868">
        <w:rPr>
          <w:lang w:val="en-US"/>
        </w:rPr>
        <w:t>Garrigues</w:t>
      </w:r>
      <w:proofErr w:type="spellEnd"/>
      <w:r w:rsidR="00F41303" w:rsidRPr="00297868">
        <w:rPr>
          <w:lang w:val="en-US"/>
        </w:rPr>
        <w:t xml:space="preserve"> S., de la Guardia M., 2010, The use of near-infrared spectro</w:t>
      </w:r>
      <w:r w:rsidR="00F41303">
        <w:rPr>
          <w:lang w:val="en-US"/>
        </w:rPr>
        <w:t>scopy in the olive oil industry,</w:t>
      </w:r>
      <w:r w:rsidR="00F41303" w:rsidRPr="00297868">
        <w:rPr>
          <w:lang w:val="en-US"/>
        </w:rPr>
        <w:t xml:space="preserve"> Critical Reviews in Food Science and Nutrition 50, 567–582.</w:t>
      </w:r>
    </w:p>
    <w:p w:rsidR="00F41303" w:rsidRPr="00297868" w:rsidRDefault="00F41303" w:rsidP="00F41303">
      <w:pPr>
        <w:pStyle w:val="CETReference-text"/>
        <w:rPr>
          <w:lang w:val="en-US"/>
        </w:rPr>
      </w:pPr>
      <w:r w:rsidRPr="00297868">
        <w:rPr>
          <w:lang w:val="en-US"/>
        </w:rPr>
        <w:t xml:space="preserve">Catania P., </w:t>
      </w:r>
      <w:proofErr w:type="spellStart"/>
      <w:r w:rsidRPr="00297868">
        <w:rPr>
          <w:lang w:val="en-US"/>
        </w:rPr>
        <w:t>Alleri</w:t>
      </w:r>
      <w:proofErr w:type="spellEnd"/>
      <w:r w:rsidRPr="00297868">
        <w:rPr>
          <w:lang w:val="en-US"/>
        </w:rPr>
        <w:t xml:space="preserve"> M., </w:t>
      </w:r>
      <w:proofErr w:type="spellStart"/>
      <w:r w:rsidRPr="00297868">
        <w:rPr>
          <w:lang w:val="en-US"/>
        </w:rPr>
        <w:t>Martorana</w:t>
      </w:r>
      <w:proofErr w:type="spellEnd"/>
      <w:r w:rsidRPr="00297868">
        <w:rPr>
          <w:lang w:val="en-US"/>
        </w:rPr>
        <w:t xml:space="preserve"> A., </w:t>
      </w:r>
      <w:proofErr w:type="spellStart"/>
      <w:r w:rsidRPr="00297868">
        <w:rPr>
          <w:lang w:val="en-US"/>
        </w:rPr>
        <w:t>Settanni</w:t>
      </w:r>
      <w:proofErr w:type="spellEnd"/>
      <w:r w:rsidRPr="00297868">
        <w:rPr>
          <w:lang w:val="en-US"/>
        </w:rPr>
        <w:t xml:space="preserve"> L., </w:t>
      </w:r>
      <w:proofErr w:type="spellStart"/>
      <w:r w:rsidRPr="00297868">
        <w:rPr>
          <w:lang w:val="en-US"/>
        </w:rPr>
        <w:t>Moschetti</w:t>
      </w:r>
      <w:proofErr w:type="spellEnd"/>
      <w:r w:rsidRPr="00297868">
        <w:rPr>
          <w:lang w:val="en-US"/>
        </w:rPr>
        <w:t xml:space="preserve"> G.</w:t>
      </w:r>
      <w:r w:rsidR="00A431FA">
        <w:rPr>
          <w:lang w:val="en-US"/>
        </w:rPr>
        <w:t>,</w:t>
      </w:r>
      <w:r w:rsidRPr="00297868">
        <w:rPr>
          <w:lang w:val="en-US"/>
        </w:rPr>
        <w:t xml:space="preserve"> Vallone M., 2014, Investigation on a tunnel pasteurizer for "</w:t>
      </w:r>
      <w:proofErr w:type="spellStart"/>
      <w:r w:rsidRPr="00297868">
        <w:rPr>
          <w:lang w:val="en-US"/>
        </w:rPr>
        <w:t>Nocellara</w:t>
      </w:r>
      <w:proofErr w:type="spellEnd"/>
      <w:r w:rsidRPr="00297868">
        <w:rPr>
          <w:lang w:val="en-US"/>
        </w:rPr>
        <w:t xml:space="preserve"> del </w:t>
      </w:r>
      <w:proofErr w:type="spellStart"/>
      <w:r w:rsidRPr="00297868">
        <w:rPr>
          <w:lang w:val="en-US"/>
        </w:rPr>
        <w:t>Belice</w:t>
      </w:r>
      <w:proofErr w:type="spellEnd"/>
      <w:r w:rsidRPr="00297868">
        <w:rPr>
          <w:lang w:val="en-US"/>
        </w:rPr>
        <w:t>" table olives obtained with the "</w:t>
      </w:r>
      <w:proofErr w:type="spellStart"/>
      <w:r w:rsidRPr="00297868">
        <w:rPr>
          <w:lang w:val="en-US"/>
        </w:rPr>
        <w:t>Castelvetrano</w:t>
      </w:r>
      <w:proofErr w:type="spellEnd"/>
      <w:r w:rsidRPr="00297868">
        <w:rPr>
          <w:lang w:val="en-US"/>
        </w:rPr>
        <w:t xml:space="preserve"> Style Process"</w:t>
      </w:r>
      <w:r>
        <w:rPr>
          <w:lang w:val="en-US"/>
        </w:rPr>
        <w:t>,</w:t>
      </w:r>
      <w:r w:rsidRPr="00297868">
        <w:rPr>
          <w:lang w:val="en-US"/>
        </w:rPr>
        <w:t xml:space="preserve"> </w:t>
      </w:r>
      <w:proofErr w:type="spellStart"/>
      <w:r w:rsidRPr="00297868">
        <w:rPr>
          <w:lang w:val="en-US"/>
        </w:rPr>
        <w:t>Grasas</w:t>
      </w:r>
      <w:proofErr w:type="spellEnd"/>
      <w:r w:rsidRPr="00297868">
        <w:rPr>
          <w:lang w:val="en-US"/>
        </w:rPr>
        <w:t xml:space="preserve"> </w:t>
      </w:r>
      <w:r w:rsidR="00A431FA">
        <w:rPr>
          <w:lang w:val="en-US"/>
        </w:rPr>
        <w:t xml:space="preserve">y </w:t>
      </w:r>
      <w:proofErr w:type="spellStart"/>
      <w:r w:rsidR="00A431FA">
        <w:rPr>
          <w:lang w:val="en-US"/>
        </w:rPr>
        <w:t>Aceites</w:t>
      </w:r>
      <w:proofErr w:type="spellEnd"/>
      <w:r w:rsidR="00A431FA">
        <w:rPr>
          <w:lang w:val="en-US"/>
        </w:rPr>
        <w:t>, 65(4)</w:t>
      </w:r>
      <w:r w:rsidRPr="00297868">
        <w:rPr>
          <w:lang w:val="en-US"/>
        </w:rPr>
        <w:t>.</w:t>
      </w:r>
    </w:p>
    <w:p w:rsidR="00F41303" w:rsidRPr="00F41303" w:rsidRDefault="00F41303" w:rsidP="00F41303">
      <w:pPr>
        <w:pStyle w:val="CETReference-text"/>
        <w:rPr>
          <w:lang w:val="it-IT"/>
        </w:rPr>
      </w:pPr>
      <w:r w:rsidRPr="00297868">
        <w:rPr>
          <w:lang w:val="en-US"/>
        </w:rPr>
        <w:t xml:space="preserve">Catania P., Vallone M., </w:t>
      </w:r>
      <w:proofErr w:type="spellStart"/>
      <w:r w:rsidRPr="00297868">
        <w:rPr>
          <w:lang w:val="en-US"/>
        </w:rPr>
        <w:t>Planeta</w:t>
      </w:r>
      <w:proofErr w:type="spellEnd"/>
      <w:r w:rsidRPr="00297868">
        <w:rPr>
          <w:lang w:val="en-US"/>
        </w:rPr>
        <w:t xml:space="preserve"> D.</w:t>
      </w:r>
      <w:r w:rsidR="00F203D2">
        <w:rPr>
          <w:lang w:val="en-US"/>
        </w:rPr>
        <w:t>,</w:t>
      </w:r>
      <w:r w:rsidRPr="00297868">
        <w:rPr>
          <w:lang w:val="en-US"/>
        </w:rPr>
        <w:t xml:space="preserve"> </w:t>
      </w:r>
      <w:proofErr w:type="spellStart"/>
      <w:r w:rsidRPr="00297868">
        <w:rPr>
          <w:lang w:val="en-US"/>
        </w:rPr>
        <w:t>Febo</w:t>
      </w:r>
      <w:proofErr w:type="spellEnd"/>
      <w:r w:rsidRPr="00297868">
        <w:rPr>
          <w:lang w:val="en-US"/>
        </w:rPr>
        <w:t xml:space="preserve"> P.</w:t>
      </w:r>
      <w:r w:rsidR="00F203D2">
        <w:rPr>
          <w:lang w:val="en-US"/>
        </w:rPr>
        <w:t>,</w:t>
      </w:r>
      <w:r w:rsidRPr="00297868">
        <w:rPr>
          <w:lang w:val="en-US"/>
        </w:rPr>
        <w:t xml:space="preserve"> 2015, Instrumental evaluation of the texture of cv. </w:t>
      </w:r>
      <w:proofErr w:type="spellStart"/>
      <w:r w:rsidRPr="00F41303">
        <w:rPr>
          <w:lang w:val="it-IT"/>
        </w:rPr>
        <w:t>Nocellara</w:t>
      </w:r>
      <w:proofErr w:type="spellEnd"/>
      <w:r w:rsidRPr="00F41303">
        <w:rPr>
          <w:lang w:val="it-IT"/>
        </w:rPr>
        <w:t xml:space="preserve"> del Belice </w:t>
      </w:r>
      <w:proofErr w:type="spellStart"/>
      <w:r w:rsidRPr="00F41303">
        <w:rPr>
          <w:lang w:val="it-IT"/>
        </w:rPr>
        <w:t>table</w:t>
      </w:r>
      <w:proofErr w:type="spellEnd"/>
      <w:r w:rsidRPr="00F41303">
        <w:rPr>
          <w:lang w:val="it-IT"/>
        </w:rPr>
        <w:t xml:space="preserve"> </w:t>
      </w:r>
      <w:proofErr w:type="spellStart"/>
      <w:r w:rsidRPr="00F41303">
        <w:rPr>
          <w:lang w:val="it-IT"/>
        </w:rPr>
        <w:t>olives</w:t>
      </w:r>
      <w:proofErr w:type="spellEnd"/>
      <w:r w:rsidRPr="00F41303">
        <w:rPr>
          <w:lang w:val="it-IT"/>
        </w:rPr>
        <w:t>, La Rivista Itali</w:t>
      </w:r>
      <w:r>
        <w:rPr>
          <w:lang w:val="it-IT"/>
        </w:rPr>
        <w:t>ana delle Sostanze Grasse</w:t>
      </w:r>
      <w:r w:rsidRPr="00F41303">
        <w:rPr>
          <w:lang w:val="it-IT"/>
        </w:rPr>
        <w:t>, 92(1), 43-51.</w:t>
      </w:r>
    </w:p>
    <w:p w:rsidR="00F41303" w:rsidRPr="00297868" w:rsidRDefault="00F41303" w:rsidP="00F41303">
      <w:pPr>
        <w:pStyle w:val="CETReference-text"/>
        <w:rPr>
          <w:lang w:val="en-US"/>
        </w:rPr>
      </w:pPr>
      <w:proofErr w:type="spellStart"/>
      <w:r w:rsidRPr="00297868">
        <w:rPr>
          <w:lang w:val="en-US"/>
        </w:rPr>
        <w:t>Cayuela</w:t>
      </w:r>
      <w:proofErr w:type="spellEnd"/>
      <w:r w:rsidRPr="00297868">
        <w:rPr>
          <w:lang w:val="en-US"/>
        </w:rPr>
        <w:t xml:space="preserve"> J.A., </w:t>
      </w:r>
      <w:proofErr w:type="spellStart"/>
      <w:r w:rsidRPr="00297868">
        <w:rPr>
          <w:lang w:val="en-US"/>
        </w:rPr>
        <w:t>García</w:t>
      </w:r>
      <w:proofErr w:type="spellEnd"/>
      <w:r w:rsidRPr="00297868">
        <w:rPr>
          <w:lang w:val="en-US"/>
        </w:rPr>
        <w:t xml:space="preserve"> J.M., </w:t>
      </w:r>
      <w:proofErr w:type="spellStart"/>
      <w:r w:rsidRPr="00297868">
        <w:rPr>
          <w:lang w:val="en-US"/>
        </w:rPr>
        <w:t>Caliani</w:t>
      </w:r>
      <w:proofErr w:type="spellEnd"/>
      <w:r w:rsidRPr="00297868">
        <w:rPr>
          <w:lang w:val="en-US"/>
        </w:rPr>
        <w:t xml:space="preserve"> N.</w:t>
      </w:r>
      <w:r>
        <w:rPr>
          <w:lang w:val="en-US"/>
        </w:rPr>
        <w:t>, 2009,</w:t>
      </w:r>
      <w:r w:rsidRPr="00297868">
        <w:rPr>
          <w:lang w:val="en-US"/>
        </w:rPr>
        <w:t xml:space="preserve"> NIR prediction of fruit moisture, free acidity and oil</w:t>
      </w:r>
      <w:r>
        <w:rPr>
          <w:lang w:val="en-US"/>
        </w:rPr>
        <w:t xml:space="preserve"> content in intact olives,.</w:t>
      </w:r>
      <w:r w:rsidR="00A431FA">
        <w:rPr>
          <w:lang w:val="en-US"/>
        </w:rPr>
        <w:t xml:space="preserve"> </w:t>
      </w:r>
      <w:proofErr w:type="spellStart"/>
      <w:r w:rsidR="00A431FA">
        <w:rPr>
          <w:lang w:val="en-US"/>
        </w:rPr>
        <w:t>Grasas</w:t>
      </w:r>
      <w:proofErr w:type="spellEnd"/>
      <w:r w:rsidR="00A431FA">
        <w:rPr>
          <w:lang w:val="en-US"/>
        </w:rPr>
        <w:t xml:space="preserve"> y </w:t>
      </w:r>
      <w:proofErr w:type="spellStart"/>
      <w:r w:rsidR="00A431FA">
        <w:rPr>
          <w:lang w:val="en-US"/>
        </w:rPr>
        <w:t>A</w:t>
      </w:r>
      <w:r w:rsidRPr="00297868">
        <w:rPr>
          <w:lang w:val="en-US"/>
        </w:rPr>
        <w:t>ceites</w:t>
      </w:r>
      <w:proofErr w:type="spellEnd"/>
      <w:r w:rsidRPr="00297868">
        <w:rPr>
          <w:lang w:val="en-US"/>
        </w:rPr>
        <w:t>, 60 (2),194-202.</w:t>
      </w:r>
    </w:p>
    <w:p w:rsidR="00F41303" w:rsidRDefault="00600711" w:rsidP="00F41303">
      <w:pPr>
        <w:pStyle w:val="CETReference-text"/>
        <w:rPr>
          <w:lang w:val="en-US"/>
        </w:rPr>
      </w:pPr>
      <w:proofErr w:type="spellStart"/>
      <w:r>
        <w:rPr>
          <w:lang w:val="en-US"/>
        </w:rPr>
        <w:t>Cayuela</w:t>
      </w:r>
      <w:proofErr w:type="spellEnd"/>
      <w:r>
        <w:rPr>
          <w:lang w:val="en-US"/>
        </w:rPr>
        <w:t xml:space="preserve"> J.A., </w:t>
      </w:r>
      <w:proofErr w:type="spellStart"/>
      <w:r>
        <w:rPr>
          <w:lang w:val="en-US"/>
        </w:rPr>
        <w:t>Pèrez</w:t>
      </w:r>
      <w:proofErr w:type="spellEnd"/>
      <w:r>
        <w:rPr>
          <w:lang w:val="en-US"/>
        </w:rPr>
        <w:t xml:space="preserve"> Camino M.</w:t>
      </w:r>
      <w:r w:rsidR="00F41303" w:rsidRPr="00F203D2">
        <w:rPr>
          <w:lang w:val="en-US"/>
        </w:rPr>
        <w:t>C., 2010, Prediction of quality of intact olives by near infrared spectroscopy</w:t>
      </w:r>
      <w:r w:rsidR="00A431FA">
        <w:rPr>
          <w:lang w:val="en-US"/>
        </w:rPr>
        <w:t xml:space="preserve">, </w:t>
      </w:r>
      <w:r w:rsidR="00A431FA" w:rsidRPr="00A431FA">
        <w:rPr>
          <w:lang w:val="en-US"/>
        </w:rPr>
        <w:t>European Journal of Lipid Science and Technology</w:t>
      </w:r>
      <w:r w:rsidR="00A431FA">
        <w:rPr>
          <w:lang w:val="en-US"/>
        </w:rPr>
        <w:t>,</w:t>
      </w:r>
      <w:bookmarkStart w:id="1" w:name="_GoBack"/>
      <w:bookmarkEnd w:id="1"/>
      <w:r w:rsidR="00F41303" w:rsidRPr="00F203D2">
        <w:rPr>
          <w:lang w:val="en-US"/>
        </w:rPr>
        <w:t xml:space="preserve"> 112, 1209–1217.</w:t>
      </w:r>
    </w:p>
    <w:p w:rsidR="00F41303" w:rsidRDefault="00F41303" w:rsidP="00F41303">
      <w:pPr>
        <w:pStyle w:val="CETReference-text"/>
        <w:rPr>
          <w:lang w:val="en-US"/>
        </w:rPr>
      </w:pPr>
      <w:r w:rsidRPr="00F41303">
        <w:rPr>
          <w:lang w:val="en-US"/>
        </w:rPr>
        <w:t xml:space="preserve">Costa G., </w:t>
      </w:r>
      <w:proofErr w:type="spellStart"/>
      <w:r w:rsidRPr="00F41303">
        <w:rPr>
          <w:lang w:val="en-US"/>
        </w:rPr>
        <w:t>Noferi</w:t>
      </w:r>
      <w:r w:rsidR="00A431FA">
        <w:rPr>
          <w:lang w:val="en-US"/>
        </w:rPr>
        <w:t>ni</w:t>
      </w:r>
      <w:proofErr w:type="spellEnd"/>
      <w:r w:rsidR="00A431FA">
        <w:rPr>
          <w:lang w:val="en-US"/>
        </w:rPr>
        <w:t xml:space="preserve"> M., </w:t>
      </w:r>
      <w:proofErr w:type="spellStart"/>
      <w:r w:rsidR="00A431FA">
        <w:rPr>
          <w:lang w:val="en-US"/>
        </w:rPr>
        <w:t>Fiori</w:t>
      </w:r>
      <w:proofErr w:type="spellEnd"/>
      <w:r w:rsidR="00A431FA">
        <w:rPr>
          <w:lang w:val="en-US"/>
        </w:rPr>
        <w:t xml:space="preserve"> G., </w:t>
      </w:r>
      <w:proofErr w:type="spellStart"/>
      <w:r w:rsidR="00A431FA">
        <w:rPr>
          <w:lang w:val="en-US"/>
        </w:rPr>
        <w:t>Torrigiani</w:t>
      </w:r>
      <w:proofErr w:type="spellEnd"/>
      <w:r w:rsidR="00A431FA">
        <w:rPr>
          <w:lang w:val="en-US"/>
        </w:rPr>
        <w:t xml:space="preserve"> P.,</w:t>
      </w:r>
      <w:r w:rsidRPr="00F41303">
        <w:rPr>
          <w:lang w:val="en-US"/>
        </w:rPr>
        <w:t xml:space="preserve"> 2009, Use of Vis/NIR Spectroscopy to assess fruit ripening stage and improve management in post-harvest chain. In: </w:t>
      </w:r>
      <w:proofErr w:type="spellStart"/>
      <w:r w:rsidRPr="00F41303">
        <w:rPr>
          <w:lang w:val="en-US"/>
        </w:rPr>
        <w:t>Sivakumar</w:t>
      </w:r>
      <w:proofErr w:type="spellEnd"/>
      <w:r w:rsidRPr="00F41303">
        <w:rPr>
          <w:lang w:val="en-US"/>
        </w:rPr>
        <w:t>, D. (Ed.), New Trends in Postharvest Management of Fresh Produce I. Fresh Produce 3 – Special Issue 1, pp. 35–41.</w:t>
      </w:r>
    </w:p>
    <w:p w:rsidR="00FE1548" w:rsidRPr="00FF7B34" w:rsidRDefault="00FE1548" w:rsidP="00F41303">
      <w:pPr>
        <w:pStyle w:val="CETReference-text"/>
        <w:rPr>
          <w:lang w:val="en-US"/>
        </w:rPr>
      </w:pPr>
      <w:proofErr w:type="spellStart"/>
      <w:r w:rsidRPr="00FF7B34">
        <w:rPr>
          <w:lang w:val="en-US"/>
        </w:rPr>
        <w:t>Fernández-Caba</w:t>
      </w:r>
      <w:r w:rsidR="00FF7B34">
        <w:rPr>
          <w:lang w:val="en-US"/>
        </w:rPr>
        <w:t>n</w:t>
      </w:r>
      <w:r w:rsidR="00FF7B34" w:rsidRPr="00FF7B34">
        <w:rPr>
          <w:lang w:val="en-US"/>
        </w:rPr>
        <w:t>á</w:t>
      </w:r>
      <w:r w:rsidRPr="00FF7B34">
        <w:rPr>
          <w:lang w:val="en-US"/>
        </w:rPr>
        <w:t>s</w:t>
      </w:r>
      <w:proofErr w:type="spellEnd"/>
      <w:r w:rsidRPr="00FF7B34">
        <w:rPr>
          <w:lang w:val="en-US"/>
        </w:rPr>
        <w:t xml:space="preserve"> V.M., </w:t>
      </w:r>
      <w:proofErr w:type="spellStart"/>
      <w:r w:rsidRPr="00FF7B34">
        <w:rPr>
          <w:lang w:val="en-US"/>
        </w:rPr>
        <w:t>Garrido</w:t>
      </w:r>
      <w:proofErr w:type="spellEnd"/>
      <w:r w:rsidRPr="00FF7B34">
        <w:rPr>
          <w:lang w:val="en-US"/>
        </w:rPr>
        <w:t>-Varo A., Delgado-</w:t>
      </w:r>
      <w:proofErr w:type="spellStart"/>
      <w:r w:rsidRPr="00FF7B34">
        <w:rPr>
          <w:lang w:val="en-US"/>
        </w:rPr>
        <w:t>Perti</w:t>
      </w:r>
      <w:r w:rsidR="00FF7B34" w:rsidRPr="00FF7B34">
        <w:rPr>
          <w:lang w:val="en-US"/>
        </w:rPr>
        <w:t>ñ</w:t>
      </w:r>
      <w:r w:rsidRPr="00FF7B34">
        <w:rPr>
          <w:lang w:val="en-US"/>
        </w:rPr>
        <w:t>ez</w:t>
      </w:r>
      <w:proofErr w:type="spellEnd"/>
      <w:r w:rsidRPr="00FF7B34">
        <w:rPr>
          <w:lang w:val="en-US"/>
        </w:rPr>
        <w:t xml:space="preserve"> </w:t>
      </w:r>
      <w:r w:rsidR="00FF7B34" w:rsidRPr="00FF7B34">
        <w:rPr>
          <w:lang w:val="en-US"/>
        </w:rPr>
        <w:t>M.,</w:t>
      </w:r>
      <w:r w:rsidR="00FF7B34">
        <w:rPr>
          <w:lang w:val="en-US"/>
        </w:rPr>
        <w:t xml:space="preserve"> </w:t>
      </w:r>
      <w:proofErr w:type="spellStart"/>
      <w:r w:rsidR="00FF7B34">
        <w:rPr>
          <w:lang w:val="en-US"/>
        </w:rPr>
        <w:t>G</w:t>
      </w:r>
      <w:r w:rsidR="00714C4D" w:rsidRPr="00714C4D">
        <w:rPr>
          <w:lang w:val="en-US"/>
        </w:rPr>
        <w:t>ó</w:t>
      </w:r>
      <w:r w:rsidR="00FF7B34">
        <w:rPr>
          <w:lang w:val="en-US"/>
        </w:rPr>
        <w:t>mez</w:t>
      </w:r>
      <w:proofErr w:type="spellEnd"/>
      <w:r w:rsidR="00FF7B34">
        <w:rPr>
          <w:lang w:val="en-US"/>
        </w:rPr>
        <w:t>-Cabrera A.,</w:t>
      </w:r>
      <w:r w:rsidRPr="00FF7B34">
        <w:rPr>
          <w:lang w:val="en-US"/>
        </w:rPr>
        <w:t xml:space="preserve"> 2008</w:t>
      </w:r>
      <w:r w:rsidR="00FF7B34" w:rsidRPr="00FF7B34">
        <w:rPr>
          <w:lang w:val="en-US"/>
        </w:rPr>
        <w:t xml:space="preserve">, </w:t>
      </w:r>
      <w:r w:rsidR="00FF7B34">
        <w:rPr>
          <w:lang w:val="en-US"/>
        </w:rPr>
        <w:t>N</w:t>
      </w:r>
      <w:r w:rsidR="00FF7B34" w:rsidRPr="00FF7B34">
        <w:rPr>
          <w:lang w:val="en-US"/>
        </w:rPr>
        <w:t>utritive evaluation of olive tree leaves by near-infrared spectroscopy: effect of soil contamination and correction with spectral pretreatments</w:t>
      </w:r>
      <w:r w:rsidR="00FF7B34">
        <w:rPr>
          <w:lang w:val="en-US"/>
        </w:rPr>
        <w:t>, Applied Spectroscopy, 62(1), 51-58.</w:t>
      </w:r>
    </w:p>
    <w:p w:rsidR="00571975" w:rsidRPr="00297868" w:rsidRDefault="00571975" w:rsidP="00571975">
      <w:pPr>
        <w:pStyle w:val="CETReference-text"/>
        <w:rPr>
          <w:lang w:val="en-US"/>
        </w:rPr>
      </w:pPr>
      <w:proofErr w:type="spellStart"/>
      <w:r w:rsidRPr="00297868">
        <w:rPr>
          <w:lang w:val="en-US"/>
        </w:rPr>
        <w:t>Jimènez-Jimènez</w:t>
      </w:r>
      <w:proofErr w:type="spellEnd"/>
      <w:r w:rsidRPr="00297868">
        <w:rPr>
          <w:lang w:val="en-US"/>
        </w:rPr>
        <w:t xml:space="preserve"> F., Castro-</w:t>
      </w:r>
      <w:proofErr w:type="spellStart"/>
      <w:r w:rsidRPr="00297868">
        <w:rPr>
          <w:lang w:val="en-US"/>
        </w:rPr>
        <w:t>Garcìa</w:t>
      </w:r>
      <w:proofErr w:type="spellEnd"/>
      <w:r w:rsidRPr="00297868">
        <w:rPr>
          <w:lang w:val="en-US"/>
        </w:rPr>
        <w:t xml:space="preserve"> S., Blanco-</w:t>
      </w:r>
      <w:proofErr w:type="spellStart"/>
      <w:r w:rsidRPr="00297868">
        <w:rPr>
          <w:lang w:val="en-US"/>
        </w:rPr>
        <w:t>Roldàn</w:t>
      </w:r>
      <w:proofErr w:type="spellEnd"/>
      <w:r w:rsidRPr="00297868">
        <w:rPr>
          <w:lang w:val="en-US"/>
        </w:rPr>
        <w:t xml:space="preserve"> G.L</w:t>
      </w:r>
      <w:r>
        <w:rPr>
          <w:lang w:val="en-US"/>
        </w:rPr>
        <w:t xml:space="preserve">., </w:t>
      </w:r>
      <w:proofErr w:type="spellStart"/>
      <w:r>
        <w:rPr>
          <w:lang w:val="en-US"/>
        </w:rPr>
        <w:t>Aguera</w:t>
      </w:r>
      <w:proofErr w:type="spellEnd"/>
      <w:r>
        <w:rPr>
          <w:lang w:val="en-US"/>
        </w:rPr>
        <w:t>-Vega J., Gil-</w:t>
      </w:r>
      <w:proofErr w:type="spellStart"/>
      <w:r>
        <w:rPr>
          <w:lang w:val="en-US"/>
        </w:rPr>
        <w:t>Ribes</w:t>
      </w:r>
      <w:proofErr w:type="spellEnd"/>
      <w:r>
        <w:rPr>
          <w:lang w:val="en-US"/>
        </w:rPr>
        <w:t xml:space="preserve"> J.</w:t>
      </w:r>
      <w:r w:rsidRPr="00297868">
        <w:rPr>
          <w:lang w:val="en-US"/>
        </w:rPr>
        <w:t>A.</w:t>
      </w:r>
      <w:r>
        <w:rPr>
          <w:lang w:val="en-US"/>
        </w:rPr>
        <w:t>,</w:t>
      </w:r>
      <w:r w:rsidRPr="00297868">
        <w:rPr>
          <w:lang w:val="en-US"/>
        </w:rPr>
        <w:t xml:space="preserve"> 2012, Non-destructive determination of impact bruising on table olives using Vis</w:t>
      </w:r>
      <w:r>
        <w:rPr>
          <w:lang w:val="en-US"/>
        </w:rPr>
        <w:t xml:space="preserve"> </w:t>
      </w:r>
      <w:r w:rsidRPr="00297868">
        <w:rPr>
          <w:lang w:val="en-US"/>
        </w:rPr>
        <w:t>NIR spectroscopy</w:t>
      </w:r>
      <w:r>
        <w:rPr>
          <w:lang w:val="en-US"/>
        </w:rPr>
        <w:t>,</w:t>
      </w:r>
      <w:r w:rsidRPr="00297868">
        <w:rPr>
          <w:lang w:val="en-US"/>
        </w:rPr>
        <w:t xml:space="preserve"> </w:t>
      </w:r>
      <w:proofErr w:type="spellStart"/>
      <w:r w:rsidRPr="00297868">
        <w:rPr>
          <w:lang w:val="en-US"/>
        </w:rPr>
        <w:t>Biosystems</w:t>
      </w:r>
      <w:proofErr w:type="spellEnd"/>
      <w:r w:rsidRPr="00297868">
        <w:rPr>
          <w:lang w:val="en-US"/>
        </w:rPr>
        <w:t xml:space="preserve"> </w:t>
      </w:r>
      <w:r>
        <w:rPr>
          <w:lang w:val="en-US"/>
        </w:rPr>
        <w:t>E</w:t>
      </w:r>
      <w:r w:rsidRPr="00297868">
        <w:rPr>
          <w:lang w:val="en-US"/>
        </w:rPr>
        <w:t>ngineering</w:t>
      </w:r>
      <w:r>
        <w:rPr>
          <w:lang w:val="en-US"/>
        </w:rPr>
        <w:t>,</w:t>
      </w:r>
      <w:r w:rsidRPr="00297868">
        <w:rPr>
          <w:lang w:val="en-US"/>
        </w:rPr>
        <w:t xml:space="preserve"> 113, 371-378.</w:t>
      </w:r>
    </w:p>
    <w:p w:rsidR="00571975" w:rsidRPr="00297868" w:rsidRDefault="00571975" w:rsidP="00571975">
      <w:pPr>
        <w:pStyle w:val="CETReference-text"/>
        <w:rPr>
          <w:lang w:val="en-US"/>
        </w:rPr>
      </w:pPr>
      <w:proofErr w:type="spellStart"/>
      <w:r w:rsidRPr="00297868">
        <w:rPr>
          <w:lang w:val="en-US"/>
        </w:rPr>
        <w:t>Kavdir</w:t>
      </w:r>
      <w:proofErr w:type="spellEnd"/>
      <w:r w:rsidRPr="00297868">
        <w:rPr>
          <w:lang w:val="en-US"/>
        </w:rPr>
        <w:t xml:space="preserve"> I., </w:t>
      </w:r>
      <w:proofErr w:type="spellStart"/>
      <w:r w:rsidRPr="00297868">
        <w:rPr>
          <w:lang w:val="en-US"/>
        </w:rPr>
        <w:t>Buyukcan</w:t>
      </w:r>
      <w:proofErr w:type="spellEnd"/>
      <w:r w:rsidRPr="00297868">
        <w:rPr>
          <w:lang w:val="en-US"/>
        </w:rPr>
        <w:t xml:space="preserve"> M.</w:t>
      </w:r>
      <w:r>
        <w:rPr>
          <w:lang w:val="en-US"/>
        </w:rPr>
        <w:t>B.</w:t>
      </w:r>
      <w:r w:rsidRPr="00297868">
        <w:rPr>
          <w:lang w:val="en-US"/>
        </w:rPr>
        <w:t xml:space="preserve">, Lu R., </w:t>
      </w:r>
      <w:proofErr w:type="spellStart"/>
      <w:r w:rsidRPr="00297868">
        <w:rPr>
          <w:lang w:val="en-US"/>
        </w:rPr>
        <w:t>Kocabiyik</w:t>
      </w:r>
      <w:proofErr w:type="spellEnd"/>
      <w:r>
        <w:rPr>
          <w:lang w:val="en-US"/>
        </w:rPr>
        <w:t xml:space="preserve"> H., </w:t>
      </w:r>
      <w:proofErr w:type="spellStart"/>
      <w:r>
        <w:rPr>
          <w:lang w:val="en-US"/>
        </w:rPr>
        <w:t>Seker</w:t>
      </w:r>
      <w:proofErr w:type="spellEnd"/>
      <w:r>
        <w:rPr>
          <w:lang w:val="en-US"/>
        </w:rPr>
        <w:t xml:space="preserve"> M., 2009</w:t>
      </w:r>
      <w:r w:rsidRPr="00297868">
        <w:rPr>
          <w:lang w:val="en-US"/>
        </w:rPr>
        <w:t>. Prediction of olive quality using FT-NIR spectroscopy in refl</w:t>
      </w:r>
      <w:r>
        <w:rPr>
          <w:lang w:val="en-US"/>
        </w:rPr>
        <w:t>ectance and transmittance modes,</w:t>
      </w:r>
      <w:r w:rsidRPr="00297868">
        <w:rPr>
          <w:lang w:val="en-US"/>
        </w:rPr>
        <w:t xml:space="preserve"> </w:t>
      </w:r>
      <w:proofErr w:type="spellStart"/>
      <w:r w:rsidRPr="00297868">
        <w:rPr>
          <w:lang w:val="en-US"/>
        </w:rPr>
        <w:t>Biosystems</w:t>
      </w:r>
      <w:proofErr w:type="spellEnd"/>
      <w:r w:rsidRPr="00297868">
        <w:rPr>
          <w:lang w:val="en-US"/>
        </w:rPr>
        <w:t xml:space="preserve"> </w:t>
      </w:r>
      <w:r>
        <w:rPr>
          <w:lang w:val="en-US"/>
        </w:rPr>
        <w:t>E</w:t>
      </w:r>
      <w:r w:rsidRPr="00297868">
        <w:rPr>
          <w:lang w:val="en-US"/>
        </w:rPr>
        <w:t>ngineering</w:t>
      </w:r>
      <w:r>
        <w:rPr>
          <w:lang w:val="en-US"/>
        </w:rPr>
        <w:t>,</w:t>
      </w:r>
      <w:r w:rsidRPr="00297868">
        <w:rPr>
          <w:lang w:val="en-US"/>
        </w:rPr>
        <w:t xml:space="preserve"> 103, 304-312.</w:t>
      </w:r>
    </w:p>
    <w:p w:rsidR="00571975" w:rsidRDefault="00571975" w:rsidP="00571975">
      <w:pPr>
        <w:pStyle w:val="CETReference-text"/>
        <w:rPr>
          <w:lang w:val="en-US"/>
        </w:rPr>
      </w:pPr>
      <w:r>
        <w:rPr>
          <w:lang w:val="en-US"/>
        </w:rPr>
        <w:t>León-Moreno L., 2012</w:t>
      </w:r>
      <w:r w:rsidRPr="00297868">
        <w:rPr>
          <w:lang w:val="en-US"/>
        </w:rPr>
        <w:t>. Usefulness of portable near infrared spectros</w:t>
      </w:r>
      <w:r>
        <w:rPr>
          <w:lang w:val="en-US"/>
        </w:rPr>
        <w:t>copy in olive breeding programs,</w:t>
      </w:r>
      <w:r w:rsidRPr="00297868">
        <w:rPr>
          <w:lang w:val="en-US"/>
        </w:rPr>
        <w:t xml:space="preserve"> Spanish Journal</w:t>
      </w:r>
      <w:r>
        <w:rPr>
          <w:lang w:val="en-US"/>
        </w:rPr>
        <w:t xml:space="preserve"> of Agricultural Research, </w:t>
      </w:r>
      <w:r w:rsidRPr="00297868">
        <w:rPr>
          <w:lang w:val="en-US"/>
        </w:rPr>
        <w:t>10(1)</w:t>
      </w:r>
      <w:r>
        <w:rPr>
          <w:lang w:val="en-US"/>
        </w:rPr>
        <w:t>,</w:t>
      </w:r>
      <w:r w:rsidRPr="00297868">
        <w:rPr>
          <w:lang w:val="en-US"/>
        </w:rPr>
        <w:t xml:space="preserve"> 141-148.</w:t>
      </w:r>
    </w:p>
    <w:p w:rsidR="003609FF" w:rsidRPr="00297868" w:rsidRDefault="003609FF" w:rsidP="00571975">
      <w:pPr>
        <w:pStyle w:val="CETReference-text"/>
        <w:rPr>
          <w:lang w:val="en-US"/>
        </w:rPr>
      </w:pPr>
      <w:proofErr w:type="spellStart"/>
      <w:r w:rsidRPr="004B67C3">
        <w:rPr>
          <w:lang w:val="en-US"/>
        </w:rPr>
        <w:t>Magwaza</w:t>
      </w:r>
      <w:proofErr w:type="spellEnd"/>
      <w:r w:rsidR="004B67C3" w:rsidRPr="004B67C3">
        <w:rPr>
          <w:lang w:val="en-US"/>
        </w:rPr>
        <w:t xml:space="preserve"> L.S., </w:t>
      </w:r>
      <w:proofErr w:type="spellStart"/>
      <w:r w:rsidR="004B67C3" w:rsidRPr="004B67C3">
        <w:rPr>
          <w:lang w:val="en-US"/>
        </w:rPr>
        <w:t>Opara</w:t>
      </w:r>
      <w:proofErr w:type="spellEnd"/>
      <w:r w:rsidRPr="004B67C3">
        <w:rPr>
          <w:lang w:val="en-US"/>
        </w:rPr>
        <w:t xml:space="preserve"> U.L., </w:t>
      </w:r>
      <w:proofErr w:type="spellStart"/>
      <w:r w:rsidRPr="004B67C3">
        <w:rPr>
          <w:lang w:val="en-US"/>
        </w:rPr>
        <w:t>Nieuwoudt</w:t>
      </w:r>
      <w:proofErr w:type="spellEnd"/>
      <w:r w:rsidRPr="004B67C3">
        <w:rPr>
          <w:lang w:val="en-US"/>
        </w:rPr>
        <w:t xml:space="preserve"> E., Cronje P.J.</w:t>
      </w:r>
      <w:r w:rsidR="004B67C3" w:rsidRPr="004B67C3">
        <w:rPr>
          <w:lang w:val="en-US"/>
        </w:rPr>
        <w:t xml:space="preserve">R., </w:t>
      </w:r>
      <w:proofErr w:type="spellStart"/>
      <w:r w:rsidR="004B67C3" w:rsidRPr="004B67C3">
        <w:rPr>
          <w:lang w:val="en-US"/>
        </w:rPr>
        <w:t>Saeys</w:t>
      </w:r>
      <w:proofErr w:type="spellEnd"/>
      <w:r w:rsidR="004B67C3" w:rsidRPr="004B67C3">
        <w:rPr>
          <w:lang w:val="en-US"/>
        </w:rPr>
        <w:t xml:space="preserve"> W., </w:t>
      </w:r>
      <w:proofErr w:type="spellStart"/>
      <w:r w:rsidR="004B67C3" w:rsidRPr="004B67C3">
        <w:rPr>
          <w:lang w:val="en-US"/>
        </w:rPr>
        <w:t>Nicolaï</w:t>
      </w:r>
      <w:proofErr w:type="spellEnd"/>
      <w:r w:rsidR="004B67C3" w:rsidRPr="004B67C3">
        <w:rPr>
          <w:lang w:val="en-US"/>
        </w:rPr>
        <w:t xml:space="preserve"> B., </w:t>
      </w:r>
      <w:r w:rsidRPr="004B67C3">
        <w:rPr>
          <w:lang w:val="en-US"/>
        </w:rPr>
        <w:t>2012</w:t>
      </w:r>
      <w:r w:rsidR="004B67C3" w:rsidRPr="004B67C3">
        <w:rPr>
          <w:lang w:val="en-US"/>
        </w:rPr>
        <w:t>,</w:t>
      </w:r>
      <w:r w:rsidRPr="004B67C3">
        <w:rPr>
          <w:lang w:val="en-US"/>
        </w:rPr>
        <w:t xml:space="preserve"> NIR Spectroscopy applications for internal and external quality analysis of citrus fruit—A review. Food </w:t>
      </w:r>
      <w:r w:rsidR="004B67C3" w:rsidRPr="004B67C3">
        <w:rPr>
          <w:lang w:val="en-US"/>
        </w:rPr>
        <w:t>and Bioprocess Technology</w:t>
      </w:r>
      <w:r w:rsidRPr="004B67C3">
        <w:rPr>
          <w:lang w:val="en-US"/>
        </w:rPr>
        <w:t>, 5, 425–444.</w:t>
      </w:r>
    </w:p>
    <w:p w:rsidR="00571975" w:rsidRDefault="00571975" w:rsidP="00571975">
      <w:pPr>
        <w:pStyle w:val="CETReference-text"/>
        <w:rPr>
          <w:lang w:val="en-US"/>
        </w:rPr>
      </w:pPr>
      <w:proofErr w:type="spellStart"/>
      <w:r w:rsidRPr="00EC0125">
        <w:rPr>
          <w:lang w:val="en-US"/>
        </w:rPr>
        <w:t>Poiana</w:t>
      </w:r>
      <w:proofErr w:type="spellEnd"/>
      <w:r w:rsidRPr="00EC0125">
        <w:rPr>
          <w:lang w:val="en-US"/>
        </w:rPr>
        <w:t xml:space="preserve"> M</w:t>
      </w:r>
      <w:r>
        <w:rPr>
          <w:lang w:val="en-US"/>
        </w:rPr>
        <w:t>.</w:t>
      </w:r>
      <w:r w:rsidRPr="00EC0125">
        <w:rPr>
          <w:lang w:val="en-US"/>
        </w:rPr>
        <w:t>, Romeo F</w:t>
      </w:r>
      <w:r>
        <w:rPr>
          <w:lang w:val="en-US"/>
        </w:rPr>
        <w:t xml:space="preserve">.V., </w:t>
      </w:r>
      <w:r w:rsidRPr="00EC0125">
        <w:rPr>
          <w:lang w:val="en-US"/>
        </w:rPr>
        <w:t>2006</w:t>
      </w:r>
      <w:r>
        <w:rPr>
          <w:lang w:val="en-US"/>
        </w:rPr>
        <w:t>,</w:t>
      </w:r>
      <w:r w:rsidRPr="00EC0125">
        <w:rPr>
          <w:lang w:val="en-US"/>
        </w:rPr>
        <w:t xml:space="preserve"> Changes in chemical and microbiological parameters of some varieties of Sicily oli</w:t>
      </w:r>
      <w:r>
        <w:rPr>
          <w:lang w:val="en-US"/>
        </w:rPr>
        <w:t>ves during natural fermentation,</w:t>
      </w:r>
      <w:r w:rsidRPr="00EC0125">
        <w:rPr>
          <w:lang w:val="en-US"/>
        </w:rPr>
        <w:t xml:space="preserve"> </w:t>
      </w:r>
      <w:proofErr w:type="spellStart"/>
      <w:r w:rsidRPr="00EC0125">
        <w:rPr>
          <w:lang w:val="en-US"/>
        </w:rPr>
        <w:t>Grasas</w:t>
      </w:r>
      <w:proofErr w:type="spellEnd"/>
      <w:r w:rsidRPr="00EC0125">
        <w:rPr>
          <w:lang w:val="en-US"/>
        </w:rPr>
        <w:t xml:space="preserve"> y </w:t>
      </w:r>
      <w:proofErr w:type="spellStart"/>
      <w:r w:rsidRPr="00EC0125">
        <w:rPr>
          <w:lang w:val="en-US"/>
        </w:rPr>
        <w:t>Aceites</w:t>
      </w:r>
      <w:proofErr w:type="spellEnd"/>
      <w:r>
        <w:rPr>
          <w:lang w:val="en-US"/>
        </w:rPr>
        <w:t>,</w:t>
      </w:r>
      <w:r w:rsidRPr="00EC0125">
        <w:rPr>
          <w:lang w:val="en-US"/>
        </w:rPr>
        <w:t xml:space="preserve"> 57, 4, 402–408.</w:t>
      </w:r>
    </w:p>
    <w:p w:rsidR="00F41303" w:rsidRPr="00297868" w:rsidRDefault="00600711" w:rsidP="00F41303">
      <w:pPr>
        <w:pStyle w:val="CETReference-text"/>
        <w:rPr>
          <w:lang w:val="en-US"/>
        </w:rPr>
      </w:pPr>
      <w:proofErr w:type="spellStart"/>
      <w:r>
        <w:rPr>
          <w:lang w:val="en-US"/>
        </w:rPr>
        <w:t>Salguero-Chaparro</w:t>
      </w:r>
      <w:proofErr w:type="spellEnd"/>
      <w:r>
        <w:rPr>
          <w:lang w:val="en-US"/>
        </w:rPr>
        <w:t xml:space="preserve"> L., </w:t>
      </w:r>
      <w:proofErr w:type="spellStart"/>
      <w:r>
        <w:rPr>
          <w:lang w:val="en-US"/>
        </w:rPr>
        <w:t>Baeten</w:t>
      </w:r>
      <w:proofErr w:type="spellEnd"/>
      <w:r>
        <w:rPr>
          <w:lang w:val="en-US"/>
        </w:rPr>
        <w:t xml:space="preserve"> </w:t>
      </w:r>
      <w:r w:rsidR="00F41303" w:rsidRPr="00297868">
        <w:rPr>
          <w:lang w:val="en-US"/>
        </w:rPr>
        <w:t xml:space="preserve">V., Abbas O., Peña-Rodríguez F., 2012, On-line </w:t>
      </w:r>
      <w:r w:rsidRPr="00297868">
        <w:rPr>
          <w:lang w:val="en-US"/>
        </w:rPr>
        <w:t>analysis</w:t>
      </w:r>
      <w:r w:rsidR="00F41303" w:rsidRPr="00297868">
        <w:rPr>
          <w:lang w:val="en-US"/>
        </w:rPr>
        <w:t xml:space="preserve"> of intact olive fruits by </w:t>
      </w:r>
      <w:proofErr w:type="spellStart"/>
      <w:r w:rsidR="00F41303" w:rsidRPr="00297868">
        <w:rPr>
          <w:lang w:val="en-US"/>
        </w:rPr>
        <w:t>vis</w:t>
      </w:r>
      <w:proofErr w:type="spellEnd"/>
      <w:r w:rsidR="00F41303" w:rsidRPr="00297868">
        <w:rPr>
          <w:lang w:val="en-US"/>
        </w:rPr>
        <w:t xml:space="preserve">-NIR spectroscopy: </w:t>
      </w:r>
      <w:proofErr w:type="spellStart"/>
      <w:r w:rsidR="00F41303" w:rsidRPr="00297868">
        <w:rPr>
          <w:lang w:val="en-US"/>
        </w:rPr>
        <w:t>Optimisation</w:t>
      </w:r>
      <w:proofErr w:type="spellEnd"/>
      <w:r w:rsidR="00F41303" w:rsidRPr="00297868">
        <w:rPr>
          <w:lang w:val="en-US"/>
        </w:rPr>
        <w:t xml:space="preserve"> of the acquisition parameters</w:t>
      </w:r>
      <w:r w:rsidR="00F41303">
        <w:rPr>
          <w:lang w:val="en-US"/>
        </w:rPr>
        <w:t>,</w:t>
      </w:r>
      <w:r w:rsidR="00F41303" w:rsidRPr="00297868">
        <w:rPr>
          <w:lang w:val="en-US"/>
        </w:rPr>
        <w:t xml:space="preserve"> Journal of Food Engineering, 112, 152–157.</w:t>
      </w:r>
    </w:p>
    <w:p w:rsidR="00F41303" w:rsidRPr="00297868" w:rsidRDefault="00F41303" w:rsidP="00F41303">
      <w:pPr>
        <w:pStyle w:val="CETReference-text"/>
        <w:rPr>
          <w:lang w:val="en-US"/>
        </w:rPr>
      </w:pPr>
      <w:proofErr w:type="spellStart"/>
      <w:r w:rsidRPr="00A431FA">
        <w:rPr>
          <w:lang w:val="en-US"/>
        </w:rPr>
        <w:t>Salguero-Ch</w:t>
      </w:r>
      <w:r w:rsidR="00600711">
        <w:rPr>
          <w:lang w:val="en-US"/>
        </w:rPr>
        <w:t>aparro</w:t>
      </w:r>
      <w:proofErr w:type="spellEnd"/>
      <w:r w:rsidR="00600711">
        <w:rPr>
          <w:lang w:val="en-US"/>
        </w:rPr>
        <w:t xml:space="preserve"> L.S., </w:t>
      </w:r>
      <w:proofErr w:type="spellStart"/>
      <w:r w:rsidR="00600711">
        <w:rPr>
          <w:lang w:val="en-US"/>
        </w:rPr>
        <w:t>Baeten</w:t>
      </w:r>
      <w:proofErr w:type="spellEnd"/>
      <w:r w:rsidR="00600711">
        <w:rPr>
          <w:lang w:val="en-US"/>
        </w:rPr>
        <w:t xml:space="preserve"> V., </w:t>
      </w:r>
      <w:proofErr w:type="spellStart"/>
      <w:r w:rsidR="00F92844">
        <w:t>Fernández</w:t>
      </w:r>
      <w:proofErr w:type="spellEnd"/>
      <w:r w:rsidR="00F92844">
        <w:rPr>
          <w:lang w:val="en-US"/>
        </w:rPr>
        <w:t>-</w:t>
      </w:r>
      <w:proofErr w:type="spellStart"/>
      <w:r w:rsidRPr="00A431FA">
        <w:rPr>
          <w:lang w:val="en-US"/>
        </w:rPr>
        <w:t>Pierna</w:t>
      </w:r>
      <w:proofErr w:type="spellEnd"/>
      <w:r w:rsidR="00F92844">
        <w:rPr>
          <w:lang w:val="en-US"/>
        </w:rPr>
        <w:t xml:space="preserve"> J.A.</w:t>
      </w:r>
      <w:r w:rsidRPr="00A431FA">
        <w:rPr>
          <w:lang w:val="en-US"/>
        </w:rPr>
        <w:t xml:space="preserve">, </w:t>
      </w:r>
      <w:proofErr w:type="spellStart"/>
      <w:r w:rsidRPr="00A431FA">
        <w:rPr>
          <w:lang w:val="en-US"/>
        </w:rPr>
        <w:t>Peña-Rodríguez</w:t>
      </w:r>
      <w:proofErr w:type="spellEnd"/>
      <w:r w:rsidRPr="00A431FA">
        <w:rPr>
          <w:lang w:val="en-US"/>
        </w:rPr>
        <w:t xml:space="preserve"> F., 2013</w:t>
      </w:r>
      <w:r w:rsidR="00A431FA" w:rsidRPr="00A431FA">
        <w:rPr>
          <w:lang w:val="en-US"/>
        </w:rPr>
        <w:t>,</w:t>
      </w:r>
      <w:r w:rsidRPr="00A431FA">
        <w:rPr>
          <w:lang w:val="en-US"/>
        </w:rPr>
        <w:t xml:space="preserve"> </w:t>
      </w:r>
      <w:r w:rsidRPr="00297868">
        <w:rPr>
          <w:lang w:val="en-US"/>
        </w:rPr>
        <w:t>Near infrared spectroscopy (NIRS) for on-line determination of quality parameters in intact olives</w:t>
      </w:r>
      <w:r w:rsidR="00A431FA">
        <w:rPr>
          <w:lang w:val="en-US"/>
        </w:rPr>
        <w:t>,</w:t>
      </w:r>
      <w:r w:rsidRPr="00297868">
        <w:rPr>
          <w:lang w:val="en-US"/>
        </w:rPr>
        <w:t xml:space="preserve"> Food Chemistry</w:t>
      </w:r>
      <w:r w:rsidR="00A431FA">
        <w:rPr>
          <w:lang w:val="en-US"/>
        </w:rPr>
        <w:t>,</w:t>
      </w:r>
      <w:r w:rsidRPr="00297868">
        <w:rPr>
          <w:lang w:val="en-US"/>
        </w:rPr>
        <w:t xml:space="preserve"> 139, 1121–1126.</w:t>
      </w:r>
    </w:p>
    <w:p w:rsidR="00F41303" w:rsidRPr="00F41303" w:rsidRDefault="00F41303" w:rsidP="00F41303">
      <w:pPr>
        <w:pStyle w:val="CETReference-text"/>
        <w:rPr>
          <w:lang w:val="en-US"/>
        </w:rPr>
      </w:pPr>
      <w:proofErr w:type="spellStart"/>
      <w:r w:rsidRPr="00600711">
        <w:rPr>
          <w:lang w:val="it-IT"/>
        </w:rPr>
        <w:t>Salguero-Chaparro</w:t>
      </w:r>
      <w:proofErr w:type="spellEnd"/>
      <w:r w:rsidRPr="00600711">
        <w:rPr>
          <w:lang w:val="it-IT"/>
        </w:rPr>
        <w:t xml:space="preserve"> L., </w:t>
      </w:r>
      <w:proofErr w:type="spellStart"/>
      <w:r w:rsidRPr="00600711">
        <w:rPr>
          <w:lang w:val="it-IT"/>
        </w:rPr>
        <w:t>Peña-Rodríguez</w:t>
      </w:r>
      <w:proofErr w:type="spellEnd"/>
      <w:r w:rsidRPr="00600711">
        <w:rPr>
          <w:lang w:val="it-IT"/>
        </w:rPr>
        <w:t xml:space="preserve">. </w:t>
      </w:r>
      <w:r>
        <w:rPr>
          <w:lang w:val="en-US"/>
        </w:rPr>
        <w:t>F., 2014,</w:t>
      </w:r>
      <w:r w:rsidRPr="00297868">
        <w:rPr>
          <w:lang w:val="en-US"/>
        </w:rPr>
        <w:t xml:space="preserve"> On-line versus off-line NIRS analysis of intact olives</w:t>
      </w:r>
      <w:r>
        <w:rPr>
          <w:lang w:val="en-US"/>
        </w:rPr>
        <w:t>,</w:t>
      </w:r>
      <w:r w:rsidRPr="00297868">
        <w:rPr>
          <w:lang w:val="en-US"/>
        </w:rPr>
        <w:t xml:space="preserve"> </w:t>
      </w:r>
      <w:r w:rsidRPr="00F41303">
        <w:rPr>
          <w:lang w:val="en-US"/>
        </w:rPr>
        <w:t>Food Science and Technology, 56, 363-369.</w:t>
      </w:r>
    </w:p>
    <w:p w:rsidR="004628D2" w:rsidRPr="00EB0A8A" w:rsidRDefault="00F41303" w:rsidP="00EB0A8A">
      <w:pPr>
        <w:pStyle w:val="CETReference-text"/>
        <w:rPr>
          <w:lang w:val="en-US"/>
        </w:rPr>
      </w:pPr>
      <w:r>
        <w:rPr>
          <w:lang w:val="en-US"/>
        </w:rPr>
        <w:t>Wang H</w:t>
      </w:r>
      <w:r w:rsidR="00571975">
        <w:rPr>
          <w:lang w:val="en-US"/>
        </w:rPr>
        <w:t>.</w:t>
      </w:r>
      <w:r>
        <w:rPr>
          <w:lang w:val="en-US"/>
        </w:rPr>
        <w:t xml:space="preserve">, </w:t>
      </w:r>
      <w:r w:rsidRPr="00F41303">
        <w:rPr>
          <w:lang w:val="en-US"/>
        </w:rPr>
        <w:t>Peng</w:t>
      </w:r>
      <w:r>
        <w:rPr>
          <w:lang w:val="en-US"/>
        </w:rPr>
        <w:t xml:space="preserve"> J.</w:t>
      </w:r>
      <w:r w:rsidRPr="00F41303">
        <w:rPr>
          <w:lang w:val="en-US"/>
        </w:rPr>
        <w:t xml:space="preserve">, </w:t>
      </w:r>
      <w:proofErr w:type="spellStart"/>
      <w:r w:rsidRPr="00F41303">
        <w:rPr>
          <w:lang w:val="en-US"/>
        </w:rPr>
        <w:t>Xie</w:t>
      </w:r>
      <w:proofErr w:type="spellEnd"/>
      <w:r>
        <w:rPr>
          <w:lang w:val="en-US"/>
        </w:rPr>
        <w:t xml:space="preserve"> C.</w:t>
      </w:r>
      <w:r w:rsidRPr="00F41303">
        <w:rPr>
          <w:lang w:val="en-US"/>
        </w:rPr>
        <w:t xml:space="preserve">, </w:t>
      </w:r>
      <w:proofErr w:type="spellStart"/>
      <w:r w:rsidRPr="00F41303">
        <w:rPr>
          <w:lang w:val="en-US"/>
        </w:rPr>
        <w:t>Bao</w:t>
      </w:r>
      <w:proofErr w:type="spellEnd"/>
      <w:r>
        <w:rPr>
          <w:lang w:val="en-US"/>
        </w:rPr>
        <w:t xml:space="preserve"> Y.,</w:t>
      </w:r>
      <w:r w:rsidRPr="00F41303">
        <w:rPr>
          <w:lang w:val="en-US"/>
        </w:rPr>
        <w:t xml:space="preserve"> He</w:t>
      </w:r>
      <w:r>
        <w:rPr>
          <w:lang w:val="en-US"/>
        </w:rPr>
        <w:t xml:space="preserve"> Y</w:t>
      </w:r>
      <w:r w:rsidR="00571975">
        <w:rPr>
          <w:lang w:val="en-US"/>
        </w:rPr>
        <w:t>.</w:t>
      </w:r>
      <w:r>
        <w:rPr>
          <w:lang w:val="en-US"/>
        </w:rPr>
        <w:t xml:space="preserve">, 2015, </w:t>
      </w:r>
      <w:r w:rsidRPr="00F41303">
        <w:rPr>
          <w:lang w:val="en-US"/>
        </w:rPr>
        <w:t xml:space="preserve">Fruit </w:t>
      </w:r>
      <w:r w:rsidR="00F92844" w:rsidRPr="00F41303">
        <w:rPr>
          <w:lang w:val="en-US"/>
        </w:rPr>
        <w:t>quality evaluation using spectroscopy technology:</w:t>
      </w:r>
      <w:r w:rsidR="00F92844">
        <w:rPr>
          <w:lang w:val="en-US"/>
        </w:rPr>
        <w:t xml:space="preserve"> </w:t>
      </w:r>
      <w:r w:rsidR="00F92844" w:rsidRPr="00F41303">
        <w:rPr>
          <w:lang w:val="en-US"/>
        </w:rPr>
        <w:t>a review</w:t>
      </w:r>
      <w:r>
        <w:rPr>
          <w:lang w:val="en-US"/>
        </w:rPr>
        <w:t xml:space="preserve">, Sensors, </w:t>
      </w:r>
      <w:r w:rsidRPr="00F41303">
        <w:rPr>
          <w:lang w:val="en-US"/>
        </w:rPr>
        <w:t>15, 11889-11927</w:t>
      </w:r>
      <w:r>
        <w:rPr>
          <w:lang w:val="en-US"/>
        </w:rPr>
        <w:t>.</w:t>
      </w:r>
    </w:p>
    <w:sectPr w:rsidR="004628D2" w:rsidRPr="00EB0A8A"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55E" w:rsidRDefault="0085255E" w:rsidP="004F5E36">
      <w:r>
        <w:separator/>
      </w:r>
    </w:p>
  </w:endnote>
  <w:endnote w:type="continuationSeparator" w:id="0">
    <w:p w:rsidR="0085255E" w:rsidRDefault="0085255E"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55E" w:rsidRDefault="0085255E" w:rsidP="004F5E36">
      <w:r>
        <w:separator/>
      </w:r>
    </w:p>
  </w:footnote>
  <w:footnote w:type="continuationSeparator" w:id="0">
    <w:p w:rsidR="0085255E" w:rsidRDefault="0085255E"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1001"/>
  <w:styleLockTheme/>
  <w:styleLockQFSet/>
  <w:defaultTabStop w:val="708"/>
  <w:hyphenationZone w:val="283"/>
  <w:clickAndTypeStyle w:val="CETBodytext"/>
  <w:characterSpacingControl w:val="doNotCompress"/>
  <w:savePreviewPicture/>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86C39"/>
    <w:rsid w:val="000A03B2"/>
    <w:rsid w:val="000A3B79"/>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50E59"/>
    <w:rsid w:val="00152DE3"/>
    <w:rsid w:val="00164CF9"/>
    <w:rsid w:val="00184AD6"/>
    <w:rsid w:val="001B0349"/>
    <w:rsid w:val="001B65C1"/>
    <w:rsid w:val="001C684B"/>
    <w:rsid w:val="001C774F"/>
    <w:rsid w:val="001D19AB"/>
    <w:rsid w:val="001D1A34"/>
    <w:rsid w:val="001D32E2"/>
    <w:rsid w:val="001D53FC"/>
    <w:rsid w:val="001E3B83"/>
    <w:rsid w:val="001F42A5"/>
    <w:rsid w:val="001F7B9D"/>
    <w:rsid w:val="002224B4"/>
    <w:rsid w:val="002400DA"/>
    <w:rsid w:val="002447EF"/>
    <w:rsid w:val="00251550"/>
    <w:rsid w:val="00252C1A"/>
    <w:rsid w:val="00263B05"/>
    <w:rsid w:val="0027221A"/>
    <w:rsid w:val="00275B61"/>
    <w:rsid w:val="00282656"/>
    <w:rsid w:val="00296B83"/>
    <w:rsid w:val="002B78CE"/>
    <w:rsid w:val="002C2FB6"/>
    <w:rsid w:val="002D5BCD"/>
    <w:rsid w:val="003009B7"/>
    <w:rsid w:val="00300E56"/>
    <w:rsid w:val="0030469C"/>
    <w:rsid w:val="00321CA6"/>
    <w:rsid w:val="00334C09"/>
    <w:rsid w:val="003365E3"/>
    <w:rsid w:val="003609FF"/>
    <w:rsid w:val="003723D4"/>
    <w:rsid w:val="00384CC8"/>
    <w:rsid w:val="00384F08"/>
    <w:rsid w:val="003871FD"/>
    <w:rsid w:val="003A1E30"/>
    <w:rsid w:val="003A7D1C"/>
    <w:rsid w:val="003B304B"/>
    <w:rsid w:val="003B3146"/>
    <w:rsid w:val="003B60F3"/>
    <w:rsid w:val="003F015E"/>
    <w:rsid w:val="00400414"/>
    <w:rsid w:val="0041446B"/>
    <w:rsid w:val="0044329C"/>
    <w:rsid w:val="00450BB5"/>
    <w:rsid w:val="004577FE"/>
    <w:rsid w:val="00457B9C"/>
    <w:rsid w:val="0046164A"/>
    <w:rsid w:val="004628D2"/>
    <w:rsid w:val="00462DCD"/>
    <w:rsid w:val="004648AD"/>
    <w:rsid w:val="004703A9"/>
    <w:rsid w:val="004760DE"/>
    <w:rsid w:val="004A004E"/>
    <w:rsid w:val="004A24CF"/>
    <w:rsid w:val="004A3613"/>
    <w:rsid w:val="004B6721"/>
    <w:rsid w:val="004B67C3"/>
    <w:rsid w:val="004C3D1D"/>
    <w:rsid w:val="004C7913"/>
    <w:rsid w:val="004E4DD6"/>
    <w:rsid w:val="004E7707"/>
    <w:rsid w:val="004F5E36"/>
    <w:rsid w:val="00507B47"/>
    <w:rsid w:val="00507CC9"/>
    <w:rsid w:val="005119A5"/>
    <w:rsid w:val="005278B7"/>
    <w:rsid w:val="00532016"/>
    <w:rsid w:val="005346C8"/>
    <w:rsid w:val="00535C10"/>
    <w:rsid w:val="00543E7D"/>
    <w:rsid w:val="00546B05"/>
    <w:rsid w:val="00547A68"/>
    <w:rsid w:val="005531C9"/>
    <w:rsid w:val="00570959"/>
    <w:rsid w:val="00571975"/>
    <w:rsid w:val="005B2110"/>
    <w:rsid w:val="005B61E6"/>
    <w:rsid w:val="005C77E1"/>
    <w:rsid w:val="005D6A2F"/>
    <w:rsid w:val="005E1A82"/>
    <w:rsid w:val="005E794C"/>
    <w:rsid w:val="005F0A28"/>
    <w:rsid w:val="005F0E5E"/>
    <w:rsid w:val="00600535"/>
    <w:rsid w:val="00600711"/>
    <w:rsid w:val="00610CD6"/>
    <w:rsid w:val="00612BF7"/>
    <w:rsid w:val="00620DEE"/>
    <w:rsid w:val="00621F92"/>
    <w:rsid w:val="00625639"/>
    <w:rsid w:val="00631B33"/>
    <w:rsid w:val="0064184D"/>
    <w:rsid w:val="006422CC"/>
    <w:rsid w:val="00660E3E"/>
    <w:rsid w:val="00662E74"/>
    <w:rsid w:val="00680C23"/>
    <w:rsid w:val="00693766"/>
    <w:rsid w:val="006A3281"/>
    <w:rsid w:val="006B4888"/>
    <w:rsid w:val="006C2E45"/>
    <w:rsid w:val="006C359C"/>
    <w:rsid w:val="006C5579"/>
    <w:rsid w:val="006D5F8F"/>
    <w:rsid w:val="006E737D"/>
    <w:rsid w:val="0070195D"/>
    <w:rsid w:val="00714C4D"/>
    <w:rsid w:val="00720A24"/>
    <w:rsid w:val="00726FC5"/>
    <w:rsid w:val="00732386"/>
    <w:rsid w:val="007447F3"/>
    <w:rsid w:val="0075499F"/>
    <w:rsid w:val="007620DE"/>
    <w:rsid w:val="007661C8"/>
    <w:rsid w:val="0077029C"/>
    <w:rsid w:val="0077098D"/>
    <w:rsid w:val="00777833"/>
    <w:rsid w:val="00781BFE"/>
    <w:rsid w:val="007931FA"/>
    <w:rsid w:val="007A7BBA"/>
    <w:rsid w:val="007B0C50"/>
    <w:rsid w:val="007B4200"/>
    <w:rsid w:val="007C1A43"/>
    <w:rsid w:val="007E1DC6"/>
    <w:rsid w:val="00813288"/>
    <w:rsid w:val="008168FC"/>
    <w:rsid w:val="00830996"/>
    <w:rsid w:val="008345F1"/>
    <w:rsid w:val="0085255E"/>
    <w:rsid w:val="00865B07"/>
    <w:rsid w:val="008667EA"/>
    <w:rsid w:val="00873969"/>
    <w:rsid w:val="0087637F"/>
    <w:rsid w:val="008904B9"/>
    <w:rsid w:val="00892AD5"/>
    <w:rsid w:val="008A0919"/>
    <w:rsid w:val="008A1512"/>
    <w:rsid w:val="008C78C1"/>
    <w:rsid w:val="008D32B9"/>
    <w:rsid w:val="008D433B"/>
    <w:rsid w:val="008E566E"/>
    <w:rsid w:val="0090161A"/>
    <w:rsid w:val="00901EB6"/>
    <w:rsid w:val="00904C62"/>
    <w:rsid w:val="00924DAC"/>
    <w:rsid w:val="00927058"/>
    <w:rsid w:val="009450CE"/>
    <w:rsid w:val="00947179"/>
    <w:rsid w:val="0095164B"/>
    <w:rsid w:val="00954090"/>
    <w:rsid w:val="009573E7"/>
    <w:rsid w:val="009635B9"/>
    <w:rsid w:val="00963E05"/>
    <w:rsid w:val="00967D54"/>
    <w:rsid w:val="009767D7"/>
    <w:rsid w:val="00996483"/>
    <w:rsid w:val="00996F5A"/>
    <w:rsid w:val="009A0A3E"/>
    <w:rsid w:val="009B041A"/>
    <w:rsid w:val="009C7C86"/>
    <w:rsid w:val="009D2FF7"/>
    <w:rsid w:val="009E7884"/>
    <w:rsid w:val="009E788A"/>
    <w:rsid w:val="009F0E08"/>
    <w:rsid w:val="00A10659"/>
    <w:rsid w:val="00A1763D"/>
    <w:rsid w:val="00A17CEC"/>
    <w:rsid w:val="00A24296"/>
    <w:rsid w:val="00A27EF0"/>
    <w:rsid w:val="00A431FA"/>
    <w:rsid w:val="00A50B20"/>
    <w:rsid w:val="00A51390"/>
    <w:rsid w:val="00A526F4"/>
    <w:rsid w:val="00A60D13"/>
    <w:rsid w:val="00A72745"/>
    <w:rsid w:val="00A76EFC"/>
    <w:rsid w:val="00A91010"/>
    <w:rsid w:val="00A97F29"/>
    <w:rsid w:val="00AA6FFE"/>
    <w:rsid w:val="00AA702E"/>
    <w:rsid w:val="00AB0964"/>
    <w:rsid w:val="00AB5011"/>
    <w:rsid w:val="00AC3B7B"/>
    <w:rsid w:val="00AC7368"/>
    <w:rsid w:val="00AD16B9"/>
    <w:rsid w:val="00AE377D"/>
    <w:rsid w:val="00B1724E"/>
    <w:rsid w:val="00B17FBD"/>
    <w:rsid w:val="00B315A6"/>
    <w:rsid w:val="00B31813"/>
    <w:rsid w:val="00B33365"/>
    <w:rsid w:val="00B367BA"/>
    <w:rsid w:val="00B57B36"/>
    <w:rsid w:val="00B8686D"/>
    <w:rsid w:val="00B968DF"/>
    <w:rsid w:val="00BC30C9"/>
    <w:rsid w:val="00BE3E58"/>
    <w:rsid w:val="00C01616"/>
    <w:rsid w:val="00C0162B"/>
    <w:rsid w:val="00C2370B"/>
    <w:rsid w:val="00C345B1"/>
    <w:rsid w:val="00C40142"/>
    <w:rsid w:val="00C57182"/>
    <w:rsid w:val="00C57863"/>
    <w:rsid w:val="00C655FD"/>
    <w:rsid w:val="00C8647B"/>
    <w:rsid w:val="00C870A8"/>
    <w:rsid w:val="00C94434"/>
    <w:rsid w:val="00C972FD"/>
    <w:rsid w:val="00CA0D75"/>
    <w:rsid w:val="00CA1C95"/>
    <w:rsid w:val="00CA5A9C"/>
    <w:rsid w:val="00CC3BA0"/>
    <w:rsid w:val="00CD3517"/>
    <w:rsid w:val="00CD5A00"/>
    <w:rsid w:val="00CD5FE2"/>
    <w:rsid w:val="00CE7C68"/>
    <w:rsid w:val="00CF7655"/>
    <w:rsid w:val="00D02B4C"/>
    <w:rsid w:val="00D040C4"/>
    <w:rsid w:val="00D345DD"/>
    <w:rsid w:val="00D57C84"/>
    <w:rsid w:val="00D6057D"/>
    <w:rsid w:val="00D84576"/>
    <w:rsid w:val="00DA1399"/>
    <w:rsid w:val="00DA24C6"/>
    <w:rsid w:val="00DA4D7B"/>
    <w:rsid w:val="00DE264A"/>
    <w:rsid w:val="00E02D18"/>
    <w:rsid w:val="00E041E7"/>
    <w:rsid w:val="00E23CA1"/>
    <w:rsid w:val="00E409A8"/>
    <w:rsid w:val="00E50C12"/>
    <w:rsid w:val="00E65B91"/>
    <w:rsid w:val="00E7209D"/>
    <w:rsid w:val="00E75C88"/>
    <w:rsid w:val="00E77223"/>
    <w:rsid w:val="00E8528B"/>
    <w:rsid w:val="00E85B94"/>
    <w:rsid w:val="00E978D0"/>
    <w:rsid w:val="00EA4613"/>
    <w:rsid w:val="00EA7F91"/>
    <w:rsid w:val="00EB0A8A"/>
    <w:rsid w:val="00EB1523"/>
    <w:rsid w:val="00EC0125"/>
    <w:rsid w:val="00EC0E49"/>
    <w:rsid w:val="00ED3096"/>
    <w:rsid w:val="00EE0131"/>
    <w:rsid w:val="00EF2867"/>
    <w:rsid w:val="00F155B2"/>
    <w:rsid w:val="00F203D2"/>
    <w:rsid w:val="00F30C64"/>
    <w:rsid w:val="00F32CDB"/>
    <w:rsid w:val="00F41303"/>
    <w:rsid w:val="00F63A70"/>
    <w:rsid w:val="00F838B7"/>
    <w:rsid w:val="00F844E0"/>
    <w:rsid w:val="00F92844"/>
    <w:rsid w:val="00FA21D0"/>
    <w:rsid w:val="00FA5F5F"/>
    <w:rsid w:val="00FB730C"/>
    <w:rsid w:val="00FC2695"/>
    <w:rsid w:val="00FC3E03"/>
    <w:rsid w:val="00FC3FC1"/>
    <w:rsid w:val="00FE1548"/>
    <w:rsid w:val="00FF7B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uiPriority w:val="99"/>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uiPriority w:val="99"/>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deltesto">
    <w:name w:val="Body Text"/>
    <w:basedOn w:val="Normale"/>
    <w:link w:val="CorpodeltestoCarattere"/>
    <w:uiPriority w:val="99"/>
    <w:semiHidden/>
    <w:unhideWhenUsed/>
    <w:rsid w:val="0003148D"/>
    <w:pPr>
      <w:spacing w:after="120"/>
    </w:pPr>
  </w:style>
  <w:style w:type="character" w:customStyle="1" w:styleId="CorpodeltestoCarattere">
    <w:name w:val="Corpo del testo Carattere"/>
    <w:basedOn w:val="Carpredefinitoparagrafo"/>
    <w:link w:val="Corpodel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del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del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CETReference-text">
    <w:name w:val="CET Reference-text"/>
    <w:uiPriority w:val="99"/>
    <w:rsid w:val="00F41303"/>
    <w:pPr>
      <w:spacing w:after="0" w:line="264" w:lineRule="auto"/>
      <w:ind w:left="284" w:hanging="284"/>
      <w:jc w:val="both"/>
    </w:pPr>
    <w:rPr>
      <w:rFonts w:ascii="Arial" w:eastAsia="Times New Roman" w:hAnsi="Arial" w:cs="Arial"/>
      <w:sz w:val="18"/>
      <w:szCs w:val="18"/>
      <w:lang w:val="en-GB"/>
    </w:rPr>
  </w:style>
  <w:style w:type="paragraph" w:customStyle="1" w:styleId="CET-table-title">
    <w:name w:val="CET-table-title"/>
    <w:rsid w:val="00AA6FFE"/>
    <w:pPr>
      <w:keepNext/>
      <w:spacing w:before="240" w:after="80" w:line="240" w:lineRule="exact"/>
    </w:pPr>
    <w:rPr>
      <w:rFonts w:ascii="Arial" w:eastAsia="Times New Roman" w:hAnsi="Arial" w:cs="Times New Roman"/>
      <w:i/>
      <w:sz w:val="18"/>
      <w:szCs w:val="20"/>
      <w:lang w:val="en-US" w:eastAsia="it-IT"/>
    </w:rPr>
  </w:style>
  <w:style w:type="paragraph" w:styleId="Paragrafoelenco">
    <w:name w:val="List Paragraph"/>
    <w:basedOn w:val="Normale"/>
    <w:uiPriority w:val="34"/>
    <w:qFormat/>
    <w:rsid w:val="00AA6FFE"/>
    <w:pPr>
      <w:tabs>
        <w:tab w:val="clear" w:pos="7100"/>
      </w:tabs>
      <w:spacing w:after="200" w:line="276" w:lineRule="auto"/>
      <w:ind w:left="720"/>
      <w:contextualSpacing/>
      <w:jc w:val="left"/>
    </w:pPr>
    <w:rPr>
      <w:rFonts w:asciiTheme="minorHAnsi" w:eastAsiaTheme="minorEastAsia" w:hAnsiTheme="minorHAnsi" w:cstheme="minorBidi"/>
      <w:sz w:val="22"/>
      <w:szCs w:val="22"/>
      <w:lang w:val="it-IT" w:eastAsia="it-IT"/>
    </w:rPr>
  </w:style>
  <w:style w:type="table" w:customStyle="1" w:styleId="Sfondochiaro1">
    <w:name w:val="Sfondo chiaro1"/>
    <w:basedOn w:val="Tabellanormale"/>
    <w:uiPriority w:val="60"/>
    <w:rsid w:val="00CC3BA0"/>
    <w:pPr>
      <w:spacing w:after="0" w:line="240" w:lineRule="auto"/>
    </w:pPr>
    <w:rPr>
      <w:rFonts w:eastAsiaTheme="minorEastAsia"/>
      <w:color w:val="000000" w:themeColor="text1" w:themeShade="BF"/>
      <w:sz w:val="24"/>
      <w:szCs w:val="24"/>
      <w:lang w:eastAsia="it-IT"/>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uiPriority w:val="99"/>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uiPriority w:val="99"/>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CETReference-text">
    <w:name w:val="CET Reference-text"/>
    <w:uiPriority w:val="99"/>
    <w:rsid w:val="00F41303"/>
    <w:pPr>
      <w:spacing w:after="0" w:line="264" w:lineRule="auto"/>
      <w:ind w:left="284" w:hanging="284"/>
      <w:jc w:val="both"/>
    </w:pPr>
    <w:rPr>
      <w:rFonts w:ascii="Arial" w:eastAsia="Times New Roman" w:hAnsi="Arial" w:cs="Arial"/>
      <w:sz w:val="18"/>
      <w:szCs w:val="18"/>
      <w:lang w:val="en-GB"/>
    </w:rPr>
  </w:style>
  <w:style w:type="paragraph" w:customStyle="1" w:styleId="CET-table-title">
    <w:name w:val="CET-table-title"/>
    <w:rsid w:val="00AA6FFE"/>
    <w:pPr>
      <w:keepNext/>
      <w:spacing w:before="240" w:after="80" w:line="240" w:lineRule="exact"/>
    </w:pPr>
    <w:rPr>
      <w:rFonts w:ascii="Arial" w:eastAsia="Times New Roman" w:hAnsi="Arial" w:cs="Times New Roman"/>
      <w:i/>
      <w:sz w:val="18"/>
      <w:szCs w:val="20"/>
      <w:lang w:val="en-US" w:eastAsia="it-IT"/>
    </w:rPr>
  </w:style>
  <w:style w:type="paragraph" w:styleId="Paragrafoelenco">
    <w:name w:val="List Paragraph"/>
    <w:basedOn w:val="Normale"/>
    <w:uiPriority w:val="34"/>
    <w:qFormat/>
    <w:rsid w:val="00AA6FFE"/>
    <w:pPr>
      <w:tabs>
        <w:tab w:val="clear" w:pos="7100"/>
      </w:tabs>
      <w:spacing w:after="200" w:line="276" w:lineRule="auto"/>
      <w:ind w:left="720"/>
      <w:contextualSpacing/>
      <w:jc w:val="left"/>
    </w:pPr>
    <w:rPr>
      <w:rFonts w:asciiTheme="minorHAnsi" w:eastAsiaTheme="minorEastAsia" w:hAnsiTheme="minorHAnsi" w:cstheme="minorBidi"/>
      <w:sz w:val="22"/>
      <w:szCs w:val="22"/>
      <w:lang w:val="it-IT" w:eastAsia="it-IT"/>
    </w:rPr>
  </w:style>
  <w:style w:type="table" w:customStyle="1" w:styleId="Sfondochiaro1">
    <w:name w:val="Sfondo chiaro1"/>
    <w:basedOn w:val="Tabellanormale"/>
    <w:uiPriority w:val="60"/>
    <w:rsid w:val="00CC3BA0"/>
    <w:pPr>
      <w:spacing w:after="0" w:line="240" w:lineRule="auto"/>
    </w:pPr>
    <w:rPr>
      <w:rFonts w:eastAsiaTheme="minorEastAsia"/>
      <w:color w:val="000000" w:themeColor="text1" w:themeShade="BF"/>
      <w:sz w:val="24"/>
      <w:szCs w:val="24"/>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754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42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FCC06-09A8-4B71-B9FF-22649D85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6</Pages>
  <Words>2866</Words>
  <Characters>16338</Characters>
  <Application>Microsoft Office Word</Application>
  <DocSecurity>0</DocSecurity>
  <Lines>136</Lines>
  <Paragraphs>38</Paragraphs>
  <ScaleCrop>false</ScaleCrop>
  <HeadingPairs>
    <vt:vector size="6" baseType="variant">
      <vt:variant>
        <vt:lpstr>Titolo</vt:lpstr>
      </vt:variant>
      <vt:variant>
        <vt:i4>1</vt:i4>
      </vt:variant>
      <vt:variant>
        <vt:lpstr>Intestazioni</vt:lpstr>
      </vt:variant>
      <vt:variant>
        <vt:i4>1</vt:i4>
      </vt:variant>
      <vt:variant>
        <vt:lpstr>Title</vt:lpstr>
      </vt:variant>
      <vt:variant>
        <vt:i4>1</vt:i4>
      </vt:variant>
    </vt:vector>
  </HeadingPairs>
  <TitlesOfParts>
    <vt:vector size="3" baseType="lpstr">
      <vt:lpstr/>
      <vt:lpstr>Use of a Portable vis Nir Device to Predict Table Olives Quality </vt:lpstr>
      <vt:lpstr/>
    </vt:vector>
  </TitlesOfParts>
  <Company>Dipartimento CMIC - Politecnico di Milano</Company>
  <LinksUpToDate>false</LinksUpToDate>
  <CharactersWithSpaces>19166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Utente</cp:lastModifiedBy>
  <cp:revision>27</cp:revision>
  <cp:lastPrinted>2015-05-12T18:31:00Z</cp:lastPrinted>
  <dcterms:created xsi:type="dcterms:W3CDTF">2019-02-25T14:15:00Z</dcterms:created>
  <dcterms:modified xsi:type="dcterms:W3CDTF">2019-04-02T10:52:00Z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