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A0561">
        <w:trPr>
          <w:trHeight w:val="852"/>
          <w:jc w:val="center"/>
        </w:trPr>
        <w:tc>
          <w:tcPr>
            <w:tcW w:w="6946" w:type="dxa"/>
            <w:vMerge w:val="restart"/>
            <w:tcBorders>
              <w:right w:val="single" w:sz="4" w:space="0" w:color="auto"/>
            </w:tcBorders>
          </w:tcPr>
          <w:p w:rsidR="000A03B2" w:rsidRPr="00BF2A4F" w:rsidRDefault="00581E00" w:rsidP="00DE264A">
            <w:pPr>
              <w:tabs>
                <w:tab w:val="left" w:pos="-108"/>
              </w:tabs>
              <w:ind w:left="-108"/>
              <w:jc w:val="left"/>
              <w:rPr>
                <w:rFonts w:cs="Arial"/>
                <w:b/>
                <w:bCs/>
                <w:i/>
                <w:iCs/>
                <w:sz w:val="12"/>
                <w:szCs w:val="12"/>
                <w:lang w:eastAsia="it-IT"/>
              </w:rPr>
            </w:pPr>
            <w:r w:rsidRPr="00BF2A4F">
              <w:rPr>
                <w:rFonts w:ascii="AdvP6960" w:hAnsi="AdvP6960" w:cs="AdvP6960"/>
                <w:noProof/>
                <w:szCs w:val="18"/>
                <w:lang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19509"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F2A4F">
              <w:rPr>
                <w:rFonts w:ascii="AdvP6960" w:hAnsi="AdvP6960" w:cs="AdvP6960"/>
                <w:szCs w:val="18"/>
                <w:lang w:eastAsia="it-IT"/>
              </w:rPr>
              <w:t xml:space="preserve"> </w:t>
            </w:r>
            <w:r w:rsidRPr="00BF2A4F">
              <w:rPr>
                <w:rFonts w:cs="Arial"/>
                <w:b/>
                <w:bCs/>
                <w:i/>
                <w:iCs/>
                <w:sz w:val="24"/>
                <w:szCs w:val="24"/>
                <w:lang w:eastAsia="it-IT"/>
              </w:rPr>
              <w:t>CHEMICAL ENGINEERING TRANSACTIONS</w:t>
            </w:r>
            <w:r w:rsidRPr="00BF2A4F">
              <w:rPr>
                <w:sz w:val="24"/>
                <w:szCs w:val="24"/>
                <w:lang w:eastAsia="it-IT"/>
              </w:rPr>
              <w:t xml:space="preserve"> </w:t>
            </w:r>
            <w:r w:rsidRPr="00BF2A4F">
              <w:rPr>
                <w:rFonts w:cs="Arial"/>
                <w:b/>
                <w:bCs/>
                <w:i/>
                <w:iCs/>
                <w:sz w:val="27"/>
                <w:szCs w:val="27"/>
                <w:lang w:eastAsia="it-IT"/>
              </w:rPr>
              <w:br/>
            </w:r>
          </w:p>
          <w:p w:rsidR="000A03B2" w:rsidRPr="00BF2A4F" w:rsidRDefault="00581E00" w:rsidP="009635B9">
            <w:pPr>
              <w:tabs>
                <w:tab w:val="left" w:pos="-108"/>
              </w:tabs>
              <w:ind w:left="-108"/>
              <w:rPr>
                <w:rFonts w:cs="Arial"/>
                <w:b/>
                <w:bCs/>
                <w:i/>
                <w:iCs/>
                <w:sz w:val="22"/>
                <w:szCs w:val="22"/>
                <w:lang w:eastAsia="it-IT"/>
              </w:rPr>
            </w:pPr>
            <w:r w:rsidRPr="00BF2A4F">
              <w:rPr>
                <w:rFonts w:cs="Arial"/>
                <w:b/>
                <w:bCs/>
                <w:i/>
                <w:iCs/>
                <w:sz w:val="22"/>
                <w:szCs w:val="22"/>
                <w:lang w:eastAsia="it-IT"/>
              </w:rPr>
              <w:t xml:space="preserve">VOL. </w:t>
            </w:r>
            <w:r w:rsidR="007931FA" w:rsidRPr="00BF2A4F">
              <w:rPr>
                <w:rFonts w:cs="Arial"/>
                <w:b/>
                <w:bCs/>
                <w:i/>
                <w:iCs/>
                <w:sz w:val="22"/>
                <w:szCs w:val="22"/>
                <w:lang w:eastAsia="it-IT"/>
              </w:rPr>
              <w:t>7</w:t>
            </w:r>
            <w:r w:rsidR="009635B9" w:rsidRPr="00BF2A4F">
              <w:rPr>
                <w:rFonts w:cs="Arial"/>
                <w:b/>
                <w:bCs/>
                <w:i/>
                <w:iCs/>
                <w:sz w:val="22"/>
                <w:szCs w:val="22"/>
                <w:lang w:eastAsia="it-IT"/>
              </w:rPr>
              <w:t>6</w:t>
            </w:r>
            <w:r w:rsidR="00FA5F5F" w:rsidRPr="00BF2A4F">
              <w:rPr>
                <w:rFonts w:cs="Arial"/>
                <w:b/>
                <w:bCs/>
                <w:i/>
                <w:iCs/>
                <w:sz w:val="22"/>
                <w:szCs w:val="22"/>
                <w:lang w:eastAsia="it-IT"/>
              </w:rPr>
              <w:t>, 201</w:t>
            </w:r>
            <w:r w:rsidR="007931FA" w:rsidRPr="00BF2A4F">
              <w:rPr>
                <w:rFonts w:cs="Arial"/>
                <w:b/>
                <w:bCs/>
                <w:i/>
                <w:iCs/>
                <w:sz w:val="22"/>
                <w:szCs w:val="22"/>
                <w:lang w:eastAsia="it-IT"/>
              </w:rPr>
              <w:t>9</w:t>
            </w:r>
          </w:p>
        </w:tc>
        <w:tc>
          <w:tcPr>
            <w:tcW w:w="1843" w:type="dxa"/>
            <w:tcBorders>
              <w:left w:val="single" w:sz="4" w:space="0" w:color="auto"/>
              <w:bottom w:val="nil"/>
              <w:right w:val="single" w:sz="4" w:space="0" w:color="auto"/>
            </w:tcBorders>
          </w:tcPr>
          <w:p w:rsidR="000A03B2" w:rsidRPr="00BF2A4F" w:rsidRDefault="00581E00" w:rsidP="00CD5FE2">
            <w:pPr>
              <w:spacing w:line="140" w:lineRule="atLeast"/>
              <w:jc w:val="right"/>
              <w:rPr>
                <w:rFonts w:cs="Arial"/>
                <w:sz w:val="14"/>
                <w:szCs w:val="14"/>
              </w:rPr>
            </w:pPr>
            <w:r w:rsidRPr="00BF2A4F">
              <w:rPr>
                <w:rFonts w:cs="Arial"/>
                <w:sz w:val="14"/>
                <w:szCs w:val="14"/>
              </w:rPr>
              <w:t>A publication of</w:t>
            </w:r>
          </w:p>
          <w:p w:rsidR="000A03B2" w:rsidRPr="00BF2A4F" w:rsidRDefault="00581E00" w:rsidP="00CD5FE2">
            <w:pPr>
              <w:jc w:val="right"/>
            </w:pPr>
            <w:r w:rsidRPr="00BF2A4F">
              <w:rPr>
                <w:noProof/>
                <w:lang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25591"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EA0561">
        <w:trPr>
          <w:trHeight w:val="567"/>
          <w:jc w:val="center"/>
        </w:trPr>
        <w:tc>
          <w:tcPr>
            <w:tcW w:w="6946" w:type="dxa"/>
            <w:vMerge/>
            <w:tcBorders>
              <w:right w:val="single" w:sz="4" w:space="0" w:color="auto"/>
            </w:tcBorders>
          </w:tcPr>
          <w:p w:rsidR="000A03B2" w:rsidRPr="00BF2A4F" w:rsidRDefault="000A03B2" w:rsidP="00CD5FE2">
            <w:pPr>
              <w:tabs>
                <w:tab w:val="left" w:pos="-108"/>
              </w:tabs>
            </w:pPr>
          </w:p>
        </w:tc>
        <w:tc>
          <w:tcPr>
            <w:tcW w:w="1843" w:type="dxa"/>
            <w:tcBorders>
              <w:left w:val="single" w:sz="4" w:space="0" w:color="auto"/>
              <w:bottom w:val="nil"/>
              <w:right w:val="single" w:sz="4" w:space="0" w:color="auto"/>
            </w:tcBorders>
          </w:tcPr>
          <w:p w:rsidR="000A03B2" w:rsidRPr="00BF2A4F" w:rsidRDefault="00581E00" w:rsidP="00CD5FE2">
            <w:pPr>
              <w:spacing w:line="140" w:lineRule="atLeast"/>
              <w:jc w:val="right"/>
              <w:rPr>
                <w:rFonts w:cs="Arial"/>
                <w:sz w:val="14"/>
                <w:szCs w:val="14"/>
              </w:rPr>
            </w:pPr>
            <w:r w:rsidRPr="00BF2A4F">
              <w:rPr>
                <w:rFonts w:cs="Arial"/>
                <w:sz w:val="14"/>
                <w:szCs w:val="14"/>
              </w:rPr>
              <w:t>The Italian Association</w:t>
            </w:r>
          </w:p>
          <w:p w:rsidR="000A03B2" w:rsidRPr="00BF2A4F" w:rsidRDefault="00581E00" w:rsidP="00CD5FE2">
            <w:pPr>
              <w:spacing w:line="140" w:lineRule="atLeast"/>
              <w:jc w:val="right"/>
              <w:rPr>
                <w:rFonts w:cs="Arial"/>
                <w:sz w:val="14"/>
                <w:szCs w:val="14"/>
              </w:rPr>
            </w:pPr>
            <w:r w:rsidRPr="00BF2A4F">
              <w:rPr>
                <w:rFonts w:cs="Arial"/>
                <w:sz w:val="14"/>
                <w:szCs w:val="14"/>
              </w:rPr>
              <w:t>of Chemical Engineering</w:t>
            </w:r>
          </w:p>
          <w:p w:rsidR="000A03B2" w:rsidRPr="00BF2A4F" w:rsidRDefault="00581E00" w:rsidP="00CD5FE2">
            <w:pPr>
              <w:spacing w:line="140" w:lineRule="atLeast"/>
              <w:jc w:val="right"/>
              <w:rPr>
                <w:rFonts w:cs="Arial"/>
                <w:sz w:val="14"/>
                <w:szCs w:val="14"/>
              </w:rPr>
            </w:pPr>
            <w:r w:rsidRPr="00BF2A4F">
              <w:rPr>
                <w:rFonts w:cs="Arial"/>
                <w:sz w:val="14"/>
                <w:szCs w:val="14"/>
              </w:rPr>
              <w:t xml:space="preserve">Online at </w:t>
            </w:r>
            <w:r w:rsidR="00892AD5" w:rsidRPr="00BF2A4F">
              <w:rPr>
                <w:rFonts w:cs="Arial"/>
                <w:sz w:val="14"/>
                <w:szCs w:val="14"/>
              </w:rPr>
              <w:t>www.aidic.it/cet</w:t>
            </w:r>
          </w:p>
        </w:tc>
      </w:tr>
      <w:tr w:rsidR="00EA0561">
        <w:trPr>
          <w:trHeight w:val="68"/>
          <w:jc w:val="center"/>
        </w:trPr>
        <w:tc>
          <w:tcPr>
            <w:tcW w:w="8789" w:type="dxa"/>
            <w:gridSpan w:val="2"/>
          </w:tcPr>
          <w:p w:rsidR="00300E56" w:rsidRPr="00BF2A4F" w:rsidRDefault="00581E00" w:rsidP="003365E3">
            <w:pPr>
              <w:ind w:left="-107"/>
            </w:pPr>
            <w:r w:rsidRPr="00BF2A4F">
              <w:rPr>
                <w:rFonts w:ascii="Tahoma" w:hAnsi="Tahoma" w:cs="Tahoma"/>
                <w:iCs/>
                <w:sz w:val="14"/>
                <w:szCs w:val="14"/>
                <w:lang w:eastAsia="it-IT"/>
              </w:rPr>
              <w:t>Guest Editors:</w:t>
            </w:r>
            <w:r w:rsidR="00904C62" w:rsidRPr="00BF2A4F">
              <w:rPr>
                <w:rFonts w:ascii="Tahoma" w:hAnsi="Tahoma" w:cs="Tahoma"/>
                <w:iCs/>
                <w:sz w:val="14"/>
                <w:szCs w:val="14"/>
                <w:lang w:eastAsia="it-IT"/>
              </w:rPr>
              <w:t xml:space="preserve"> </w:t>
            </w:r>
            <w:r w:rsidR="009635B9" w:rsidRPr="00BF2A4F">
              <w:rPr>
                <w:rFonts w:ascii="Tahoma" w:hAnsi="Tahoma" w:cs="Tahoma"/>
                <w:sz w:val="14"/>
                <w:szCs w:val="14"/>
              </w:rPr>
              <w:t>Sauro Pierucci,</w:t>
            </w:r>
            <w:r w:rsidR="003B60F3" w:rsidRPr="00BF2A4F">
              <w:rPr>
                <w:rFonts w:ascii="Tahoma" w:hAnsi="Tahoma" w:cs="Tahoma"/>
                <w:sz w:val="14"/>
                <w:szCs w:val="14"/>
              </w:rPr>
              <w:t xml:space="preserve"> </w:t>
            </w:r>
            <w:r w:rsidR="00047D7F" w:rsidRPr="00BF2A4F">
              <w:rPr>
                <w:rFonts w:ascii="Tahoma" w:hAnsi="Tahoma" w:cs="Tahoma"/>
                <w:sz w:val="14"/>
                <w:szCs w:val="14"/>
                <w:shd w:val="clear" w:color="auto" w:fill="FFFFFF"/>
              </w:rPr>
              <w:t>Jiří Jaromír Klemeš</w:t>
            </w:r>
            <w:r w:rsidR="00252C1A" w:rsidRPr="00BF2A4F">
              <w:rPr>
                <w:rFonts w:ascii="Tahoma" w:hAnsi="Tahoma" w:cs="Tahoma"/>
                <w:sz w:val="14"/>
                <w:szCs w:val="14"/>
                <w:shd w:val="clear" w:color="auto" w:fill="FFFFFF"/>
              </w:rPr>
              <w:t>, Laura Piazza</w:t>
            </w:r>
          </w:p>
          <w:p w:rsidR="000A03B2" w:rsidRPr="00BF2A4F" w:rsidRDefault="00581E00" w:rsidP="00131FAB">
            <w:pPr>
              <w:tabs>
                <w:tab w:val="left" w:pos="-108"/>
              </w:tabs>
              <w:spacing w:line="140" w:lineRule="atLeast"/>
              <w:ind w:left="-107"/>
              <w:jc w:val="left"/>
            </w:pPr>
            <w:r w:rsidRPr="00BF2A4F">
              <w:rPr>
                <w:rFonts w:ascii="Tahoma" w:hAnsi="Tahoma" w:cs="Tahoma"/>
                <w:iCs/>
                <w:sz w:val="14"/>
                <w:szCs w:val="14"/>
                <w:lang w:eastAsia="it-IT"/>
              </w:rPr>
              <w:t>Copyright © 201</w:t>
            </w:r>
            <w:r w:rsidR="007931FA" w:rsidRPr="00BF2A4F">
              <w:rPr>
                <w:rFonts w:ascii="Tahoma" w:hAnsi="Tahoma" w:cs="Tahoma"/>
                <w:iCs/>
                <w:sz w:val="14"/>
                <w:szCs w:val="14"/>
                <w:lang w:eastAsia="it-IT"/>
              </w:rPr>
              <w:t>9</w:t>
            </w:r>
            <w:r w:rsidR="00904C62" w:rsidRPr="00BF2A4F">
              <w:rPr>
                <w:rFonts w:ascii="Tahoma" w:hAnsi="Tahoma" w:cs="Tahoma"/>
                <w:iCs/>
                <w:sz w:val="14"/>
                <w:szCs w:val="14"/>
                <w:lang w:eastAsia="it-IT"/>
              </w:rPr>
              <w:t>, AIDIC Servizi S.r.l.</w:t>
            </w:r>
            <w:r w:rsidR="00300E56" w:rsidRPr="00BF2A4F">
              <w:rPr>
                <w:rFonts w:ascii="Tahoma" w:hAnsi="Tahoma" w:cs="Tahoma"/>
                <w:iCs/>
                <w:sz w:val="14"/>
                <w:szCs w:val="14"/>
                <w:lang w:eastAsia="it-IT"/>
              </w:rPr>
              <w:br/>
            </w:r>
            <w:r w:rsidR="00300E56" w:rsidRPr="00BF2A4F">
              <w:rPr>
                <w:rFonts w:ascii="Tahoma" w:hAnsi="Tahoma" w:cs="Tahoma"/>
                <w:b/>
                <w:iCs/>
                <w:sz w:val="14"/>
                <w:szCs w:val="14"/>
                <w:lang w:eastAsia="it-IT"/>
              </w:rPr>
              <w:t>ISBN</w:t>
            </w:r>
            <w:r w:rsidR="00300E56" w:rsidRPr="00BF2A4F">
              <w:rPr>
                <w:rFonts w:ascii="Tahoma" w:hAnsi="Tahoma" w:cs="Tahoma"/>
                <w:iCs/>
                <w:sz w:val="14"/>
                <w:szCs w:val="14"/>
                <w:lang w:eastAsia="it-IT"/>
              </w:rPr>
              <w:t xml:space="preserve"> </w:t>
            </w:r>
            <w:r w:rsidR="008D32B9" w:rsidRPr="00BF2A4F">
              <w:rPr>
                <w:rFonts w:ascii="Tahoma" w:hAnsi="Tahoma" w:cs="Tahoma"/>
                <w:sz w:val="14"/>
                <w:szCs w:val="14"/>
              </w:rPr>
              <w:t>978-88-95608-</w:t>
            </w:r>
            <w:r w:rsidR="009635B9" w:rsidRPr="00BF2A4F">
              <w:rPr>
                <w:rFonts w:ascii="Tahoma" w:hAnsi="Tahoma" w:cs="Tahoma"/>
                <w:sz w:val="14"/>
                <w:szCs w:val="14"/>
              </w:rPr>
              <w:t>73</w:t>
            </w:r>
            <w:r w:rsidR="008D32B9" w:rsidRPr="00BF2A4F">
              <w:rPr>
                <w:rFonts w:ascii="Tahoma" w:hAnsi="Tahoma" w:cs="Tahoma"/>
                <w:sz w:val="14"/>
                <w:szCs w:val="14"/>
              </w:rPr>
              <w:t>-</w:t>
            </w:r>
            <w:r w:rsidR="009635B9" w:rsidRPr="00BF2A4F">
              <w:rPr>
                <w:rFonts w:ascii="Tahoma" w:hAnsi="Tahoma" w:cs="Tahoma"/>
                <w:sz w:val="14"/>
                <w:szCs w:val="14"/>
              </w:rPr>
              <w:t>0</w:t>
            </w:r>
            <w:r w:rsidR="00300E56" w:rsidRPr="00BF2A4F">
              <w:rPr>
                <w:rFonts w:ascii="Tahoma" w:hAnsi="Tahoma" w:cs="Tahoma"/>
                <w:iCs/>
                <w:sz w:val="14"/>
                <w:szCs w:val="14"/>
                <w:lang w:eastAsia="it-IT"/>
              </w:rPr>
              <w:t xml:space="preserve">; </w:t>
            </w:r>
            <w:r w:rsidR="00300E56" w:rsidRPr="00BF2A4F">
              <w:rPr>
                <w:rFonts w:ascii="Tahoma" w:hAnsi="Tahoma" w:cs="Tahoma"/>
                <w:b/>
                <w:iCs/>
                <w:sz w:val="14"/>
                <w:szCs w:val="14"/>
                <w:lang w:eastAsia="it-IT"/>
              </w:rPr>
              <w:t>ISSN</w:t>
            </w:r>
            <w:r w:rsidR="00300E56" w:rsidRPr="00BF2A4F">
              <w:rPr>
                <w:rFonts w:ascii="Tahoma" w:hAnsi="Tahoma" w:cs="Tahoma"/>
                <w:iCs/>
                <w:sz w:val="14"/>
                <w:szCs w:val="14"/>
                <w:lang w:eastAsia="it-IT"/>
              </w:rPr>
              <w:t xml:space="preserve"> 2283-9216</w:t>
            </w:r>
          </w:p>
        </w:tc>
      </w:tr>
    </w:tbl>
    <w:p w:rsidR="000A03B2" w:rsidRPr="00BF2A4F" w:rsidRDefault="000A03B2" w:rsidP="000A03B2">
      <w:pPr>
        <w:pStyle w:val="CETAuthors"/>
        <w:sectPr w:rsidR="000A03B2" w:rsidRPr="00BF2A4F">
          <w:type w:val="continuous"/>
          <w:pgSz w:w="11906" w:h="16838" w:code="9"/>
          <w:pgMar w:top="1701" w:right="1418" w:bottom="1701" w:left="1701" w:header="1701" w:footer="0" w:gutter="0"/>
          <w:cols w:space="708"/>
          <w:titlePg/>
          <w:docGrid w:linePitch="360"/>
        </w:sectPr>
      </w:pPr>
    </w:p>
    <w:p w:rsidR="00E978D0" w:rsidRPr="00CE19F0" w:rsidRDefault="00581E00" w:rsidP="00715EA7">
      <w:pPr>
        <w:pStyle w:val="CETTitle"/>
        <w:rPr>
          <w:b/>
          <w:bCs/>
          <w:i/>
          <w:color w:val="FF0000"/>
        </w:rPr>
      </w:pPr>
      <w:r w:rsidRPr="00CE19F0">
        <w:rPr>
          <w:b/>
          <w:bCs/>
          <w:color w:val="FF0000"/>
        </w:rPr>
        <w:t>T</w:t>
      </w:r>
      <w:r w:rsidR="004830C7" w:rsidRPr="00CE19F0">
        <w:rPr>
          <w:b/>
          <w:bCs/>
          <w:color w:val="FF0000"/>
        </w:rPr>
        <w:t xml:space="preserve">he </w:t>
      </w:r>
      <w:r w:rsidRPr="00CE19F0">
        <w:rPr>
          <w:b/>
          <w:bCs/>
          <w:color w:val="FF0000"/>
        </w:rPr>
        <w:t xml:space="preserve">Selective </w:t>
      </w:r>
      <w:r w:rsidR="004830C7" w:rsidRPr="00CE19F0">
        <w:rPr>
          <w:b/>
          <w:bCs/>
          <w:color w:val="FF0000"/>
        </w:rPr>
        <w:t xml:space="preserve">Supercritical Extraction of High-value Fatty Acids from </w:t>
      </w:r>
      <w:r w:rsidR="004830C7" w:rsidRPr="00CE19F0">
        <w:rPr>
          <w:b/>
          <w:bCs/>
          <w:i/>
          <w:color w:val="FF0000"/>
        </w:rPr>
        <w:t>Tetraselmis suecica</w:t>
      </w:r>
      <w:r w:rsidRPr="00CE19F0">
        <w:rPr>
          <w:b/>
          <w:bCs/>
          <w:i/>
          <w:color w:val="FF0000"/>
        </w:rPr>
        <w:t xml:space="preserve"> </w:t>
      </w:r>
      <w:r w:rsidRPr="00CE19F0">
        <w:rPr>
          <w:b/>
          <w:bCs/>
          <w:color w:val="FF0000"/>
        </w:rPr>
        <w:t>using the Hansen Solubility Theory</w:t>
      </w:r>
    </w:p>
    <w:p w:rsidR="00E978D0" w:rsidRPr="00943975" w:rsidRDefault="00581E00" w:rsidP="000A24FA">
      <w:pPr>
        <w:pStyle w:val="CETAuthors"/>
        <w:rPr>
          <w:color w:val="FF0000"/>
          <w:lang w:val="es-ES"/>
        </w:rPr>
      </w:pPr>
      <w:r w:rsidRPr="00943975">
        <w:rPr>
          <w:color w:val="FF0000"/>
          <w:lang w:val="es-ES"/>
        </w:rPr>
        <w:t>Diego F. Tirado</w:t>
      </w:r>
      <w:r w:rsidR="00600535" w:rsidRPr="00943975">
        <w:rPr>
          <w:color w:val="FF0000"/>
          <w:lang w:val="es-ES"/>
        </w:rPr>
        <w:t xml:space="preserve">, </w:t>
      </w:r>
      <w:r w:rsidR="000A5EDC" w:rsidRPr="00943975">
        <w:rPr>
          <w:color w:val="FF0000"/>
          <w:lang w:val="es-ES"/>
        </w:rPr>
        <w:t>Amandine Rousset</w:t>
      </w:r>
      <w:r w:rsidR="00600535" w:rsidRPr="00943975">
        <w:rPr>
          <w:color w:val="FF0000"/>
          <w:lang w:val="es-ES"/>
        </w:rPr>
        <w:t xml:space="preserve">, </w:t>
      </w:r>
      <w:r w:rsidR="000A5EDC" w:rsidRPr="00943975">
        <w:rPr>
          <w:color w:val="FF0000"/>
          <w:lang w:val="es-ES"/>
        </w:rPr>
        <w:t>Lourdes Calvo*</w:t>
      </w:r>
    </w:p>
    <w:p w:rsidR="00E978D0" w:rsidRPr="00943975" w:rsidRDefault="00581E00" w:rsidP="000A24FA">
      <w:pPr>
        <w:pStyle w:val="CETAddress"/>
        <w:jc w:val="both"/>
        <w:rPr>
          <w:color w:val="FF0000"/>
        </w:rPr>
      </w:pPr>
      <w:r w:rsidRPr="00943975">
        <w:rPr>
          <w:color w:val="FF0000"/>
        </w:rPr>
        <w:t xml:space="preserve">Department of Chemical and Materials Engineering, </w:t>
      </w:r>
      <w:r w:rsidR="00D507A7" w:rsidRPr="00943975">
        <w:rPr>
          <w:color w:val="FF0000"/>
        </w:rPr>
        <w:t>Complutense University of Madrid</w:t>
      </w:r>
      <w:r w:rsidRPr="00943975">
        <w:rPr>
          <w:color w:val="FF0000"/>
        </w:rPr>
        <w:t>, Av. Complutense s/n, 28040 Madrid, Spain.</w:t>
      </w:r>
    </w:p>
    <w:p w:rsidR="00E978D0" w:rsidRPr="00943975" w:rsidRDefault="00581E00" w:rsidP="000A24FA">
      <w:pPr>
        <w:pStyle w:val="CETemail"/>
        <w:jc w:val="both"/>
        <w:rPr>
          <w:color w:val="FF0000"/>
        </w:rPr>
      </w:pPr>
      <w:r w:rsidRPr="00943975">
        <w:rPr>
          <w:color w:val="FF0000"/>
        </w:rPr>
        <w:t xml:space="preserve">* </w:t>
      </w:r>
      <w:r w:rsidR="004830C7" w:rsidRPr="00943975">
        <w:rPr>
          <w:color w:val="FF0000"/>
        </w:rPr>
        <w:t>lcalvo@ucm.es</w:t>
      </w:r>
    </w:p>
    <w:p w:rsidR="00981D65" w:rsidRPr="00BF2A4F" w:rsidRDefault="00581E00" w:rsidP="000114FD">
      <w:pPr>
        <w:pStyle w:val="CETBodytext"/>
      </w:pPr>
      <w:r w:rsidRPr="00BF2A4F">
        <w:t xml:space="preserve">The aim of this work was to test the utility of the Hansen theory to predict the best cosolvent for supercritical </w:t>
      </w:r>
      <w:r w:rsidR="00C03C80" w:rsidRPr="00BF2A4F">
        <w:t>carbon dioxide (sc-</w:t>
      </w:r>
      <w:r w:rsidRPr="00BF2A4F">
        <w:t>CO</w:t>
      </w:r>
      <w:r w:rsidRPr="00BF2A4F">
        <w:rPr>
          <w:vertAlign w:val="subscript"/>
        </w:rPr>
        <w:t>2</w:t>
      </w:r>
      <w:r w:rsidR="00C03C80" w:rsidRPr="00BF2A4F">
        <w:t xml:space="preserve">) </w:t>
      </w:r>
      <w:r w:rsidRPr="00BF2A4F">
        <w:t xml:space="preserve">to reach the selective extraction of fatty acids from </w:t>
      </w:r>
      <w:r w:rsidRPr="00BF2A4F">
        <w:rPr>
          <w:i/>
        </w:rPr>
        <w:t>Tetraselmis suecica</w:t>
      </w:r>
      <w:r w:rsidRPr="00BF2A4F">
        <w:t xml:space="preserve">. The order in the cosolvent power was established with five organic solvents used in food production: acetone, diethyl ether, ethanol, n-hexane and methanol. </w:t>
      </w:r>
      <w:r w:rsidRPr="00BF2A4F">
        <w:t>Predictions focused on the selective extraction of oleic, linoleic and α-linolenic acid. The cosolvent power depended on the fatty acid, but in general, the best cosolvent for the three target compounds was ethanol. Predictions were validated through equil</w:t>
      </w:r>
      <w:r w:rsidRPr="00BF2A4F">
        <w:t xml:space="preserve">ibrium data and extraction yields from </w:t>
      </w:r>
      <w:r w:rsidRPr="00BF2A4F">
        <w:rPr>
          <w:i/>
        </w:rPr>
        <w:t>T. suecica</w:t>
      </w:r>
      <w:r w:rsidRPr="00BF2A4F">
        <w:t>. Operating at 305.15 K and 20 MPa, the extracted oil with the</w:t>
      </w:r>
      <w:r w:rsidR="008A5864" w:rsidRPr="00BF2A4F">
        <w:t xml:space="preserve"> sc-</w:t>
      </w:r>
      <w:r w:rsidRPr="00BF2A4F">
        <w:t>CO</w:t>
      </w:r>
      <w:r w:rsidRPr="00BF2A4F">
        <w:rPr>
          <w:vertAlign w:val="subscript"/>
        </w:rPr>
        <w:t>2</w:t>
      </w:r>
      <w:r w:rsidRPr="00BF2A4F">
        <w:t>-ethanol (5</w:t>
      </w:r>
      <w:r w:rsidR="00250478">
        <w:t xml:space="preserve"> </w:t>
      </w:r>
      <w:r w:rsidRPr="00BF2A4F">
        <w:t xml:space="preserve">% mass fraction) mixture significantly improved the content of the target fatty acids </w:t>
      </w:r>
      <w:r w:rsidR="000D2FAF">
        <w:t xml:space="preserve">compared with </w:t>
      </w:r>
      <w:r w:rsidRPr="00BF2A4F">
        <w:t xml:space="preserve">pure </w:t>
      </w:r>
      <w:r w:rsidR="00403A69" w:rsidRPr="00BF2A4F">
        <w:t>sc-</w:t>
      </w:r>
      <w:r w:rsidRPr="00BF2A4F">
        <w:t>CO</w:t>
      </w:r>
      <w:r w:rsidRPr="00BF2A4F">
        <w:rPr>
          <w:vertAlign w:val="subscript"/>
        </w:rPr>
        <w:t>2</w:t>
      </w:r>
      <w:r w:rsidRPr="00BF2A4F">
        <w:t xml:space="preserve">; e.g. the </w:t>
      </w:r>
      <w:r w:rsidR="000E6ACF" w:rsidRPr="00BF2A4F">
        <w:t>α-linolenic acid</w:t>
      </w:r>
      <w:r w:rsidR="00F66730" w:rsidRPr="00BF2A4F">
        <w:rPr>
          <w:rFonts w:cs="Arial"/>
        </w:rPr>
        <w:t xml:space="preserve"> </w:t>
      </w:r>
      <w:r w:rsidRPr="00BF2A4F">
        <w:t xml:space="preserve">content was 16 % in the oil obtained with pure </w:t>
      </w:r>
      <w:r w:rsidR="00403A69" w:rsidRPr="00BF2A4F">
        <w:t>sc-</w:t>
      </w:r>
      <w:r w:rsidRPr="00BF2A4F">
        <w:t>CO</w:t>
      </w:r>
      <w:r w:rsidRPr="00BF2A4F">
        <w:rPr>
          <w:vertAlign w:val="subscript"/>
        </w:rPr>
        <w:t>2</w:t>
      </w:r>
      <w:r w:rsidRPr="00BF2A4F">
        <w:t xml:space="preserve"> while it was 25 % in the oil obtained with sc-CO</w:t>
      </w:r>
      <w:r w:rsidRPr="00BF2A4F">
        <w:rPr>
          <w:vertAlign w:val="subscript"/>
        </w:rPr>
        <w:t>2</w:t>
      </w:r>
      <w:r w:rsidRPr="00BF2A4F">
        <w:t xml:space="preserve"> + 5</w:t>
      </w:r>
      <w:r w:rsidR="00403A69" w:rsidRPr="00BF2A4F">
        <w:t xml:space="preserve"> </w:t>
      </w:r>
      <w:r w:rsidRPr="00BF2A4F">
        <w:t>% ethanol. However, the Hansen theory predicted that the miscibility enhancement of the fatty acids caused by increasing ethanol concentrations in the supercritical solvent mixture was not progressive. In fact, at high pressures and high ethanol concentrat</w:t>
      </w:r>
      <w:r w:rsidRPr="00BF2A4F">
        <w:t xml:space="preserve">ions, </w:t>
      </w:r>
      <w:r w:rsidR="00EA742A">
        <w:rPr>
          <w:color w:val="FF0000"/>
        </w:rPr>
        <w:t>i</w:t>
      </w:r>
      <w:r w:rsidR="00EA742A" w:rsidRPr="00EA742A">
        <w:rPr>
          <w:color w:val="FF0000"/>
        </w:rPr>
        <w:t>t was predicted up to less than half the miscibility enhancement.</w:t>
      </w:r>
    </w:p>
    <w:p w:rsidR="000664EE" w:rsidRPr="00B57B36" w:rsidRDefault="00581E00" w:rsidP="000664EE">
      <w:pPr>
        <w:pStyle w:val="CETHeading1"/>
        <w:rPr>
          <w:lang w:val="en-GB"/>
        </w:rPr>
      </w:pPr>
      <w:r w:rsidRPr="00B57B36">
        <w:rPr>
          <w:lang w:val="en-GB"/>
        </w:rPr>
        <w:t>Introduction</w:t>
      </w:r>
    </w:p>
    <w:p w:rsidR="009F1D91" w:rsidRDefault="00581E00" w:rsidP="009F1D91">
      <w:pPr>
        <w:pStyle w:val="CETBodytext"/>
        <w:rPr>
          <w:lang w:val="en-GB"/>
        </w:rPr>
      </w:pPr>
      <w:r w:rsidRPr="00BF2A4F">
        <w:rPr>
          <w:lang w:val="en-GB"/>
        </w:rPr>
        <w:t xml:space="preserve">Microalgae </w:t>
      </w:r>
      <w:r w:rsidR="00737884" w:rsidRPr="00BF2A4F">
        <w:rPr>
          <w:lang w:val="en-GB"/>
        </w:rPr>
        <w:t xml:space="preserve">have received widespread attention in the world population </w:t>
      </w:r>
      <w:r w:rsidRPr="00BF2A4F">
        <w:rPr>
          <w:lang w:val="en-GB"/>
        </w:rPr>
        <w:t>due to the high amounts of bioactive compounds within their structure. Some of these valuable compou</w:t>
      </w:r>
      <w:r w:rsidRPr="00BF2A4F">
        <w:rPr>
          <w:lang w:val="en-GB"/>
        </w:rPr>
        <w:t xml:space="preserve">nds include mono (MUFAs) and polyunsaturated fatty acids (PUFAs) </w:t>
      </w:r>
      <w:r w:rsidRPr="00BF2A4F">
        <w:rPr>
          <w:lang w:val="en-GB"/>
        </w:rPr>
        <w:fldChar w:fldCharType="begin" w:fldLock="1"/>
      </w:r>
      <w:r w:rsidRPr="00BF2A4F">
        <w:rPr>
          <w:lang w:val="en-GB"/>
        </w:rPr>
        <w:instrText>ADDIN CSL_CITATION {"citationItems":[{"id":"ITEM-1","itemData":{"DOI":"10.1016/S0031-9422(00)90839-2","ISSN":"00319422","author":[{"dropping-particle":"","family":"Viso","given":"Anne-Catheri</w:instrText>
      </w:r>
      <w:r w:rsidRPr="00BF2A4F">
        <w:rPr>
          <w:lang w:val="en-GB"/>
        </w:rPr>
        <w:instrText>ne","non-dropping-particle":"","parse-names":false,"suffix":""},{"dropping-particle":"","family":"Marty","given":"Jean-Claude","non-dropping-particle":"","parse-names":false,"suffix":""}],"container-title":"Phytochemistry","id":"ITEM-1","issue":"6","issued</w:instrText>
      </w:r>
      <w:r w:rsidRPr="00BF2A4F">
        <w:rPr>
          <w:lang w:val="en-GB"/>
        </w:rPr>
        <w:instrText>":{"date-parts":[["1993","12"]]},"page":"1521-1533","title":"Fatty acids from 28 marine microalgae","type":"article-journal","volume":"34"},"uris":["http://www.mendeley.com/documents/?uuid=b1cf30c6-a86d-46f2-9c8b-3b83c1c550c9"]}],"mendeley":{"formattedCita</w:instrText>
      </w:r>
      <w:r w:rsidRPr="00BF2A4F">
        <w:rPr>
          <w:lang w:val="en-GB"/>
        </w:rPr>
        <w:instrText>tion":"(Viso and Marty, 1993)","plainTextFormattedCitation":"(Viso and Marty, 1993)","previouslyFormattedCitation":"(Viso and Marty, 1993)"},"properties":{"noteIndex":0},"schema":"https://github.com/citation-style-language/schema/raw/master/csl-citation.js</w:instrText>
      </w:r>
      <w:r w:rsidRPr="00BF2A4F">
        <w:rPr>
          <w:lang w:val="en-GB"/>
        </w:rPr>
        <w:instrText>on"}</w:instrText>
      </w:r>
      <w:r w:rsidRPr="00BF2A4F">
        <w:rPr>
          <w:lang w:val="en-GB"/>
        </w:rPr>
        <w:fldChar w:fldCharType="separate"/>
      </w:r>
      <w:r w:rsidRPr="00BF2A4F">
        <w:rPr>
          <w:noProof/>
          <w:lang w:val="en-GB"/>
        </w:rPr>
        <w:t>(Viso and Marty, 1993)</w:t>
      </w:r>
      <w:r w:rsidRPr="00BF2A4F">
        <w:rPr>
          <w:lang w:val="en-GB"/>
        </w:rPr>
        <w:fldChar w:fldCharType="end"/>
      </w:r>
      <w:r w:rsidRPr="00BF2A4F">
        <w:rPr>
          <w:lang w:val="en-GB"/>
        </w:rPr>
        <w:t xml:space="preserve">. </w:t>
      </w:r>
      <w:r w:rsidRPr="00BF2A4F">
        <w:rPr>
          <w:i/>
          <w:lang w:val="en-GB"/>
        </w:rPr>
        <w:t>Tetraselmis suecica</w:t>
      </w:r>
      <w:r w:rsidRPr="00BF2A4F">
        <w:rPr>
          <w:lang w:val="en-GB"/>
        </w:rPr>
        <w:t xml:space="preserve">, for example, is a marine green microalga extensively used in aquaculture, which has already demonstrated its potential as a feedstock for the production of bioactive compounds such as MUFAs and PUFAs </w:t>
      </w:r>
      <w:r w:rsidRPr="00BF2A4F">
        <w:rPr>
          <w:lang w:val="en-GB"/>
        </w:rPr>
        <w:fldChar w:fldCharType="begin" w:fldLock="1"/>
      </w:r>
      <w:r w:rsidRPr="00BF2A4F">
        <w:rPr>
          <w:lang w:val="en-GB"/>
        </w:rPr>
        <w:instrText>ADDI</w:instrText>
      </w:r>
      <w:r w:rsidRPr="00BF2A4F">
        <w:rPr>
          <w:lang w:val="en-GB"/>
        </w:rPr>
        <w:instrText>N CSL_CITATION {"citationItems":[{"id":"ITEM-1","itemData":{"DOI":"10.1016/j.jclepro.2013.07.028","ISSN":"09596526","author":[{"dropping-particle":"","family":"Pérez-López","given":"Paula","non-dropping-particle":"","parse-names":false,"suffix":""},{"dropp</w:instrText>
      </w:r>
      <w:r w:rsidRPr="00BF2A4F">
        <w:rPr>
          <w:lang w:val="en-GB"/>
        </w:rPr>
        <w:instrText>ing-particle":"","family":"González-García","given":"Sara","non-dropping-particle":"","parse-names":false,"suffix":""},{"dropping-particle":"","family":"Ulloa","given":"R. Gabriela","non-dropping-particle":"","parse-names":false,"suffix":""},{"dropping-par</w:instrText>
      </w:r>
      <w:r w:rsidRPr="00BF2A4F">
        <w:rPr>
          <w:lang w:val="en-GB"/>
        </w:rPr>
        <w:instrText>ticle":"","family":"Sineiro","given":"Jorge","non-dropping-particle":"","parse-names":false,"suffix":""},{"dropping-particle":"","family":"Feijoo","given":"Gumersindo","non-dropping-particle":"","parse-names":false,"suffix":""},{"dropping-particle":"","fam</w:instrText>
      </w:r>
      <w:r w:rsidRPr="00BF2A4F">
        <w:rPr>
          <w:lang w:val="en-GB"/>
        </w:rPr>
        <w:instrText>ily":"Moreira","given":"Mª Teresa","non-dropping-particle":"","parse-names":false,"suffix":""}],"container-title":"Journal of Cleaner Production","id":"ITEM-1","issued":{"date-parts":[["2014","2"]]},"page":"323-331","title":"Life cycle assessment of the pr</w:instrText>
      </w:r>
      <w:r w:rsidRPr="00BF2A4F">
        <w:rPr>
          <w:lang w:val="en-GB"/>
        </w:rPr>
        <w:instrText>oduction of bioactive compounds from Tetraselmis suecica at pilot scale","type":"article-journal","volume":"64"},"uris":["http://www.mendeley.com/documents/?uuid=9bce583a-c8d1-46d0-8286-b17bf2afb76a"]}],"mendeley":{"formattedCitation":"(Pérez-López et al.,</w:instrText>
      </w:r>
      <w:r w:rsidRPr="00BF2A4F">
        <w:rPr>
          <w:lang w:val="en-GB"/>
        </w:rPr>
        <w:instrText xml:space="preserve"> 2014)","plainTextFormattedCitation":"(Pérez-López et al., 2014)","previouslyFormattedCitation":"(Pérez-López et al., 2014)"},"properties":{"noteIndex":0},"schema":"https://github.com/citation-style-language/schema/raw/master/csl-citation.json"}</w:instrText>
      </w:r>
      <w:r w:rsidRPr="00BF2A4F">
        <w:rPr>
          <w:lang w:val="en-GB"/>
        </w:rPr>
        <w:fldChar w:fldCharType="separate"/>
      </w:r>
      <w:r w:rsidRPr="00BF2A4F">
        <w:rPr>
          <w:noProof/>
          <w:lang w:val="en-GB"/>
        </w:rPr>
        <w:t>(Pérez-Lópe</w:t>
      </w:r>
      <w:r w:rsidRPr="00BF2A4F">
        <w:rPr>
          <w:noProof/>
          <w:lang w:val="en-GB"/>
        </w:rPr>
        <w:t xml:space="preserve">z </w:t>
      </w:r>
      <w:r w:rsidRPr="00BF2A4F">
        <w:rPr>
          <w:i/>
          <w:noProof/>
          <w:lang w:val="en-GB"/>
        </w:rPr>
        <w:t>et al.,</w:t>
      </w:r>
      <w:r w:rsidRPr="00BF2A4F">
        <w:rPr>
          <w:noProof/>
          <w:lang w:val="en-GB"/>
        </w:rPr>
        <w:t xml:space="preserve"> 2014)</w:t>
      </w:r>
      <w:r w:rsidRPr="00BF2A4F">
        <w:rPr>
          <w:lang w:val="en-GB"/>
        </w:rPr>
        <w:fldChar w:fldCharType="end"/>
      </w:r>
      <w:r w:rsidRPr="00BF2A4F">
        <w:rPr>
          <w:lang w:val="en-GB"/>
        </w:rPr>
        <w:t>.</w:t>
      </w:r>
      <w:r w:rsidR="00115567" w:rsidRPr="00BF2A4F">
        <w:rPr>
          <w:lang w:val="en-GB"/>
        </w:rPr>
        <w:t xml:space="preserve"> </w:t>
      </w:r>
      <w:r w:rsidRPr="00BF2A4F">
        <w:rPr>
          <w:lang w:val="en-GB"/>
        </w:rPr>
        <w:t>There is a special interest in the extraction of these fatty acids from natural matrices</w:t>
      </w:r>
      <w:r w:rsidR="00731AD2" w:rsidRPr="005C0EA8">
        <w:rPr>
          <w:color w:val="FF0000"/>
          <w:lang w:val="en-GB"/>
        </w:rPr>
        <w:t xml:space="preserve"> since </w:t>
      </w:r>
      <w:r w:rsidR="005C0EA8" w:rsidRPr="005C0EA8">
        <w:rPr>
          <w:rFonts w:cs="Arial"/>
          <w:noProof/>
          <w:color w:val="FF0000"/>
          <w:szCs w:val="24"/>
        </w:rPr>
        <w:t xml:space="preserve">functional roles and effects on human health </w:t>
      </w:r>
      <w:r w:rsidR="005C0EA8" w:rsidRPr="005C0EA8">
        <w:rPr>
          <w:color w:val="FF0000"/>
        </w:rPr>
        <w:t>are attributed</w:t>
      </w:r>
      <w:r w:rsidR="005C0EA8" w:rsidRPr="005C0EA8">
        <w:rPr>
          <w:color w:val="FF0000"/>
          <w:lang w:val="en-GB"/>
        </w:rPr>
        <w:t xml:space="preserve"> to them</w:t>
      </w:r>
      <w:r w:rsidR="00731AD2" w:rsidRPr="005C0EA8">
        <w:rPr>
          <w:color w:val="FF0000"/>
          <w:lang w:val="en-GB"/>
        </w:rPr>
        <w:t xml:space="preserve"> </w:t>
      </w:r>
      <w:r w:rsidR="00EB47A9" w:rsidRPr="005C0EA8">
        <w:rPr>
          <w:color w:val="FF0000"/>
          <w:lang w:val="en-GB"/>
        </w:rPr>
        <w:fldChar w:fldCharType="begin" w:fldLock="1"/>
      </w:r>
      <w:r w:rsidR="0078672A">
        <w:rPr>
          <w:color w:val="FF0000"/>
          <w:lang w:val="en-GB"/>
        </w:rPr>
        <w:instrText>ADDIN CSL_CITATION {"citationItems":[{"id":"ITEM-1","itemData":{"DOI":"10.1177/0148607115595980","ISSN":"0148-6071","author":[{"dropping-particle":"","family":"Calder","given":"Philip C.","non-dropping-particle":"","parse-names":false,"suffix":""}],"container-title":"Journal of Parenteral and Enteral Nutrition","id":"ITEM-1","issue":"1_suppl","issued":{"date-parts":[["2015","9","15"]]},"page":"18S-32S","title":"Functional roles of fatty acids and their effects on human health","type":"article-journal","volume":"39"},"uris":["http://www.mendeley.com/documents/?uuid=222ac542-0c1f-475f-a34b-a0a6ae654136"]}],"mendeley":{"formattedCitation":"(Calder, 2015)","plainTextFormattedCitation":"(Calder, 2015)","previouslyFormattedCitation":"(Calder, 2015)"},"properties":{"noteIndex":0},"schema":"https://github.com/citation-style-language/schema/raw/master/csl-citation.json"}</w:instrText>
      </w:r>
      <w:r w:rsidR="00EB47A9" w:rsidRPr="005C0EA8">
        <w:rPr>
          <w:color w:val="FF0000"/>
          <w:lang w:val="en-GB"/>
        </w:rPr>
        <w:fldChar w:fldCharType="separate"/>
      </w:r>
      <w:r w:rsidR="00EB47A9" w:rsidRPr="005C0EA8">
        <w:rPr>
          <w:noProof/>
          <w:color w:val="FF0000"/>
          <w:lang w:val="en-GB"/>
        </w:rPr>
        <w:t>(Calder, 2015)</w:t>
      </w:r>
      <w:r w:rsidR="00EB47A9" w:rsidRPr="005C0EA8">
        <w:rPr>
          <w:color w:val="FF0000"/>
          <w:lang w:val="en-GB"/>
        </w:rPr>
        <w:fldChar w:fldCharType="end"/>
      </w:r>
      <w:r w:rsidR="00731AD2" w:rsidRPr="00731AD2">
        <w:rPr>
          <w:color w:val="FF0000"/>
          <w:lang w:val="en-GB"/>
        </w:rPr>
        <w:t xml:space="preserve">. </w:t>
      </w:r>
      <w:r w:rsidR="00727CCD" w:rsidRPr="00BF2A4F">
        <w:rPr>
          <w:lang w:val="en-GB"/>
        </w:rPr>
        <w:t>Regarding this, t</w:t>
      </w:r>
      <w:r w:rsidRPr="00BF2A4F">
        <w:rPr>
          <w:lang w:val="en-GB"/>
        </w:rPr>
        <w:t xml:space="preserve">he supercritical </w:t>
      </w:r>
      <w:r w:rsidR="00402446" w:rsidRPr="00BF2A4F">
        <w:rPr>
          <w:lang w:val="en-GB"/>
        </w:rPr>
        <w:t>carbon dioxide (sc-CO</w:t>
      </w:r>
      <w:r w:rsidR="00402446" w:rsidRPr="00BF2A4F">
        <w:rPr>
          <w:vertAlign w:val="subscript"/>
          <w:lang w:val="en-GB"/>
        </w:rPr>
        <w:t>2</w:t>
      </w:r>
      <w:r w:rsidR="00402446" w:rsidRPr="00BF2A4F">
        <w:rPr>
          <w:lang w:val="en-GB"/>
        </w:rPr>
        <w:t xml:space="preserve">) </w:t>
      </w:r>
      <w:r w:rsidR="00402446">
        <w:rPr>
          <w:lang w:val="en-GB"/>
        </w:rPr>
        <w:t xml:space="preserve">extraction </w:t>
      </w:r>
      <w:r w:rsidRPr="00BF2A4F">
        <w:rPr>
          <w:lang w:val="en-GB"/>
        </w:rPr>
        <w:t>seem</w:t>
      </w:r>
      <w:r w:rsidR="00D8037D">
        <w:rPr>
          <w:lang w:val="en-GB"/>
        </w:rPr>
        <w:t>s</w:t>
      </w:r>
      <w:r w:rsidRPr="00BF2A4F">
        <w:rPr>
          <w:lang w:val="en-GB"/>
        </w:rPr>
        <w:t xml:space="preserve"> to be a suitable technology to achieve </w:t>
      </w:r>
      <w:r w:rsidRPr="00EE1FA3">
        <w:rPr>
          <w:color w:val="FF0000"/>
          <w:lang w:val="en-GB"/>
        </w:rPr>
        <w:t>the</w:t>
      </w:r>
      <w:r w:rsidR="001F7CEC" w:rsidRPr="00EE1FA3">
        <w:rPr>
          <w:color w:val="FF0000"/>
          <w:lang w:val="en-GB"/>
        </w:rPr>
        <w:t xml:space="preserve"> extraction of high-value fatty acids</w:t>
      </w:r>
      <w:r w:rsidRPr="00EE1FA3">
        <w:rPr>
          <w:color w:val="FF0000"/>
          <w:lang w:val="en-GB"/>
        </w:rPr>
        <w:t xml:space="preserve"> </w:t>
      </w:r>
      <w:r w:rsidR="001F7CEC" w:rsidRPr="00EE1FA3">
        <w:rPr>
          <w:color w:val="FF0000"/>
          <w:lang w:val="en-GB"/>
        </w:rPr>
        <w:t xml:space="preserve">from natural sources </w:t>
      </w:r>
      <w:r w:rsidRPr="00BF2A4F">
        <w:rPr>
          <w:lang w:val="en-GB"/>
        </w:rPr>
        <w:fldChar w:fldCharType="begin" w:fldLock="1"/>
      </w:r>
      <w:r w:rsidR="0090478D">
        <w:rPr>
          <w:lang w:val="en-GB"/>
        </w:rPr>
        <w:instrText>ADDIN CSL_CITATION {"citationItems":[{"id":"ITEM-1","itemData":{"DOI":"10.2174/1573411011410010006","ISSN":"15734110","author":[{"dropping-particle":"","family":"Martínez","given":"Julian","non-dropping-particle":"","parse-names":false,"suffix":""},{"dropping-particle":"","family":"Aguiar","given":"Ana","non-dropping-particle":"","parse-names":false,"suffix":""}],"container-title":"Current Analytical Chemistry","id":"ITEM-1","issue":"1","issued":{"date-parts":[["2013","10","1"]]},"page":"67-77","title":"Extraction of triacylglycerols and fatty acids using supercritical fluids - Review","type":"article-journal","volume":"10"},"uris":["http://www.mendeley.com/documents/?uuid=39ad01c3-80af-41d6-a7b4-7d426bf47bc9"]}],"mendeley":{"formattedCitation":"(Martínez and Aguiar, 2013)","plainTextFormattedCitation":"(Martínez and Aguiar, 2013)","previouslyFormattedCitation":"(Martínez and Aguiar, 2013)"},"properties":{"noteIndex":0},"schema":"https://github.com/citation-style-language/schema/raw/master/csl-citation.json"}</w:instrText>
      </w:r>
      <w:r w:rsidRPr="00BF2A4F">
        <w:rPr>
          <w:lang w:val="en-GB"/>
        </w:rPr>
        <w:fldChar w:fldCharType="separate"/>
      </w:r>
      <w:r w:rsidRPr="00BF2A4F">
        <w:rPr>
          <w:noProof/>
          <w:lang w:val="en-GB"/>
        </w:rPr>
        <w:t>(Martínez and Aguia</w:t>
      </w:r>
      <w:r w:rsidRPr="00BF2A4F">
        <w:rPr>
          <w:noProof/>
          <w:lang w:val="en-GB"/>
        </w:rPr>
        <w:t>r, 2013)</w:t>
      </w:r>
      <w:r w:rsidRPr="00BF2A4F">
        <w:rPr>
          <w:lang w:val="en-GB"/>
        </w:rPr>
        <w:fldChar w:fldCharType="end"/>
      </w:r>
      <w:r w:rsidRPr="00BF2A4F">
        <w:rPr>
          <w:lang w:val="en-GB"/>
        </w:rPr>
        <w:t>.</w:t>
      </w:r>
      <w:r w:rsidR="00787BD9" w:rsidRPr="00BF2A4F">
        <w:rPr>
          <w:lang w:val="en-GB"/>
        </w:rPr>
        <w:t xml:space="preserve"> </w:t>
      </w:r>
      <w:r w:rsidRPr="00D93125">
        <w:rPr>
          <w:color w:val="FF0000"/>
          <w:lang w:val="en-GB"/>
        </w:rPr>
        <w:t>The use of sc-CO</w:t>
      </w:r>
      <w:r w:rsidRPr="00D93125">
        <w:rPr>
          <w:color w:val="FF0000"/>
          <w:vertAlign w:val="subscript"/>
          <w:lang w:val="en-GB"/>
        </w:rPr>
        <w:t>2</w:t>
      </w:r>
      <w:r w:rsidRPr="00D93125">
        <w:rPr>
          <w:color w:val="FF0000"/>
          <w:lang w:val="en-GB"/>
        </w:rPr>
        <w:t xml:space="preserve"> has become an alternative solvent for oil extraction from microalgae and plants, because it can achieve good oil yield with respect to the conventional organic solvent extraction, with better product quality and offering the </w:t>
      </w:r>
      <w:r w:rsidRPr="00D93125">
        <w:rPr>
          <w:color w:val="FF0000"/>
          <w:lang w:val="en-GB"/>
        </w:rPr>
        <w:t xml:space="preserve">possibility of obtaining a product without the presence of traces of </w:t>
      </w:r>
      <w:r w:rsidR="006F5E1D">
        <w:rPr>
          <w:color w:val="FF0000"/>
          <w:lang w:val="en-GB"/>
        </w:rPr>
        <w:t xml:space="preserve">a </w:t>
      </w:r>
      <w:r w:rsidRPr="00D93125">
        <w:rPr>
          <w:color w:val="FF0000"/>
          <w:lang w:val="en-GB"/>
        </w:rPr>
        <w:t>residual solvent in the final product, which makes the process attractive from the health and environmental point of view</w:t>
      </w:r>
      <w:r w:rsidR="00BD2A81">
        <w:rPr>
          <w:color w:val="FF0000"/>
          <w:lang w:val="en-GB"/>
        </w:rPr>
        <w:t xml:space="preserve">. </w:t>
      </w:r>
      <w:r w:rsidR="009E2E01">
        <w:rPr>
          <w:color w:val="FF0000"/>
          <w:lang w:val="en-GB"/>
        </w:rPr>
        <w:t>Moreover, CO</w:t>
      </w:r>
      <w:r w:rsidR="009E2E01" w:rsidRPr="00ED7B05">
        <w:rPr>
          <w:color w:val="FF0000"/>
          <w:vertAlign w:val="subscript"/>
          <w:lang w:val="en-GB"/>
        </w:rPr>
        <w:t>2</w:t>
      </w:r>
      <w:r w:rsidR="009E2E01">
        <w:rPr>
          <w:color w:val="FF0000"/>
          <w:lang w:val="en-GB"/>
        </w:rPr>
        <w:t xml:space="preserve"> has easy achievable supercritical conditions (</w:t>
      </w:r>
      <w:r w:rsidR="009E2E01" w:rsidRPr="00F14D0B">
        <w:rPr>
          <w:color w:val="FF0000"/>
        </w:rPr>
        <w:t>304.13 K and 7.38 MPa</w:t>
      </w:r>
      <w:r w:rsidR="009E2E01">
        <w:rPr>
          <w:color w:val="FF0000"/>
        </w:rPr>
        <w:t xml:space="preserve"> are</w:t>
      </w:r>
      <w:r w:rsidR="009E2E01" w:rsidRPr="00F14D0B">
        <w:rPr>
          <w:color w:val="FF0000"/>
        </w:rPr>
        <w:t xml:space="preserve"> the critical temperature and pressure</w:t>
      </w:r>
      <w:r w:rsidR="009E2E01">
        <w:rPr>
          <w:color w:val="FF0000"/>
        </w:rPr>
        <w:t xml:space="preserve">, </w:t>
      </w:r>
      <w:r w:rsidR="009E2E01" w:rsidRPr="00F14D0B">
        <w:rPr>
          <w:color w:val="FF0000"/>
        </w:rPr>
        <w:t>respectively</w:t>
      </w:r>
      <w:r w:rsidR="009E2E01">
        <w:rPr>
          <w:color w:val="FF0000"/>
          <w:lang w:val="en-GB"/>
        </w:rPr>
        <w:t>)</w:t>
      </w:r>
      <w:r w:rsidR="00BD2A81">
        <w:rPr>
          <w:color w:val="FF0000"/>
          <w:lang w:val="en-GB"/>
        </w:rPr>
        <w:t xml:space="preserve"> </w:t>
      </w:r>
      <w:r w:rsidR="00BD2A81" w:rsidRPr="00D93125">
        <w:rPr>
          <w:color w:val="FF0000"/>
          <w:lang w:val="en-GB"/>
        </w:rPr>
        <w:fldChar w:fldCharType="begin" w:fldLock="1"/>
      </w:r>
      <w:r w:rsidR="00BD2A81" w:rsidRPr="00D93125">
        <w:rPr>
          <w:color w:val="FF0000"/>
          <w:lang w:val="en-GB"/>
        </w:rPr>
        <w:instrText>ADDIN CSL_CITATION {"citationItems":[{"id":"ITEM-1","itemData":{"DOI":"10.1002/jctb.280620108","ISSN":"0268-2575","author":[{"dropping-particle":"","family":"Mendes","given":"Rui L.","non-dropping-particle":"","parse-names":false,"suffix":""},{"dropping-particle":"","family":"Coelho","given":"José P.","non-dropping-particle":"","parse-names":false,"suffix":""},{"dropping-particle":"","family":"Fernandes","given":"Helena L.","non-dropping-particle":"","parse-names":false,"suffix":""},{"dropping-particle":"","family":"Marrucho","given":"Isabel J.","non-dropping-particle":"","parse-names":false,"suffix":""},{"dropping-particle":"","family":"Cabral","given":"Joaquim M. S.","non-dropping-particle":"","parse-names":false,"suffix":""},{"dropping-particle":"","family":"Novais","given":"Júlio M.","non-dropping-particle":"","parse-names":false,"suffix":""},{"dropping-particle":"","family":"Palavra","given":"Antóanio F.","non-dropping-particle":"","parse-names":false,"suffix":""}],"container-title":"Journal of Chemical Technology AND Biotechnology","id":"ITEM-1","issue":"1","issued":{"date-parts":[["1995","1"]]},"page":"53-59","title":"Applications of supercritical CO&lt;sub&gt;2&lt;/sub&gt; extraction to microalgae and plants","type":"article-journal","volume":"62"},"uris":["http://www.mendeley.com/documents/?uuid=51f4317b-5aa8-44e0-9aae-cd1cd7201142"]}],"mendeley":{"formattedCitation":"(Mendes et al., 1995)","plainTextFormattedCitation":"(Mendes et al., 1995)","previouslyFormattedCitation":"(Mendes et al., 1995)"},"properties":{"noteIndex":0},"schema":"https://github.com/citation-style-language/schema/raw/master/csl-citation.json"}</w:instrText>
      </w:r>
      <w:r w:rsidR="00BD2A81" w:rsidRPr="00D93125">
        <w:rPr>
          <w:color w:val="FF0000"/>
          <w:lang w:val="en-GB"/>
        </w:rPr>
        <w:fldChar w:fldCharType="separate"/>
      </w:r>
      <w:r w:rsidR="00BD2A81" w:rsidRPr="00D93125">
        <w:rPr>
          <w:noProof/>
          <w:color w:val="FF0000"/>
          <w:lang w:val="en-GB"/>
        </w:rPr>
        <w:t xml:space="preserve">(Mendes </w:t>
      </w:r>
      <w:r w:rsidR="00BD2A81" w:rsidRPr="00D93125">
        <w:rPr>
          <w:i/>
          <w:noProof/>
          <w:color w:val="FF0000"/>
          <w:lang w:val="en-GB"/>
        </w:rPr>
        <w:t>et al.,</w:t>
      </w:r>
      <w:r w:rsidR="00BD2A81" w:rsidRPr="00D93125">
        <w:rPr>
          <w:noProof/>
          <w:color w:val="FF0000"/>
          <w:lang w:val="en-GB"/>
        </w:rPr>
        <w:t xml:space="preserve"> 1995)</w:t>
      </w:r>
      <w:r w:rsidR="00BD2A81" w:rsidRPr="00D93125">
        <w:rPr>
          <w:color w:val="FF0000"/>
          <w:lang w:val="en-GB"/>
        </w:rPr>
        <w:fldChar w:fldCharType="end"/>
      </w:r>
      <w:r w:rsidR="00BD2A81" w:rsidRPr="00D93125">
        <w:rPr>
          <w:color w:val="FF0000"/>
          <w:lang w:val="en-GB"/>
        </w:rPr>
        <w:t>.</w:t>
      </w:r>
    </w:p>
    <w:p w:rsidR="00D93125" w:rsidRDefault="00D93125" w:rsidP="009F1D91">
      <w:pPr>
        <w:pStyle w:val="CETBodytext"/>
        <w:rPr>
          <w:lang w:val="en-GB"/>
        </w:rPr>
      </w:pPr>
    </w:p>
    <w:p w:rsidR="001F2F8D" w:rsidRPr="00BF2A4F" w:rsidRDefault="00581E00" w:rsidP="00736313">
      <w:pPr>
        <w:pStyle w:val="CETBodytext"/>
        <w:rPr>
          <w:lang w:val="en-GB"/>
        </w:rPr>
      </w:pPr>
      <w:r w:rsidRPr="00AA1CF1">
        <w:rPr>
          <w:color w:val="FF0000"/>
          <w:lang w:val="en-GB"/>
        </w:rPr>
        <w:t>On the other hand, in order to increase the solu</w:t>
      </w:r>
      <w:r w:rsidRPr="00AA1CF1">
        <w:rPr>
          <w:color w:val="FF0000"/>
          <w:lang w:val="en-GB"/>
        </w:rPr>
        <w:t xml:space="preserve">bility of specific compounds </w:t>
      </w:r>
      <w:r w:rsidR="001918CB" w:rsidRPr="00AA1CF1">
        <w:rPr>
          <w:color w:val="FF0000"/>
          <w:lang w:val="en-GB"/>
        </w:rPr>
        <w:t>in sc-CO</w:t>
      </w:r>
      <w:r w:rsidR="001918CB" w:rsidRPr="00AA1CF1">
        <w:rPr>
          <w:color w:val="FF0000"/>
          <w:vertAlign w:val="subscript"/>
          <w:lang w:val="en-GB"/>
        </w:rPr>
        <w:t>2</w:t>
      </w:r>
      <w:r w:rsidR="009D7545" w:rsidRPr="00AA1CF1">
        <w:rPr>
          <w:color w:val="FF0000"/>
          <w:vertAlign w:val="subscript"/>
          <w:lang w:val="en-GB"/>
        </w:rPr>
        <w:t xml:space="preserve">, </w:t>
      </w:r>
      <w:r w:rsidR="009D7545" w:rsidRPr="00AA1CF1">
        <w:rPr>
          <w:color w:val="FF0000"/>
          <w:lang w:val="en-GB"/>
        </w:rPr>
        <w:t xml:space="preserve">and therefore improve their extraction, </w:t>
      </w:r>
      <w:r w:rsidRPr="00AA1CF1">
        <w:rPr>
          <w:color w:val="FF0000"/>
          <w:lang w:val="en-GB"/>
        </w:rPr>
        <w:t>a cosolvent is added</w:t>
      </w:r>
      <w:r w:rsidR="005E5473" w:rsidRPr="00AA1CF1">
        <w:rPr>
          <w:color w:val="FF0000"/>
          <w:lang w:val="en-GB"/>
        </w:rPr>
        <w:t xml:space="preserve"> in the fluid </w:t>
      </w:r>
      <w:r w:rsidRPr="00AA1CF1">
        <w:rPr>
          <w:color w:val="FF0000"/>
          <w:lang w:val="en-GB"/>
        </w:rPr>
        <w:t>to</w:t>
      </w:r>
      <w:r w:rsidR="005E5473" w:rsidRPr="00AA1CF1">
        <w:rPr>
          <w:color w:val="FF0000"/>
          <w:lang w:val="en-GB"/>
        </w:rPr>
        <w:t xml:space="preserve"> </w:t>
      </w:r>
      <w:r w:rsidRPr="00AA1CF1">
        <w:rPr>
          <w:color w:val="FF0000"/>
          <w:lang w:val="en-GB"/>
        </w:rPr>
        <w:t xml:space="preserve">increase </w:t>
      </w:r>
      <w:r w:rsidR="005E5473" w:rsidRPr="00AA1CF1">
        <w:rPr>
          <w:color w:val="FF0000"/>
          <w:lang w:val="en-GB"/>
        </w:rPr>
        <w:t xml:space="preserve">the </w:t>
      </w:r>
      <w:r w:rsidRPr="00AA1CF1">
        <w:rPr>
          <w:color w:val="FF0000"/>
          <w:lang w:val="en-GB"/>
        </w:rPr>
        <w:t>separation factor and/or reduce operating pressure and CO</w:t>
      </w:r>
      <w:r w:rsidRPr="00AA1CF1">
        <w:rPr>
          <w:color w:val="FF0000"/>
          <w:vertAlign w:val="subscript"/>
          <w:lang w:val="en-GB"/>
        </w:rPr>
        <w:t>2</w:t>
      </w:r>
      <w:r w:rsidRPr="00AA1CF1">
        <w:rPr>
          <w:color w:val="FF0000"/>
          <w:lang w:val="en-GB"/>
        </w:rPr>
        <w:t xml:space="preserve"> consumption. </w:t>
      </w:r>
      <w:r w:rsidR="00021C38" w:rsidRPr="00AA1CF1">
        <w:rPr>
          <w:color w:val="FF0000"/>
          <w:lang w:val="en-GB"/>
        </w:rPr>
        <w:t>However, the selection of the best cosolvent requires long and expensive experimental effort</w:t>
      </w:r>
      <w:r w:rsidR="006F75F1" w:rsidRPr="00AA1CF1">
        <w:rPr>
          <w:color w:val="FF0000"/>
          <w:lang w:val="en-GB"/>
        </w:rPr>
        <w:t xml:space="preserve">. </w:t>
      </w:r>
      <w:r w:rsidR="00686E02" w:rsidRPr="00AA1CF1">
        <w:rPr>
          <w:color w:val="FF0000"/>
          <w:lang w:val="en-GB"/>
        </w:rPr>
        <w:t xml:space="preserve">For that reason, theoretical estimations </w:t>
      </w:r>
      <w:r w:rsidR="004830C7" w:rsidRPr="00AA1CF1">
        <w:rPr>
          <w:color w:val="FF0000"/>
          <w:lang w:val="en-GB"/>
        </w:rPr>
        <w:t>should be</w:t>
      </w:r>
      <w:r w:rsidR="00686E02" w:rsidRPr="00AA1CF1">
        <w:rPr>
          <w:color w:val="FF0000"/>
          <w:lang w:val="en-GB"/>
        </w:rPr>
        <w:t xml:space="preserve"> implemented</w:t>
      </w:r>
      <w:r w:rsidR="00F8245F">
        <w:rPr>
          <w:color w:val="FF0000"/>
          <w:lang w:val="en-GB"/>
        </w:rPr>
        <w:t xml:space="preserve"> and t</w:t>
      </w:r>
      <w:r w:rsidR="0097665A" w:rsidRPr="00AA1CF1">
        <w:rPr>
          <w:color w:val="FF0000"/>
          <w:lang w:val="en-GB"/>
        </w:rPr>
        <w:t>h</w:t>
      </w:r>
      <w:r w:rsidR="00686E02" w:rsidRPr="00AA1CF1">
        <w:rPr>
          <w:color w:val="FF0000"/>
          <w:lang w:val="en-GB"/>
        </w:rPr>
        <w:t>e</w:t>
      </w:r>
      <w:r w:rsidR="00805F09" w:rsidRPr="00AA1CF1">
        <w:rPr>
          <w:color w:val="FF0000"/>
          <w:lang w:val="en-GB"/>
        </w:rPr>
        <w:t xml:space="preserve"> Hansen solubility </w:t>
      </w:r>
      <w:r w:rsidR="00805F09" w:rsidRPr="00AA1CF1">
        <w:rPr>
          <w:color w:val="FF0000"/>
          <w:lang w:val="en-GB"/>
        </w:rPr>
        <w:lastRenderedPageBreak/>
        <w:t>theory (HST</w:t>
      </w:r>
      <w:r w:rsidR="00686E02" w:rsidRPr="00AA1CF1">
        <w:rPr>
          <w:color w:val="FF0000"/>
          <w:lang w:val="en-GB"/>
        </w:rPr>
        <w:t>) ha</w:t>
      </w:r>
      <w:r w:rsidR="00805F09" w:rsidRPr="00AA1CF1">
        <w:rPr>
          <w:color w:val="FF0000"/>
          <w:lang w:val="en-GB"/>
        </w:rPr>
        <w:t>s</w:t>
      </w:r>
      <w:r w:rsidR="00686E02" w:rsidRPr="00AA1CF1">
        <w:rPr>
          <w:color w:val="FF0000"/>
          <w:lang w:val="en-GB"/>
        </w:rPr>
        <w:t xml:space="preserve"> already demonstrated to be a useful tool for this sort of evaluations </w:t>
      </w:r>
      <w:r w:rsidR="00686E02" w:rsidRPr="00AA1CF1">
        <w:rPr>
          <w:color w:val="FF0000"/>
          <w:lang w:val="en-GB"/>
        </w:rPr>
        <w:fldChar w:fldCharType="begin" w:fldLock="1"/>
      </w:r>
      <w:r w:rsidR="00231AB1">
        <w:rPr>
          <w:color w:val="FF0000"/>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00686E02" w:rsidRPr="00AA1CF1">
        <w:rPr>
          <w:color w:val="FF0000"/>
          <w:lang w:val="en-GB"/>
        </w:rPr>
        <w:fldChar w:fldCharType="separate"/>
      </w:r>
      <w:r w:rsidR="00B05099" w:rsidRPr="00B05099">
        <w:rPr>
          <w:noProof/>
          <w:color w:val="FF0000"/>
          <w:lang w:val="en-GB"/>
        </w:rPr>
        <w:t xml:space="preserve">(Tirado </w:t>
      </w:r>
      <w:r w:rsidR="00B05099" w:rsidRPr="005A4BF7">
        <w:rPr>
          <w:i/>
          <w:noProof/>
          <w:color w:val="FF0000"/>
          <w:lang w:val="en-GB"/>
        </w:rPr>
        <w:t>et al</w:t>
      </w:r>
      <w:r w:rsidR="00B05099" w:rsidRPr="00B05099">
        <w:rPr>
          <w:noProof/>
          <w:color w:val="FF0000"/>
          <w:lang w:val="en-GB"/>
        </w:rPr>
        <w:t>., 2018)</w:t>
      </w:r>
      <w:r w:rsidR="00686E02" w:rsidRPr="00AA1CF1">
        <w:rPr>
          <w:color w:val="FF0000"/>
          <w:lang w:val="en-GB"/>
        </w:rPr>
        <w:fldChar w:fldCharType="end"/>
      </w:r>
      <w:r w:rsidR="00486AB8" w:rsidRPr="00AA1CF1">
        <w:rPr>
          <w:color w:val="FF0000"/>
          <w:lang w:val="en-GB"/>
        </w:rPr>
        <w:t>.</w:t>
      </w:r>
      <w:r w:rsidR="00706130" w:rsidRPr="00AA1CF1">
        <w:rPr>
          <w:color w:val="FF0000"/>
          <w:lang w:val="en-GB"/>
        </w:rPr>
        <w:t xml:space="preserve"> </w:t>
      </w:r>
      <w:r w:rsidR="003B51D4" w:rsidRPr="00BF2A4F">
        <w:rPr>
          <w:lang w:val="en-GB"/>
        </w:rPr>
        <w:t>In this theory, the total solubility parameter</w:t>
      </w:r>
      <w:r w:rsidR="0097665A" w:rsidRPr="00BF2A4F">
        <w:rPr>
          <w:lang w:val="en-GB"/>
        </w:rPr>
        <w:t xml:space="preserve"> </w:t>
      </w:r>
      <w:r w:rsidR="00297987" w:rsidRPr="00BF2A4F">
        <w:rPr>
          <w:lang w:val="en-GB"/>
        </w:rPr>
        <w:t>(δ</w:t>
      </w:r>
      <w:r w:rsidR="00297987" w:rsidRPr="00BF2A4F">
        <w:rPr>
          <w:vertAlign w:val="subscript"/>
          <w:lang w:val="en-GB"/>
        </w:rPr>
        <w:t>T</w:t>
      </w:r>
      <w:r w:rsidR="00297987" w:rsidRPr="00BF2A4F">
        <w:rPr>
          <w:lang w:val="en-GB"/>
        </w:rPr>
        <w:t xml:space="preserve">) </w:t>
      </w:r>
      <w:r w:rsidR="0097665A" w:rsidRPr="00BF2A4F">
        <w:rPr>
          <w:lang w:val="en-GB"/>
        </w:rPr>
        <w:t>of a substance</w:t>
      </w:r>
      <w:r w:rsidR="003B51D4" w:rsidRPr="00BF2A4F">
        <w:rPr>
          <w:lang w:val="en-GB"/>
        </w:rPr>
        <w:t xml:space="preserve"> is divided</w:t>
      </w:r>
      <w:r w:rsidR="00181853" w:rsidRPr="00BF2A4F">
        <w:rPr>
          <w:lang w:val="en-GB"/>
        </w:rPr>
        <w:t xml:space="preserve"> into three components: dispersion (δ</w:t>
      </w:r>
      <w:r w:rsidR="00181853" w:rsidRPr="00BF2A4F">
        <w:rPr>
          <w:vertAlign w:val="subscript"/>
          <w:lang w:val="en-GB"/>
        </w:rPr>
        <w:t>d</w:t>
      </w:r>
      <w:r w:rsidR="00181853" w:rsidRPr="00BF2A4F">
        <w:rPr>
          <w:lang w:val="en-GB"/>
        </w:rPr>
        <w:t>), polar (δ</w:t>
      </w:r>
      <w:r w:rsidR="00A02DE7" w:rsidRPr="00BF2A4F">
        <w:rPr>
          <w:vertAlign w:val="subscript"/>
          <w:lang w:val="en-GB"/>
        </w:rPr>
        <w:t>p</w:t>
      </w:r>
      <w:r w:rsidR="00181853" w:rsidRPr="00BF2A4F">
        <w:rPr>
          <w:lang w:val="en-GB"/>
        </w:rPr>
        <w:t>) and hydrogen</w:t>
      </w:r>
      <w:r w:rsidR="00302748" w:rsidRPr="00BF2A4F">
        <w:rPr>
          <w:lang w:val="en-GB"/>
        </w:rPr>
        <w:t>-</w:t>
      </w:r>
      <w:r w:rsidR="00181853" w:rsidRPr="00BF2A4F">
        <w:rPr>
          <w:lang w:val="en-GB"/>
        </w:rPr>
        <w:t xml:space="preserve">bonding </w:t>
      </w:r>
      <w:r w:rsidR="00E61042" w:rsidRPr="00BF2A4F">
        <w:rPr>
          <w:lang w:val="en-GB"/>
        </w:rPr>
        <w:t>(</w:t>
      </w:r>
      <w:r w:rsidR="00E7401C" w:rsidRPr="00BF2A4F">
        <w:rPr>
          <w:lang w:val="en-GB"/>
        </w:rPr>
        <w:t xml:space="preserve">H-bonding, </w:t>
      </w:r>
      <w:r w:rsidR="00E61042" w:rsidRPr="00BF2A4F">
        <w:rPr>
          <w:lang w:val="en-GB"/>
        </w:rPr>
        <w:t>δ</w:t>
      </w:r>
      <w:r w:rsidR="00E61042" w:rsidRPr="00BF2A4F">
        <w:rPr>
          <w:vertAlign w:val="subscript"/>
          <w:lang w:val="en-GB"/>
        </w:rPr>
        <w:t>h</w:t>
      </w:r>
      <w:r w:rsidR="00E61042" w:rsidRPr="00BF2A4F">
        <w:rPr>
          <w:lang w:val="en-GB"/>
        </w:rPr>
        <w:t xml:space="preserve">) </w:t>
      </w:r>
      <w:r w:rsidR="00181853" w:rsidRPr="00BF2A4F">
        <w:rPr>
          <w:lang w:val="en-GB"/>
        </w:rPr>
        <w:t xml:space="preserve">forces, later on, known as Hansen solubility parameters (HSP) </w:t>
      </w:r>
      <w:r w:rsidR="00181853" w:rsidRPr="00BF2A4F">
        <w:rPr>
          <w:lang w:val="en-GB"/>
        </w:rPr>
        <w:fldChar w:fldCharType="begin" w:fldLock="1"/>
      </w:r>
      <w:r w:rsidR="0090478D">
        <w:rPr>
          <w:lang w:val="en-GB"/>
        </w:rPr>
        <w:instrText>ADDIN CSL_CITATION {"citationItems":[{"id":"ITEM-1","itemData":{"author":[{"dropping-particle":"","family":"Hansen","given":"Charles M.","non-dropping-particle":"","parse-names":false,"suffix":""}],"id":"ITEM-1","issued":{"date-parts":[["1967"]]},"number-of-pages":"103","publisher":"Technical University of Denmark","title":"The three dimensional solubility parameter and solvent diffusion coefficient","type":"thesis"},"uris":["http://www.mendeley.com/documents/?uuid=629c504a-5648-4dce-9207-1b5caa3a7a29"]}],"mendeley":{"formattedCitation":"(Hansen, 1967)","plainTextFormattedCitation":"(Hansen, 1967)","previouslyFormattedCitation":"(Hansen, 1967)"},"properties":{"noteIndex":0},"schema":"https://github.com/citation-style-language/schema/raw/master/csl-citation.json"}</w:instrText>
      </w:r>
      <w:r w:rsidR="00181853" w:rsidRPr="00BF2A4F">
        <w:rPr>
          <w:lang w:val="en-GB"/>
        </w:rPr>
        <w:fldChar w:fldCharType="separate"/>
      </w:r>
      <w:r w:rsidR="00181853" w:rsidRPr="00BF2A4F">
        <w:rPr>
          <w:noProof/>
          <w:lang w:val="en-GB"/>
        </w:rPr>
        <w:t>(Hansen, 1967)</w:t>
      </w:r>
      <w:r w:rsidR="00181853" w:rsidRPr="00BF2A4F">
        <w:rPr>
          <w:lang w:val="en-GB"/>
        </w:rPr>
        <w:fldChar w:fldCharType="end"/>
      </w:r>
      <w:r w:rsidR="00181853" w:rsidRPr="00BF2A4F">
        <w:rPr>
          <w:lang w:val="en-GB"/>
        </w:rPr>
        <w:t>.</w:t>
      </w:r>
      <w:r w:rsidR="00A02DE7" w:rsidRPr="00BF2A4F">
        <w:rPr>
          <w:lang w:val="en-GB"/>
        </w:rPr>
        <w:t xml:space="preserve"> </w:t>
      </w:r>
      <w:r w:rsidR="003B51D4" w:rsidRPr="00BF2A4F">
        <w:rPr>
          <w:lang w:val="en-GB"/>
        </w:rPr>
        <w:t>Thus, δ</w:t>
      </w:r>
      <w:r w:rsidR="003B51D4" w:rsidRPr="00BF2A4F">
        <w:rPr>
          <w:vertAlign w:val="subscript"/>
          <w:lang w:val="en-GB"/>
        </w:rPr>
        <w:t>T</w:t>
      </w:r>
      <w:r w:rsidR="003B51D4" w:rsidRPr="00BF2A4F">
        <w:rPr>
          <w:lang w:val="en-GB"/>
        </w:rPr>
        <w:t xml:space="preserve"> is calculated</w:t>
      </w:r>
      <w:r w:rsidR="000F1644" w:rsidRPr="00BF2A4F">
        <w:rPr>
          <w:lang w:val="en-GB"/>
        </w:rPr>
        <w:t xml:space="preserve"> as t</w:t>
      </w:r>
      <w:r w:rsidR="00A02DE7" w:rsidRPr="00BF2A4F">
        <w:rPr>
          <w:lang w:val="en-GB"/>
        </w:rPr>
        <w:t>he square root of a sum of each Hansen component squared</w:t>
      </w:r>
      <w:r w:rsidR="003B4D3C" w:rsidRPr="00BF2A4F">
        <w:rPr>
          <w:lang w:val="en-GB"/>
        </w:rPr>
        <w:t>.</w:t>
      </w:r>
      <w:r w:rsidR="00805F09" w:rsidRPr="00BF2A4F">
        <w:rPr>
          <w:lang w:val="en-GB"/>
        </w:rPr>
        <w:t xml:space="preserve"> </w:t>
      </w:r>
      <w:r w:rsidR="0097665A" w:rsidRPr="00BF2A4F">
        <w:rPr>
          <w:lang w:val="en-GB"/>
        </w:rPr>
        <w:t>On the other hand, t</w:t>
      </w:r>
      <w:r w:rsidR="000F1644" w:rsidRPr="00BF2A4F">
        <w:rPr>
          <w:lang w:val="en-GB"/>
        </w:rPr>
        <w:t>he Hansen theory provides a numerical estimat</w:t>
      </w:r>
      <w:r w:rsidR="00AD5336">
        <w:rPr>
          <w:lang w:val="en-GB"/>
        </w:rPr>
        <w:t>ion</w:t>
      </w:r>
      <w:r w:rsidR="000F1644" w:rsidRPr="00BF2A4F">
        <w:rPr>
          <w:lang w:val="en-GB"/>
        </w:rPr>
        <w:t xml:space="preserve"> of the degree of interaction among materials and solvents through the R</w:t>
      </w:r>
      <w:r w:rsidR="000F1644" w:rsidRPr="00BF2A4F">
        <w:rPr>
          <w:vertAlign w:val="subscript"/>
          <w:lang w:val="en-GB"/>
        </w:rPr>
        <w:t>a</w:t>
      </w:r>
      <w:r w:rsidR="000F1644" w:rsidRPr="00BF2A4F">
        <w:rPr>
          <w:lang w:val="en-GB"/>
        </w:rPr>
        <w:t xml:space="preserve"> </w:t>
      </w:r>
      <w:r w:rsidR="00686E02" w:rsidRPr="00BF2A4F">
        <w:rPr>
          <w:lang w:val="en-GB"/>
        </w:rPr>
        <w:t xml:space="preserve">parameter, which </w:t>
      </w:r>
      <w:r w:rsidR="000F1644" w:rsidRPr="00BF2A4F">
        <w:rPr>
          <w:lang w:val="en-GB"/>
        </w:rPr>
        <w:t>can be a good indica</w:t>
      </w:r>
      <w:r w:rsidR="00810551">
        <w:rPr>
          <w:lang w:val="en-GB"/>
        </w:rPr>
        <w:t>tor</w:t>
      </w:r>
      <w:r w:rsidR="000F1644" w:rsidRPr="00BF2A4F">
        <w:rPr>
          <w:lang w:val="en-GB"/>
        </w:rPr>
        <w:t xml:space="preserve"> of their miscibility</w:t>
      </w:r>
      <w:r w:rsidR="00686E02" w:rsidRPr="00BF2A4F">
        <w:rPr>
          <w:lang w:val="en-GB"/>
        </w:rPr>
        <w:t xml:space="preserve">. </w:t>
      </w:r>
      <w:r w:rsidR="0026284A" w:rsidRPr="00BF2A4F">
        <w:rPr>
          <w:lang w:val="en-GB"/>
        </w:rPr>
        <w:t xml:space="preserve">This last </w:t>
      </w:r>
      <w:r w:rsidR="00531180" w:rsidRPr="00BF2A4F">
        <w:rPr>
          <w:lang w:val="en-GB"/>
        </w:rPr>
        <w:t>represents</w:t>
      </w:r>
      <w:r w:rsidR="0026284A" w:rsidRPr="00BF2A4F">
        <w:rPr>
          <w:lang w:val="en-GB"/>
        </w:rPr>
        <w:t xml:space="preserve"> the distance between the three-dimensional coordinates of a target compound </w:t>
      </w:r>
      <w:r w:rsidR="00837A11" w:rsidRPr="00BF2A4F">
        <w:rPr>
          <w:lang w:val="en-GB"/>
        </w:rPr>
        <w:t>(δ</w:t>
      </w:r>
      <w:r w:rsidR="00837A11" w:rsidRPr="00BF2A4F">
        <w:rPr>
          <w:vertAlign w:val="subscript"/>
          <w:lang w:val="en-GB"/>
        </w:rPr>
        <w:t>d1</w:t>
      </w:r>
      <w:r w:rsidR="00837A11" w:rsidRPr="00BF2A4F">
        <w:rPr>
          <w:lang w:val="en-GB"/>
        </w:rPr>
        <w:t>, δ</w:t>
      </w:r>
      <w:r w:rsidR="00837A11" w:rsidRPr="00BF2A4F">
        <w:rPr>
          <w:vertAlign w:val="subscript"/>
          <w:lang w:val="en-GB"/>
        </w:rPr>
        <w:t>p1</w:t>
      </w:r>
      <w:r w:rsidR="00837A11" w:rsidRPr="00BF2A4F">
        <w:rPr>
          <w:lang w:val="en-GB"/>
        </w:rPr>
        <w:t xml:space="preserve"> and δ</w:t>
      </w:r>
      <w:r w:rsidR="00837A11" w:rsidRPr="00BF2A4F">
        <w:rPr>
          <w:vertAlign w:val="subscript"/>
          <w:lang w:val="en-GB"/>
        </w:rPr>
        <w:t>h1</w:t>
      </w:r>
      <w:r w:rsidR="00837A11" w:rsidRPr="00BF2A4F">
        <w:rPr>
          <w:lang w:val="en-GB"/>
        </w:rPr>
        <w:t>) and those of the solvent (δ</w:t>
      </w:r>
      <w:r w:rsidR="00837A11" w:rsidRPr="00BF2A4F">
        <w:rPr>
          <w:vertAlign w:val="subscript"/>
          <w:lang w:val="en-GB"/>
        </w:rPr>
        <w:t>d2</w:t>
      </w:r>
      <w:r w:rsidR="00837A11" w:rsidRPr="00BF2A4F">
        <w:rPr>
          <w:lang w:val="en-GB"/>
        </w:rPr>
        <w:t>, δ</w:t>
      </w:r>
      <w:r w:rsidR="00837A11" w:rsidRPr="00BF2A4F">
        <w:rPr>
          <w:vertAlign w:val="subscript"/>
          <w:lang w:val="en-GB"/>
        </w:rPr>
        <w:t>p2</w:t>
      </w:r>
      <w:r w:rsidR="00837A11" w:rsidRPr="00BF2A4F">
        <w:rPr>
          <w:lang w:val="en-GB"/>
        </w:rPr>
        <w:t xml:space="preserve"> and δ</w:t>
      </w:r>
      <w:r w:rsidR="00837A11" w:rsidRPr="00BF2A4F">
        <w:rPr>
          <w:vertAlign w:val="subscript"/>
          <w:lang w:val="en-GB"/>
        </w:rPr>
        <w:t>h2</w:t>
      </w:r>
      <w:r w:rsidR="00837A11" w:rsidRPr="00BF2A4F">
        <w:rPr>
          <w:lang w:val="en-GB"/>
        </w:rPr>
        <w:t xml:space="preserve">) </w:t>
      </w:r>
      <w:r w:rsidR="00686E02" w:rsidRPr="00BF2A4F">
        <w:rPr>
          <w:lang w:val="en-GB"/>
        </w:rPr>
        <w:t>and can be calculated by Eq. (1).</w:t>
      </w:r>
      <w:r w:rsidR="0026284A" w:rsidRPr="00BF2A4F">
        <w:rPr>
          <w:lang w:val="en-GB"/>
        </w:rPr>
        <w:t xml:space="preserve"> </w:t>
      </w:r>
      <w:r w:rsidR="00805F09" w:rsidRPr="00EC7E02">
        <w:rPr>
          <w:color w:val="FF0000"/>
          <w:lang w:val="en-GB"/>
        </w:rPr>
        <w:t>The smaller the value of R</w:t>
      </w:r>
      <w:r w:rsidR="00805F09" w:rsidRPr="00EC7E02">
        <w:rPr>
          <w:color w:val="FF0000"/>
          <w:vertAlign w:val="subscript"/>
          <w:lang w:val="en-GB"/>
        </w:rPr>
        <w:t>a</w:t>
      </w:r>
      <w:r w:rsidR="00805F09" w:rsidRPr="00EC7E02">
        <w:rPr>
          <w:color w:val="FF0000"/>
          <w:lang w:val="en-GB"/>
        </w:rPr>
        <w:t>, the larger the miscibility betwee</w:t>
      </w:r>
      <w:r w:rsidR="005119C0" w:rsidRPr="00EC7E02">
        <w:rPr>
          <w:color w:val="FF0000"/>
          <w:lang w:val="en-GB"/>
        </w:rPr>
        <w:t>n the compound and the solvent.</w:t>
      </w:r>
      <w:r w:rsidR="000B24BA" w:rsidRPr="00EC7E02">
        <w:rPr>
          <w:color w:val="FF0000"/>
          <w:lang w:val="en-GB"/>
        </w:rPr>
        <w:t xml:space="preserve"> Consequently, and according to the Hansen theory, supercritical systems with </w:t>
      </w:r>
      <w:r w:rsidR="00D60094" w:rsidRPr="00EC7E02">
        <w:rPr>
          <w:color w:val="FF0000"/>
          <w:lang w:val="en-GB"/>
        </w:rPr>
        <w:t xml:space="preserve">the </w:t>
      </w:r>
      <w:r w:rsidR="000B24BA" w:rsidRPr="00EC7E02">
        <w:rPr>
          <w:color w:val="FF0000"/>
          <w:lang w:val="en-GB"/>
        </w:rPr>
        <w:t>lowest R</w:t>
      </w:r>
      <w:r w:rsidR="000B24BA" w:rsidRPr="00EC7E02">
        <w:rPr>
          <w:color w:val="FF0000"/>
          <w:vertAlign w:val="subscript"/>
          <w:lang w:val="en-GB"/>
        </w:rPr>
        <w:t>a</w:t>
      </w:r>
      <w:r w:rsidR="000B24BA" w:rsidRPr="00EC7E02">
        <w:rPr>
          <w:color w:val="FF0000"/>
          <w:lang w:val="en-GB"/>
        </w:rPr>
        <w:t xml:space="preserve"> </w:t>
      </w:r>
      <w:r w:rsidR="00D60094" w:rsidRPr="00EC7E02">
        <w:rPr>
          <w:color w:val="FF0000"/>
          <w:lang w:val="en-GB"/>
        </w:rPr>
        <w:t xml:space="preserve">value </w:t>
      </w:r>
      <w:r w:rsidR="000B24BA" w:rsidRPr="00EC7E02">
        <w:rPr>
          <w:color w:val="FF0000"/>
          <w:lang w:val="en-GB"/>
        </w:rPr>
        <w:t>would represent the most suitable one.</w:t>
      </w:r>
    </w:p>
    <w:p w:rsidR="005119C0" w:rsidRPr="00BF2A4F" w:rsidRDefault="005119C0" w:rsidP="00736313">
      <w:pPr>
        <w:pStyle w:val="CETBodytext"/>
        <w:rPr>
          <w:lang w:val="en-GB"/>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15"/>
      </w:tblGrid>
      <w:tr w:rsidR="00EA0561" w:rsidTr="007212E0">
        <w:tc>
          <w:tcPr>
            <w:tcW w:w="6374" w:type="dxa"/>
            <w:hideMark/>
          </w:tcPr>
          <w:p w:rsidR="00736313" w:rsidRPr="00BF2A4F" w:rsidRDefault="00581E00" w:rsidP="007212E0">
            <w:pPr>
              <w:pStyle w:val="CETBodytext"/>
              <w:rPr>
                <w:lang w:val="en-GB"/>
              </w:rPr>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R</m:t>
                    </m:r>
                  </m:e>
                  <m:sub>
                    <m:r>
                      <m:rPr>
                        <m:sty m:val="p"/>
                      </m:rPr>
                      <w:rPr>
                        <w:rFonts w:ascii="Cambria Math" w:hAnsi="Cambria Math" w:cs="Arial"/>
                        <w:lang w:val="en-GB"/>
                      </w:rPr>
                      <m:t>a</m:t>
                    </m:r>
                  </m:sub>
                </m:sSub>
                <m:r>
                  <m:rPr>
                    <m:sty m:val="p"/>
                  </m:rPr>
                  <w:rPr>
                    <w:rFonts w:ascii="Cambria Math" w:hAnsi="Cambria Math" w:cs="Arial"/>
                    <w:lang w:val="en-GB"/>
                  </w:rPr>
                  <m:t>=</m:t>
                </m:r>
                <m:rad>
                  <m:radPr>
                    <m:degHide m:val="1"/>
                    <m:ctrlPr>
                      <w:rPr>
                        <w:rFonts w:ascii="Cambria Math" w:hAnsi="Cambria Math" w:cs="Arial"/>
                        <w:lang w:val="en-GB"/>
                      </w:rPr>
                    </m:ctrlPr>
                  </m:radPr>
                  <m:deg/>
                  <m:e>
                    <m:r>
                      <m:rPr>
                        <m:sty m:val="p"/>
                      </m:rPr>
                      <w:rPr>
                        <w:rFonts w:ascii="Cambria Math" w:hAnsi="Cambria Math" w:cs="Arial"/>
                        <w:lang w:val="en-GB"/>
                      </w:rPr>
                      <m:t>4</m:t>
                    </m:r>
                    <m:sSup>
                      <m:sSupPr>
                        <m:ctrlPr>
                          <w:rPr>
                            <w:rFonts w:ascii="Cambria Math" w:hAnsi="Cambria Math" w:cs="Arial"/>
                            <w:lang w:val="en-GB"/>
                          </w:rPr>
                        </m:ctrlPr>
                      </m:sSupPr>
                      <m:e>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δ</m:t>
                                </m:r>
                              </m:e>
                              <m:sub>
                                <m:r>
                                  <m:rPr>
                                    <m:sty m:val="p"/>
                                  </m:rPr>
                                  <w:rPr>
                                    <w:rFonts w:ascii="Cambria Math" w:hAnsi="Cambria Math" w:cs="Arial"/>
                                    <w:lang w:val="en-GB"/>
                                  </w:rPr>
                                  <m:t>d1</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δ</m:t>
                                </m:r>
                              </m:e>
                              <m:sub>
                                <m:r>
                                  <m:rPr>
                                    <m:sty m:val="p"/>
                                  </m:rPr>
                                  <w:rPr>
                                    <w:rFonts w:ascii="Cambria Math" w:hAnsi="Cambria Math" w:cs="Arial"/>
                                    <w:lang w:val="en-GB"/>
                                  </w:rPr>
                                  <m:t>d2</m:t>
                                </m:r>
                              </m:sub>
                            </m:sSub>
                          </m:e>
                        </m:d>
                      </m:e>
                      <m:sup>
                        <m:r>
                          <m:rPr>
                            <m:sty m:val="p"/>
                          </m:rPr>
                          <w:rPr>
                            <w:rFonts w:ascii="Cambria Math" w:hAnsi="Cambria Math" w:cs="Arial"/>
                            <w:lang w:val="en-GB"/>
                          </w:rPr>
                          <m:t>2</m:t>
                        </m:r>
                      </m:sup>
                    </m:sSup>
                    <m:r>
                      <m:rPr>
                        <m:sty m:val="p"/>
                      </m:rPr>
                      <w:rPr>
                        <w:rFonts w:ascii="Cambria Math" w:hAnsi="Cambria Math" w:cs="Arial"/>
                        <w:lang w:val="en-GB"/>
                      </w:rPr>
                      <m:t>+</m:t>
                    </m:r>
                    <m:sSup>
                      <m:sSupPr>
                        <m:ctrlPr>
                          <w:rPr>
                            <w:rFonts w:ascii="Cambria Math" w:hAnsi="Cambria Math" w:cs="Arial"/>
                            <w:lang w:val="en-GB"/>
                          </w:rPr>
                        </m:ctrlPr>
                      </m:sSupPr>
                      <m:e>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δ</m:t>
                                </m:r>
                              </m:e>
                              <m:sub>
                                <m:r>
                                  <m:rPr>
                                    <m:sty m:val="p"/>
                                  </m:rPr>
                                  <w:rPr>
                                    <w:rFonts w:ascii="Cambria Math" w:hAnsi="Cambria Math" w:cs="Arial"/>
                                    <w:lang w:val="en-GB"/>
                                  </w:rPr>
                                  <m:t>p1</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δ</m:t>
                                </m:r>
                              </m:e>
                              <m:sub>
                                <m:r>
                                  <m:rPr>
                                    <m:sty m:val="p"/>
                                  </m:rPr>
                                  <w:rPr>
                                    <w:rFonts w:ascii="Cambria Math" w:hAnsi="Cambria Math" w:cs="Arial"/>
                                    <w:lang w:val="en-GB"/>
                                  </w:rPr>
                                  <m:t>p2</m:t>
                                </m:r>
                              </m:sub>
                            </m:sSub>
                          </m:e>
                        </m:d>
                      </m:e>
                      <m:sup>
                        <m:r>
                          <m:rPr>
                            <m:sty m:val="p"/>
                          </m:rPr>
                          <w:rPr>
                            <w:rFonts w:ascii="Cambria Math" w:hAnsi="Cambria Math" w:cs="Arial"/>
                            <w:lang w:val="en-GB"/>
                          </w:rPr>
                          <m:t>2</m:t>
                        </m:r>
                      </m:sup>
                    </m:sSup>
                    <m:r>
                      <m:rPr>
                        <m:sty m:val="p"/>
                      </m:rPr>
                      <w:rPr>
                        <w:rFonts w:ascii="Cambria Math" w:hAnsi="Cambria Math" w:cs="Arial"/>
                        <w:lang w:val="en-GB"/>
                      </w:rPr>
                      <m:t>+</m:t>
                    </m:r>
                    <m:sSup>
                      <m:sSupPr>
                        <m:ctrlPr>
                          <w:rPr>
                            <w:rFonts w:ascii="Cambria Math" w:hAnsi="Cambria Math" w:cs="Arial"/>
                            <w:lang w:val="en-GB"/>
                          </w:rPr>
                        </m:ctrlPr>
                      </m:sSupPr>
                      <m:e>
                        <m:d>
                          <m:dPr>
                            <m:ctrlPr>
                              <w:rPr>
                                <w:rFonts w:ascii="Cambria Math" w:hAnsi="Cambria Math" w:cs="Arial"/>
                                <w:lang w:val="en-GB"/>
                              </w:rPr>
                            </m:ctrlPr>
                          </m:dPr>
                          <m:e>
                            <m:sSub>
                              <m:sSubPr>
                                <m:ctrlPr>
                                  <w:rPr>
                                    <w:rFonts w:ascii="Cambria Math" w:hAnsi="Cambria Math" w:cs="Arial"/>
                                    <w:lang w:val="en-GB"/>
                                  </w:rPr>
                                </m:ctrlPr>
                              </m:sSubPr>
                              <m:e>
                                <m:r>
                                  <m:rPr>
                                    <m:sty m:val="p"/>
                                  </m:rPr>
                                  <w:rPr>
                                    <w:rFonts w:ascii="Cambria Math" w:hAnsi="Cambria Math" w:cs="Arial"/>
                                    <w:lang w:val="en-GB"/>
                                  </w:rPr>
                                  <m:t>δ</m:t>
                                </m:r>
                              </m:e>
                              <m:sub>
                                <m:r>
                                  <m:rPr>
                                    <m:sty m:val="p"/>
                                  </m:rPr>
                                  <w:rPr>
                                    <w:rFonts w:ascii="Cambria Math" w:hAnsi="Cambria Math" w:cs="Arial"/>
                                    <w:lang w:val="en-GB"/>
                                  </w:rPr>
                                  <m:t>h1</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δ</m:t>
                                </m:r>
                              </m:e>
                              <m:sub>
                                <m:r>
                                  <m:rPr>
                                    <m:sty m:val="p"/>
                                  </m:rPr>
                                  <w:rPr>
                                    <w:rFonts w:ascii="Cambria Math" w:hAnsi="Cambria Math" w:cs="Arial"/>
                                    <w:lang w:val="en-GB"/>
                                  </w:rPr>
                                  <m:t>h2</m:t>
                                </m:r>
                              </m:sub>
                            </m:sSub>
                          </m:e>
                        </m:d>
                      </m:e>
                      <m:sup>
                        <m:r>
                          <m:rPr>
                            <m:sty m:val="p"/>
                          </m:rPr>
                          <w:rPr>
                            <w:rFonts w:ascii="Cambria Math" w:hAnsi="Cambria Math" w:cs="Arial"/>
                            <w:lang w:val="en-GB"/>
                          </w:rPr>
                          <m:t>2</m:t>
                        </m:r>
                      </m:sup>
                    </m:sSup>
                  </m:e>
                </m:rad>
              </m:oMath>
            </m:oMathPara>
          </w:p>
        </w:tc>
        <w:tc>
          <w:tcPr>
            <w:tcW w:w="2415" w:type="dxa"/>
            <w:hideMark/>
          </w:tcPr>
          <w:p w:rsidR="00736313" w:rsidRPr="00BF2A4F" w:rsidRDefault="00581E00" w:rsidP="007212E0">
            <w:pPr>
              <w:pStyle w:val="CETBodytext"/>
              <w:jc w:val="right"/>
              <w:rPr>
                <w:lang w:val="en-GB"/>
              </w:rPr>
            </w:pPr>
            <w:r w:rsidRPr="00BF2A4F">
              <w:rPr>
                <w:lang w:val="en-GB"/>
              </w:rPr>
              <w:t>(1)</w:t>
            </w:r>
          </w:p>
        </w:tc>
      </w:tr>
    </w:tbl>
    <w:p w:rsidR="005119C0" w:rsidRPr="00BF2A4F" w:rsidRDefault="005119C0" w:rsidP="001922DF">
      <w:pPr>
        <w:pStyle w:val="CETBodytext"/>
        <w:rPr>
          <w:lang w:val="en-GB"/>
        </w:rPr>
      </w:pPr>
    </w:p>
    <w:p w:rsidR="003649C6" w:rsidRPr="003649C6" w:rsidRDefault="00581E00" w:rsidP="003649C6">
      <w:pPr>
        <w:pStyle w:val="CETBodytext"/>
        <w:rPr>
          <w:lang w:val="en-GB"/>
        </w:rPr>
      </w:pPr>
      <w:r w:rsidRPr="00BF2A4F">
        <w:rPr>
          <w:lang w:val="en-GB"/>
        </w:rPr>
        <w:t>In previous work</w:t>
      </w:r>
      <w:r w:rsidR="00DF0AC3" w:rsidRPr="00BF2A4F">
        <w:rPr>
          <w:lang w:val="en-GB"/>
        </w:rPr>
        <w:t>,</w:t>
      </w:r>
      <w:r w:rsidRPr="00BF2A4F">
        <w:rPr>
          <w:lang w:val="en-GB"/>
        </w:rPr>
        <w:t xml:space="preserve"> </w:t>
      </w:r>
      <w:r w:rsidRPr="00E475F3">
        <w:rPr>
          <w:color w:val="FF0000"/>
          <w:lang w:val="en-GB"/>
        </w:rPr>
        <w:fldChar w:fldCharType="begin" w:fldLock="1"/>
      </w:r>
      <w:r w:rsidR="005B3601" w:rsidRPr="00E475F3">
        <w:rPr>
          <w:color w:val="FF0000"/>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2018)","manualFormatting":"Tirado et al., (2018)","plainTextFormattedCitation":"(Tirado et al., 2018)","previouslyFormattedCitation":"(Tirado et al., 2018)"},"properties":{"noteIndex":0},"schema":"https://github.com/citation-style-language/schema/raw/master/csl-citation.json"}</w:instrText>
      </w:r>
      <w:r w:rsidRPr="00E475F3">
        <w:rPr>
          <w:color w:val="FF0000"/>
          <w:lang w:val="en-GB"/>
        </w:rPr>
        <w:fldChar w:fldCharType="separate"/>
      </w:r>
      <w:r w:rsidRPr="00E475F3">
        <w:rPr>
          <w:noProof/>
          <w:color w:val="FF0000"/>
          <w:lang w:val="en-GB"/>
        </w:rPr>
        <w:t xml:space="preserve">Tirado </w:t>
      </w:r>
      <w:r w:rsidRPr="00E475F3">
        <w:rPr>
          <w:i/>
          <w:noProof/>
          <w:color w:val="FF0000"/>
          <w:lang w:val="en-GB"/>
        </w:rPr>
        <w:t>et al.,</w:t>
      </w:r>
      <w:r w:rsidRPr="00E475F3">
        <w:rPr>
          <w:noProof/>
          <w:color w:val="FF0000"/>
          <w:lang w:val="en-GB"/>
        </w:rPr>
        <w:t xml:space="preserve"> </w:t>
      </w:r>
      <w:r w:rsidR="005B3601" w:rsidRPr="00E475F3">
        <w:rPr>
          <w:noProof/>
          <w:color w:val="FF0000"/>
          <w:lang w:val="en-GB"/>
        </w:rPr>
        <w:t>(</w:t>
      </w:r>
      <w:r w:rsidRPr="00E475F3">
        <w:rPr>
          <w:noProof/>
          <w:color w:val="FF0000"/>
          <w:lang w:val="en-GB"/>
        </w:rPr>
        <w:t>2018)</w:t>
      </w:r>
      <w:r w:rsidRPr="00E475F3">
        <w:rPr>
          <w:color w:val="FF0000"/>
          <w:lang w:val="en-GB"/>
        </w:rPr>
        <w:fldChar w:fldCharType="end"/>
      </w:r>
      <w:r w:rsidRPr="00E475F3">
        <w:rPr>
          <w:color w:val="FF0000"/>
          <w:lang w:val="en-GB"/>
        </w:rPr>
        <w:t xml:space="preserve"> demonstrated </w:t>
      </w:r>
      <w:r w:rsidRPr="00BF2A4F">
        <w:rPr>
          <w:lang w:val="en-GB"/>
        </w:rPr>
        <w:t xml:space="preserve">the suitability of the HST to predict the best </w:t>
      </w:r>
      <w:r w:rsidR="00981D65" w:rsidRPr="00BF2A4F">
        <w:rPr>
          <w:lang w:val="en-GB"/>
        </w:rPr>
        <w:t>cosolvent</w:t>
      </w:r>
      <w:r w:rsidRPr="00BF2A4F">
        <w:rPr>
          <w:lang w:val="en-GB"/>
        </w:rPr>
        <w:t xml:space="preserve"> for sc-CO</w:t>
      </w:r>
      <w:r w:rsidRPr="00BF2A4F">
        <w:rPr>
          <w:vertAlign w:val="subscript"/>
          <w:lang w:val="en-GB"/>
        </w:rPr>
        <w:t>2</w:t>
      </w:r>
      <w:r w:rsidRPr="00BF2A4F">
        <w:rPr>
          <w:lang w:val="en-GB"/>
        </w:rPr>
        <w:t xml:space="preserve"> in the solubilization of fatty acids within a specific interval of operating conditions. </w:t>
      </w:r>
      <w:r w:rsidR="001E074C" w:rsidRPr="001E074C">
        <w:rPr>
          <w:color w:val="FF0000"/>
          <w:lang w:val="en-GB"/>
        </w:rPr>
        <w:t xml:space="preserve">Moreover, </w:t>
      </w:r>
      <w:r w:rsidR="00B94047">
        <w:rPr>
          <w:color w:val="FF0000"/>
          <w:lang w:val="en-GB"/>
        </w:rPr>
        <w:t xml:space="preserve">the same research group </w:t>
      </w:r>
      <w:r w:rsidR="001E074C" w:rsidRPr="00061C6C">
        <w:rPr>
          <w:color w:val="FF0000"/>
        </w:rPr>
        <w:t xml:space="preserve">proved that this theoretical approach was also useful to predict the best cosolvent for the extraction of carotenoids from </w:t>
      </w:r>
      <w:r w:rsidR="001E074C" w:rsidRPr="00061C6C">
        <w:rPr>
          <w:i/>
          <w:color w:val="FF0000"/>
        </w:rPr>
        <w:t>Dunaliella salina</w:t>
      </w:r>
      <w:r w:rsidR="001E074C" w:rsidRPr="00061C6C">
        <w:rPr>
          <w:color w:val="FF0000"/>
        </w:rPr>
        <w:t xml:space="preserve"> </w:t>
      </w:r>
      <w:r w:rsidR="001E074C" w:rsidRPr="00061C6C">
        <w:rPr>
          <w:b/>
          <w:color w:val="FF0000"/>
        </w:rPr>
        <w:fldChar w:fldCharType="begin" w:fldLock="1"/>
      </w:r>
      <w:r w:rsidR="001E074C" w:rsidRPr="00061C6C">
        <w:rPr>
          <w:color w:val="FF0000"/>
        </w:rPr>
        <w:instrText>ADDIN CSL_CITATION {"citationItems":[{"id":"ITEM-1","itemData":{"DOI":"10.1016/j.supflu.2018.12.013","ISSN":"08968446","author":[{"dropping-particle":"","family":"Tirado","given":"Diego F.","non-dropping-particle":"","parse-names":false,"suffix":""},{"dropping-particle":"","family":"Calvo","given":"Lourdes","non-dropping-particle":"","parse-names":false,"suffix":""}],"container-title":"The Journal of Supercritical Fluids","id":"ITEM-1","issued":{"date-parts":[["2019","3"]]},"page":"211-218","title":"The Hansen theory to choose the best cosolvent for supercritical CO2 extraction of β-carotene from &lt;i&gt;Dunaliella salina&lt;/i&gt;","type":"article-journal","volume":"145"},"uris":["http://www.mendeley.com/documents/?uuid=2bca28c9-55b1-4e32-837e-983f7077cc7c"]}],"mendeley":{"formattedCitation":"(Tirado and Calvo, 2019)","plainTextFormattedCitation":"(Tirado and Calvo, 2019)","previouslyFormattedCitation":"(Tirado and Calvo, 2019)"},"properties":{"noteIndex":0},"schema":"https://github.com/citation-style-language/schema/raw/master/csl-citation.json"}</w:instrText>
      </w:r>
      <w:r w:rsidR="001E074C" w:rsidRPr="00061C6C">
        <w:rPr>
          <w:b/>
          <w:color w:val="FF0000"/>
        </w:rPr>
        <w:fldChar w:fldCharType="separate"/>
      </w:r>
      <w:r w:rsidR="001E074C" w:rsidRPr="00061C6C">
        <w:rPr>
          <w:noProof/>
          <w:color w:val="FF0000"/>
        </w:rPr>
        <w:t>(Tirado and Calvo, 2019)</w:t>
      </w:r>
      <w:r w:rsidR="001E074C" w:rsidRPr="00061C6C">
        <w:rPr>
          <w:b/>
          <w:color w:val="FF0000"/>
        </w:rPr>
        <w:fldChar w:fldCharType="end"/>
      </w:r>
      <w:r w:rsidR="001E074C" w:rsidRPr="00061C6C">
        <w:rPr>
          <w:color w:val="FF0000"/>
        </w:rPr>
        <w:t>.</w:t>
      </w:r>
      <w:r w:rsidR="00BE67F0">
        <w:rPr>
          <w:color w:val="FF0000"/>
        </w:rPr>
        <w:t xml:space="preserve"> </w:t>
      </w:r>
      <w:r w:rsidRPr="00BF2A4F">
        <w:rPr>
          <w:lang w:val="en-GB"/>
        </w:rPr>
        <w:t xml:space="preserve">However, the extension </w:t>
      </w:r>
      <w:r w:rsidR="003B51D4" w:rsidRPr="00BF2A4F">
        <w:rPr>
          <w:lang w:val="en-GB"/>
        </w:rPr>
        <w:t>of</w:t>
      </w:r>
      <w:r w:rsidRPr="00BF2A4F">
        <w:rPr>
          <w:lang w:val="en-GB"/>
        </w:rPr>
        <w:t xml:space="preserve"> the Hansen theory to </w:t>
      </w:r>
      <w:r w:rsidR="003B51D4" w:rsidRPr="00BF2A4F">
        <w:rPr>
          <w:lang w:val="en-GB"/>
        </w:rPr>
        <w:t xml:space="preserve">the supercritical extraction </w:t>
      </w:r>
      <w:r w:rsidRPr="00BF2A4F">
        <w:rPr>
          <w:lang w:val="en-GB"/>
        </w:rPr>
        <w:t xml:space="preserve">of fatty acids </w:t>
      </w:r>
      <w:r w:rsidR="003B51D4" w:rsidRPr="00BF2A4F">
        <w:rPr>
          <w:lang w:val="en-GB"/>
        </w:rPr>
        <w:t xml:space="preserve">from natural </w:t>
      </w:r>
      <w:r w:rsidR="00D064A6" w:rsidRPr="00D064A6">
        <w:rPr>
          <w:lang w:val="en-GB"/>
        </w:rPr>
        <w:t>matrices</w:t>
      </w:r>
      <w:r w:rsidR="003B51D4" w:rsidRPr="00BF2A4F">
        <w:rPr>
          <w:lang w:val="en-GB"/>
        </w:rPr>
        <w:t xml:space="preserve"> </w:t>
      </w:r>
      <w:r w:rsidRPr="00BF2A4F">
        <w:rPr>
          <w:lang w:val="en-GB"/>
        </w:rPr>
        <w:t xml:space="preserve">has not yet been demonstrated. </w:t>
      </w:r>
      <w:r w:rsidR="00383790">
        <w:rPr>
          <w:lang w:val="en-GB"/>
        </w:rPr>
        <w:t>Therefore, t</w:t>
      </w:r>
      <w:r w:rsidRPr="00BF2A4F">
        <w:rPr>
          <w:lang w:val="en-GB"/>
        </w:rPr>
        <w:t xml:space="preserve">his study aimed to validate the Hansen approach to predict the best supercritical mixture to reach the selective SFE of </w:t>
      </w:r>
      <w:r w:rsidRPr="00BF2A4F">
        <w:rPr>
          <w:bCs/>
          <w:lang w:val="en-GB"/>
        </w:rPr>
        <w:t>oleic, linoleic and α-linolenic</w:t>
      </w:r>
      <w:r w:rsidR="00981D65" w:rsidRPr="00BF2A4F">
        <w:rPr>
          <w:bCs/>
          <w:lang w:val="en-GB"/>
        </w:rPr>
        <w:t xml:space="preserve"> </w:t>
      </w:r>
      <w:r w:rsidRPr="00BF2A4F">
        <w:rPr>
          <w:bCs/>
          <w:lang w:val="en-GB"/>
        </w:rPr>
        <w:t>acid</w:t>
      </w:r>
      <w:r w:rsidRPr="00BF2A4F">
        <w:rPr>
          <w:lang w:val="en-GB"/>
        </w:rPr>
        <w:t xml:space="preserve"> </w:t>
      </w:r>
      <w:r w:rsidRPr="00BF2A4F">
        <w:rPr>
          <w:lang w:val="en-GB"/>
        </w:rPr>
        <w:t xml:space="preserve">from </w:t>
      </w:r>
      <w:r w:rsidRPr="00BF2A4F">
        <w:rPr>
          <w:i/>
          <w:lang w:val="en-GB"/>
        </w:rPr>
        <w:t>T. suecica</w:t>
      </w:r>
      <w:r w:rsidRPr="00BF2A4F">
        <w:rPr>
          <w:lang w:val="en-GB"/>
        </w:rPr>
        <w:t>.</w:t>
      </w:r>
      <w:r w:rsidR="0097665A" w:rsidRPr="00BF2A4F">
        <w:rPr>
          <w:lang w:val="en-GB"/>
        </w:rPr>
        <w:t xml:space="preserve"> Emphasis was placed on these fatty acids because of their interest in the food industry. In addition, the initial content of these fatty acids in the microalgae was </w:t>
      </w:r>
      <w:r w:rsidR="00251CF4" w:rsidRPr="00BF2A4F">
        <w:rPr>
          <w:lang w:val="en-GB"/>
        </w:rPr>
        <w:t>enough</w:t>
      </w:r>
      <w:r w:rsidR="0097665A" w:rsidRPr="00BF2A4F">
        <w:rPr>
          <w:lang w:val="en-GB"/>
        </w:rPr>
        <w:t xml:space="preserve"> to notice the impact of </w:t>
      </w:r>
      <w:r w:rsidR="00981D65" w:rsidRPr="00BF2A4F">
        <w:rPr>
          <w:lang w:val="en-GB"/>
        </w:rPr>
        <w:t>cosolvent</w:t>
      </w:r>
      <w:r w:rsidR="0097665A" w:rsidRPr="00BF2A4F">
        <w:rPr>
          <w:lang w:val="en-GB"/>
        </w:rPr>
        <w:t xml:space="preserve"> power after the SFE.</w:t>
      </w:r>
    </w:p>
    <w:p w:rsidR="00773A6A" w:rsidRPr="00BF2A4F" w:rsidRDefault="00581E00" w:rsidP="000664EE">
      <w:pPr>
        <w:pStyle w:val="CETHeading1"/>
        <w:rPr>
          <w:lang w:val="en-GB"/>
        </w:rPr>
      </w:pPr>
      <w:r w:rsidRPr="00BF2A4F">
        <w:rPr>
          <w:lang w:val="en-GB"/>
        </w:rPr>
        <w:t xml:space="preserve">Materials </w:t>
      </w:r>
      <w:r w:rsidRPr="00BF2A4F">
        <w:rPr>
          <w:lang w:val="en-GB"/>
        </w:rPr>
        <w:t>and Methods</w:t>
      </w:r>
    </w:p>
    <w:p w:rsidR="00E423BB" w:rsidRPr="00BF2A4F" w:rsidRDefault="00581E00" w:rsidP="00044889">
      <w:pPr>
        <w:pStyle w:val="CETheadingx"/>
        <w:rPr>
          <w:lang w:val="en-GB"/>
        </w:rPr>
      </w:pPr>
      <w:bookmarkStart w:id="0" w:name="_Hlk533599344"/>
      <w:r w:rsidRPr="00BF2A4F">
        <w:rPr>
          <w:lang w:val="en-GB"/>
        </w:rPr>
        <w:t>Reagents</w:t>
      </w:r>
    </w:p>
    <w:p w:rsidR="000534E6" w:rsidRPr="00BF2A4F" w:rsidRDefault="00581E00" w:rsidP="001922DF">
      <w:pPr>
        <w:pStyle w:val="CETBodytext"/>
        <w:rPr>
          <w:lang w:val="en-GB"/>
        </w:rPr>
      </w:pPr>
      <w:bookmarkStart w:id="1" w:name="_Hlk535502511"/>
      <w:bookmarkEnd w:id="0"/>
      <w:r w:rsidRPr="00BF2A4F">
        <w:rPr>
          <w:lang w:val="en-GB"/>
        </w:rPr>
        <w:t>Acetone (≥ 99.9 %, Sigma-Aldrich), anhydrous sodium sulphate (≥ 99 %, Sigma-Aldrich</w:t>
      </w:r>
      <w:r w:rsidRPr="00BF2A4F">
        <w:rPr>
          <w:lang w:val="en-GB"/>
        </w:rPr>
        <w:tab/>
        <w:t>), boron trifluoride</w:t>
      </w:r>
      <w:r w:rsidR="005152F8" w:rsidRPr="00BF2A4F">
        <w:rPr>
          <w:lang w:val="en-GB"/>
        </w:rPr>
        <w:t xml:space="preserve"> (1</w:t>
      </w:r>
      <w:r w:rsidR="0038228C" w:rsidRPr="00BF2A4F">
        <w:rPr>
          <w:lang w:val="en-GB"/>
        </w:rPr>
        <w:t xml:space="preserve">.5 M in methanol, </w:t>
      </w:r>
      <w:r w:rsidR="005152F8" w:rsidRPr="00BF2A4F">
        <w:rPr>
          <w:lang w:val="en-GB"/>
        </w:rPr>
        <w:t>ACROS Organics™), b</w:t>
      </w:r>
      <w:r w:rsidRPr="00BF2A4F">
        <w:rPr>
          <w:lang w:val="en-GB"/>
        </w:rPr>
        <w:t>utylated hydroxytoluene</w:t>
      </w:r>
      <w:r w:rsidR="005152F8" w:rsidRPr="00BF2A4F">
        <w:rPr>
          <w:lang w:val="en-GB"/>
        </w:rPr>
        <w:t xml:space="preserve"> (≥ 99 %, </w:t>
      </w:r>
      <w:r w:rsidRPr="00BF2A4F">
        <w:rPr>
          <w:lang w:val="en-GB"/>
        </w:rPr>
        <w:t>Sigma-Aldrich</w:t>
      </w:r>
      <w:r w:rsidR="005152F8" w:rsidRPr="00BF2A4F">
        <w:rPr>
          <w:lang w:val="en-GB"/>
        </w:rPr>
        <w:t>), e</w:t>
      </w:r>
      <w:r w:rsidRPr="00BF2A4F">
        <w:rPr>
          <w:lang w:val="en-GB"/>
        </w:rPr>
        <w:t>thanol</w:t>
      </w:r>
      <w:r w:rsidR="005152F8" w:rsidRPr="00BF2A4F">
        <w:rPr>
          <w:lang w:val="en-GB"/>
        </w:rPr>
        <w:t xml:space="preserve"> (≥ 99.8</w:t>
      </w:r>
      <w:r w:rsidR="00263444" w:rsidRPr="00BF2A4F">
        <w:rPr>
          <w:lang w:val="en-GB"/>
        </w:rPr>
        <w:t xml:space="preserve"> %</w:t>
      </w:r>
      <w:r w:rsidR="005152F8" w:rsidRPr="00BF2A4F">
        <w:rPr>
          <w:lang w:val="en-GB"/>
        </w:rPr>
        <w:t>, Fisher Chemical), h</w:t>
      </w:r>
      <w:r w:rsidR="00D24A38" w:rsidRPr="00BF2A4F">
        <w:rPr>
          <w:lang w:val="en-GB"/>
        </w:rPr>
        <w:t xml:space="preserve">eptadecanoic acid </w:t>
      </w:r>
      <w:r w:rsidR="005152F8" w:rsidRPr="00BF2A4F">
        <w:rPr>
          <w:lang w:val="en-GB"/>
        </w:rPr>
        <w:t xml:space="preserve">(≥ 98 %, </w:t>
      </w:r>
      <w:r w:rsidRPr="00BF2A4F">
        <w:rPr>
          <w:lang w:val="en-GB"/>
        </w:rPr>
        <w:t>Sigma-Aldrich</w:t>
      </w:r>
      <w:r w:rsidR="005152F8" w:rsidRPr="00BF2A4F">
        <w:rPr>
          <w:lang w:val="en-GB"/>
        </w:rPr>
        <w:t xml:space="preserve">), </w:t>
      </w:r>
      <w:r w:rsidRPr="00BF2A4F">
        <w:rPr>
          <w:lang w:val="en-GB"/>
        </w:rPr>
        <w:t>n-</w:t>
      </w:r>
      <w:r w:rsidR="005152F8" w:rsidRPr="00BF2A4F">
        <w:rPr>
          <w:lang w:val="en-GB"/>
        </w:rPr>
        <w:t>h</w:t>
      </w:r>
      <w:r w:rsidRPr="00BF2A4F">
        <w:rPr>
          <w:lang w:val="en-GB"/>
        </w:rPr>
        <w:t>exane</w:t>
      </w:r>
      <w:r w:rsidR="005152F8" w:rsidRPr="00BF2A4F">
        <w:rPr>
          <w:lang w:val="en-GB"/>
        </w:rPr>
        <w:t xml:space="preserve"> (≥ 99 %, Fisher Chemical), </w:t>
      </w:r>
      <w:r w:rsidR="00C82020" w:rsidRPr="00BF2A4F">
        <w:rPr>
          <w:lang w:val="en-GB"/>
        </w:rPr>
        <w:t>m</w:t>
      </w:r>
      <w:r w:rsidR="00D24A38" w:rsidRPr="00BF2A4F">
        <w:rPr>
          <w:lang w:val="en-GB"/>
        </w:rPr>
        <w:t>ethanol</w:t>
      </w:r>
      <w:r w:rsidR="00C82020" w:rsidRPr="00BF2A4F">
        <w:rPr>
          <w:lang w:val="en-GB"/>
        </w:rPr>
        <w:t xml:space="preserve"> (</w:t>
      </w:r>
      <w:r w:rsidR="00317BE1" w:rsidRPr="00BF2A4F">
        <w:rPr>
          <w:lang w:val="en-GB"/>
        </w:rPr>
        <w:t xml:space="preserve">≥ </w:t>
      </w:r>
      <w:r w:rsidR="00C82020" w:rsidRPr="00BF2A4F">
        <w:rPr>
          <w:lang w:val="en-GB"/>
        </w:rPr>
        <w:t>99</w:t>
      </w:r>
      <w:r w:rsidR="00317BE1" w:rsidRPr="00BF2A4F">
        <w:rPr>
          <w:lang w:val="en-GB"/>
        </w:rPr>
        <w:t>.</w:t>
      </w:r>
      <w:r w:rsidR="00C82020" w:rsidRPr="00BF2A4F">
        <w:rPr>
          <w:lang w:val="en-GB"/>
        </w:rPr>
        <w:t>9</w:t>
      </w:r>
      <w:r w:rsidR="00664B82" w:rsidRPr="00BF2A4F">
        <w:rPr>
          <w:lang w:val="en-GB"/>
        </w:rPr>
        <w:t xml:space="preserve"> %</w:t>
      </w:r>
      <w:r w:rsidR="00C82020" w:rsidRPr="00BF2A4F">
        <w:rPr>
          <w:lang w:val="en-GB"/>
        </w:rPr>
        <w:t xml:space="preserve">, </w:t>
      </w:r>
      <w:r w:rsidRPr="00BF2A4F">
        <w:rPr>
          <w:lang w:val="en-GB"/>
        </w:rPr>
        <w:t>F</w:t>
      </w:r>
      <w:r w:rsidR="00C82020" w:rsidRPr="00BF2A4F">
        <w:rPr>
          <w:lang w:val="en-GB"/>
        </w:rPr>
        <w:t xml:space="preserve">isher Chemical), </w:t>
      </w:r>
      <w:r w:rsidR="005B1F2D" w:rsidRPr="00BF2A4F">
        <w:rPr>
          <w:lang w:val="en-GB"/>
        </w:rPr>
        <w:t>fatty acid methyl e</w:t>
      </w:r>
      <w:r w:rsidR="00EB7E99" w:rsidRPr="00BF2A4F">
        <w:rPr>
          <w:lang w:val="en-GB"/>
        </w:rPr>
        <w:t xml:space="preserve">sters </w:t>
      </w:r>
      <w:r w:rsidR="004049C1" w:rsidRPr="00BF2A4F">
        <w:rPr>
          <w:lang w:val="en-GB"/>
        </w:rPr>
        <w:t>(FAM</w:t>
      </w:r>
      <w:r w:rsidR="005B1F2D" w:rsidRPr="00BF2A4F">
        <w:rPr>
          <w:lang w:val="en-GB"/>
        </w:rPr>
        <w:t>E</w:t>
      </w:r>
      <w:r w:rsidR="00EB7E99" w:rsidRPr="00BF2A4F">
        <w:rPr>
          <w:lang w:val="en-GB"/>
        </w:rPr>
        <w:t xml:space="preserve"> </w:t>
      </w:r>
      <w:r w:rsidR="005B1F2D" w:rsidRPr="00BF2A4F">
        <w:rPr>
          <w:lang w:val="en-GB"/>
        </w:rPr>
        <w:t xml:space="preserve">Mix C8 - C22, Sigma-Aldrich), </w:t>
      </w:r>
      <w:r w:rsidR="00D24A38" w:rsidRPr="00BF2A4F">
        <w:rPr>
          <w:lang w:val="en-GB"/>
        </w:rPr>
        <w:t>s</w:t>
      </w:r>
      <w:r w:rsidRPr="00BF2A4F">
        <w:rPr>
          <w:lang w:val="en-GB"/>
        </w:rPr>
        <w:t>odium hydroxide</w:t>
      </w:r>
      <w:r w:rsidRPr="00BF2A4F">
        <w:rPr>
          <w:lang w:val="en-GB"/>
        </w:rPr>
        <w:tab/>
      </w:r>
      <w:r w:rsidR="00D24A38" w:rsidRPr="00BF2A4F">
        <w:rPr>
          <w:lang w:val="en-GB"/>
        </w:rPr>
        <w:t xml:space="preserve"> (≥ 98 %, Sigma-Aldrich), </w:t>
      </w:r>
      <w:r w:rsidR="00FE1C02" w:rsidRPr="00BF2A4F">
        <w:rPr>
          <w:lang w:val="en-GB"/>
        </w:rPr>
        <w:t>s</w:t>
      </w:r>
      <w:r w:rsidRPr="00BF2A4F">
        <w:rPr>
          <w:lang w:val="en-GB"/>
        </w:rPr>
        <w:t>odium chloride</w:t>
      </w:r>
      <w:r w:rsidR="00FE1C02" w:rsidRPr="00BF2A4F">
        <w:rPr>
          <w:lang w:val="en-GB"/>
        </w:rPr>
        <w:t xml:space="preserve"> (≥ 99.5</w:t>
      </w:r>
      <w:r w:rsidR="00783594" w:rsidRPr="00BF2A4F">
        <w:rPr>
          <w:lang w:val="en-GB"/>
        </w:rPr>
        <w:t xml:space="preserve"> %</w:t>
      </w:r>
      <w:r w:rsidR="00FE1C02" w:rsidRPr="00BF2A4F">
        <w:rPr>
          <w:lang w:val="en-GB"/>
        </w:rPr>
        <w:t>, Sigma-Aldrich)</w:t>
      </w:r>
      <w:r w:rsidR="00317BE1" w:rsidRPr="00BF2A4F">
        <w:rPr>
          <w:lang w:val="en-GB"/>
        </w:rPr>
        <w:t xml:space="preserve">, </w:t>
      </w:r>
      <w:r w:rsidR="008B4ECC" w:rsidRPr="00BF2A4F">
        <w:rPr>
          <w:lang w:val="en-GB"/>
        </w:rPr>
        <w:t>α-linolenic acid (</w:t>
      </w:r>
      <w:r w:rsidR="002C3BF4" w:rsidRPr="00BF2A4F">
        <w:rPr>
          <w:lang w:val="en-GB"/>
        </w:rPr>
        <w:t>99</w:t>
      </w:r>
      <w:r w:rsidR="008B4ECC" w:rsidRPr="00BF2A4F">
        <w:rPr>
          <w:lang w:val="en-GB"/>
        </w:rPr>
        <w:t xml:space="preserve"> </w:t>
      </w:r>
      <w:r w:rsidR="002C3BF4" w:rsidRPr="00BF2A4F">
        <w:rPr>
          <w:lang w:val="en-GB"/>
        </w:rPr>
        <w:t>%, ACROS Organics™</w:t>
      </w:r>
      <w:r w:rsidR="008B4ECC" w:rsidRPr="00BF2A4F">
        <w:rPr>
          <w:lang w:val="en-GB"/>
        </w:rPr>
        <w:t xml:space="preserve">), </w:t>
      </w:r>
      <w:r w:rsidR="00317BE1" w:rsidRPr="00BF2A4F">
        <w:rPr>
          <w:lang w:val="en-GB"/>
        </w:rPr>
        <w:t>helium (≥ 99.99</w:t>
      </w:r>
      <w:r w:rsidR="00743DDE" w:rsidRPr="00BF2A4F">
        <w:rPr>
          <w:lang w:val="en-GB"/>
        </w:rPr>
        <w:t xml:space="preserve"> %</w:t>
      </w:r>
      <w:r w:rsidR="00317BE1" w:rsidRPr="00BF2A4F">
        <w:rPr>
          <w:lang w:val="en-GB"/>
        </w:rPr>
        <w:t>, Air Liquide), nitrogen (≥ 99.99 %, Air Liquide), hydrogen (≥ 99.99</w:t>
      </w:r>
      <w:r w:rsidR="00743DDE" w:rsidRPr="00BF2A4F">
        <w:rPr>
          <w:lang w:val="en-GB"/>
        </w:rPr>
        <w:t xml:space="preserve"> %</w:t>
      </w:r>
      <w:r w:rsidR="00095D68" w:rsidRPr="00BF2A4F">
        <w:rPr>
          <w:lang w:val="en-GB"/>
        </w:rPr>
        <w:t>, Air Liquide) and</w:t>
      </w:r>
      <w:r w:rsidR="00317BE1" w:rsidRPr="00BF2A4F">
        <w:rPr>
          <w:lang w:val="en-GB"/>
        </w:rPr>
        <w:t xml:space="preserve"> CO</w:t>
      </w:r>
      <w:r w:rsidR="00317BE1" w:rsidRPr="00BF2A4F">
        <w:rPr>
          <w:vertAlign w:val="subscript"/>
          <w:lang w:val="en-GB"/>
        </w:rPr>
        <w:t>2</w:t>
      </w:r>
      <w:r w:rsidR="00317BE1" w:rsidRPr="00BF2A4F">
        <w:rPr>
          <w:lang w:val="en-GB"/>
        </w:rPr>
        <w:t xml:space="preserve"> (≥ 99.98 %,</w:t>
      </w:r>
      <w:r w:rsidR="007A21CD" w:rsidRPr="00BF2A4F">
        <w:rPr>
          <w:lang w:val="en-GB"/>
        </w:rPr>
        <w:t xml:space="preserve"> Air Products) were used in this work.</w:t>
      </w:r>
      <w:r w:rsidR="002E6504" w:rsidRPr="00BF2A4F">
        <w:rPr>
          <w:lang w:val="en-GB"/>
        </w:rPr>
        <w:t xml:space="preserve"> </w:t>
      </w:r>
      <w:r w:rsidR="00E423BB" w:rsidRPr="00BF2A4F">
        <w:rPr>
          <w:lang w:val="en-GB"/>
        </w:rPr>
        <w:t xml:space="preserve">All substances were </w:t>
      </w:r>
      <w:r w:rsidR="00A67A7F" w:rsidRPr="00BF2A4F">
        <w:rPr>
          <w:lang w:val="en-GB"/>
        </w:rPr>
        <w:t xml:space="preserve">acquired in Spain and </w:t>
      </w:r>
      <w:r w:rsidR="00E423BB" w:rsidRPr="00BF2A4F">
        <w:rPr>
          <w:lang w:val="en-GB"/>
        </w:rPr>
        <w:t>used without any pre-treatment.</w:t>
      </w:r>
    </w:p>
    <w:p w:rsidR="00371059" w:rsidRPr="00BF2A4F" w:rsidRDefault="00581E00" w:rsidP="00044889">
      <w:pPr>
        <w:pStyle w:val="CETheadingx"/>
        <w:rPr>
          <w:lang w:val="en-GB"/>
        </w:rPr>
      </w:pPr>
      <w:bookmarkStart w:id="2" w:name="_Hlk533599366"/>
      <w:bookmarkEnd w:id="1"/>
      <w:r w:rsidRPr="00BF2A4F">
        <w:rPr>
          <w:lang w:val="en-GB"/>
        </w:rPr>
        <w:t>Computational methods</w:t>
      </w:r>
      <w:bookmarkEnd w:id="2"/>
    </w:p>
    <w:p w:rsidR="0097665A" w:rsidRPr="00BF2A4F" w:rsidRDefault="00581E00" w:rsidP="00ED6443">
      <w:pPr>
        <w:pStyle w:val="CETBodytext"/>
        <w:rPr>
          <w:b/>
        </w:rPr>
      </w:pPr>
      <w:r w:rsidRPr="00BF2A4F">
        <w:t xml:space="preserve">The modelling of the Hansen theory implemented </w:t>
      </w:r>
      <w:r w:rsidRPr="002731F2">
        <w:t xml:space="preserve">in this work was carried out such as it was described in previous works </w:t>
      </w:r>
      <w:r w:rsidR="008D4763" w:rsidRPr="002731F2">
        <w:rPr>
          <w:lang w:val="en-GB"/>
        </w:rPr>
        <w:fldChar w:fldCharType="begin" w:fldLock="1"/>
      </w:r>
      <w:r w:rsidR="008D4763" w:rsidRPr="002731F2">
        <w:rPr>
          <w:lang w:val="en-GB"/>
        </w:rPr>
        <w:instrText>ADDIN CSL_CITATION {"citationItems":[{"id":"ITEM-1","itemData":{"DOI":"10.1016/j.supflu.2018.12.013","ISSN":"08968446","author":[{"dropping-particle":"","family":"Tirado","given":"Diego F.","non-dropping-particle":"","parse-names":false,"suffix":""},{"dropping-particle":"","family":"Calvo","given":"Lourdes","non-dropping-particle":"","parse-names":false,"suffix":""}],"container-title":"The Journal of Supercritical Fluids","id":"ITEM-1","issued":{"date-parts":[["2019","3"]]},"page":"211-218","title":"The Hansen theory to choose the best cosolvent for supercritical CO2 extraction of β-carotene from &lt;i&gt;Dunaliella salina&lt;/i&gt;","type":"article-journal","volume":"145"},"uris":["http://www.mendeley.com/documents/?uuid=2bca28c9-55b1-4e32-837e-983f7077cc7c"]},{"id":"ITEM-2","itemData":{"DOI":"10.1016/j.ces.2018.06.017","ISSN":"00092509","abstract":"Cosolvents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Science","id":"ITEM-2","issued":{"date-parts":[["2018","11","23"]]},"page":"14-20","publisher":"Pergamon","title":"Prediction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 Tirado and Calvo, 2019)","plainTextFormattedCitation":"(Tirado et al., 2018; Tirado and Calvo, 2019)","previouslyFormattedCitation":"(Tirado et al., 2018; Tirado and Calvo, 2019)"},"properties":{"noteIndex":0},"schema":"https://github.com/citation-style-language/schema/raw/master/csl-citation.json"}</w:instrText>
      </w:r>
      <w:r w:rsidR="008D4763" w:rsidRPr="002731F2">
        <w:rPr>
          <w:lang w:val="en-GB"/>
        </w:rPr>
        <w:fldChar w:fldCharType="separate"/>
      </w:r>
      <w:r w:rsidR="008D4763" w:rsidRPr="002731F2">
        <w:rPr>
          <w:noProof/>
          <w:lang w:val="en-GB"/>
        </w:rPr>
        <w:t xml:space="preserve">(Tirado </w:t>
      </w:r>
      <w:r w:rsidR="008D4763" w:rsidRPr="00922C6E">
        <w:rPr>
          <w:i/>
          <w:noProof/>
          <w:lang w:val="en-GB"/>
        </w:rPr>
        <w:t>et al.</w:t>
      </w:r>
      <w:r w:rsidR="008D4763" w:rsidRPr="002731F2">
        <w:rPr>
          <w:noProof/>
          <w:lang w:val="en-GB"/>
        </w:rPr>
        <w:t>, 2018; Tirado and Calvo, 2019)</w:t>
      </w:r>
      <w:r w:rsidR="008D4763" w:rsidRPr="002731F2">
        <w:rPr>
          <w:lang w:val="en-GB"/>
        </w:rPr>
        <w:fldChar w:fldCharType="end"/>
      </w:r>
      <w:r w:rsidR="008D4763" w:rsidRPr="002731F2">
        <w:rPr>
          <w:lang w:val="en-GB"/>
        </w:rPr>
        <w:t xml:space="preserve"> </w:t>
      </w:r>
      <w:r w:rsidR="00E33A88" w:rsidRPr="002731F2">
        <w:t xml:space="preserve">using </w:t>
      </w:r>
      <w:r w:rsidR="00E33A88" w:rsidRPr="00BF2A4F">
        <w:t>Microsoft Excel.</w:t>
      </w:r>
    </w:p>
    <w:p w:rsidR="00371059" w:rsidRPr="00BF2A4F" w:rsidRDefault="00581E00" w:rsidP="00670E42">
      <w:pPr>
        <w:pStyle w:val="CETHeadingxx"/>
        <w:rPr>
          <w:lang w:val="en-GB"/>
        </w:rPr>
      </w:pPr>
      <w:r w:rsidRPr="00BF2A4F">
        <w:rPr>
          <w:lang w:val="en-GB"/>
        </w:rPr>
        <w:t xml:space="preserve">2.2.1 </w:t>
      </w:r>
      <w:bookmarkStart w:id="3" w:name="_Hlk533599378"/>
      <w:r w:rsidRPr="00BF2A4F">
        <w:rPr>
          <w:lang w:val="en-GB"/>
        </w:rPr>
        <w:t xml:space="preserve">Hansen </w:t>
      </w:r>
      <w:r w:rsidRPr="00BF2A4F">
        <w:rPr>
          <w:lang w:val="en-GB"/>
        </w:rPr>
        <w:t>solubility parameters of fatty acids</w:t>
      </w:r>
      <w:bookmarkEnd w:id="3"/>
    </w:p>
    <w:p w:rsidR="00E423BB" w:rsidRPr="00BF2A4F" w:rsidRDefault="00581E00" w:rsidP="001922DF">
      <w:pPr>
        <w:pStyle w:val="CETBodytext"/>
        <w:rPr>
          <w:lang w:val="en-GB"/>
        </w:rPr>
      </w:pPr>
      <w:r w:rsidRPr="00BF2A4F">
        <w:rPr>
          <w:lang w:val="en-GB"/>
        </w:rPr>
        <w:t xml:space="preserve">The HSP at 298.15 K and 0.1 MPa of </w:t>
      </w:r>
      <w:r w:rsidR="0097665A" w:rsidRPr="00BF2A4F">
        <w:rPr>
          <w:lang w:val="en-GB"/>
        </w:rPr>
        <w:t xml:space="preserve">the </w:t>
      </w:r>
      <w:r w:rsidR="006A165B" w:rsidRPr="00BF2A4F">
        <w:rPr>
          <w:bCs/>
          <w:lang w:val="en-GB"/>
        </w:rPr>
        <w:t>oleic</w:t>
      </w:r>
      <w:r w:rsidR="006A3C7D" w:rsidRPr="00BF2A4F">
        <w:rPr>
          <w:bCs/>
          <w:lang w:val="en-GB"/>
        </w:rPr>
        <w:t xml:space="preserve"> </w:t>
      </w:r>
      <w:r w:rsidR="006A165B" w:rsidRPr="00BF2A4F">
        <w:rPr>
          <w:bCs/>
          <w:lang w:val="en-GB"/>
        </w:rPr>
        <w:t xml:space="preserve">(C18:1 </w:t>
      </w:r>
      <w:r w:rsidR="006A165B" w:rsidRPr="00BF2A4F">
        <w:rPr>
          <w:bCs/>
          <w:i/>
          <w:lang w:val="en-GB"/>
        </w:rPr>
        <w:t>cis</w:t>
      </w:r>
      <w:r w:rsidR="006A165B" w:rsidRPr="00BF2A4F">
        <w:rPr>
          <w:bCs/>
          <w:lang w:val="en-GB"/>
        </w:rPr>
        <w:t xml:space="preserve">-9), linoleic (C18:2 </w:t>
      </w:r>
      <w:r w:rsidR="006A165B" w:rsidRPr="00BF2A4F">
        <w:rPr>
          <w:bCs/>
          <w:i/>
          <w:lang w:val="en-GB"/>
        </w:rPr>
        <w:t>cis</w:t>
      </w:r>
      <w:r w:rsidR="006A165B" w:rsidRPr="00BF2A4F">
        <w:rPr>
          <w:bCs/>
          <w:lang w:val="en-GB"/>
        </w:rPr>
        <w:t xml:space="preserve">-9,12) and </w:t>
      </w:r>
      <w:r w:rsidR="00102ADB" w:rsidRPr="00BF2A4F">
        <w:rPr>
          <w:lang w:val="en-GB"/>
        </w:rPr>
        <w:t>α-linolenic</w:t>
      </w:r>
      <w:r w:rsidR="00102ADB" w:rsidRPr="00BF2A4F">
        <w:rPr>
          <w:bCs/>
          <w:lang w:val="en-GB"/>
        </w:rPr>
        <w:t xml:space="preserve"> </w:t>
      </w:r>
      <w:r w:rsidR="006A165B" w:rsidRPr="00BF2A4F">
        <w:rPr>
          <w:bCs/>
          <w:lang w:val="en-GB"/>
        </w:rPr>
        <w:t xml:space="preserve">(C18:3 </w:t>
      </w:r>
      <w:r w:rsidR="006A165B" w:rsidRPr="00BF2A4F">
        <w:rPr>
          <w:bCs/>
          <w:i/>
          <w:lang w:val="en-GB"/>
        </w:rPr>
        <w:t>cis</w:t>
      </w:r>
      <w:r w:rsidR="006A165B" w:rsidRPr="00BF2A4F">
        <w:rPr>
          <w:bCs/>
          <w:lang w:val="en-GB"/>
        </w:rPr>
        <w:t xml:space="preserve">-9,12,15) </w:t>
      </w:r>
      <w:r w:rsidR="00102ADB" w:rsidRPr="00BF2A4F">
        <w:rPr>
          <w:bCs/>
          <w:lang w:val="en-GB"/>
        </w:rPr>
        <w:t xml:space="preserve">acids </w:t>
      </w:r>
      <w:r w:rsidRPr="00BF2A4F">
        <w:rPr>
          <w:lang w:val="en-GB"/>
        </w:rPr>
        <w:t xml:space="preserve">were calculated by using the group contribution method (GCM) proposed by Hansen </w:t>
      </w:r>
      <w:r w:rsidRPr="00BF2A4F">
        <w:rPr>
          <w:lang w:val="en-GB"/>
        </w:rPr>
        <w:fldChar w:fldCharType="begin" w:fldLock="1"/>
      </w:r>
      <w:r w:rsidRPr="00BF2A4F">
        <w:rPr>
          <w:lang w:val="en-GB"/>
        </w:rPr>
        <w:instrText>ADDIN CSL_C</w:instrText>
      </w:r>
      <w:r w:rsidRPr="00BF2A4F">
        <w:rPr>
          <w:lang w:val="en-GB"/>
        </w:rPr>
        <w:instrText>ITATION {"citationItems":[{"id":"ITEM-1","itemData":{"ISBN":"9781420006834","author":[{"dropping-particle":"","family":"Hansen","given":"Charles M.","non-dropping-particle":"","parse-names":false,"suffix":""}],"edition":"Second","id":"ITEM-1","issued":{"da</w:instrText>
      </w:r>
      <w:r w:rsidRPr="00BF2A4F">
        <w:rPr>
          <w:lang w:val="en-GB"/>
        </w:rPr>
        <w:instrText>te-parts":[["2007"]]},"number-of-pages":"544","publisher":"CRC Press","publisher-place":"Boca Raton FL, United States","title":"Hansen Solubility Parameters: A User's Handbook","type":"book"},"uris":["http://www.mendeley.com/documents/?uuid=2c654766-efea-4</w:instrText>
      </w:r>
      <w:r w:rsidRPr="00BF2A4F">
        <w:rPr>
          <w:lang w:val="en-GB"/>
        </w:rPr>
        <w:instrText>155-8a27-54c741f8f56f"]}],"mendeley":{"formattedCitation":"(Hansen, 2007)","plainTextFormattedCitation":"(Hansen, 2007)","previouslyFormattedCitation":"(Hansen, 2007)"},"properties":{"noteIndex":0},"schema":"https://github.com/citation-style-language/schem</w:instrText>
      </w:r>
      <w:r w:rsidRPr="00BF2A4F">
        <w:rPr>
          <w:lang w:val="en-GB"/>
        </w:rPr>
        <w:instrText>a/raw/master/csl-citation.json"}</w:instrText>
      </w:r>
      <w:r w:rsidRPr="00BF2A4F">
        <w:rPr>
          <w:lang w:val="en-GB"/>
        </w:rPr>
        <w:fldChar w:fldCharType="separate"/>
      </w:r>
      <w:r w:rsidRPr="00BF2A4F">
        <w:rPr>
          <w:noProof/>
          <w:lang w:val="en-GB"/>
        </w:rPr>
        <w:t>(Hansen, 2007)</w:t>
      </w:r>
      <w:r w:rsidRPr="00BF2A4F">
        <w:rPr>
          <w:lang w:val="en-GB"/>
        </w:rPr>
        <w:fldChar w:fldCharType="end"/>
      </w:r>
      <w:r w:rsidRPr="00BF2A4F">
        <w:rPr>
          <w:lang w:val="en-GB"/>
        </w:rPr>
        <w:t xml:space="preserve">. </w:t>
      </w:r>
      <w:r w:rsidR="0097665A" w:rsidRPr="00BF2A4F">
        <w:rPr>
          <w:lang w:val="en-GB"/>
        </w:rPr>
        <w:t>T</w:t>
      </w:r>
      <w:r w:rsidRPr="00BF2A4F">
        <w:rPr>
          <w:lang w:val="en-GB"/>
        </w:rPr>
        <w:t xml:space="preserve">he influence of temperature on the HSP values was calculated by </w:t>
      </w:r>
      <w:r w:rsidR="00012624" w:rsidRPr="00BF2A4F">
        <w:rPr>
          <w:lang w:val="en-GB"/>
        </w:rPr>
        <w:t>t</w:t>
      </w:r>
      <w:r w:rsidRPr="00BF2A4F">
        <w:rPr>
          <w:lang w:val="en-GB"/>
        </w:rPr>
        <w:t xml:space="preserve">he Jayasri and Yaseen method </w:t>
      </w:r>
      <w:r w:rsidRPr="00BF2A4F">
        <w:rPr>
          <w:lang w:val="en-GB"/>
        </w:rPr>
        <w:fldChar w:fldCharType="begin" w:fldLock="1"/>
      </w:r>
      <w:r w:rsidRPr="00BF2A4F">
        <w:rPr>
          <w:lang w:val="en-GB"/>
        </w:rPr>
        <w:instrText>ADDIN CSL_CITATION {"citationItems":[{"id":"ITEM-1","itemData":{"author":[{"dropping-particle":"","family":"Ja</w:instrText>
      </w:r>
      <w:r w:rsidRPr="00BF2A4F">
        <w:rPr>
          <w:lang w:val="en-GB"/>
        </w:rPr>
        <w:instrText>yasri","given":"A","non-dropping-particle":"","parse-names":false,"suffix":""},{"dropping-particle":"","family":"Yaseen","given":"M","non-dropping-particle":"","parse-names":false,"suffix":""}],"container-title":"Journal of Coatings Technology","id":"ITEM-</w:instrText>
      </w:r>
      <w:r w:rsidRPr="00BF2A4F">
        <w:rPr>
          <w:lang w:val="en-GB"/>
        </w:rPr>
        <w:instrText>1","issued":{"date-parts":[["1980"]]},"page":"41-45","title":"Nomograms for solubility parameter","type":"article-journal","volume":"52"},"uris":["http://www.mendeley.com/documents/?uuid=b15528f9-c4f8-41e6-8f23-b434404a7d51"]}],"mendeley":{"formattedCitati</w:instrText>
      </w:r>
      <w:r w:rsidRPr="00BF2A4F">
        <w:rPr>
          <w:lang w:val="en-GB"/>
        </w:rPr>
        <w:instrText>on":"(Jayasri and Yaseen, 1980)","plainTextFormattedCitation":"(Jayasri and Yaseen, 1980)","previouslyFormattedCitation":"(Jayasri and Yaseen, 1980)"},"properties":{"noteIndex":0},"schema":"https://github.com/citation-style-language/schema/raw/master/csl-c</w:instrText>
      </w:r>
      <w:r w:rsidRPr="00BF2A4F">
        <w:rPr>
          <w:lang w:val="en-GB"/>
        </w:rPr>
        <w:instrText>itation.json"}</w:instrText>
      </w:r>
      <w:r w:rsidRPr="00BF2A4F">
        <w:rPr>
          <w:lang w:val="en-GB"/>
        </w:rPr>
        <w:fldChar w:fldCharType="separate"/>
      </w:r>
      <w:r w:rsidRPr="00BF2A4F">
        <w:rPr>
          <w:noProof/>
          <w:lang w:val="en-GB"/>
        </w:rPr>
        <w:t>(Jayasri and Yaseen, 1980)</w:t>
      </w:r>
      <w:r w:rsidRPr="00BF2A4F">
        <w:rPr>
          <w:lang w:val="en-GB"/>
        </w:rPr>
        <w:fldChar w:fldCharType="end"/>
      </w:r>
      <w:r w:rsidRPr="00BF2A4F">
        <w:rPr>
          <w:lang w:val="en-GB"/>
        </w:rPr>
        <w:t xml:space="preserve">. Working below the critical points of the target compounds, pressure does not exert a considerable influence on their HSP </w:t>
      </w:r>
      <w:r w:rsidRPr="00BF2A4F">
        <w:rPr>
          <w:lang w:val="en-GB"/>
        </w:rPr>
        <w:fldChar w:fldCharType="begin" w:fldLock="1"/>
      </w:r>
      <w:r w:rsidR="0090478D">
        <w:rPr>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Pr="00BF2A4F">
        <w:rPr>
          <w:lang w:val="en-GB"/>
        </w:rPr>
        <w:fldChar w:fldCharType="separate"/>
      </w:r>
      <w:r w:rsidRPr="00BF2A4F">
        <w:rPr>
          <w:noProof/>
          <w:lang w:val="en-GB"/>
        </w:rPr>
        <w:t xml:space="preserve">(Tirado </w:t>
      </w:r>
      <w:r w:rsidRPr="00BF2A4F">
        <w:rPr>
          <w:i/>
          <w:noProof/>
          <w:lang w:val="en-GB"/>
        </w:rPr>
        <w:t>et al.,</w:t>
      </w:r>
      <w:r w:rsidRPr="00BF2A4F">
        <w:rPr>
          <w:noProof/>
          <w:lang w:val="en-GB"/>
        </w:rPr>
        <w:t xml:space="preserve"> 2018)</w:t>
      </w:r>
      <w:r w:rsidRPr="00BF2A4F">
        <w:rPr>
          <w:lang w:val="en-GB"/>
        </w:rPr>
        <w:fldChar w:fldCharType="end"/>
      </w:r>
      <w:r w:rsidR="00FF24BC" w:rsidRPr="00BF2A4F">
        <w:rPr>
          <w:lang w:val="en-GB"/>
        </w:rPr>
        <w:t>, t</w:t>
      </w:r>
      <w:r w:rsidRPr="00BF2A4F">
        <w:rPr>
          <w:lang w:val="en-GB"/>
        </w:rPr>
        <w:t xml:space="preserve">herefore, this influence was not considered. The critical temperatures were </w:t>
      </w:r>
      <w:r w:rsidR="0097665A" w:rsidRPr="00BF2A4F">
        <w:rPr>
          <w:lang w:val="en-GB"/>
        </w:rPr>
        <w:t>calculated</w:t>
      </w:r>
      <w:r w:rsidRPr="00BF2A4F">
        <w:rPr>
          <w:lang w:val="en-GB"/>
        </w:rPr>
        <w:t xml:space="preserve"> by the GCM proposed by Joback </w:t>
      </w:r>
      <w:r w:rsidRPr="00BF2A4F">
        <w:rPr>
          <w:lang w:val="en-GB"/>
        </w:rPr>
        <w:fldChar w:fldCharType="begin" w:fldLock="1"/>
      </w:r>
      <w:r w:rsidRPr="00BF2A4F">
        <w:rPr>
          <w:lang w:val="en-GB"/>
        </w:rPr>
        <w:instrText>ADDIN CSL_CITATION {"citationItems":[{"id":"ITEM-1","itemData":{"DOI":"10.1080/00986448708960487","ISSN":"0098-6445","author":[{"dropping-particle":"","family":"Joback","given":"K.G.","non-dropping-particle":"","parse-names":</w:instrText>
      </w:r>
      <w:r w:rsidRPr="00BF2A4F">
        <w:rPr>
          <w:lang w:val="en-GB"/>
        </w:rPr>
        <w:instrText>false,"suffix":""},{"dropping-particle":"","family":"Reid","given":"R.C.","non-dropping-particle":"","parse-names":false,"suffix":""}],"container-title":"Chemical Engineering Communications","id":"ITEM-1","issue":"1-6","issued":{"date-parts":[["1987","7","</w:instrText>
      </w:r>
      <w:r w:rsidRPr="00BF2A4F">
        <w:rPr>
          <w:lang w:val="en-GB"/>
        </w:rPr>
        <w:instrText>21"]]},"page":"233-243","title":"Estimation of pure-component properties from group-contributions","type":"article-journal","volume":"57"},"uris":["http://www.mendeley.com/documents/?uuid=6b80b25c-4ec1-4f5c-ac50-aefeebed8def"]}],"mendeley":{"formattedCitat</w:instrText>
      </w:r>
      <w:r w:rsidRPr="00BF2A4F">
        <w:rPr>
          <w:lang w:val="en-GB"/>
        </w:rPr>
        <w:instrText>ion":"(Joback and Reid, 1987)","plainTextFormattedCitation":"(Joback and Reid, 1987)","previouslyFormattedCitation":"(Joback and Reid, 1987)"},"properties":{"noteIndex":0},"schema":"https://github.com/citation-style-language/schema/raw/master/csl-citation.</w:instrText>
      </w:r>
      <w:r w:rsidRPr="00BF2A4F">
        <w:rPr>
          <w:lang w:val="en-GB"/>
        </w:rPr>
        <w:instrText>json"}</w:instrText>
      </w:r>
      <w:r w:rsidRPr="00BF2A4F">
        <w:rPr>
          <w:lang w:val="en-GB"/>
        </w:rPr>
        <w:fldChar w:fldCharType="separate"/>
      </w:r>
      <w:r w:rsidRPr="00BF2A4F">
        <w:rPr>
          <w:noProof/>
          <w:lang w:val="en-GB"/>
        </w:rPr>
        <w:t>(Joback and Reid, 1987)</w:t>
      </w:r>
      <w:r w:rsidRPr="00BF2A4F">
        <w:rPr>
          <w:lang w:val="en-GB"/>
        </w:rPr>
        <w:fldChar w:fldCharType="end"/>
      </w:r>
      <w:r w:rsidR="00C54122" w:rsidRPr="00BF2A4F">
        <w:rPr>
          <w:lang w:val="en-GB"/>
        </w:rPr>
        <w:t>.</w:t>
      </w:r>
    </w:p>
    <w:p w:rsidR="00371059" w:rsidRPr="00BF2A4F" w:rsidRDefault="00581E00" w:rsidP="00670E42">
      <w:pPr>
        <w:pStyle w:val="CETHeadingxx"/>
        <w:rPr>
          <w:lang w:val="en-GB"/>
        </w:rPr>
      </w:pPr>
      <w:r w:rsidRPr="00BF2A4F">
        <w:rPr>
          <w:lang w:val="en-GB"/>
        </w:rPr>
        <w:t xml:space="preserve">2.2.2 </w:t>
      </w:r>
      <w:bookmarkStart w:id="4" w:name="_Hlk533599401"/>
      <w:r w:rsidRPr="00BF2A4F">
        <w:rPr>
          <w:lang w:val="en-GB"/>
        </w:rPr>
        <w:t>Hansen solubility parameters of solvents</w:t>
      </w:r>
      <w:bookmarkEnd w:id="4"/>
    </w:p>
    <w:p w:rsidR="00B037C6" w:rsidRDefault="00581E00" w:rsidP="008068AB">
      <w:pPr>
        <w:pStyle w:val="CETBodytext"/>
        <w:rPr>
          <w:color w:val="FF0000"/>
          <w:lang w:val="en-GB"/>
        </w:rPr>
      </w:pPr>
      <w:r w:rsidRPr="00271148">
        <w:rPr>
          <w:color w:val="FF0000"/>
          <w:lang w:val="en-GB"/>
        </w:rPr>
        <w:t>The mixtures sc-CO</w:t>
      </w:r>
      <w:r w:rsidRPr="00271148">
        <w:rPr>
          <w:color w:val="FF0000"/>
          <w:vertAlign w:val="subscript"/>
          <w:lang w:val="en-GB"/>
        </w:rPr>
        <w:t>2</w:t>
      </w:r>
      <w:r w:rsidRPr="00271148">
        <w:rPr>
          <w:color w:val="FF0000"/>
          <w:lang w:val="en-GB"/>
        </w:rPr>
        <w:t xml:space="preserve"> + cosolvent should be in the supercritical state (completely miscible) at the operating conditions to reach the desired cosolvent effect </w:t>
      </w:r>
      <w:r w:rsidRPr="00271148">
        <w:rPr>
          <w:color w:val="FF0000"/>
          <w:lang w:val="en-GB"/>
        </w:rPr>
        <w:fldChar w:fldCharType="begin" w:fldLock="1"/>
      </w:r>
      <w:r w:rsidR="00D55AF6">
        <w:rPr>
          <w:color w:val="FF0000"/>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Pr="00271148">
        <w:rPr>
          <w:color w:val="FF0000"/>
          <w:lang w:val="en-GB"/>
        </w:rPr>
        <w:fldChar w:fldCharType="separate"/>
      </w:r>
      <w:r w:rsidRPr="00271148">
        <w:rPr>
          <w:noProof/>
          <w:color w:val="FF0000"/>
          <w:lang w:val="en-GB"/>
        </w:rPr>
        <w:t xml:space="preserve">(Tirado </w:t>
      </w:r>
      <w:r w:rsidRPr="005A4BF7">
        <w:rPr>
          <w:i/>
          <w:noProof/>
          <w:color w:val="FF0000"/>
          <w:lang w:val="en-GB"/>
        </w:rPr>
        <w:t>et al.,</w:t>
      </w:r>
      <w:r w:rsidRPr="00271148">
        <w:rPr>
          <w:noProof/>
          <w:color w:val="FF0000"/>
          <w:lang w:val="en-GB"/>
        </w:rPr>
        <w:t xml:space="preserve"> 2018)</w:t>
      </w:r>
      <w:r w:rsidRPr="00271148">
        <w:rPr>
          <w:color w:val="FF0000"/>
          <w:lang w:val="en-GB"/>
        </w:rPr>
        <w:fldChar w:fldCharType="end"/>
      </w:r>
      <w:r w:rsidRPr="00271148">
        <w:rPr>
          <w:color w:val="FF0000"/>
          <w:lang w:val="en-GB"/>
        </w:rPr>
        <w:t xml:space="preserve">. Therefore, </w:t>
      </w:r>
      <w:r w:rsidRPr="00271148">
        <w:rPr>
          <w:color w:val="FF0000"/>
        </w:rPr>
        <w:t>calculations were p</w:t>
      </w:r>
      <w:r w:rsidRPr="00271148">
        <w:rPr>
          <w:color w:val="FF0000"/>
        </w:rPr>
        <w:t xml:space="preserve">erformed at a constant cosolvent volume fraction of </w:t>
      </w:r>
      <w:r w:rsidRPr="00314402">
        <w:rPr>
          <w:color w:val="FF0000"/>
        </w:rPr>
        <w:t>5 %</w:t>
      </w:r>
      <w:r w:rsidR="00314402" w:rsidRPr="00314402">
        <w:rPr>
          <w:color w:val="FF0000"/>
        </w:rPr>
        <w:t xml:space="preserve"> </w:t>
      </w:r>
      <w:r w:rsidR="00314402" w:rsidRPr="00314402">
        <w:rPr>
          <w:color w:val="FF0000"/>
          <w:lang w:val="en-GB"/>
        </w:rPr>
        <w:t>(0.05 m</w:t>
      </w:r>
      <w:r w:rsidR="00314402" w:rsidRPr="00314402">
        <w:rPr>
          <w:color w:val="FF0000"/>
          <w:vertAlign w:val="superscript"/>
          <w:lang w:val="en-GB"/>
        </w:rPr>
        <w:t>3</w:t>
      </w:r>
      <w:r w:rsidR="00314402" w:rsidRPr="00314402">
        <w:rPr>
          <w:color w:val="FF0000"/>
          <w:lang w:val="en-GB"/>
        </w:rPr>
        <w:t xml:space="preserve"> m</w:t>
      </w:r>
      <w:r w:rsidR="00314402" w:rsidRPr="00314402">
        <w:rPr>
          <w:color w:val="FF0000"/>
          <w:vertAlign w:val="superscript"/>
          <w:lang w:val="en-GB"/>
        </w:rPr>
        <w:t>-3</w:t>
      </w:r>
      <w:r w:rsidR="00314402" w:rsidRPr="00314402">
        <w:rPr>
          <w:color w:val="FF0000"/>
          <w:lang w:val="en-GB"/>
        </w:rPr>
        <w:t>)</w:t>
      </w:r>
      <w:r w:rsidRPr="00314402">
        <w:rPr>
          <w:color w:val="FF0000"/>
        </w:rPr>
        <w:t xml:space="preserve"> to </w:t>
      </w:r>
      <w:r w:rsidRPr="00271148">
        <w:rPr>
          <w:color w:val="FF0000"/>
        </w:rPr>
        <w:t xml:space="preserve">ensure </w:t>
      </w:r>
      <w:r w:rsidRPr="00271148">
        <w:rPr>
          <w:color w:val="FF0000"/>
          <w:lang w:val="en-GB"/>
        </w:rPr>
        <w:t xml:space="preserve">the selection of the best cosolvent at </w:t>
      </w:r>
      <w:r w:rsidR="00580092">
        <w:rPr>
          <w:color w:val="FF0000"/>
          <w:lang w:val="en-GB"/>
        </w:rPr>
        <w:t xml:space="preserve">supercritical </w:t>
      </w:r>
      <w:r w:rsidRPr="00271148">
        <w:rPr>
          <w:color w:val="FF0000"/>
          <w:lang w:val="en-GB"/>
        </w:rPr>
        <w:t>conditions. The existence of a single homogeneous phase for all the mixtures at the explored conditions was corroborated by visual inspection in</w:t>
      </w:r>
      <w:r w:rsidR="00BF3E0C">
        <w:rPr>
          <w:color w:val="FF0000"/>
          <w:lang w:val="en-GB"/>
        </w:rPr>
        <w:t xml:space="preserve"> a</w:t>
      </w:r>
      <w:r w:rsidRPr="00271148">
        <w:rPr>
          <w:color w:val="FF0000"/>
          <w:lang w:val="en-GB"/>
        </w:rPr>
        <w:t xml:space="preserve"> high-pressure variable volume view cell</w:t>
      </w:r>
      <w:r w:rsidR="00B431DB">
        <w:rPr>
          <w:color w:val="FF0000"/>
          <w:lang w:val="en-GB"/>
        </w:rPr>
        <w:t xml:space="preserve"> (see Section 2.3)</w:t>
      </w:r>
      <w:r w:rsidRPr="00271148">
        <w:rPr>
          <w:color w:val="FF0000"/>
          <w:lang w:val="en-GB"/>
        </w:rPr>
        <w:t>.</w:t>
      </w:r>
    </w:p>
    <w:p w:rsidR="00B037C6" w:rsidRDefault="00B037C6" w:rsidP="008068AB">
      <w:pPr>
        <w:pStyle w:val="CETBodytext"/>
        <w:rPr>
          <w:lang w:val="en-GB"/>
        </w:rPr>
      </w:pPr>
    </w:p>
    <w:p w:rsidR="008068AB" w:rsidRDefault="00581E00" w:rsidP="008068AB">
      <w:pPr>
        <w:pStyle w:val="CETBodytext"/>
        <w:rPr>
          <w:lang w:val="en-GB"/>
        </w:rPr>
      </w:pPr>
      <w:r w:rsidRPr="00BF2A4F">
        <w:rPr>
          <w:lang w:val="en-GB"/>
        </w:rPr>
        <w:t>The reference solubility parameters values for CO</w:t>
      </w:r>
      <w:r w:rsidRPr="00BF2A4F">
        <w:rPr>
          <w:vertAlign w:val="subscript"/>
          <w:lang w:val="en-GB"/>
        </w:rPr>
        <w:t>2</w:t>
      </w:r>
      <w:r w:rsidRPr="00BF2A4F">
        <w:rPr>
          <w:lang w:val="en-GB"/>
        </w:rPr>
        <w:t xml:space="preserve"> and the </w:t>
      </w:r>
      <w:r w:rsidR="00981D65" w:rsidRPr="00BF2A4F">
        <w:rPr>
          <w:lang w:val="en-GB"/>
        </w:rPr>
        <w:t>cosolvent</w:t>
      </w:r>
      <w:r w:rsidR="0015744B" w:rsidRPr="00BF2A4F">
        <w:rPr>
          <w:lang w:val="en-GB"/>
        </w:rPr>
        <w:t>s at 298.15 K and 0.1 MPa</w:t>
      </w:r>
      <w:r w:rsidRPr="00BF2A4F">
        <w:rPr>
          <w:lang w:val="en-GB"/>
        </w:rPr>
        <w:t xml:space="preserve"> were obtained from the Hansen Handbook </w:t>
      </w:r>
      <w:r w:rsidRPr="00BF2A4F">
        <w:rPr>
          <w:lang w:val="en-GB"/>
        </w:rPr>
        <w:fldChar w:fldCharType="begin" w:fldLock="1"/>
      </w:r>
      <w:r w:rsidRPr="00BF2A4F">
        <w:rPr>
          <w:lang w:val="en-GB"/>
        </w:rPr>
        <w:instrText>ADDIN CSL_CITATION {"citationItems":[{"id":"ITEM-1","itemData":{"ISBN":"9781420006834","author":[{"dropping-particle":"","family":"Hansen","given":"Charles M.","non-dropping-particle":"",</w:instrText>
      </w:r>
      <w:r w:rsidRPr="00BF2A4F">
        <w:rPr>
          <w:lang w:val="en-GB"/>
        </w:rPr>
        <w:instrText>"parse-names":false,"suffix":""}],"edition":"Second","id":"ITEM-1","issued":{"date-parts":[["2007"]]},"number-of-pages":"544","publisher":"CRC Press","publisher-place":"Boca Raton FL, United States","title":"Hansen Solubility Parameters: A User's Handbook"</w:instrText>
      </w:r>
      <w:r w:rsidRPr="00BF2A4F">
        <w:rPr>
          <w:lang w:val="en-GB"/>
        </w:rPr>
        <w:instrText>,"type":"book"},"uris":["http://www.mendeley.com/documents/?uuid=2c654766-efea-4155-8a27-54c741f8f56f"]}],"mendeley":{"formattedCitation":"(Hansen, 2007)","plainTextFormattedCitation":"(Hansen, 2007)","previouslyFormattedCitation":"(Hansen, 2007)"},"proper</w:instrText>
      </w:r>
      <w:r w:rsidRPr="00BF2A4F">
        <w:rPr>
          <w:lang w:val="en-GB"/>
        </w:rPr>
        <w:instrText>ties":{"noteIndex":0},"schema":"https://github.com/citation-style-language/schema/raw/master/csl-citation.json"}</w:instrText>
      </w:r>
      <w:r w:rsidRPr="00BF2A4F">
        <w:rPr>
          <w:lang w:val="en-GB"/>
        </w:rPr>
        <w:fldChar w:fldCharType="separate"/>
      </w:r>
      <w:r w:rsidRPr="00BF2A4F">
        <w:rPr>
          <w:noProof/>
          <w:lang w:val="en-GB"/>
        </w:rPr>
        <w:t>(Hansen, 2007)</w:t>
      </w:r>
      <w:r w:rsidRPr="00BF2A4F">
        <w:rPr>
          <w:lang w:val="en-GB"/>
        </w:rPr>
        <w:fldChar w:fldCharType="end"/>
      </w:r>
      <w:r w:rsidRPr="00BF2A4F">
        <w:rPr>
          <w:lang w:val="en-GB"/>
        </w:rPr>
        <w:t xml:space="preserve">; while </w:t>
      </w:r>
      <w:r w:rsidR="0097665A" w:rsidRPr="00BF2A4F">
        <w:rPr>
          <w:lang w:val="en-GB"/>
        </w:rPr>
        <w:t>the molar volume</w:t>
      </w:r>
      <w:r w:rsidRPr="00BF2A4F">
        <w:rPr>
          <w:lang w:val="en-GB"/>
        </w:rPr>
        <w:t xml:space="preserve"> as function of the temperature and pressure studied (</w:t>
      </w:r>
      <w:r w:rsidRPr="00BF2A4F">
        <w:rPr>
          <w:bCs/>
          <w:lang w:val="en-GB"/>
        </w:rPr>
        <w:t>20 MPa and 305.15 K</w:t>
      </w:r>
      <w:r w:rsidRPr="00BF2A4F">
        <w:rPr>
          <w:lang w:val="en-GB"/>
        </w:rPr>
        <w:t>) were calculated by using the</w:t>
      </w:r>
      <w:r w:rsidRPr="00BF2A4F">
        <w:rPr>
          <w:lang w:val="en-GB"/>
        </w:rPr>
        <w:t xml:space="preserve"> Reference Fluid Properties (REFPROP) model from </w:t>
      </w:r>
      <w:r w:rsidR="00EE0441" w:rsidRPr="00BF2A4F">
        <w:rPr>
          <w:lang w:val="en-GB"/>
        </w:rPr>
        <w:t>the National Institute of Standards and Technology (</w:t>
      </w:r>
      <w:r w:rsidRPr="00BF2A4F">
        <w:rPr>
          <w:lang w:val="en-GB"/>
        </w:rPr>
        <w:t>NIST</w:t>
      </w:r>
      <w:r w:rsidR="00EE0441" w:rsidRPr="00BF2A4F">
        <w:rPr>
          <w:lang w:val="en-GB"/>
        </w:rPr>
        <w:t>)</w:t>
      </w:r>
      <w:r w:rsidRPr="00BF2A4F">
        <w:rPr>
          <w:lang w:val="en-GB"/>
        </w:rPr>
        <w:t xml:space="preserve">, with help of the Aspen Plus V 10.0 software. </w:t>
      </w:r>
      <w:r w:rsidRPr="00BF2A4F">
        <w:rPr>
          <w:lang w:val="en-GB"/>
        </w:rPr>
        <w:lastRenderedPageBreak/>
        <w:t>Finally, for the mixtures consisting of sc-CO</w:t>
      </w:r>
      <w:r w:rsidRPr="00BF2A4F">
        <w:rPr>
          <w:vertAlign w:val="subscript"/>
          <w:lang w:val="en-GB"/>
        </w:rPr>
        <w:t>2</w:t>
      </w:r>
      <w:r w:rsidRPr="00BF2A4F">
        <w:rPr>
          <w:lang w:val="en-GB"/>
        </w:rPr>
        <w:t xml:space="preserve"> and </w:t>
      </w:r>
      <w:r w:rsidR="00117AA6">
        <w:rPr>
          <w:lang w:val="en-GB"/>
        </w:rPr>
        <w:t xml:space="preserve">a volume fraction of </w:t>
      </w:r>
      <w:r w:rsidR="00CE18B6">
        <w:rPr>
          <w:lang w:val="en-GB"/>
        </w:rPr>
        <w:t xml:space="preserve">5 </w:t>
      </w:r>
      <w:r w:rsidR="00A63377">
        <w:rPr>
          <w:lang w:val="en-GB"/>
        </w:rPr>
        <w:t xml:space="preserve">% </w:t>
      </w:r>
      <w:r w:rsidR="00981D65" w:rsidRPr="00BF2A4F">
        <w:rPr>
          <w:lang w:val="en-GB"/>
        </w:rPr>
        <w:t>cosolvent</w:t>
      </w:r>
      <w:r w:rsidRPr="00BF2A4F">
        <w:rPr>
          <w:lang w:val="en-GB"/>
        </w:rPr>
        <w:t>, the solubility p</w:t>
      </w:r>
      <w:r w:rsidRPr="00BF2A4F">
        <w:rPr>
          <w:lang w:val="en-GB"/>
        </w:rPr>
        <w:t>arameters were determined with a</w:t>
      </w:r>
      <w:r w:rsidR="003E0DDE" w:rsidRPr="00BF2A4F">
        <w:rPr>
          <w:lang w:val="en-GB"/>
        </w:rPr>
        <w:t xml:space="preserve"> linear blend rule</w:t>
      </w:r>
      <w:r w:rsidRPr="00BF2A4F">
        <w:rPr>
          <w:lang w:val="en-GB"/>
        </w:rPr>
        <w:t xml:space="preserve">. The total HSP value of the mixture was equal to the sum of the product of the respective volume fractions of the components present in the mixture, and their corresponding HSP value. </w:t>
      </w:r>
    </w:p>
    <w:p w:rsidR="00760756" w:rsidRDefault="00760756" w:rsidP="001922DF">
      <w:pPr>
        <w:pStyle w:val="CETBodytext"/>
        <w:rPr>
          <w:lang w:val="en-GB"/>
        </w:rPr>
      </w:pPr>
    </w:p>
    <w:p w:rsidR="0007628A" w:rsidRPr="00BF2A4F" w:rsidRDefault="00581E00" w:rsidP="0007628A">
      <w:pPr>
        <w:pStyle w:val="CETHeadingxx"/>
        <w:rPr>
          <w:lang w:val="en-GB"/>
        </w:rPr>
      </w:pPr>
      <w:r w:rsidRPr="00BF2A4F">
        <w:rPr>
          <w:lang w:val="en-GB"/>
        </w:rPr>
        <w:t>2.2.3 Prediction of</w:t>
      </w:r>
      <w:r w:rsidRPr="00BF2A4F">
        <w:rPr>
          <w:lang w:val="en-GB"/>
        </w:rPr>
        <w:t xml:space="preserve"> miscibility enhancement</w:t>
      </w:r>
    </w:p>
    <w:p w:rsidR="00961895" w:rsidRDefault="00581E00" w:rsidP="0007628A">
      <w:pPr>
        <w:pStyle w:val="CETBodytext"/>
        <w:rPr>
          <w:lang w:val="en-GB"/>
        </w:rPr>
      </w:pPr>
      <w:r w:rsidRPr="00BF2A4F">
        <w:rPr>
          <w:lang w:val="en-GB"/>
        </w:rPr>
        <w:t xml:space="preserve">The miscibility enhancement </w:t>
      </w:r>
      <w:r w:rsidR="00F45C6B">
        <w:rPr>
          <w:lang w:val="en-GB"/>
        </w:rPr>
        <w:t>was</w:t>
      </w:r>
      <w:r w:rsidRPr="00BF2A4F">
        <w:rPr>
          <w:lang w:val="en-GB"/>
        </w:rPr>
        <w:t xml:space="preserve"> defined </w:t>
      </w:r>
      <w:r w:rsidR="00AD3438" w:rsidRPr="00BF2A4F">
        <w:rPr>
          <w:lang w:val="en-GB"/>
        </w:rPr>
        <w:t xml:space="preserve">by Eq. (2) </w:t>
      </w:r>
      <w:r w:rsidRPr="00BF2A4F">
        <w:rPr>
          <w:lang w:val="en-GB"/>
        </w:rPr>
        <w:t>as the percentage reduction of the R</w:t>
      </w:r>
      <w:r w:rsidRPr="00BF2A4F">
        <w:rPr>
          <w:vertAlign w:val="subscript"/>
          <w:lang w:val="en-GB"/>
        </w:rPr>
        <w:t>a</w:t>
      </w:r>
      <w:r w:rsidRPr="00BF2A4F">
        <w:rPr>
          <w:lang w:val="en-GB"/>
        </w:rPr>
        <w:t xml:space="preserve"> values of the mixture </w:t>
      </w:r>
      <w:r w:rsidR="00235A5F" w:rsidRPr="00BF2A4F">
        <w:rPr>
          <w:lang w:val="en-GB"/>
        </w:rPr>
        <w:t>sc-</w:t>
      </w:r>
      <w:r w:rsidRPr="00BF2A4F">
        <w:rPr>
          <w:lang w:val="en-GB"/>
        </w:rPr>
        <w:t>CO</w:t>
      </w:r>
      <w:r w:rsidRPr="00BF2A4F">
        <w:rPr>
          <w:vertAlign w:val="subscript"/>
          <w:lang w:val="en-GB"/>
        </w:rPr>
        <w:t>2</w:t>
      </w:r>
      <w:r w:rsidRPr="00BF2A4F">
        <w:rPr>
          <w:lang w:val="en-GB"/>
        </w:rPr>
        <w:t xml:space="preserve"> </w:t>
      </w:r>
      <w:r w:rsidR="00235A5F" w:rsidRPr="00BF2A4F">
        <w:rPr>
          <w:lang w:val="en-GB"/>
        </w:rPr>
        <w:t>–</w:t>
      </w:r>
      <w:r w:rsidRPr="00BF2A4F">
        <w:rPr>
          <w:lang w:val="en-GB"/>
        </w:rPr>
        <w:t xml:space="preserve"> </w:t>
      </w:r>
      <w:r w:rsidR="00981D65" w:rsidRPr="00BF2A4F">
        <w:rPr>
          <w:lang w:val="en-GB"/>
        </w:rPr>
        <w:t>cosolvent</w:t>
      </w:r>
      <w:r w:rsidRPr="00BF2A4F">
        <w:rPr>
          <w:lang w:val="en-GB"/>
        </w:rPr>
        <w:t xml:space="preserve"> in relation to pure </w:t>
      </w:r>
      <w:r w:rsidR="00235A5F" w:rsidRPr="00BF2A4F">
        <w:rPr>
          <w:lang w:val="en-GB"/>
        </w:rPr>
        <w:t>sc-</w:t>
      </w:r>
      <w:r w:rsidRPr="00BF2A4F">
        <w:rPr>
          <w:lang w:val="en-GB"/>
        </w:rPr>
        <w:t>CO</w:t>
      </w:r>
      <w:r w:rsidRPr="00BF2A4F">
        <w:rPr>
          <w:vertAlign w:val="subscript"/>
          <w:lang w:val="en-GB"/>
        </w:rPr>
        <w:t>2</w:t>
      </w:r>
      <w:r w:rsidRPr="00BF2A4F">
        <w:rPr>
          <w:lang w:val="en-GB"/>
        </w:rPr>
        <w:t xml:space="preserve"> as a function of the cosolvent volume fraction at different pressures</w:t>
      </w:r>
      <w:r w:rsidR="00120810" w:rsidRPr="00BF2A4F">
        <w:rPr>
          <w:lang w:val="en-GB"/>
        </w:rPr>
        <w:t xml:space="preserve"> </w:t>
      </w:r>
      <w:r w:rsidR="00120810" w:rsidRPr="00BF2A4F">
        <w:rPr>
          <w:lang w:val="en-GB"/>
        </w:rPr>
        <w:fldChar w:fldCharType="begin" w:fldLock="1"/>
      </w:r>
      <w:r w:rsidR="0090478D">
        <w:rPr>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00120810" w:rsidRPr="00BF2A4F">
        <w:rPr>
          <w:lang w:val="en-GB"/>
        </w:rPr>
        <w:fldChar w:fldCharType="separate"/>
      </w:r>
      <w:r w:rsidR="00120810" w:rsidRPr="00BF2A4F">
        <w:rPr>
          <w:noProof/>
          <w:lang w:val="en-GB"/>
        </w:rPr>
        <w:t>(Tirado</w:t>
      </w:r>
      <w:r w:rsidR="00120810" w:rsidRPr="005A4BF7">
        <w:rPr>
          <w:i/>
          <w:noProof/>
          <w:lang w:val="en-GB"/>
        </w:rPr>
        <w:t xml:space="preserve"> et al.,</w:t>
      </w:r>
      <w:r w:rsidR="00120810" w:rsidRPr="00BF2A4F">
        <w:rPr>
          <w:noProof/>
          <w:lang w:val="en-GB"/>
        </w:rPr>
        <w:t xml:space="preserve"> 2018)</w:t>
      </w:r>
      <w:r w:rsidR="00120810" w:rsidRPr="00BF2A4F">
        <w:rPr>
          <w:lang w:val="en-GB"/>
        </w:rPr>
        <w:fldChar w:fldCharType="end"/>
      </w:r>
      <w:r w:rsidRPr="00BF2A4F">
        <w:rPr>
          <w:lang w:val="en-GB"/>
        </w:rPr>
        <w:t>.</w:t>
      </w:r>
    </w:p>
    <w:p w:rsidR="00203733" w:rsidRPr="00BF2A4F" w:rsidRDefault="00203733" w:rsidP="0007628A">
      <w:pPr>
        <w:pStyle w:val="CETBodytext"/>
        <w:rPr>
          <w:lang w:val="en-GB"/>
        </w:rPr>
      </w:pPr>
    </w:p>
    <w:tbl>
      <w:tblPr>
        <w:tblW w:w="0" w:type="auto"/>
        <w:tblLook w:val="04A0" w:firstRow="1" w:lastRow="0" w:firstColumn="1" w:lastColumn="0" w:noHBand="0" w:noVBand="1"/>
      </w:tblPr>
      <w:tblGrid>
        <w:gridCol w:w="8351"/>
        <w:gridCol w:w="436"/>
      </w:tblGrid>
      <w:tr w:rsidR="00EA0561" w:rsidTr="00B637E7">
        <w:tc>
          <w:tcPr>
            <w:tcW w:w="8926" w:type="dxa"/>
            <w:shd w:val="clear" w:color="auto" w:fill="auto"/>
          </w:tcPr>
          <w:p w:rsidR="00B15949" w:rsidRPr="00BF2A4F" w:rsidRDefault="00581E00" w:rsidP="00B637E7">
            <w:pPr>
              <w:pStyle w:val="BGKeywords"/>
              <w:spacing w:after="0"/>
              <w:rPr>
                <w:rFonts w:ascii="Arial" w:eastAsia="Calibri" w:hAnsi="Arial" w:cs="Arial"/>
                <w:sz w:val="18"/>
                <w:szCs w:val="18"/>
                <w:lang w:val="en-GB"/>
              </w:rPr>
            </w:pPr>
            <m:oMathPara>
              <m:oMathParaPr>
                <m:jc m:val="left"/>
              </m:oMathParaPr>
              <m:oMath>
                <m:r>
                  <m:rPr>
                    <m:sty m:val="p"/>
                  </m:rPr>
                  <w:rPr>
                    <w:rFonts w:ascii="Cambria Math" w:hAnsi="Cambria Math" w:cs="Arial"/>
                    <w:sz w:val="18"/>
                    <w:szCs w:val="18"/>
                    <w:lang w:val="en-GB"/>
                  </w:rPr>
                  <m:t>Miscibility enh</m:t>
                </m:r>
                <m:r>
                  <m:rPr>
                    <m:sty m:val="p"/>
                  </m:rPr>
                  <w:rPr>
                    <w:rFonts w:ascii="Cambria Math" w:hAnsi="Cambria Math" w:cs="Arial"/>
                    <w:sz w:val="18"/>
                    <w:szCs w:val="18"/>
                    <w:lang w:val="en-GB"/>
                  </w:rPr>
                  <m:t xml:space="preserve">ancement </m:t>
                </m:r>
                <m:d>
                  <m:dPr>
                    <m:ctrlPr>
                      <w:rPr>
                        <w:rFonts w:ascii="Cambria Math" w:hAnsi="Cambria Math" w:cs="Arial"/>
                        <w:bCs/>
                        <w:sz w:val="18"/>
                        <w:szCs w:val="18"/>
                        <w:lang w:val="en-GB"/>
                      </w:rPr>
                    </m:ctrlPr>
                  </m:dPr>
                  <m:e>
                    <m:r>
                      <m:rPr>
                        <m:sty m:val="p"/>
                      </m:rPr>
                      <w:rPr>
                        <w:rFonts w:ascii="Cambria Math" w:hAnsi="Cambria Math" w:cs="Arial"/>
                        <w:sz w:val="18"/>
                        <w:szCs w:val="18"/>
                        <w:lang w:val="en-GB"/>
                      </w:rPr>
                      <m:t>%</m:t>
                    </m:r>
                  </m:e>
                </m:d>
                <m:r>
                  <m:rPr>
                    <m:sty m:val="p"/>
                  </m:rPr>
                  <w:rPr>
                    <w:rFonts w:ascii="Cambria Math" w:hAnsi="Cambria Math" w:cs="Arial"/>
                    <w:sz w:val="18"/>
                    <w:szCs w:val="18"/>
                    <w:lang w:val="en-GB"/>
                  </w:rPr>
                  <m:t>=</m:t>
                </m:r>
                <m:d>
                  <m:dPr>
                    <m:begChr m:val="["/>
                    <m:endChr m:val="]"/>
                    <m:ctrlPr>
                      <w:rPr>
                        <w:rFonts w:ascii="Cambria Math" w:hAnsi="Cambria Math" w:cs="Arial"/>
                        <w:bCs/>
                        <w:sz w:val="18"/>
                        <w:szCs w:val="18"/>
                        <w:lang w:val="en-GB"/>
                      </w:rPr>
                    </m:ctrlPr>
                  </m:dPr>
                  <m:e>
                    <m:r>
                      <m:rPr>
                        <m:sty m:val="p"/>
                      </m:rPr>
                      <w:rPr>
                        <w:rFonts w:ascii="Cambria Math" w:hAnsi="Cambria Math" w:cs="Arial"/>
                        <w:sz w:val="18"/>
                        <w:szCs w:val="18"/>
                        <w:lang w:val="en-GB"/>
                      </w:rPr>
                      <m:t>1-</m:t>
                    </m:r>
                    <m:d>
                      <m:dPr>
                        <m:ctrlPr>
                          <w:rPr>
                            <w:rFonts w:ascii="Cambria Math" w:hAnsi="Cambria Math" w:cs="Arial"/>
                            <w:bCs/>
                            <w:sz w:val="18"/>
                            <w:szCs w:val="18"/>
                            <w:lang w:val="en-GB"/>
                          </w:rPr>
                        </m:ctrlPr>
                      </m:dPr>
                      <m:e>
                        <m:f>
                          <m:fPr>
                            <m:ctrlPr>
                              <w:rPr>
                                <w:rFonts w:ascii="Cambria Math" w:hAnsi="Cambria Math" w:cs="Arial"/>
                                <w:bCs/>
                                <w:sz w:val="18"/>
                                <w:szCs w:val="18"/>
                                <w:lang w:val="en-GB"/>
                              </w:rPr>
                            </m:ctrlPr>
                          </m:fPr>
                          <m:num>
                            <m:sSub>
                              <m:sSubPr>
                                <m:ctrlPr>
                                  <w:rPr>
                                    <w:rFonts w:ascii="Cambria Math" w:hAnsi="Cambria Math" w:cs="Arial"/>
                                    <w:bCs/>
                                    <w:sz w:val="18"/>
                                    <w:szCs w:val="18"/>
                                    <w:lang w:val="en-GB"/>
                                  </w:rPr>
                                </m:ctrlPr>
                              </m:sSubPr>
                              <m:e>
                                <m:r>
                                  <m:rPr>
                                    <m:sty m:val="p"/>
                                  </m:rPr>
                                  <w:rPr>
                                    <w:rFonts w:ascii="Cambria Math" w:hAnsi="Cambria Math" w:cs="Arial"/>
                                    <w:sz w:val="18"/>
                                    <w:szCs w:val="18"/>
                                    <w:lang w:val="en-GB"/>
                                  </w:rPr>
                                  <m:t>R</m:t>
                                </m:r>
                              </m:e>
                              <m:sub>
                                <m:r>
                                  <m:rPr>
                                    <m:sty m:val="p"/>
                                  </m:rPr>
                                  <w:rPr>
                                    <w:rFonts w:ascii="Cambria Math" w:hAnsi="Cambria Math" w:cs="Arial"/>
                                    <w:sz w:val="18"/>
                                    <w:szCs w:val="18"/>
                                    <w:lang w:val="en-GB"/>
                                  </w:rPr>
                                  <m:t xml:space="preserve">a </m:t>
                                </m:r>
                                <m:sSub>
                                  <m:sSubPr>
                                    <m:ctrlPr>
                                      <w:rPr>
                                        <w:rFonts w:ascii="Cambria Math" w:hAnsi="Cambria Math" w:cs="Arial"/>
                                        <w:bCs/>
                                        <w:sz w:val="18"/>
                                        <w:szCs w:val="18"/>
                                        <w:lang w:val="en-GB"/>
                                      </w:rPr>
                                    </m:ctrlPr>
                                  </m:sSubPr>
                                  <m:e>
                                    <m:r>
                                      <m:rPr>
                                        <m:sty m:val="p"/>
                                      </m:rPr>
                                      <w:rPr>
                                        <w:rFonts w:ascii="Cambria Math" w:hAnsi="Cambria Math" w:cs="Arial"/>
                                        <w:sz w:val="18"/>
                                        <w:szCs w:val="18"/>
                                        <w:lang w:val="en-GB"/>
                                      </w:rPr>
                                      <m:t>sc-CO</m:t>
                                    </m:r>
                                  </m:e>
                                  <m:sub>
                                    <m:r>
                                      <m:rPr>
                                        <m:sty m:val="p"/>
                                      </m:rPr>
                                      <w:rPr>
                                        <w:rFonts w:ascii="Cambria Math" w:hAnsi="Cambria Math" w:cs="Arial"/>
                                        <w:sz w:val="18"/>
                                        <w:szCs w:val="18"/>
                                        <w:lang w:val="en-GB"/>
                                      </w:rPr>
                                      <m:t>2</m:t>
                                    </m:r>
                                  </m:sub>
                                </m:sSub>
                                <m:r>
                                  <m:rPr>
                                    <m:sty m:val="p"/>
                                  </m:rPr>
                                  <w:rPr>
                                    <w:rFonts w:ascii="Cambria Math" w:hAnsi="Cambria Math" w:cs="Arial"/>
                                    <w:sz w:val="18"/>
                                    <w:szCs w:val="18"/>
                                    <w:lang w:val="en-GB"/>
                                  </w:rPr>
                                  <m:t>+cosolvent</m:t>
                                </m:r>
                              </m:sub>
                            </m:sSub>
                          </m:num>
                          <m:den>
                            <m:sSub>
                              <m:sSubPr>
                                <m:ctrlPr>
                                  <w:rPr>
                                    <w:rFonts w:ascii="Cambria Math" w:hAnsi="Cambria Math" w:cs="Arial"/>
                                    <w:bCs/>
                                    <w:sz w:val="18"/>
                                    <w:szCs w:val="18"/>
                                    <w:lang w:val="en-GB"/>
                                  </w:rPr>
                                </m:ctrlPr>
                              </m:sSubPr>
                              <m:e>
                                <m:r>
                                  <m:rPr>
                                    <m:sty m:val="p"/>
                                  </m:rPr>
                                  <w:rPr>
                                    <w:rFonts w:ascii="Cambria Math" w:hAnsi="Cambria Math" w:cs="Arial"/>
                                    <w:sz w:val="18"/>
                                    <w:szCs w:val="18"/>
                                    <w:lang w:val="en-GB"/>
                                  </w:rPr>
                                  <m:t>R</m:t>
                                </m:r>
                              </m:e>
                              <m:sub>
                                <m:r>
                                  <m:rPr>
                                    <m:sty m:val="p"/>
                                  </m:rPr>
                                  <w:rPr>
                                    <w:rFonts w:ascii="Cambria Math" w:hAnsi="Cambria Math" w:cs="Arial"/>
                                    <w:sz w:val="18"/>
                                    <w:szCs w:val="18"/>
                                    <w:lang w:val="en-GB"/>
                                  </w:rPr>
                                  <m:t xml:space="preserve">a </m:t>
                                </m:r>
                                <m:sSub>
                                  <m:sSubPr>
                                    <m:ctrlPr>
                                      <w:rPr>
                                        <w:rFonts w:ascii="Cambria Math" w:hAnsi="Cambria Math" w:cs="Arial"/>
                                        <w:bCs/>
                                        <w:sz w:val="18"/>
                                        <w:szCs w:val="18"/>
                                        <w:lang w:val="en-GB"/>
                                      </w:rPr>
                                    </m:ctrlPr>
                                  </m:sSubPr>
                                  <m:e>
                                    <m:r>
                                      <m:rPr>
                                        <m:sty m:val="p"/>
                                      </m:rPr>
                                      <w:rPr>
                                        <w:rFonts w:ascii="Cambria Math" w:hAnsi="Cambria Math" w:cs="Arial"/>
                                        <w:sz w:val="18"/>
                                        <w:szCs w:val="18"/>
                                        <w:lang w:val="en-GB"/>
                                      </w:rPr>
                                      <m:t>pure sc-CO</m:t>
                                    </m:r>
                                  </m:e>
                                  <m:sub>
                                    <m:r>
                                      <m:rPr>
                                        <m:sty m:val="p"/>
                                      </m:rPr>
                                      <w:rPr>
                                        <w:rFonts w:ascii="Cambria Math" w:hAnsi="Cambria Math" w:cs="Arial"/>
                                        <w:sz w:val="18"/>
                                        <w:szCs w:val="18"/>
                                        <w:lang w:val="en-GB"/>
                                      </w:rPr>
                                      <m:t>2</m:t>
                                    </m:r>
                                  </m:sub>
                                </m:sSub>
                              </m:sub>
                            </m:sSub>
                          </m:den>
                        </m:f>
                      </m:e>
                    </m:d>
                  </m:e>
                </m:d>
                <m:r>
                  <m:rPr>
                    <m:sty m:val="p"/>
                  </m:rPr>
                  <w:rPr>
                    <w:rFonts w:ascii="Cambria Math" w:hAnsi="Cambria Math" w:cs="Arial"/>
                    <w:sz w:val="18"/>
                    <w:szCs w:val="18"/>
                    <w:lang w:val="en-GB"/>
                  </w:rPr>
                  <m:t>x100 %</m:t>
                </m:r>
              </m:oMath>
            </m:oMathPara>
          </w:p>
        </w:tc>
        <w:tc>
          <w:tcPr>
            <w:tcW w:w="424" w:type="dxa"/>
            <w:shd w:val="clear" w:color="auto" w:fill="auto"/>
          </w:tcPr>
          <w:p w:rsidR="00B15949" w:rsidRPr="00BF2A4F" w:rsidRDefault="00581E00" w:rsidP="00B637E7">
            <w:pPr>
              <w:pStyle w:val="BGKeywords"/>
              <w:spacing w:after="0"/>
              <w:jc w:val="right"/>
              <w:rPr>
                <w:rFonts w:ascii="Arial" w:eastAsia="Calibri" w:hAnsi="Arial" w:cs="Arial"/>
                <w:sz w:val="18"/>
                <w:szCs w:val="18"/>
                <w:lang w:val="en-GB"/>
              </w:rPr>
            </w:pPr>
            <w:r w:rsidRPr="00BF2A4F">
              <w:rPr>
                <w:rFonts w:ascii="Arial" w:eastAsia="Calibri" w:hAnsi="Arial" w:cs="Arial"/>
                <w:sz w:val="18"/>
                <w:szCs w:val="18"/>
                <w:lang w:val="en-GB"/>
              </w:rPr>
              <w:t>(</w:t>
            </w:r>
            <w:r w:rsidR="00DD348B" w:rsidRPr="00BF2A4F">
              <w:rPr>
                <w:rFonts w:ascii="Arial" w:eastAsia="Calibri" w:hAnsi="Arial" w:cs="Arial"/>
                <w:sz w:val="18"/>
                <w:szCs w:val="18"/>
                <w:lang w:val="en-GB"/>
              </w:rPr>
              <w:t>2</w:t>
            </w:r>
            <w:r w:rsidRPr="00BF2A4F">
              <w:rPr>
                <w:rFonts w:ascii="Arial" w:eastAsia="Calibri" w:hAnsi="Arial" w:cs="Arial"/>
                <w:sz w:val="18"/>
                <w:szCs w:val="18"/>
                <w:lang w:val="en-GB"/>
              </w:rPr>
              <w:t>)</w:t>
            </w:r>
          </w:p>
        </w:tc>
      </w:tr>
    </w:tbl>
    <w:p w:rsidR="004651EC" w:rsidRPr="00BF2A4F" w:rsidRDefault="00581E00" w:rsidP="00044889">
      <w:pPr>
        <w:pStyle w:val="CETheadingx"/>
        <w:rPr>
          <w:lang w:val="en-GB"/>
        </w:rPr>
      </w:pPr>
      <w:r w:rsidRPr="00BF2A4F">
        <w:rPr>
          <w:lang w:val="en-GB"/>
        </w:rPr>
        <w:t xml:space="preserve">Apparatus </w:t>
      </w:r>
      <w:r w:rsidR="00005433" w:rsidRPr="00BF2A4F">
        <w:rPr>
          <w:lang w:val="en-GB"/>
        </w:rPr>
        <w:t>and experimental procedure of the assays performed at supercritical conditions</w:t>
      </w:r>
    </w:p>
    <w:p w:rsidR="00AA7A1E" w:rsidRPr="00BF2A4F" w:rsidRDefault="00581E00" w:rsidP="00140117">
      <w:pPr>
        <w:pStyle w:val="CETBodytext"/>
        <w:rPr>
          <w:lang w:val="en-GB"/>
        </w:rPr>
      </w:pPr>
      <w:bookmarkStart w:id="5" w:name="_Hlk533599469"/>
      <w:r w:rsidRPr="00BF2A4F">
        <w:rPr>
          <w:lang w:val="en-GB"/>
        </w:rPr>
        <w:t>SFE of fatty acid rich</w:t>
      </w:r>
      <w:r w:rsidR="004529D8" w:rsidRPr="00BF2A4F">
        <w:rPr>
          <w:lang w:val="en-GB"/>
        </w:rPr>
        <w:t>-</w:t>
      </w:r>
      <w:r w:rsidRPr="00BF2A4F">
        <w:rPr>
          <w:lang w:val="en-GB"/>
        </w:rPr>
        <w:t xml:space="preserve">oil from </w:t>
      </w:r>
      <w:r w:rsidRPr="00BF2A4F">
        <w:rPr>
          <w:bCs/>
          <w:i/>
          <w:lang w:val="en-GB"/>
        </w:rPr>
        <w:t>T. suecica</w:t>
      </w:r>
      <w:r w:rsidRPr="00BF2A4F">
        <w:rPr>
          <w:lang w:val="en-GB"/>
        </w:rPr>
        <w:t xml:space="preserve"> was carried out at </w:t>
      </w:r>
      <w:r w:rsidRPr="00BF2A4F">
        <w:rPr>
          <w:bCs/>
          <w:lang w:val="en-GB"/>
        </w:rPr>
        <w:t>20 MPa and 305.15 K</w:t>
      </w:r>
      <w:r w:rsidRPr="00BF2A4F">
        <w:rPr>
          <w:lang w:val="en-GB"/>
        </w:rPr>
        <w:t xml:space="preserve"> using </w:t>
      </w:r>
      <w:r w:rsidR="00A80B2B" w:rsidRPr="00BF2A4F">
        <w:rPr>
          <w:lang w:val="en-GB"/>
        </w:rPr>
        <w:t>sc-</w:t>
      </w:r>
      <w:r w:rsidRPr="00BF2A4F">
        <w:rPr>
          <w:lang w:val="en-GB"/>
        </w:rPr>
        <w:t>CO</w:t>
      </w:r>
      <w:r w:rsidRPr="00BF2A4F">
        <w:rPr>
          <w:vertAlign w:val="subscript"/>
          <w:lang w:val="en-GB"/>
        </w:rPr>
        <w:t>2</w:t>
      </w:r>
      <w:r w:rsidRPr="00BF2A4F">
        <w:rPr>
          <w:lang w:val="en-GB"/>
        </w:rPr>
        <w:t xml:space="preserve"> and its mixtures with a mass fraction of 5 % (0.05 kg kg</w:t>
      </w:r>
      <w:r w:rsidRPr="00BF2A4F">
        <w:rPr>
          <w:vertAlign w:val="superscript"/>
          <w:lang w:val="en-GB"/>
        </w:rPr>
        <w:t>-1</w:t>
      </w:r>
      <w:r w:rsidRPr="00BF2A4F">
        <w:rPr>
          <w:lang w:val="en-GB"/>
        </w:rPr>
        <w:t xml:space="preserve">) </w:t>
      </w:r>
      <w:r w:rsidR="00981D65" w:rsidRPr="00BF2A4F">
        <w:rPr>
          <w:lang w:val="en-GB"/>
        </w:rPr>
        <w:t>cosolvent</w:t>
      </w:r>
      <w:r w:rsidRPr="00BF2A4F">
        <w:rPr>
          <w:lang w:val="en-GB"/>
        </w:rPr>
        <w:t xml:space="preserve">. The procedures </w:t>
      </w:r>
      <w:r w:rsidR="0049091B">
        <w:rPr>
          <w:lang w:val="en-GB"/>
        </w:rPr>
        <w:t>to</w:t>
      </w:r>
      <w:r w:rsidRPr="00BF2A4F">
        <w:rPr>
          <w:lang w:val="en-GB"/>
        </w:rPr>
        <w:t xml:space="preserve"> fill up</w:t>
      </w:r>
      <w:r w:rsidRPr="00BF2A4F">
        <w:rPr>
          <w:lang w:val="en-GB"/>
        </w:rPr>
        <w:t xml:space="preserve"> the raw material, start-up and stop </w:t>
      </w:r>
      <w:r w:rsidRPr="00BF2A4F">
        <w:rPr>
          <w:lang w:val="en-GB"/>
        </w:rPr>
        <w:t xml:space="preserve">the equipment could be consulted in previous work </w:t>
      </w:r>
      <w:r w:rsidRPr="00BF2A4F">
        <w:rPr>
          <w:lang w:val="en-GB"/>
        </w:rPr>
        <w:fldChar w:fldCharType="begin" w:fldLock="1"/>
      </w:r>
      <w:r w:rsidR="0090478D">
        <w:rPr>
          <w:lang w:val="en-GB"/>
        </w:rPr>
        <w:instrText>ADDIN CSL_CITATION {"citationItems":[{"id":"ITEM-1","itemData":{"DOI":"10.1016/j.supflu.2018.12.013","ISSN":"08968446","author":[{"dropping-particle":"","family":"Tirado","given":"Diego F.","non-dropping-particle":"","parse-names":false,"suffix":""},{"dropping-particle":"","family":"Calvo","given":"Lourdes","non-dropping-particle":"","parse-names":false,"suffix":""}],"container-title":"The Journal of Supercritical Fluids","id":"ITEM-1","issued":{"date-parts":[["2019","3"]]},"page":"211-218","title":"The Hansen theory to choose the best cosolvent for supercritical CO2 extraction of β-carotene from &lt;i&gt;Dunaliella salina&lt;/i&gt;","type":"article-journal","volume":"145"},"uris":["http://www.mendeley.com/documents/?uuid=2bca28c9-55b1-4e32-837e-983f7077cc7c"]}],"mendeley":{"formattedCitation":"(Tirado and Calvo, 2019)","plainTextFormattedCitation":"(Tirado and Calvo, 2019)","previouslyFormattedCitation":"(Tirado and Calvo, 2019)"},"properties":{"noteIndex":0},"schema":"https://github.com/citation-style-language/schema/raw/master/csl-citation.json"}</w:instrText>
      </w:r>
      <w:r w:rsidRPr="00BF2A4F">
        <w:rPr>
          <w:lang w:val="en-GB"/>
        </w:rPr>
        <w:fldChar w:fldCharType="separate"/>
      </w:r>
      <w:r w:rsidRPr="00BF2A4F">
        <w:rPr>
          <w:noProof/>
          <w:lang w:val="en-GB"/>
        </w:rPr>
        <w:t>(Tirado and Calvo, 2019)</w:t>
      </w:r>
      <w:r w:rsidRPr="00BF2A4F">
        <w:rPr>
          <w:lang w:val="en-GB"/>
        </w:rPr>
        <w:fldChar w:fldCharType="end"/>
      </w:r>
      <w:r w:rsidRPr="00BF2A4F">
        <w:rPr>
          <w:lang w:val="en-GB"/>
        </w:rPr>
        <w:t>.</w:t>
      </w:r>
      <w:r w:rsidR="00A90D12" w:rsidRPr="00BF2A4F">
        <w:rPr>
          <w:lang w:val="en-GB"/>
        </w:rPr>
        <w:t xml:space="preserve"> </w:t>
      </w:r>
      <w:bookmarkStart w:id="6" w:name="_Hlk535245556"/>
      <w:r w:rsidR="00306ACE" w:rsidRPr="00BF2A4F">
        <w:rPr>
          <w:lang w:val="en-GB"/>
        </w:rPr>
        <w:t>Additionally, th</w:t>
      </w:r>
      <w:r w:rsidR="00C966FF" w:rsidRPr="00BF2A4F">
        <w:rPr>
          <w:lang w:val="en-GB"/>
        </w:rPr>
        <w:t xml:space="preserve">e predictions were validated for </w:t>
      </w:r>
      <w:r w:rsidR="000B366B" w:rsidRPr="00BF2A4F">
        <w:rPr>
          <w:lang w:val="en-GB"/>
        </w:rPr>
        <w:t>α-linolenic acid</w:t>
      </w:r>
      <w:r w:rsidR="00C966FF" w:rsidRPr="00BF2A4F">
        <w:rPr>
          <w:lang w:val="en-GB"/>
        </w:rPr>
        <w:t xml:space="preserve"> with </w:t>
      </w:r>
      <w:r w:rsidR="0097665A" w:rsidRPr="00BF2A4F">
        <w:rPr>
          <w:lang w:val="en-GB"/>
        </w:rPr>
        <w:t>equilibrium</w:t>
      </w:r>
      <w:r w:rsidR="00C966FF" w:rsidRPr="00BF2A4F">
        <w:rPr>
          <w:lang w:val="en-GB"/>
        </w:rPr>
        <w:t xml:space="preserve"> data obtained in a high-pressure variable volume view cell, following the static synthetic method. </w:t>
      </w:r>
      <w:r w:rsidR="00D278A7" w:rsidRPr="00BF2A4F">
        <w:rPr>
          <w:lang w:val="en-GB"/>
        </w:rPr>
        <w:t xml:space="preserve">Bubble pressures at 305.15 K using a molar fraction of </w:t>
      </w:r>
      <w:r w:rsidR="00EF3149" w:rsidRPr="00BF2A4F">
        <w:rPr>
          <w:lang w:val="en-GB"/>
        </w:rPr>
        <w:t>1.5</w:t>
      </w:r>
      <w:r w:rsidR="00D278A7" w:rsidRPr="00BF2A4F">
        <w:rPr>
          <w:lang w:val="en-GB"/>
        </w:rPr>
        <w:t xml:space="preserve"> 10</w:t>
      </w:r>
      <w:r w:rsidR="00D278A7" w:rsidRPr="00BF2A4F">
        <w:rPr>
          <w:vertAlign w:val="superscript"/>
          <w:lang w:val="en-GB"/>
        </w:rPr>
        <w:t>−</w:t>
      </w:r>
      <w:r w:rsidR="00EF3149" w:rsidRPr="00BF2A4F">
        <w:rPr>
          <w:vertAlign w:val="superscript"/>
          <w:lang w:val="en-GB"/>
        </w:rPr>
        <w:t>3</w:t>
      </w:r>
      <w:r w:rsidR="00D278A7" w:rsidRPr="00BF2A4F">
        <w:rPr>
          <w:lang w:val="en-GB"/>
        </w:rPr>
        <w:t xml:space="preserve"> </w:t>
      </w:r>
      <w:r w:rsidR="00E22E66" w:rsidRPr="00BF2A4F">
        <w:rPr>
          <w:lang w:val="en-GB"/>
        </w:rPr>
        <w:t xml:space="preserve">α-linolenic acid </w:t>
      </w:r>
      <w:r w:rsidR="00D278A7" w:rsidRPr="00BF2A4F">
        <w:rPr>
          <w:lang w:val="en-GB"/>
        </w:rPr>
        <w:t xml:space="preserve">in </w:t>
      </w:r>
      <w:r w:rsidR="0094494E" w:rsidRPr="00BF2A4F">
        <w:rPr>
          <w:lang w:val="en-GB"/>
        </w:rPr>
        <w:t>sc-CO</w:t>
      </w:r>
      <w:r w:rsidR="0094494E" w:rsidRPr="00BF2A4F">
        <w:rPr>
          <w:vertAlign w:val="subscript"/>
          <w:lang w:val="en-GB"/>
        </w:rPr>
        <w:t>2</w:t>
      </w:r>
      <w:r w:rsidR="0094494E" w:rsidRPr="00BF2A4F">
        <w:rPr>
          <w:lang w:val="en-GB"/>
        </w:rPr>
        <w:t xml:space="preserve"> and </w:t>
      </w:r>
      <w:r w:rsidR="00981D65" w:rsidRPr="00BF2A4F">
        <w:rPr>
          <w:lang w:val="en-GB"/>
        </w:rPr>
        <w:t xml:space="preserve">the </w:t>
      </w:r>
      <w:r w:rsidR="00E515DD" w:rsidRPr="00BF2A4F">
        <w:rPr>
          <w:lang w:val="en-GB"/>
        </w:rPr>
        <w:t>supercritical mixture</w:t>
      </w:r>
      <w:r w:rsidR="00D278A7" w:rsidRPr="00BF2A4F">
        <w:rPr>
          <w:lang w:val="en-GB"/>
        </w:rPr>
        <w:t xml:space="preserve"> formed by </w:t>
      </w:r>
      <w:r w:rsidR="00C43FC5" w:rsidRPr="00BF2A4F">
        <w:rPr>
          <w:lang w:val="en-GB"/>
        </w:rPr>
        <w:t>sc-</w:t>
      </w:r>
      <w:r w:rsidR="00D278A7" w:rsidRPr="00BF2A4F">
        <w:rPr>
          <w:lang w:val="en-GB"/>
        </w:rPr>
        <w:t>CO</w:t>
      </w:r>
      <w:r w:rsidR="00D278A7" w:rsidRPr="00BF2A4F">
        <w:rPr>
          <w:vertAlign w:val="subscript"/>
          <w:lang w:val="en-GB"/>
        </w:rPr>
        <w:t>2</w:t>
      </w:r>
      <w:r w:rsidR="00D278A7" w:rsidRPr="00BF2A4F">
        <w:rPr>
          <w:lang w:val="en-GB"/>
        </w:rPr>
        <w:t xml:space="preserve"> </w:t>
      </w:r>
      <w:r w:rsidR="00074F6B" w:rsidRPr="00BF2A4F">
        <w:rPr>
          <w:lang w:val="en-GB"/>
        </w:rPr>
        <w:t>+</w:t>
      </w:r>
      <w:r w:rsidR="00D278A7" w:rsidRPr="00BF2A4F">
        <w:rPr>
          <w:lang w:val="en-GB"/>
        </w:rPr>
        <w:t xml:space="preserve"> 5 % mass fraction of </w:t>
      </w:r>
      <w:r w:rsidR="00981D65" w:rsidRPr="00BF2A4F">
        <w:rPr>
          <w:lang w:val="en-GB"/>
        </w:rPr>
        <w:t>cosolvent</w:t>
      </w:r>
      <w:r w:rsidR="00DC69DC" w:rsidRPr="00BF2A4F">
        <w:rPr>
          <w:lang w:val="en-GB"/>
        </w:rPr>
        <w:t xml:space="preserve"> were measured</w:t>
      </w:r>
      <w:r w:rsidR="00D278A7" w:rsidRPr="00BF2A4F">
        <w:rPr>
          <w:lang w:val="en-GB"/>
        </w:rPr>
        <w:t xml:space="preserve">. </w:t>
      </w:r>
      <w:r w:rsidR="0097665A" w:rsidRPr="00BF2A4F">
        <w:rPr>
          <w:lang w:val="en-GB"/>
        </w:rPr>
        <w:t>The bubble pressures of oleic and linoleic acids were already reported</w:t>
      </w:r>
      <w:r w:rsidR="00C966FF" w:rsidRPr="00BF2A4F">
        <w:rPr>
          <w:lang w:val="en-GB"/>
        </w:rPr>
        <w:t xml:space="preserve"> </w:t>
      </w:r>
      <w:r w:rsidR="00C966FF" w:rsidRPr="00BF2A4F">
        <w:rPr>
          <w:lang w:val="en-GB"/>
        </w:rPr>
        <w:fldChar w:fldCharType="begin" w:fldLock="1"/>
      </w:r>
      <w:r w:rsidR="00D11C61">
        <w:rPr>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00C966FF" w:rsidRPr="00BF2A4F">
        <w:rPr>
          <w:lang w:val="en-GB"/>
        </w:rPr>
        <w:fldChar w:fldCharType="separate"/>
      </w:r>
      <w:r w:rsidR="00D11C61" w:rsidRPr="00D11C61">
        <w:rPr>
          <w:noProof/>
          <w:lang w:val="en-GB"/>
        </w:rPr>
        <w:t xml:space="preserve">(Tirado </w:t>
      </w:r>
      <w:r w:rsidR="00D11C61" w:rsidRPr="005A4BF7">
        <w:rPr>
          <w:i/>
          <w:noProof/>
          <w:lang w:val="en-GB"/>
        </w:rPr>
        <w:t xml:space="preserve">et al., </w:t>
      </w:r>
      <w:r w:rsidR="00D11C61" w:rsidRPr="00D11C61">
        <w:rPr>
          <w:noProof/>
          <w:lang w:val="en-GB"/>
        </w:rPr>
        <w:t>2018)</w:t>
      </w:r>
      <w:r w:rsidR="00C966FF" w:rsidRPr="00BF2A4F">
        <w:rPr>
          <w:lang w:val="en-GB"/>
        </w:rPr>
        <w:fldChar w:fldCharType="end"/>
      </w:r>
      <w:r w:rsidR="00C966FF" w:rsidRPr="00BF2A4F">
        <w:rPr>
          <w:lang w:val="en-GB"/>
        </w:rPr>
        <w:t>.</w:t>
      </w:r>
      <w:bookmarkEnd w:id="6"/>
      <w:r w:rsidR="00E7225F" w:rsidRPr="00BF2A4F">
        <w:rPr>
          <w:lang w:val="en-GB"/>
        </w:rPr>
        <w:t xml:space="preserve"> </w:t>
      </w:r>
      <w:r w:rsidR="00B230EF" w:rsidRPr="005D478E">
        <w:rPr>
          <w:color w:val="FF0000"/>
          <w:lang w:val="en-GB"/>
        </w:rPr>
        <w:t xml:space="preserve">For both validation methods, mass fraction and not volume fraction was used due to practical limitations. e.g., during SFE, the flow rate in the experimental set up was measured in mass. </w:t>
      </w:r>
      <w:r w:rsidRPr="005D478E">
        <w:rPr>
          <w:color w:val="FF0000"/>
          <w:lang w:val="en-GB"/>
        </w:rPr>
        <w:t xml:space="preserve">However, </w:t>
      </w:r>
      <w:r w:rsidR="00E33A88" w:rsidRPr="005D478E">
        <w:rPr>
          <w:color w:val="FF0000"/>
          <w:lang w:val="en-GB"/>
        </w:rPr>
        <w:t>consider</w:t>
      </w:r>
      <w:r w:rsidR="006701EC">
        <w:rPr>
          <w:color w:val="FF0000"/>
          <w:lang w:val="en-GB"/>
        </w:rPr>
        <w:t xml:space="preserve">ing </w:t>
      </w:r>
      <w:r w:rsidRPr="005D478E">
        <w:rPr>
          <w:color w:val="FF0000"/>
          <w:lang w:val="en-GB"/>
        </w:rPr>
        <w:t xml:space="preserve">the low amount of </w:t>
      </w:r>
      <w:r w:rsidR="00981D65" w:rsidRPr="005D478E">
        <w:rPr>
          <w:color w:val="FF0000"/>
          <w:lang w:val="en-GB"/>
        </w:rPr>
        <w:t>cosolvent</w:t>
      </w:r>
      <w:r w:rsidRPr="005D478E">
        <w:rPr>
          <w:color w:val="FF0000"/>
          <w:lang w:val="en-GB"/>
        </w:rPr>
        <w:t>, the variation with r</w:t>
      </w:r>
      <w:r w:rsidRPr="005D478E">
        <w:rPr>
          <w:color w:val="FF0000"/>
          <w:lang w:val="en-GB"/>
        </w:rPr>
        <w:t xml:space="preserve">espect to the volume fraction was insignificant </w:t>
      </w:r>
      <w:r w:rsidR="0017042A">
        <w:rPr>
          <w:color w:val="FF0000"/>
          <w:lang w:val="en-GB"/>
        </w:rPr>
        <w:fldChar w:fldCharType="begin" w:fldLock="1"/>
      </w:r>
      <w:r w:rsidR="00D11C61">
        <w:rPr>
          <w:color w:val="FF0000"/>
          <w:lang w:val="en-GB"/>
        </w:rPr>
        <w:instrText>ADDIN CSL_CITATION {"citationItems":[{"id":"ITEM-1","itemData":{"DOI":"10.1016/j.supflu.2018.12.013","ISSN":"08968446","author":[{"dropping-particle":"","family":"Tirado","given":"Diego F.","non-dropping-particle":"","parse-names":false,"suffix":""},{"dropping-particle":"","family":"Calvo","given":"Lourdes","non-dropping-particle":"","parse-names":false,"suffix":""}],"container-title":"The Journal of Supercritical Fluids","id":"ITEM-1","issued":{"date-parts":[["2019","3"]]},"page":"211-218","title":"The Hansen theory to choose the best cosolvent for supercritical CO2 extraction of β-carotene from &lt;i&gt;Dunaliella salina&lt;/i&gt;","type":"article-journal","volume":"145"},"uris":["http://www.mendeley.com/documents/?uuid=2bca28c9-55b1-4e32-837e-983f7077cc7c"]}],"mendeley":{"formattedCitation":"(Tirado and Calvo, 2019)","plainTextFormattedCitation":"(Tirado and Calvo, 2019)","previouslyFormattedCitation":"(Tirado and Calvo, 2019)"},"properties":{"noteIndex":0},"schema":"https://github.com/citation-style-language/schema/raw/master/csl-citation.json"}</w:instrText>
      </w:r>
      <w:r w:rsidR="0017042A">
        <w:rPr>
          <w:color w:val="FF0000"/>
          <w:lang w:val="en-GB"/>
        </w:rPr>
        <w:fldChar w:fldCharType="separate"/>
      </w:r>
      <w:r w:rsidR="00D11C61" w:rsidRPr="00D11C61">
        <w:rPr>
          <w:noProof/>
          <w:color w:val="FF0000"/>
          <w:lang w:val="en-GB"/>
        </w:rPr>
        <w:t>(Tirado and Calvo, 2019)</w:t>
      </w:r>
      <w:r w:rsidR="0017042A">
        <w:rPr>
          <w:color w:val="FF0000"/>
          <w:lang w:val="en-GB"/>
        </w:rPr>
        <w:fldChar w:fldCharType="end"/>
      </w:r>
      <w:r w:rsidR="0017042A">
        <w:rPr>
          <w:color w:val="FF0000"/>
          <w:lang w:val="en-GB"/>
        </w:rPr>
        <w:t>.</w:t>
      </w:r>
    </w:p>
    <w:p w:rsidR="004651EC" w:rsidRPr="00BF2A4F" w:rsidRDefault="00581E00" w:rsidP="00044889">
      <w:pPr>
        <w:pStyle w:val="CETheadingx"/>
        <w:rPr>
          <w:lang w:val="en-GB"/>
        </w:rPr>
      </w:pPr>
      <w:r w:rsidRPr="00BF2A4F">
        <w:rPr>
          <w:lang w:val="en-GB"/>
        </w:rPr>
        <w:t>Fatty acids analysis</w:t>
      </w:r>
      <w:bookmarkEnd w:id="5"/>
    </w:p>
    <w:p w:rsidR="004651EC" w:rsidRPr="00BF2A4F" w:rsidRDefault="00581E00" w:rsidP="004651EC">
      <w:pPr>
        <w:pStyle w:val="CETBodytext"/>
        <w:rPr>
          <w:lang w:val="en-GB"/>
        </w:rPr>
      </w:pPr>
      <w:r w:rsidRPr="00BF2A4F">
        <w:rPr>
          <w:lang w:val="en-GB"/>
        </w:rPr>
        <w:t xml:space="preserve">First, the supercritical extracts were derivatized following the procedure described by the AOAC Official Method 969.33 </w:t>
      </w:r>
      <w:r w:rsidRPr="00BF2A4F">
        <w:rPr>
          <w:lang w:val="en-GB"/>
        </w:rPr>
        <w:fldChar w:fldCharType="begin" w:fldLock="1"/>
      </w:r>
      <w:r w:rsidRPr="00BF2A4F">
        <w:rPr>
          <w:lang w:val="en-GB"/>
        </w:rPr>
        <w:instrText>ADDIN CSL</w:instrText>
      </w:r>
      <w:r w:rsidRPr="00BF2A4F">
        <w:rPr>
          <w:lang w:val="en-GB"/>
        </w:rPr>
        <w:instrText>_CITATION {"citationItems":[{"id":"ITEM-1","itemData":{"author":[{"dropping-particle":"","family":"AOAC","given":"","non-dropping-particle":"","parse-names":false,"suffix":""}],"chapter-number":"41","container-title":"Official Methods of Analysis of AOAC I</w:instrText>
      </w:r>
      <w:r w:rsidRPr="00BF2A4F">
        <w:rPr>
          <w:lang w:val="en-GB"/>
        </w:rPr>
        <w:instrText>nternational","edition":"16 th","id":"ITEM-1","issued":{"date-parts":[["1995"]]},"page":"17-22","publisher":"AOAC International Press","publisher-place":"Virginia","title":"Fatty acid in oils and fats preparation of methyl ester boron trifluoride method","</w:instrText>
      </w:r>
      <w:r w:rsidRPr="00BF2A4F">
        <w:rPr>
          <w:lang w:val="en-GB"/>
        </w:rPr>
        <w:instrText>type":"chapter"},"uris":["http://www.mendeley.com/documents/?uuid=c73709b4-934e-4806-890a-dc2146e0567c"]}],"mendeley":{"formattedCitation":"(AOAC, 1995)","plainTextFormattedCitation":"(AOAC, 1995)","previouslyFormattedCitation":"(AOAC, 1995)"},"properties"</w:instrText>
      </w:r>
      <w:r w:rsidRPr="00BF2A4F">
        <w:rPr>
          <w:lang w:val="en-GB"/>
        </w:rPr>
        <w:instrText>:{"noteIndex":0},"schema":"https://github.com/citation-style-language/schema/raw/master/csl-citation.json"}</w:instrText>
      </w:r>
      <w:r w:rsidRPr="00BF2A4F">
        <w:rPr>
          <w:lang w:val="en-GB"/>
        </w:rPr>
        <w:fldChar w:fldCharType="separate"/>
      </w:r>
      <w:r w:rsidRPr="00BF2A4F">
        <w:rPr>
          <w:noProof/>
          <w:lang w:val="en-GB"/>
        </w:rPr>
        <w:t>(AOAC, 1995)</w:t>
      </w:r>
      <w:r w:rsidRPr="00BF2A4F">
        <w:rPr>
          <w:lang w:val="en-GB"/>
        </w:rPr>
        <w:fldChar w:fldCharType="end"/>
      </w:r>
      <w:r w:rsidRPr="00BF2A4F">
        <w:rPr>
          <w:lang w:val="en-GB"/>
        </w:rPr>
        <w:t>. Subsequently, the samples were analysed by gas chromatography (GC) with a Shimadzu 2010 Plus gas chromatograph (Shimadzu Corporation</w:t>
      </w:r>
      <w:r w:rsidRPr="00BF2A4F">
        <w:rPr>
          <w:lang w:val="en-GB"/>
        </w:rPr>
        <w:t>, Japan) equipped with a Flame Ionization Detector (FID) and a Zebron ZB-1HT capillary column (20 m × 0.18 mm i.d. × 0.18 μm film thickness). The separation was carried out with helium (1.8 10</w:t>
      </w:r>
      <w:r w:rsidRPr="00BF2A4F">
        <w:rPr>
          <w:vertAlign w:val="superscript"/>
          <w:lang w:val="en-GB"/>
        </w:rPr>
        <w:t>-6</w:t>
      </w:r>
      <w:r w:rsidRPr="00BF2A4F">
        <w:rPr>
          <w:lang w:val="en-GB"/>
        </w:rPr>
        <w:t xml:space="preserve"> m</w:t>
      </w:r>
      <w:r w:rsidRPr="00BF2A4F">
        <w:rPr>
          <w:vertAlign w:val="superscript"/>
          <w:lang w:val="en-GB"/>
        </w:rPr>
        <w:t>3</w:t>
      </w:r>
      <w:r w:rsidRPr="00BF2A4F">
        <w:rPr>
          <w:lang w:val="en-GB"/>
        </w:rPr>
        <w:t xml:space="preserve"> min</w:t>
      </w:r>
      <w:r w:rsidRPr="00BF2A4F">
        <w:rPr>
          <w:vertAlign w:val="superscript"/>
          <w:lang w:val="en-GB"/>
        </w:rPr>
        <w:t>-1</w:t>
      </w:r>
      <w:r w:rsidRPr="00BF2A4F">
        <w:rPr>
          <w:lang w:val="en-GB"/>
        </w:rPr>
        <w:t>) as a carrier gas. The column temperature was progra</w:t>
      </w:r>
      <w:r w:rsidRPr="00BF2A4F">
        <w:rPr>
          <w:lang w:val="en-GB"/>
        </w:rPr>
        <w:t>mmed starting at a constant value of 393.15 K during 3 min, heated to 458.15 K at 3 K min</w:t>
      </w:r>
      <w:r w:rsidRPr="00BF2A4F">
        <w:rPr>
          <w:vertAlign w:val="superscript"/>
          <w:lang w:val="en-GB"/>
        </w:rPr>
        <w:t>-1</w:t>
      </w:r>
      <w:r w:rsidRPr="00BF2A4F">
        <w:rPr>
          <w:lang w:val="en-GB"/>
        </w:rPr>
        <w:t>, held at 458.15 K during 3 min, heated again to 523.15 K at 15 K min</w:t>
      </w:r>
      <w:r w:rsidRPr="00BF2A4F">
        <w:rPr>
          <w:vertAlign w:val="superscript"/>
          <w:lang w:val="en-GB"/>
        </w:rPr>
        <w:t xml:space="preserve">-1 </w:t>
      </w:r>
      <w:r w:rsidRPr="00BF2A4F">
        <w:rPr>
          <w:lang w:val="en-GB"/>
        </w:rPr>
        <w:t>and finally held at 523.15 K for 5 min. The equilibration time was 5 min. A split injector (5</w:t>
      </w:r>
      <w:r w:rsidRPr="00BF2A4F">
        <w:rPr>
          <w:lang w:val="en-GB"/>
        </w:rPr>
        <w:t>0:1) at 523.15 K was used. The FID was also heated at 553.15 K. The injection volume was 1 10</w:t>
      </w:r>
      <w:r w:rsidRPr="00BF2A4F">
        <w:rPr>
          <w:vertAlign w:val="superscript"/>
          <w:lang w:val="en-GB"/>
        </w:rPr>
        <w:t>-9</w:t>
      </w:r>
      <w:r w:rsidRPr="00BF2A4F">
        <w:rPr>
          <w:lang w:val="en-GB"/>
        </w:rPr>
        <w:t xml:space="preserve"> m</w:t>
      </w:r>
      <w:r w:rsidRPr="00BF2A4F">
        <w:rPr>
          <w:vertAlign w:val="superscript"/>
          <w:lang w:val="en-GB"/>
        </w:rPr>
        <w:t>3</w:t>
      </w:r>
      <w:r w:rsidRPr="00BF2A4F">
        <w:rPr>
          <w:lang w:val="en-GB"/>
        </w:rPr>
        <w:t xml:space="preserve">. </w:t>
      </w:r>
      <w:r w:rsidR="0097665A" w:rsidRPr="00BF2A4F">
        <w:rPr>
          <w:lang w:val="en-GB"/>
        </w:rPr>
        <w:t>T</w:t>
      </w:r>
      <w:r w:rsidRPr="00BF2A4F">
        <w:rPr>
          <w:lang w:val="en-GB"/>
        </w:rPr>
        <w:t xml:space="preserve">he </w:t>
      </w:r>
      <w:r w:rsidR="0097665A" w:rsidRPr="00BF2A4F">
        <w:rPr>
          <w:lang w:val="en-GB"/>
        </w:rPr>
        <w:t>fatty acid methyl esters (</w:t>
      </w:r>
      <w:r w:rsidR="001C77B1" w:rsidRPr="00BF2A4F">
        <w:rPr>
          <w:lang w:val="en-GB"/>
        </w:rPr>
        <w:t>FAMEs</w:t>
      </w:r>
      <w:r w:rsidR="0097665A" w:rsidRPr="00BF2A4F">
        <w:rPr>
          <w:lang w:val="en-GB"/>
        </w:rPr>
        <w:t>)</w:t>
      </w:r>
      <w:r w:rsidRPr="00BF2A4F">
        <w:rPr>
          <w:lang w:val="en-GB"/>
        </w:rPr>
        <w:t xml:space="preserve"> were identified by comparison of their retention times with those of chromatographic standards. The compounds were quantified related to the area of the internal standard.</w:t>
      </w:r>
    </w:p>
    <w:p w:rsidR="00E11DCD" w:rsidRPr="00BF2A4F" w:rsidRDefault="00581E00" w:rsidP="00E11DCD">
      <w:pPr>
        <w:pStyle w:val="CETheadingx"/>
        <w:rPr>
          <w:lang w:val="en-GB"/>
        </w:rPr>
      </w:pPr>
      <w:r w:rsidRPr="00BF2A4F">
        <w:rPr>
          <w:lang w:val="en-GB"/>
        </w:rPr>
        <w:t>Statistical analysis</w:t>
      </w:r>
    </w:p>
    <w:p w:rsidR="00E11DCD" w:rsidRPr="00BF2A4F" w:rsidRDefault="00581E00" w:rsidP="004651EC">
      <w:pPr>
        <w:pStyle w:val="CETBodytext"/>
        <w:rPr>
          <w:lang w:val="en-GB"/>
        </w:rPr>
      </w:pPr>
      <w:r w:rsidRPr="00BF2A4F">
        <w:rPr>
          <w:lang w:val="en-GB"/>
        </w:rPr>
        <w:t>The experiments were repeated at least three times. Analyses w</w:t>
      </w:r>
      <w:r w:rsidRPr="00BF2A4F">
        <w:rPr>
          <w:lang w:val="en-GB"/>
        </w:rPr>
        <w:t xml:space="preserve">ere performed in duplicate for each replicate (n = 3 × 2). Means and standard deviations were calculated for all data. The experimental error was deduced from selected tests that were repeated six times. The maximum standard deviation for the fatty acid </w:t>
      </w:r>
      <w:r w:rsidR="0097665A" w:rsidRPr="00BF2A4F">
        <w:rPr>
          <w:lang w:val="en-GB"/>
        </w:rPr>
        <w:t>concentration</w:t>
      </w:r>
      <w:r w:rsidRPr="00BF2A4F">
        <w:rPr>
          <w:lang w:val="en-GB"/>
        </w:rPr>
        <w:t xml:space="preserve"> was </w:t>
      </w:r>
      <w:r w:rsidR="00E41BCF" w:rsidRPr="00BF2A4F">
        <w:rPr>
          <w:lang w:val="en-GB"/>
        </w:rPr>
        <w:t>0.</w:t>
      </w:r>
      <w:r w:rsidR="00A17C78" w:rsidRPr="00BF2A4F">
        <w:rPr>
          <w:lang w:val="en-GB"/>
        </w:rPr>
        <w:t xml:space="preserve">5 </w:t>
      </w:r>
      <w:r w:rsidRPr="00BF2A4F">
        <w:rPr>
          <w:lang w:val="en-GB"/>
        </w:rPr>
        <w:t xml:space="preserve">% </w:t>
      </w:r>
      <w:r w:rsidR="00AC2DD8" w:rsidRPr="00BF2A4F">
        <w:rPr>
          <w:bCs/>
          <w:lang w:val="en-GB"/>
        </w:rPr>
        <w:t>mass fraction of the fatty acid in the extract</w:t>
      </w:r>
      <w:r w:rsidR="005A00E3" w:rsidRPr="00BF2A4F">
        <w:rPr>
          <w:lang w:val="en-GB"/>
        </w:rPr>
        <w:t xml:space="preserve"> </w:t>
      </w:r>
      <w:r w:rsidR="00226446" w:rsidRPr="00BF2A4F">
        <w:rPr>
          <w:lang w:val="en-GB"/>
        </w:rPr>
        <w:t>and t</w:t>
      </w:r>
      <w:r w:rsidR="00DE4B23" w:rsidRPr="00BF2A4F">
        <w:rPr>
          <w:lang w:val="en-GB"/>
        </w:rPr>
        <w:t>he standard deviations in the bubble pressures were on average 0.1 MPa.</w:t>
      </w:r>
    </w:p>
    <w:p w:rsidR="00773A6A" w:rsidRPr="00BF2A4F" w:rsidRDefault="00581E00" w:rsidP="00773A6A">
      <w:pPr>
        <w:pStyle w:val="CETHeading1"/>
        <w:rPr>
          <w:lang w:val="en-GB"/>
        </w:rPr>
      </w:pPr>
      <w:r w:rsidRPr="00BF2A4F">
        <w:rPr>
          <w:lang w:val="en-GB"/>
        </w:rPr>
        <w:t xml:space="preserve">Results and </w:t>
      </w:r>
      <w:r w:rsidR="003E2196" w:rsidRPr="00BF2A4F">
        <w:rPr>
          <w:lang w:val="en-GB"/>
        </w:rPr>
        <w:t>Discussion</w:t>
      </w:r>
    </w:p>
    <w:p w:rsidR="00816FC9" w:rsidRPr="00BF2A4F" w:rsidRDefault="00581E00" w:rsidP="00284375">
      <w:pPr>
        <w:pStyle w:val="CETBodytext"/>
      </w:pPr>
      <w:r w:rsidRPr="00BF2A4F">
        <w:t xml:space="preserve">First, the miscibility of the fatty acids with </w:t>
      </w:r>
      <w:r w:rsidR="00260353" w:rsidRPr="00BF2A4F">
        <w:t>sc-</w:t>
      </w:r>
      <w:r w:rsidRPr="00BF2A4F">
        <w:t>CO</w:t>
      </w:r>
      <w:r w:rsidRPr="00BF2A4F">
        <w:rPr>
          <w:vertAlign w:val="subscript"/>
        </w:rPr>
        <w:t>2</w:t>
      </w:r>
      <w:r w:rsidRPr="00BF2A4F">
        <w:t xml:space="preserve"> and its mixtures with a volume fraction of 5 % </w:t>
      </w:r>
      <w:r w:rsidR="00981D65" w:rsidRPr="00BF2A4F">
        <w:t>cosolvent</w:t>
      </w:r>
      <w:r w:rsidRPr="00BF2A4F">
        <w:t xml:space="preserve"> was estimated using the HST. Five organic solvents approved for the manufacture of food products </w:t>
      </w:r>
      <w:r w:rsidR="00231AB1">
        <w:fldChar w:fldCharType="begin" w:fldLock="1"/>
      </w:r>
      <w:r w:rsidR="00231AB1">
        <w:instrText>ADDIN CSL_CITATION {"citationItems":[{"id":"ITEM-1","itemData":{"author":[{"dropping-particle":"","family":"European Parliament and Council of the European Union","given":"","non-dropping-particle":"","parse-names":false,"suffix":""}],"id":"ITEM-1","issued":{"date-parts":[["2009"]]},"page":"9","publisher-place":"France","title":"Directive 2009/32/EC of the European Parliament and of the Council of 23 April 2009 on the approximation of the laws of the Member States on extraction solvents used in the production of foodstuffs and food ingredients (Recast)","type":"legislation"},"uris":["http://www.mendeley.com/documents/?uuid=20c73ad4-406a-4585-a184-f75302403767"]}],"mendeley":{"formattedCitation":"(European Parliament and Council of the European Union, 2009)","plainTextFormattedCitation":"(European Parliament and Council of the European Union, 2009)","previouslyFormattedCitation":"(European Parliament and Council of the European Union, 2009)"},"properties":{"noteIndex":0},"schema":"https://github.com/citation-style-language/schema/raw/master/csl-citation.json"}</w:instrText>
      </w:r>
      <w:r w:rsidR="00231AB1">
        <w:fldChar w:fldCharType="separate"/>
      </w:r>
      <w:r w:rsidR="00231AB1" w:rsidRPr="00231AB1">
        <w:rPr>
          <w:noProof/>
        </w:rPr>
        <w:t>(European Parliament and Council of the European Union, 2009)</w:t>
      </w:r>
      <w:r w:rsidR="00231AB1">
        <w:fldChar w:fldCharType="end"/>
      </w:r>
      <w:r w:rsidR="000C5CE0" w:rsidRPr="00BF2A4F">
        <w:t xml:space="preserve"> were used for the predictions</w:t>
      </w:r>
      <w:r w:rsidRPr="00BF2A4F">
        <w:t xml:space="preserve">: acetone, diethyl ether, ethanol, n-hexane and methanol. The miscibility predictions were compared with </w:t>
      </w:r>
      <w:r w:rsidR="00CD52E7" w:rsidRPr="00BF2A4F">
        <w:t>the concentration of the fatty acids in the oil extracted</w:t>
      </w:r>
      <w:r w:rsidR="001339F9" w:rsidRPr="00BF2A4F">
        <w:t xml:space="preserve"> by SFE</w:t>
      </w:r>
      <w:r w:rsidR="00CD52E7" w:rsidRPr="00BF2A4F">
        <w:t xml:space="preserve"> from </w:t>
      </w:r>
      <w:r w:rsidR="00CD52E7" w:rsidRPr="00BF2A4F">
        <w:rPr>
          <w:i/>
        </w:rPr>
        <w:t>T. suecica</w:t>
      </w:r>
      <w:r w:rsidR="00CD52E7" w:rsidRPr="00BF2A4F">
        <w:t xml:space="preserve"> by using pure sc-CO</w:t>
      </w:r>
      <w:r w:rsidR="00CD52E7" w:rsidRPr="00BF2A4F">
        <w:rPr>
          <w:vertAlign w:val="subscript"/>
        </w:rPr>
        <w:t>2</w:t>
      </w:r>
      <w:r w:rsidR="00CD52E7" w:rsidRPr="00BF2A4F">
        <w:t>, sc-CO</w:t>
      </w:r>
      <w:r w:rsidR="00CD52E7" w:rsidRPr="00BF2A4F">
        <w:rPr>
          <w:vertAlign w:val="subscript"/>
        </w:rPr>
        <w:t>2</w:t>
      </w:r>
      <w:r w:rsidR="00CD52E7" w:rsidRPr="00BF2A4F">
        <w:t xml:space="preserve"> + ethanol and sc-CO</w:t>
      </w:r>
      <w:r w:rsidR="00CD52E7" w:rsidRPr="00BF2A4F">
        <w:rPr>
          <w:vertAlign w:val="subscript"/>
        </w:rPr>
        <w:t xml:space="preserve">2 </w:t>
      </w:r>
      <w:r w:rsidR="00CD52E7" w:rsidRPr="00BF2A4F">
        <w:t xml:space="preserve">+ n-hexane. </w:t>
      </w:r>
      <w:r w:rsidR="00297B6E" w:rsidRPr="00BF2A4F">
        <w:t>Also,</w:t>
      </w:r>
      <w:r w:rsidR="00CD52E7" w:rsidRPr="00BF2A4F">
        <w:t xml:space="preserve"> </w:t>
      </w:r>
      <w:r w:rsidRPr="00BF2A4F">
        <w:t xml:space="preserve">equilibrium data (bubble pressures) of </w:t>
      </w:r>
      <w:r w:rsidR="00E22E66" w:rsidRPr="00BF2A4F">
        <w:t>α-linolenic acid</w:t>
      </w:r>
      <w:r w:rsidRPr="00BF2A4F">
        <w:t xml:space="preserve"> in the </w:t>
      </w:r>
      <w:r w:rsidR="00C56D16" w:rsidRPr="00BF2A4F">
        <w:t>supercritical mixture</w:t>
      </w:r>
      <w:r w:rsidR="00B616BB">
        <w:t>s</w:t>
      </w:r>
      <w:r w:rsidR="00C56D16" w:rsidRPr="00BF2A4F">
        <w:t xml:space="preserve"> </w:t>
      </w:r>
      <w:r w:rsidRPr="00BF2A4F">
        <w:t>was compared. To match the conditions used in the experimental validation, 20 MPa and 305.15 K were selected for the HST esti</w:t>
      </w:r>
      <w:r w:rsidRPr="00BF2A4F">
        <w:t>mations.</w:t>
      </w:r>
    </w:p>
    <w:p w:rsidR="00711E45" w:rsidRPr="00BF2A4F" w:rsidRDefault="00581E00" w:rsidP="00670E42">
      <w:pPr>
        <w:pStyle w:val="CETHeadingxx"/>
        <w:rPr>
          <w:lang w:val="en-GB"/>
        </w:rPr>
      </w:pPr>
      <w:r w:rsidRPr="00BF2A4F">
        <w:rPr>
          <w:lang w:val="en-GB"/>
        </w:rPr>
        <w:t>3.1. Hansen solubility parameters of fatty acids</w:t>
      </w:r>
    </w:p>
    <w:p w:rsidR="00D56B12" w:rsidRDefault="00581E00" w:rsidP="001E6F1B">
      <w:pPr>
        <w:pStyle w:val="CETBodytext"/>
      </w:pPr>
      <w:r w:rsidRPr="00BF2A4F">
        <w:rPr>
          <w:lang w:val="en-GB"/>
        </w:rPr>
        <w:t xml:space="preserve">Table 1 shows the HSP for oleic, linoleic </w:t>
      </w:r>
      <w:r w:rsidR="005A310B" w:rsidRPr="00BF2A4F">
        <w:rPr>
          <w:lang w:val="en-GB"/>
        </w:rPr>
        <w:t xml:space="preserve">and </w:t>
      </w:r>
      <w:r w:rsidR="00E22E66" w:rsidRPr="00BF2A4F">
        <w:rPr>
          <w:lang w:val="en-GB"/>
        </w:rPr>
        <w:t xml:space="preserve">α-linolenic acids </w:t>
      </w:r>
      <w:r w:rsidRPr="00BF2A4F">
        <w:rPr>
          <w:lang w:val="en-GB"/>
        </w:rPr>
        <w:t>at 298.15 K</w:t>
      </w:r>
      <w:r w:rsidR="00BE0AE5" w:rsidRPr="00BF2A4F">
        <w:rPr>
          <w:lang w:val="en-GB"/>
        </w:rPr>
        <w:t xml:space="preserve"> and 0.1 MPa</w:t>
      </w:r>
      <w:r w:rsidR="00005433" w:rsidRPr="00BF2A4F">
        <w:rPr>
          <w:lang w:val="en-GB"/>
        </w:rPr>
        <w:t>,</w:t>
      </w:r>
      <w:r w:rsidR="00511326" w:rsidRPr="00BF2A4F">
        <w:rPr>
          <w:lang w:val="en-GB"/>
        </w:rPr>
        <w:t xml:space="preserve"> and </w:t>
      </w:r>
      <w:r w:rsidRPr="00BF2A4F">
        <w:rPr>
          <w:lang w:val="en-GB"/>
        </w:rPr>
        <w:t xml:space="preserve">at the selected </w:t>
      </w:r>
      <w:r w:rsidR="00511326" w:rsidRPr="00BF2A4F">
        <w:rPr>
          <w:lang w:val="en-GB"/>
        </w:rPr>
        <w:t xml:space="preserve">conditions for the </w:t>
      </w:r>
      <w:r w:rsidR="00676D60" w:rsidRPr="00BF2A4F">
        <w:rPr>
          <w:lang w:val="en-GB"/>
        </w:rPr>
        <w:t>supercritical extraction</w:t>
      </w:r>
      <w:r w:rsidR="00511326" w:rsidRPr="00BF2A4F">
        <w:rPr>
          <w:lang w:val="en-GB"/>
        </w:rPr>
        <w:t>.</w:t>
      </w:r>
      <w:r w:rsidR="0090649A">
        <w:rPr>
          <w:lang w:val="en-GB"/>
        </w:rPr>
        <w:t xml:space="preserve"> </w:t>
      </w:r>
      <w:r w:rsidR="00816FC9" w:rsidRPr="00BF2A4F">
        <w:t>In the three fatty acids, the dispersion force</w:t>
      </w:r>
      <w:r w:rsidR="00DD176C" w:rsidRPr="00BF2A4F">
        <w:t xml:space="preserve"> (δ</w:t>
      </w:r>
      <w:r w:rsidR="00DD176C" w:rsidRPr="00BF2A4F">
        <w:rPr>
          <w:vertAlign w:val="subscript"/>
        </w:rPr>
        <w:t>d</w:t>
      </w:r>
      <w:r w:rsidR="00DD176C" w:rsidRPr="00BF2A4F">
        <w:t>)</w:t>
      </w:r>
      <w:r w:rsidR="00816FC9" w:rsidRPr="00BF2A4F">
        <w:t xml:space="preserve"> had the highest </w:t>
      </w:r>
      <w:r w:rsidR="00816FC9" w:rsidRPr="00BF2A4F">
        <w:lastRenderedPageBreak/>
        <w:t xml:space="preserve">contribution, due to the presence of a long straight-chain hydrocarbon in their structures. Furthermore, these fatty acids contain </w:t>
      </w:r>
      <w:r w:rsidR="00C20FB0" w:rsidRPr="00BF2A4F">
        <w:t>unsaturations</w:t>
      </w:r>
      <w:r w:rsidR="00816FC9" w:rsidRPr="00BF2A4F">
        <w:t xml:space="preserve"> (olefin groups) and one carboxylic group, which gives polar </w:t>
      </w:r>
      <w:r w:rsidR="00D355BA" w:rsidRPr="00BF2A4F">
        <w:t>(δ</w:t>
      </w:r>
      <w:r w:rsidR="00D355BA" w:rsidRPr="00BF2A4F">
        <w:rPr>
          <w:vertAlign w:val="subscript"/>
        </w:rPr>
        <w:t>p</w:t>
      </w:r>
      <w:r w:rsidR="00D355BA" w:rsidRPr="00BF2A4F">
        <w:t xml:space="preserve">) </w:t>
      </w:r>
      <w:r w:rsidR="00816FC9" w:rsidRPr="00BF2A4F">
        <w:t>and H-bonding contributions</w:t>
      </w:r>
      <w:r w:rsidR="00D355BA" w:rsidRPr="00BF2A4F">
        <w:t xml:space="preserve"> (δ</w:t>
      </w:r>
      <w:r w:rsidR="00D355BA" w:rsidRPr="00BF2A4F">
        <w:rPr>
          <w:vertAlign w:val="subscript"/>
        </w:rPr>
        <w:t>h</w:t>
      </w:r>
      <w:r w:rsidR="00D355BA" w:rsidRPr="00BF2A4F">
        <w:t>)</w:t>
      </w:r>
      <w:r w:rsidR="00816FC9" w:rsidRPr="00BF2A4F">
        <w:t xml:space="preserve">, respectively. However, the carboxylic group has a bigger impact than the olefin group, and for that reason, the H-bonding forces are higher. On the other hand, the HSP of the three fatty acids varied only slightly within the explored temperature interval, as it was before described </w:t>
      </w:r>
      <w:r w:rsidR="00231AB1">
        <w:fldChar w:fldCharType="begin" w:fldLock="1"/>
      </w:r>
      <w:r w:rsidR="00D11C61">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00231AB1">
        <w:fldChar w:fldCharType="separate"/>
      </w:r>
      <w:r w:rsidR="00D11C61" w:rsidRPr="00D11C61">
        <w:rPr>
          <w:noProof/>
        </w:rPr>
        <w:t xml:space="preserve">(Tirado </w:t>
      </w:r>
      <w:r w:rsidR="00D11C61" w:rsidRPr="005A4BF7">
        <w:rPr>
          <w:i/>
          <w:noProof/>
        </w:rPr>
        <w:t>et al.,</w:t>
      </w:r>
      <w:r w:rsidR="00D11C61" w:rsidRPr="00D11C61">
        <w:rPr>
          <w:noProof/>
        </w:rPr>
        <w:t xml:space="preserve"> 2018)</w:t>
      </w:r>
      <w:r w:rsidR="00231AB1">
        <w:fldChar w:fldCharType="end"/>
      </w:r>
      <w:r w:rsidR="00231AB1">
        <w:t>.</w:t>
      </w:r>
    </w:p>
    <w:p w:rsidR="0090649A" w:rsidRDefault="0090649A" w:rsidP="001E6F1B">
      <w:pPr>
        <w:pStyle w:val="CETBodytext"/>
        <w:rPr>
          <w:b/>
        </w:rPr>
      </w:pPr>
    </w:p>
    <w:p w:rsidR="0090649A" w:rsidRPr="00BF2A4F" w:rsidRDefault="00581E00" w:rsidP="0090649A">
      <w:pPr>
        <w:pStyle w:val="CETBodytext"/>
        <w:rPr>
          <w:lang w:val="en-GB"/>
        </w:rPr>
      </w:pPr>
      <w:r w:rsidRPr="00BF2A4F">
        <w:rPr>
          <w:lang w:val="en-GB"/>
        </w:rPr>
        <w:t>Table 1: Hansen solubility parameters of the fatty acids studied in this work at room and supercritical conditions.</w:t>
      </w:r>
    </w:p>
    <w:tbl>
      <w:tblPr>
        <w:tblW w:w="8340" w:type="dxa"/>
        <w:jc w:val="center"/>
        <w:tblLook w:val="04A0" w:firstRow="1" w:lastRow="0" w:firstColumn="1" w:lastColumn="0" w:noHBand="0" w:noVBand="1"/>
      </w:tblPr>
      <w:tblGrid>
        <w:gridCol w:w="2023"/>
        <w:gridCol w:w="932"/>
        <w:gridCol w:w="1066"/>
        <w:gridCol w:w="932"/>
        <w:gridCol w:w="237"/>
        <w:gridCol w:w="1050"/>
        <w:gridCol w:w="1050"/>
        <w:gridCol w:w="1050"/>
      </w:tblGrid>
      <w:tr w:rsidR="00EA0561" w:rsidTr="00F5041E">
        <w:trPr>
          <w:trHeight w:val="300"/>
          <w:jc w:val="center"/>
        </w:trPr>
        <w:tc>
          <w:tcPr>
            <w:tcW w:w="2023" w:type="dxa"/>
            <w:vMerge w:val="restart"/>
            <w:tcBorders>
              <w:top w:val="single" w:sz="4" w:space="0" w:color="auto"/>
            </w:tcBorders>
            <w:noWrap/>
          </w:tcPr>
          <w:p w:rsidR="0090649A" w:rsidRPr="00BF2A4F" w:rsidRDefault="0090649A" w:rsidP="00F5041E">
            <w:pPr>
              <w:pStyle w:val="CETBodytext"/>
              <w:rPr>
                <w:b/>
                <w:bCs/>
                <w:lang w:val="en-GB"/>
              </w:rPr>
            </w:pPr>
          </w:p>
          <w:p w:rsidR="0090649A" w:rsidRPr="00BF2A4F" w:rsidRDefault="00581E00" w:rsidP="00F5041E">
            <w:pPr>
              <w:pStyle w:val="CETBodytext"/>
              <w:jc w:val="center"/>
              <w:rPr>
                <w:b/>
                <w:bCs/>
                <w:lang w:val="en-GB"/>
              </w:rPr>
            </w:pPr>
            <w:r w:rsidRPr="00BF2A4F">
              <w:rPr>
                <w:bCs/>
                <w:lang w:val="en-GB"/>
              </w:rPr>
              <w:t>Fatty acid</w:t>
            </w:r>
          </w:p>
        </w:tc>
        <w:tc>
          <w:tcPr>
            <w:tcW w:w="2930" w:type="dxa"/>
            <w:gridSpan w:val="3"/>
            <w:tcBorders>
              <w:top w:val="single" w:sz="4" w:space="0" w:color="auto"/>
              <w:bottom w:val="single" w:sz="4" w:space="0" w:color="auto"/>
            </w:tcBorders>
            <w:noWrap/>
          </w:tcPr>
          <w:p w:rsidR="0090649A" w:rsidRPr="00BF2A4F" w:rsidRDefault="00581E00" w:rsidP="00F5041E">
            <w:pPr>
              <w:pStyle w:val="CETBodytext"/>
              <w:jc w:val="center"/>
              <w:rPr>
                <w:b/>
                <w:bCs/>
                <w:lang w:val="en-GB"/>
              </w:rPr>
            </w:pPr>
            <w:r w:rsidRPr="00BF2A4F">
              <w:rPr>
                <w:bCs/>
                <w:lang w:val="en-GB"/>
              </w:rPr>
              <w:t>298.15 K and 0.1 MPa</w:t>
            </w:r>
          </w:p>
        </w:tc>
        <w:tc>
          <w:tcPr>
            <w:tcW w:w="237" w:type="dxa"/>
            <w:tcBorders>
              <w:top w:val="single" w:sz="4" w:space="0" w:color="auto"/>
              <w:bottom w:val="single" w:sz="4" w:space="0" w:color="auto"/>
            </w:tcBorders>
          </w:tcPr>
          <w:p w:rsidR="0090649A" w:rsidRPr="00BF2A4F" w:rsidRDefault="0090649A" w:rsidP="00F5041E">
            <w:pPr>
              <w:pStyle w:val="CETBodytext"/>
              <w:jc w:val="center"/>
              <w:rPr>
                <w:b/>
                <w:bCs/>
                <w:lang w:val="en-GB"/>
              </w:rPr>
            </w:pPr>
          </w:p>
        </w:tc>
        <w:tc>
          <w:tcPr>
            <w:tcW w:w="3150" w:type="dxa"/>
            <w:gridSpan w:val="3"/>
            <w:tcBorders>
              <w:top w:val="single" w:sz="4" w:space="0" w:color="auto"/>
              <w:bottom w:val="single" w:sz="4" w:space="0" w:color="auto"/>
            </w:tcBorders>
          </w:tcPr>
          <w:p w:rsidR="0090649A" w:rsidRPr="00BF2A4F" w:rsidRDefault="00581E00" w:rsidP="00F5041E">
            <w:pPr>
              <w:pStyle w:val="CETBodytext"/>
              <w:jc w:val="center"/>
              <w:rPr>
                <w:b/>
                <w:bCs/>
                <w:lang w:val="en-GB"/>
              </w:rPr>
            </w:pPr>
            <w:r w:rsidRPr="00BF2A4F">
              <w:rPr>
                <w:bCs/>
                <w:lang w:val="en-GB"/>
              </w:rPr>
              <w:t>305.15 K and 20 MPa</w:t>
            </w:r>
          </w:p>
        </w:tc>
      </w:tr>
      <w:tr w:rsidR="00EA0561" w:rsidTr="00F5041E">
        <w:trPr>
          <w:trHeight w:val="300"/>
          <w:jc w:val="center"/>
        </w:trPr>
        <w:tc>
          <w:tcPr>
            <w:tcW w:w="2023" w:type="dxa"/>
            <w:vMerge/>
            <w:tcBorders>
              <w:bottom w:val="single" w:sz="4" w:space="0" w:color="auto"/>
            </w:tcBorders>
            <w:noWrap/>
          </w:tcPr>
          <w:p w:rsidR="0090649A" w:rsidRPr="00BF2A4F" w:rsidRDefault="0090649A" w:rsidP="00F5041E">
            <w:pPr>
              <w:pStyle w:val="CETBodytext"/>
              <w:rPr>
                <w:b/>
                <w:bCs/>
                <w:lang w:val="en-GB"/>
              </w:rPr>
            </w:pPr>
          </w:p>
        </w:tc>
        <w:tc>
          <w:tcPr>
            <w:tcW w:w="932" w:type="dxa"/>
            <w:tcBorders>
              <w:top w:val="single" w:sz="4" w:space="0" w:color="auto"/>
              <w:bottom w:val="single" w:sz="4" w:space="0" w:color="auto"/>
            </w:tcBorders>
            <w:noWrap/>
          </w:tcPr>
          <w:p w:rsidR="0090649A" w:rsidRPr="00BF2A4F" w:rsidRDefault="00581E00" w:rsidP="00F5041E">
            <w:pPr>
              <w:pStyle w:val="CETBodytext"/>
              <w:jc w:val="center"/>
              <w:rPr>
                <w:vertAlign w:val="subscript"/>
                <w:lang w:val="en-GB"/>
              </w:rPr>
            </w:pPr>
            <w:r w:rsidRPr="00BF2A4F">
              <w:rPr>
                <w:lang w:val="en-GB"/>
              </w:rPr>
              <w:t>δ</w:t>
            </w:r>
            <w:r w:rsidRPr="00BF2A4F">
              <w:rPr>
                <w:vertAlign w:val="subscript"/>
                <w:lang w:val="en-GB"/>
              </w:rPr>
              <w:t>d</w:t>
            </w:r>
          </w:p>
          <w:p w:rsidR="0090649A" w:rsidRPr="00BF2A4F" w:rsidRDefault="00581E00" w:rsidP="00F5041E">
            <w:pPr>
              <w:pStyle w:val="CETBodytext"/>
              <w:jc w:val="center"/>
              <w:rPr>
                <w:lang w:val="en-GB"/>
              </w:rPr>
            </w:pPr>
            <w:r w:rsidRPr="00BF2A4F">
              <w:rPr>
                <w:lang w:val="en-GB"/>
              </w:rPr>
              <w:t>MPa</w:t>
            </w:r>
            <w:r w:rsidRPr="00BF2A4F">
              <w:rPr>
                <w:vertAlign w:val="superscript"/>
                <w:lang w:val="en-GB"/>
              </w:rPr>
              <w:t>1/2</w:t>
            </w:r>
          </w:p>
        </w:tc>
        <w:tc>
          <w:tcPr>
            <w:tcW w:w="1066" w:type="dxa"/>
            <w:tcBorders>
              <w:top w:val="single" w:sz="4" w:space="0" w:color="auto"/>
              <w:bottom w:val="single" w:sz="4" w:space="0" w:color="auto"/>
            </w:tcBorders>
            <w:noWrap/>
          </w:tcPr>
          <w:p w:rsidR="0090649A" w:rsidRPr="00BF2A4F" w:rsidRDefault="00581E00" w:rsidP="00F5041E">
            <w:pPr>
              <w:pStyle w:val="CETBodytext"/>
              <w:jc w:val="center"/>
              <w:rPr>
                <w:vertAlign w:val="subscript"/>
                <w:lang w:val="en-GB"/>
              </w:rPr>
            </w:pPr>
            <w:r w:rsidRPr="00BF2A4F">
              <w:rPr>
                <w:lang w:val="en-GB"/>
              </w:rPr>
              <w:t>δ</w:t>
            </w:r>
            <w:r w:rsidRPr="00BF2A4F">
              <w:rPr>
                <w:vertAlign w:val="subscript"/>
                <w:lang w:val="en-GB"/>
              </w:rPr>
              <w:t>p</w:t>
            </w:r>
          </w:p>
          <w:p w:rsidR="0090649A" w:rsidRPr="00BF2A4F" w:rsidRDefault="00581E00" w:rsidP="00F5041E">
            <w:pPr>
              <w:pStyle w:val="CETBodytext"/>
              <w:jc w:val="center"/>
              <w:rPr>
                <w:lang w:val="en-GB"/>
              </w:rPr>
            </w:pPr>
            <w:r w:rsidRPr="00BF2A4F">
              <w:rPr>
                <w:lang w:val="en-GB"/>
              </w:rPr>
              <w:t>MPa</w:t>
            </w:r>
            <w:r w:rsidRPr="00BF2A4F">
              <w:rPr>
                <w:vertAlign w:val="superscript"/>
                <w:lang w:val="en-GB"/>
              </w:rPr>
              <w:t>1/2</w:t>
            </w:r>
          </w:p>
        </w:tc>
        <w:tc>
          <w:tcPr>
            <w:tcW w:w="932" w:type="dxa"/>
            <w:tcBorders>
              <w:bottom w:val="single" w:sz="4" w:space="0" w:color="auto"/>
            </w:tcBorders>
            <w:noWrap/>
          </w:tcPr>
          <w:p w:rsidR="0090649A" w:rsidRPr="00BF2A4F" w:rsidRDefault="00581E00" w:rsidP="00F5041E">
            <w:pPr>
              <w:pStyle w:val="CETBodytext"/>
              <w:jc w:val="center"/>
              <w:rPr>
                <w:vertAlign w:val="subscript"/>
                <w:lang w:val="en-GB"/>
              </w:rPr>
            </w:pPr>
            <w:r w:rsidRPr="00BF2A4F">
              <w:rPr>
                <w:lang w:val="en-GB"/>
              </w:rPr>
              <w:t>δ</w:t>
            </w:r>
            <w:r w:rsidRPr="00BF2A4F">
              <w:rPr>
                <w:vertAlign w:val="subscript"/>
                <w:lang w:val="en-GB"/>
              </w:rPr>
              <w:t>h</w:t>
            </w:r>
          </w:p>
          <w:p w:rsidR="0090649A" w:rsidRPr="00BF2A4F" w:rsidRDefault="00581E00" w:rsidP="00F5041E">
            <w:pPr>
              <w:pStyle w:val="CETBodytext"/>
              <w:jc w:val="center"/>
              <w:rPr>
                <w:lang w:val="en-GB"/>
              </w:rPr>
            </w:pPr>
            <w:r w:rsidRPr="00BF2A4F">
              <w:rPr>
                <w:lang w:val="en-GB"/>
              </w:rPr>
              <w:t>MPa</w:t>
            </w:r>
            <w:r w:rsidRPr="00BF2A4F">
              <w:rPr>
                <w:vertAlign w:val="superscript"/>
                <w:lang w:val="en-GB"/>
              </w:rPr>
              <w:t>1/2</w:t>
            </w:r>
          </w:p>
        </w:tc>
        <w:tc>
          <w:tcPr>
            <w:tcW w:w="237" w:type="dxa"/>
            <w:tcBorders>
              <w:top w:val="single" w:sz="4" w:space="0" w:color="auto"/>
              <w:bottom w:val="single" w:sz="4" w:space="0" w:color="auto"/>
            </w:tcBorders>
          </w:tcPr>
          <w:p w:rsidR="0090649A" w:rsidRPr="00BF2A4F" w:rsidRDefault="0090649A" w:rsidP="00F5041E">
            <w:pPr>
              <w:pStyle w:val="CETBodytext"/>
              <w:jc w:val="center"/>
              <w:rPr>
                <w:lang w:val="en-GB"/>
              </w:rPr>
            </w:pPr>
          </w:p>
        </w:tc>
        <w:tc>
          <w:tcPr>
            <w:tcW w:w="1050" w:type="dxa"/>
            <w:tcBorders>
              <w:top w:val="single" w:sz="4" w:space="0" w:color="auto"/>
              <w:bottom w:val="single" w:sz="4" w:space="0" w:color="auto"/>
            </w:tcBorders>
          </w:tcPr>
          <w:p w:rsidR="0090649A" w:rsidRPr="00BF2A4F" w:rsidRDefault="00581E00" w:rsidP="00F5041E">
            <w:pPr>
              <w:pStyle w:val="CETBodytext"/>
              <w:jc w:val="center"/>
              <w:rPr>
                <w:vertAlign w:val="subscript"/>
                <w:lang w:val="en-GB"/>
              </w:rPr>
            </w:pPr>
            <w:r w:rsidRPr="00BF2A4F">
              <w:rPr>
                <w:lang w:val="en-GB"/>
              </w:rPr>
              <w:t>δ</w:t>
            </w:r>
            <w:r w:rsidRPr="00BF2A4F">
              <w:rPr>
                <w:vertAlign w:val="subscript"/>
                <w:lang w:val="en-GB"/>
              </w:rPr>
              <w:t>d</w:t>
            </w:r>
          </w:p>
          <w:p w:rsidR="0090649A" w:rsidRPr="00BF2A4F" w:rsidRDefault="00581E00" w:rsidP="00F5041E">
            <w:pPr>
              <w:pStyle w:val="CETBodytext"/>
              <w:jc w:val="center"/>
              <w:rPr>
                <w:lang w:val="en-GB"/>
              </w:rPr>
            </w:pPr>
            <w:r w:rsidRPr="00BF2A4F">
              <w:rPr>
                <w:lang w:val="en-GB"/>
              </w:rPr>
              <w:t>MPa</w:t>
            </w:r>
            <w:r w:rsidRPr="00BF2A4F">
              <w:rPr>
                <w:vertAlign w:val="superscript"/>
                <w:lang w:val="en-GB"/>
              </w:rPr>
              <w:t>1/2</w:t>
            </w:r>
          </w:p>
        </w:tc>
        <w:tc>
          <w:tcPr>
            <w:tcW w:w="1050" w:type="dxa"/>
            <w:tcBorders>
              <w:top w:val="single" w:sz="4" w:space="0" w:color="auto"/>
              <w:bottom w:val="single" w:sz="4" w:space="0" w:color="auto"/>
            </w:tcBorders>
          </w:tcPr>
          <w:p w:rsidR="0090649A" w:rsidRPr="00BF2A4F" w:rsidRDefault="00581E00" w:rsidP="00F5041E">
            <w:pPr>
              <w:pStyle w:val="CETBodytext"/>
              <w:jc w:val="center"/>
              <w:rPr>
                <w:vertAlign w:val="subscript"/>
                <w:lang w:val="en-GB"/>
              </w:rPr>
            </w:pPr>
            <w:r w:rsidRPr="00BF2A4F">
              <w:rPr>
                <w:lang w:val="en-GB"/>
              </w:rPr>
              <w:t>δ</w:t>
            </w:r>
            <w:r w:rsidRPr="00BF2A4F">
              <w:rPr>
                <w:vertAlign w:val="subscript"/>
                <w:lang w:val="en-GB"/>
              </w:rPr>
              <w:t>p</w:t>
            </w:r>
          </w:p>
          <w:p w:rsidR="0090649A" w:rsidRPr="00BF2A4F" w:rsidRDefault="00581E00" w:rsidP="00F5041E">
            <w:pPr>
              <w:pStyle w:val="CETBodytext"/>
              <w:jc w:val="center"/>
              <w:rPr>
                <w:lang w:val="en-GB"/>
              </w:rPr>
            </w:pPr>
            <w:r w:rsidRPr="00BF2A4F">
              <w:rPr>
                <w:lang w:val="en-GB"/>
              </w:rPr>
              <w:t>MPa</w:t>
            </w:r>
            <w:r w:rsidRPr="00BF2A4F">
              <w:rPr>
                <w:vertAlign w:val="superscript"/>
                <w:lang w:val="en-GB"/>
              </w:rPr>
              <w:t>1/2</w:t>
            </w:r>
          </w:p>
        </w:tc>
        <w:tc>
          <w:tcPr>
            <w:tcW w:w="1050" w:type="dxa"/>
            <w:tcBorders>
              <w:top w:val="single" w:sz="4" w:space="0" w:color="auto"/>
              <w:bottom w:val="single" w:sz="4" w:space="0" w:color="auto"/>
            </w:tcBorders>
          </w:tcPr>
          <w:p w:rsidR="0090649A" w:rsidRPr="00BF2A4F" w:rsidRDefault="00581E00" w:rsidP="00F5041E">
            <w:pPr>
              <w:pStyle w:val="CETBodytext"/>
              <w:jc w:val="center"/>
              <w:rPr>
                <w:vertAlign w:val="subscript"/>
                <w:lang w:val="en-GB"/>
              </w:rPr>
            </w:pPr>
            <w:r w:rsidRPr="00BF2A4F">
              <w:rPr>
                <w:lang w:val="en-GB"/>
              </w:rPr>
              <w:t>δ</w:t>
            </w:r>
            <w:r w:rsidRPr="00BF2A4F">
              <w:rPr>
                <w:vertAlign w:val="subscript"/>
                <w:lang w:val="en-GB"/>
              </w:rPr>
              <w:t>h</w:t>
            </w:r>
          </w:p>
          <w:p w:rsidR="0090649A" w:rsidRPr="00BF2A4F" w:rsidRDefault="00581E00" w:rsidP="00F5041E">
            <w:pPr>
              <w:pStyle w:val="CETBodytext"/>
              <w:jc w:val="center"/>
              <w:rPr>
                <w:lang w:val="en-GB"/>
              </w:rPr>
            </w:pPr>
            <w:r w:rsidRPr="00BF2A4F">
              <w:rPr>
                <w:lang w:val="en-GB"/>
              </w:rPr>
              <w:t>MPa</w:t>
            </w:r>
            <w:r w:rsidRPr="00BF2A4F">
              <w:rPr>
                <w:vertAlign w:val="superscript"/>
                <w:lang w:val="en-GB"/>
              </w:rPr>
              <w:t>1/2</w:t>
            </w:r>
          </w:p>
        </w:tc>
      </w:tr>
      <w:tr w:rsidR="00EA0561" w:rsidTr="00F5041E">
        <w:trPr>
          <w:trHeight w:val="300"/>
          <w:jc w:val="center"/>
        </w:trPr>
        <w:tc>
          <w:tcPr>
            <w:tcW w:w="2023" w:type="dxa"/>
            <w:tcBorders>
              <w:top w:val="single" w:sz="4" w:space="0" w:color="auto"/>
              <w:bottom w:val="nil"/>
            </w:tcBorders>
            <w:noWrap/>
            <w:hideMark/>
          </w:tcPr>
          <w:p w:rsidR="0090649A" w:rsidRPr="00BF2A4F" w:rsidRDefault="00581E00" w:rsidP="00F5041E">
            <w:pPr>
              <w:pStyle w:val="CETBodytext"/>
              <w:rPr>
                <w:b/>
                <w:bCs/>
                <w:lang w:val="en-GB"/>
              </w:rPr>
            </w:pPr>
            <w:r w:rsidRPr="00BF2A4F">
              <w:rPr>
                <w:bCs/>
                <w:lang w:val="en-GB"/>
              </w:rPr>
              <w:t>Oleic acid</w:t>
            </w:r>
          </w:p>
        </w:tc>
        <w:tc>
          <w:tcPr>
            <w:tcW w:w="932" w:type="dxa"/>
            <w:tcBorders>
              <w:top w:val="single" w:sz="4" w:space="0" w:color="auto"/>
              <w:bottom w:val="nil"/>
            </w:tcBorders>
            <w:noWrap/>
            <w:hideMark/>
          </w:tcPr>
          <w:p w:rsidR="0090649A" w:rsidRPr="00BF2A4F" w:rsidRDefault="00581E00" w:rsidP="00F5041E">
            <w:pPr>
              <w:pStyle w:val="CETBodytext"/>
              <w:jc w:val="center"/>
              <w:rPr>
                <w:lang w:val="en-GB"/>
              </w:rPr>
            </w:pPr>
            <w:r w:rsidRPr="00BF2A4F">
              <w:rPr>
                <w:lang w:val="en-GB"/>
              </w:rPr>
              <w:t>17.40</w:t>
            </w:r>
          </w:p>
        </w:tc>
        <w:tc>
          <w:tcPr>
            <w:tcW w:w="1066" w:type="dxa"/>
            <w:tcBorders>
              <w:top w:val="single" w:sz="4" w:space="0" w:color="auto"/>
              <w:bottom w:val="nil"/>
            </w:tcBorders>
            <w:noWrap/>
            <w:hideMark/>
          </w:tcPr>
          <w:p w:rsidR="0090649A" w:rsidRPr="00BF2A4F" w:rsidRDefault="00581E00" w:rsidP="00F5041E">
            <w:pPr>
              <w:pStyle w:val="CETBodytext"/>
              <w:jc w:val="center"/>
              <w:rPr>
                <w:lang w:val="en-GB"/>
              </w:rPr>
            </w:pPr>
            <w:r w:rsidRPr="00BF2A4F">
              <w:rPr>
                <w:lang w:val="en-GB"/>
              </w:rPr>
              <w:t>2.67</w:t>
            </w:r>
          </w:p>
        </w:tc>
        <w:tc>
          <w:tcPr>
            <w:tcW w:w="932" w:type="dxa"/>
            <w:tcBorders>
              <w:top w:val="single" w:sz="4" w:space="0" w:color="auto"/>
              <w:bottom w:val="nil"/>
            </w:tcBorders>
            <w:noWrap/>
            <w:hideMark/>
          </w:tcPr>
          <w:p w:rsidR="0090649A" w:rsidRPr="00BF2A4F" w:rsidRDefault="00581E00" w:rsidP="00F5041E">
            <w:pPr>
              <w:pStyle w:val="CETBodytext"/>
              <w:jc w:val="center"/>
              <w:rPr>
                <w:lang w:val="en-GB"/>
              </w:rPr>
            </w:pPr>
            <w:r w:rsidRPr="00BF2A4F">
              <w:rPr>
                <w:lang w:val="en-GB"/>
              </w:rPr>
              <w:t>6.43</w:t>
            </w:r>
          </w:p>
        </w:tc>
        <w:tc>
          <w:tcPr>
            <w:tcW w:w="237" w:type="dxa"/>
            <w:tcBorders>
              <w:top w:val="single" w:sz="4" w:space="0" w:color="auto"/>
              <w:bottom w:val="nil"/>
            </w:tcBorders>
          </w:tcPr>
          <w:p w:rsidR="0090649A" w:rsidRPr="00BF2A4F" w:rsidRDefault="0090649A" w:rsidP="00F5041E">
            <w:pPr>
              <w:pStyle w:val="CETBodytext"/>
              <w:jc w:val="center"/>
              <w:rPr>
                <w:lang w:val="en-GB"/>
              </w:rPr>
            </w:pPr>
          </w:p>
        </w:tc>
        <w:tc>
          <w:tcPr>
            <w:tcW w:w="1050" w:type="dxa"/>
            <w:tcBorders>
              <w:top w:val="single" w:sz="4" w:space="0" w:color="auto"/>
              <w:bottom w:val="nil"/>
            </w:tcBorders>
          </w:tcPr>
          <w:p w:rsidR="0090649A" w:rsidRPr="00BF2A4F" w:rsidRDefault="00581E00" w:rsidP="00F5041E">
            <w:pPr>
              <w:pStyle w:val="CETBodytext"/>
              <w:jc w:val="center"/>
              <w:rPr>
                <w:lang w:val="en-GB"/>
              </w:rPr>
            </w:pPr>
            <w:r w:rsidRPr="00BF2A4F">
              <w:rPr>
                <w:lang w:val="en-GB"/>
              </w:rPr>
              <w:t>17.35</w:t>
            </w:r>
          </w:p>
        </w:tc>
        <w:tc>
          <w:tcPr>
            <w:tcW w:w="1050" w:type="dxa"/>
            <w:tcBorders>
              <w:top w:val="single" w:sz="4" w:space="0" w:color="auto"/>
              <w:bottom w:val="nil"/>
            </w:tcBorders>
          </w:tcPr>
          <w:p w:rsidR="0090649A" w:rsidRPr="00BF2A4F" w:rsidRDefault="00581E00" w:rsidP="00F5041E">
            <w:pPr>
              <w:pStyle w:val="CETBodytext"/>
              <w:jc w:val="center"/>
              <w:rPr>
                <w:lang w:val="en-GB"/>
              </w:rPr>
            </w:pPr>
            <w:r w:rsidRPr="00BF2A4F">
              <w:rPr>
                <w:lang w:val="en-GB"/>
              </w:rPr>
              <w:t>2.66</w:t>
            </w:r>
          </w:p>
        </w:tc>
        <w:tc>
          <w:tcPr>
            <w:tcW w:w="1050" w:type="dxa"/>
            <w:tcBorders>
              <w:top w:val="single" w:sz="4" w:space="0" w:color="auto"/>
              <w:bottom w:val="nil"/>
            </w:tcBorders>
          </w:tcPr>
          <w:p w:rsidR="0090649A" w:rsidRPr="00BF2A4F" w:rsidRDefault="00581E00" w:rsidP="00F5041E">
            <w:pPr>
              <w:pStyle w:val="CETBodytext"/>
              <w:jc w:val="center"/>
              <w:rPr>
                <w:lang w:val="en-GB"/>
              </w:rPr>
            </w:pPr>
            <w:r w:rsidRPr="00BF2A4F">
              <w:rPr>
                <w:lang w:val="en-GB"/>
              </w:rPr>
              <w:t>6.42</w:t>
            </w:r>
          </w:p>
        </w:tc>
      </w:tr>
      <w:tr w:rsidR="00EA0561" w:rsidTr="00F5041E">
        <w:trPr>
          <w:trHeight w:val="300"/>
          <w:jc w:val="center"/>
        </w:trPr>
        <w:tc>
          <w:tcPr>
            <w:tcW w:w="2023" w:type="dxa"/>
            <w:tcBorders>
              <w:top w:val="nil"/>
              <w:bottom w:val="nil"/>
            </w:tcBorders>
            <w:noWrap/>
            <w:hideMark/>
          </w:tcPr>
          <w:p w:rsidR="0090649A" w:rsidRPr="00BF2A4F" w:rsidRDefault="00581E00" w:rsidP="00F5041E">
            <w:pPr>
              <w:pStyle w:val="CETBodytext"/>
              <w:rPr>
                <w:b/>
                <w:bCs/>
                <w:lang w:val="en-GB"/>
              </w:rPr>
            </w:pPr>
            <w:r w:rsidRPr="00BF2A4F">
              <w:rPr>
                <w:bCs/>
                <w:lang w:val="en-GB"/>
              </w:rPr>
              <w:t>Linoleic acid</w:t>
            </w:r>
          </w:p>
        </w:tc>
        <w:tc>
          <w:tcPr>
            <w:tcW w:w="932" w:type="dxa"/>
            <w:tcBorders>
              <w:top w:val="nil"/>
              <w:bottom w:val="nil"/>
            </w:tcBorders>
            <w:noWrap/>
            <w:hideMark/>
          </w:tcPr>
          <w:p w:rsidR="0090649A" w:rsidRPr="00BF2A4F" w:rsidRDefault="00581E00" w:rsidP="00F5041E">
            <w:pPr>
              <w:pStyle w:val="CETBodytext"/>
              <w:jc w:val="center"/>
              <w:rPr>
                <w:lang w:val="en-GB"/>
              </w:rPr>
            </w:pPr>
            <w:r w:rsidRPr="00BF2A4F">
              <w:rPr>
                <w:lang w:val="en-GB"/>
              </w:rPr>
              <w:t>18.29</w:t>
            </w:r>
          </w:p>
        </w:tc>
        <w:tc>
          <w:tcPr>
            <w:tcW w:w="1066" w:type="dxa"/>
            <w:tcBorders>
              <w:top w:val="nil"/>
              <w:bottom w:val="nil"/>
            </w:tcBorders>
            <w:noWrap/>
            <w:hideMark/>
          </w:tcPr>
          <w:p w:rsidR="0090649A" w:rsidRPr="00BF2A4F" w:rsidRDefault="00581E00" w:rsidP="00F5041E">
            <w:pPr>
              <w:pStyle w:val="CETBodytext"/>
              <w:jc w:val="center"/>
              <w:rPr>
                <w:lang w:val="en-GB"/>
              </w:rPr>
            </w:pPr>
            <w:r w:rsidRPr="00BF2A4F">
              <w:rPr>
                <w:lang w:val="en-GB"/>
              </w:rPr>
              <w:t>2.94</w:t>
            </w:r>
          </w:p>
        </w:tc>
        <w:tc>
          <w:tcPr>
            <w:tcW w:w="932" w:type="dxa"/>
            <w:tcBorders>
              <w:top w:val="nil"/>
              <w:bottom w:val="nil"/>
            </w:tcBorders>
            <w:noWrap/>
            <w:hideMark/>
          </w:tcPr>
          <w:p w:rsidR="0090649A" w:rsidRPr="00BF2A4F" w:rsidRDefault="00581E00" w:rsidP="00F5041E">
            <w:pPr>
              <w:pStyle w:val="CETBodytext"/>
              <w:jc w:val="center"/>
              <w:rPr>
                <w:lang w:val="en-GB"/>
              </w:rPr>
            </w:pPr>
            <w:r w:rsidRPr="00BF2A4F">
              <w:rPr>
                <w:lang w:val="en-GB"/>
              </w:rPr>
              <w:t>7.24</w:t>
            </w:r>
          </w:p>
        </w:tc>
        <w:tc>
          <w:tcPr>
            <w:tcW w:w="237" w:type="dxa"/>
            <w:tcBorders>
              <w:top w:val="nil"/>
              <w:bottom w:val="nil"/>
            </w:tcBorders>
          </w:tcPr>
          <w:p w:rsidR="0090649A" w:rsidRPr="00BF2A4F" w:rsidRDefault="0090649A" w:rsidP="00F5041E">
            <w:pPr>
              <w:pStyle w:val="CETBodytext"/>
              <w:jc w:val="center"/>
              <w:rPr>
                <w:lang w:val="en-GB"/>
              </w:rPr>
            </w:pPr>
          </w:p>
        </w:tc>
        <w:tc>
          <w:tcPr>
            <w:tcW w:w="1050" w:type="dxa"/>
            <w:tcBorders>
              <w:top w:val="nil"/>
              <w:bottom w:val="nil"/>
            </w:tcBorders>
          </w:tcPr>
          <w:p w:rsidR="0090649A" w:rsidRPr="00BF2A4F" w:rsidRDefault="00581E00" w:rsidP="00F5041E">
            <w:pPr>
              <w:pStyle w:val="CETBodytext"/>
              <w:jc w:val="center"/>
              <w:rPr>
                <w:lang w:val="en-GB"/>
              </w:rPr>
            </w:pPr>
            <w:r w:rsidRPr="00BF2A4F">
              <w:rPr>
                <w:lang w:val="en-GB"/>
              </w:rPr>
              <w:t>18.24</w:t>
            </w:r>
          </w:p>
        </w:tc>
        <w:tc>
          <w:tcPr>
            <w:tcW w:w="1050" w:type="dxa"/>
            <w:tcBorders>
              <w:top w:val="nil"/>
              <w:bottom w:val="nil"/>
            </w:tcBorders>
          </w:tcPr>
          <w:p w:rsidR="0090649A" w:rsidRPr="00BF2A4F" w:rsidRDefault="00581E00" w:rsidP="00F5041E">
            <w:pPr>
              <w:pStyle w:val="CETBodytext"/>
              <w:jc w:val="center"/>
              <w:rPr>
                <w:lang w:val="en-GB"/>
              </w:rPr>
            </w:pPr>
            <w:r w:rsidRPr="00BF2A4F">
              <w:rPr>
                <w:lang w:val="en-GB"/>
              </w:rPr>
              <w:t>2.93</w:t>
            </w:r>
          </w:p>
        </w:tc>
        <w:tc>
          <w:tcPr>
            <w:tcW w:w="1050" w:type="dxa"/>
            <w:tcBorders>
              <w:top w:val="nil"/>
              <w:bottom w:val="nil"/>
            </w:tcBorders>
          </w:tcPr>
          <w:p w:rsidR="0090649A" w:rsidRPr="00BF2A4F" w:rsidRDefault="00581E00" w:rsidP="00F5041E">
            <w:pPr>
              <w:pStyle w:val="CETBodytext"/>
              <w:jc w:val="center"/>
              <w:rPr>
                <w:lang w:val="en-GB"/>
              </w:rPr>
            </w:pPr>
            <w:r w:rsidRPr="00BF2A4F">
              <w:rPr>
                <w:lang w:val="en-GB"/>
              </w:rPr>
              <w:t>7.22</w:t>
            </w:r>
          </w:p>
        </w:tc>
      </w:tr>
      <w:tr w:rsidR="00EA0561" w:rsidTr="00F5041E">
        <w:trPr>
          <w:trHeight w:val="300"/>
          <w:jc w:val="center"/>
        </w:trPr>
        <w:tc>
          <w:tcPr>
            <w:tcW w:w="2023" w:type="dxa"/>
            <w:tcBorders>
              <w:top w:val="nil"/>
              <w:bottom w:val="single" w:sz="4" w:space="0" w:color="auto"/>
            </w:tcBorders>
            <w:noWrap/>
            <w:hideMark/>
          </w:tcPr>
          <w:p w:rsidR="0090649A" w:rsidRPr="00BF2A4F" w:rsidRDefault="00581E00" w:rsidP="00F5041E">
            <w:pPr>
              <w:pStyle w:val="CETBodytext"/>
              <w:rPr>
                <w:b/>
                <w:bCs/>
                <w:lang w:val="en-GB"/>
              </w:rPr>
            </w:pPr>
            <w:r w:rsidRPr="00BF2A4F">
              <w:rPr>
                <w:bCs/>
                <w:lang w:val="en-GB"/>
              </w:rPr>
              <w:t>α-Linolenic acid</w:t>
            </w:r>
          </w:p>
        </w:tc>
        <w:tc>
          <w:tcPr>
            <w:tcW w:w="932" w:type="dxa"/>
            <w:tcBorders>
              <w:top w:val="nil"/>
              <w:bottom w:val="single" w:sz="4" w:space="0" w:color="auto"/>
            </w:tcBorders>
            <w:noWrap/>
            <w:hideMark/>
          </w:tcPr>
          <w:p w:rsidR="0090649A" w:rsidRPr="00BF2A4F" w:rsidRDefault="00581E00" w:rsidP="00F5041E">
            <w:pPr>
              <w:pStyle w:val="CETBodytext"/>
              <w:jc w:val="center"/>
              <w:rPr>
                <w:lang w:val="en-GB"/>
              </w:rPr>
            </w:pPr>
            <w:r w:rsidRPr="00BF2A4F">
              <w:rPr>
                <w:lang w:val="en-GB"/>
              </w:rPr>
              <w:t>18.03</w:t>
            </w:r>
          </w:p>
        </w:tc>
        <w:tc>
          <w:tcPr>
            <w:tcW w:w="1066" w:type="dxa"/>
            <w:tcBorders>
              <w:top w:val="nil"/>
              <w:bottom w:val="single" w:sz="4" w:space="0" w:color="auto"/>
            </w:tcBorders>
            <w:noWrap/>
            <w:hideMark/>
          </w:tcPr>
          <w:p w:rsidR="0090649A" w:rsidRPr="00BF2A4F" w:rsidRDefault="00581E00" w:rsidP="00F5041E">
            <w:pPr>
              <w:pStyle w:val="CETBodytext"/>
              <w:jc w:val="center"/>
              <w:rPr>
                <w:lang w:val="en-GB"/>
              </w:rPr>
            </w:pPr>
            <w:r w:rsidRPr="00BF2A4F">
              <w:rPr>
                <w:lang w:val="en-GB"/>
              </w:rPr>
              <w:t>3.03</w:t>
            </w:r>
          </w:p>
        </w:tc>
        <w:tc>
          <w:tcPr>
            <w:tcW w:w="932" w:type="dxa"/>
            <w:tcBorders>
              <w:top w:val="nil"/>
              <w:bottom w:val="single" w:sz="4" w:space="0" w:color="auto"/>
            </w:tcBorders>
            <w:noWrap/>
            <w:hideMark/>
          </w:tcPr>
          <w:p w:rsidR="0090649A" w:rsidRPr="00BF2A4F" w:rsidRDefault="00581E00" w:rsidP="00F5041E">
            <w:pPr>
              <w:pStyle w:val="CETBodytext"/>
              <w:jc w:val="center"/>
              <w:rPr>
                <w:lang w:val="en-GB"/>
              </w:rPr>
            </w:pPr>
            <w:r w:rsidRPr="00BF2A4F">
              <w:rPr>
                <w:lang w:val="en-GB"/>
              </w:rPr>
              <w:t>7.61</w:t>
            </w:r>
          </w:p>
        </w:tc>
        <w:tc>
          <w:tcPr>
            <w:tcW w:w="237" w:type="dxa"/>
            <w:tcBorders>
              <w:top w:val="nil"/>
              <w:bottom w:val="single" w:sz="4" w:space="0" w:color="auto"/>
            </w:tcBorders>
          </w:tcPr>
          <w:p w:rsidR="0090649A" w:rsidRPr="00BF2A4F" w:rsidRDefault="0090649A" w:rsidP="00F5041E">
            <w:pPr>
              <w:pStyle w:val="CETBodytext"/>
              <w:jc w:val="center"/>
              <w:rPr>
                <w:lang w:val="en-GB"/>
              </w:rPr>
            </w:pPr>
          </w:p>
        </w:tc>
        <w:tc>
          <w:tcPr>
            <w:tcW w:w="1050" w:type="dxa"/>
            <w:tcBorders>
              <w:top w:val="nil"/>
              <w:bottom w:val="single" w:sz="4" w:space="0" w:color="auto"/>
            </w:tcBorders>
          </w:tcPr>
          <w:p w:rsidR="0090649A" w:rsidRPr="00BF2A4F" w:rsidRDefault="00581E00" w:rsidP="00F5041E">
            <w:pPr>
              <w:pStyle w:val="CETBodytext"/>
              <w:jc w:val="center"/>
              <w:rPr>
                <w:lang w:val="en-GB"/>
              </w:rPr>
            </w:pPr>
            <w:r w:rsidRPr="00BF2A4F">
              <w:rPr>
                <w:lang w:val="en-GB"/>
              </w:rPr>
              <w:t>17.99</w:t>
            </w:r>
          </w:p>
        </w:tc>
        <w:tc>
          <w:tcPr>
            <w:tcW w:w="1050" w:type="dxa"/>
            <w:tcBorders>
              <w:top w:val="nil"/>
              <w:bottom w:val="single" w:sz="4" w:space="0" w:color="auto"/>
            </w:tcBorders>
          </w:tcPr>
          <w:p w:rsidR="0090649A" w:rsidRPr="00BF2A4F" w:rsidRDefault="00581E00" w:rsidP="00F5041E">
            <w:pPr>
              <w:pStyle w:val="CETBodytext"/>
              <w:jc w:val="center"/>
              <w:rPr>
                <w:lang w:val="en-GB"/>
              </w:rPr>
            </w:pPr>
            <w:r w:rsidRPr="00BF2A4F">
              <w:rPr>
                <w:lang w:val="en-GB"/>
              </w:rPr>
              <w:t>3.02</w:t>
            </w:r>
          </w:p>
        </w:tc>
        <w:tc>
          <w:tcPr>
            <w:tcW w:w="1050" w:type="dxa"/>
            <w:tcBorders>
              <w:top w:val="nil"/>
              <w:bottom w:val="single" w:sz="4" w:space="0" w:color="auto"/>
            </w:tcBorders>
          </w:tcPr>
          <w:p w:rsidR="0090649A" w:rsidRPr="00BF2A4F" w:rsidRDefault="00581E00" w:rsidP="00F5041E">
            <w:pPr>
              <w:pStyle w:val="CETBodytext"/>
              <w:jc w:val="center"/>
              <w:rPr>
                <w:lang w:val="en-GB"/>
              </w:rPr>
            </w:pPr>
            <w:r w:rsidRPr="00BF2A4F">
              <w:rPr>
                <w:lang w:val="en-GB"/>
              </w:rPr>
              <w:t>7.59</w:t>
            </w:r>
          </w:p>
        </w:tc>
      </w:tr>
    </w:tbl>
    <w:p w:rsidR="0090649A" w:rsidRPr="00BF2A4F" w:rsidRDefault="0090649A" w:rsidP="0090649A">
      <w:pPr>
        <w:pStyle w:val="CETBodytext"/>
        <w:rPr>
          <w:lang w:val="en-GB"/>
        </w:rPr>
      </w:pPr>
    </w:p>
    <w:p w:rsidR="00D36F6F" w:rsidRPr="00BF2A4F" w:rsidRDefault="00581E00" w:rsidP="00670E42">
      <w:pPr>
        <w:pStyle w:val="CETHeadingxx"/>
        <w:rPr>
          <w:lang w:val="en-GB"/>
        </w:rPr>
      </w:pPr>
      <w:r w:rsidRPr="00BF2A4F">
        <w:rPr>
          <w:lang w:val="en-GB"/>
        </w:rPr>
        <w:t xml:space="preserve">3.2 Hansen solubility parameters of the supercritical </w:t>
      </w:r>
      <w:r w:rsidR="00D56B12" w:rsidRPr="00BF2A4F">
        <w:rPr>
          <w:lang w:val="en-GB"/>
        </w:rPr>
        <w:t>solvent mixtures</w:t>
      </w:r>
    </w:p>
    <w:p w:rsidR="00D36F6F" w:rsidRPr="00BF2A4F" w:rsidRDefault="00581E00" w:rsidP="00D36F6F">
      <w:pPr>
        <w:pStyle w:val="CETBodytext"/>
        <w:rPr>
          <w:lang w:val="en-GB"/>
        </w:rPr>
      </w:pPr>
      <w:r w:rsidRPr="00BF2A4F">
        <w:rPr>
          <w:lang w:val="en-GB"/>
        </w:rPr>
        <w:t xml:space="preserve">Table 2 shows the HSP of </w:t>
      </w:r>
      <w:r w:rsidRPr="00BF2A4F">
        <w:rPr>
          <w:lang w:val="en-GB"/>
        </w:rPr>
        <w:t>sc-CO</w:t>
      </w:r>
      <w:r w:rsidRPr="00BF2A4F">
        <w:rPr>
          <w:vertAlign w:val="subscript"/>
          <w:lang w:val="en-GB"/>
        </w:rPr>
        <w:t>2</w:t>
      </w:r>
      <w:r w:rsidRPr="00BF2A4F">
        <w:rPr>
          <w:lang w:val="en-GB"/>
        </w:rPr>
        <w:t xml:space="preserve"> and its mixtures with</w:t>
      </w:r>
      <w:r w:rsidR="00DC3810">
        <w:rPr>
          <w:lang w:val="en-GB"/>
        </w:rPr>
        <w:t xml:space="preserve"> </w:t>
      </w:r>
      <w:r w:rsidR="00DC3810" w:rsidRPr="00743039">
        <w:rPr>
          <w:color w:val="FF0000"/>
          <w:lang w:val="en-GB"/>
        </w:rPr>
        <w:t xml:space="preserve">a volume fraction </w:t>
      </w:r>
      <w:r w:rsidR="00DC3810">
        <w:rPr>
          <w:lang w:val="en-GB"/>
        </w:rPr>
        <w:t>of</w:t>
      </w:r>
      <w:r w:rsidRPr="00BF2A4F">
        <w:rPr>
          <w:lang w:val="en-GB"/>
        </w:rPr>
        <w:t xml:space="preserve"> 5 % </w:t>
      </w:r>
      <w:r w:rsidR="00981D65" w:rsidRPr="00BF2A4F">
        <w:rPr>
          <w:lang w:val="en-GB"/>
        </w:rPr>
        <w:t>cosolvent</w:t>
      </w:r>
      <w:r w:rsidRPr="00BF2A4F">
        <w:rPr>
          <w:lang w:val="en-GB"/>
        </w:rPr>
        <w:t xml:space="preserve">. The addition of </w:t>
      </w:r>
      <w:r w:rsidR="00981D65" w:rsidRPr="00BF2A4F">
        <w:rPr>
          <w:lang w:val="en-GB"/>
        </w:rPr>
        <w:t>cosolvent</w:t>
      </w:r>
      <w:r w:rsidRPr="00BF2A4F">
        <w:rPr>
          <w:lang w:val="en-GB"/>
        </w:rPr>
        <w:t>s to sc-CO</w:t>
      </w:r>
      <w:r w:rsidRPr="00BF2A4F">
        <w:rPr>
          <w:vertAlign w:val="subscript"/>
          <w:lang w:val="en-GB"/>
        </w:rPr>
        <w:t>2</w:t>
      </w:r>
      <w:r w:rsidRPr="00BF2A4F">
        <w:rPr>
          <w:lang w:val="en-GB"/>
        </w:rPr>
        <w:t xml:space="preserve"> mostly increased δ</w:t>
      </w:r>
      <w:r w:rsidRPr="00BF2A4F">
        <w:rPr>
          <w:vertAlign w:val="subscript"/>
          <w:lang w:val="en-GB"/>
        </w:rPr>
        <w:t>d</w:t>
      </w:r>
      <w:r w:rsidR="00090EC1" w:rsidRPr="00BF2A4F">
        <w:rPr>
          <w:lang w:val="en-GB"/>
        </w:rPr>
        <w:t>. T</w:t>
      </w:r>
      <w:r w:rsidRPr="00BF2A4F">
        <w:rPr>
          <w:lang w:val="en-GB"/>
        </w:rPr>
        <w:t>he highest value of δ</w:t>
      </w:r>
      <w:r w:rsidRPr="00BF2A4F">
        <w:rPr>
          <w:vertAlign w:val="subscript"/>
          <w:lang w:val="en-GB"/>
        </w:rPr>
        <w:t>d</w:t>
      </w:r>
      <w:r w:rsidRPr="00BF2A4F">
        <w:rPr>
          <w:lang w:val="en-GB"/>
        </w:rPr>
        <w:t xml:space="preserve"> happened in the sc-CO</w:t>
      </w:r>
      <w:r w:rsidRPr="00BF2A4F">
        <w:rPr>
          <w:vertAlign w:val="subscript"/>
          <w:lang w:val="en-GB"/>
        </w:rPr>
        <w:t>2</w:t>
      </w:r>
      <w:r w:rsidRPr="00BF2A4F">
        <w:rPr>
          <w:lang w:val="en-GB"/>
        </w:rPr>
        <w:t>-ethanol mixture.</w:t>
      </w:r>
    </w:p>
    <w:p w:rsidR="00D56B12" w:rsidRPr="00BF2A4F" w:rsidRDefault="00D56B12" w:rsidP="00D36F6F">
      <w:pPr>
        <w:pStyle w:val="CETBodytext"/>
        <w:rPr>
          <w:lang w:val="en-GB"/>
        </w:rPr>
      </w:pPr>
    </w:p>
    <w:p w:rsidR="00D36F6F" w:rsidRPr="00BF2A4F" w:rsidRDefault="00581E00" w:rsidP="00D36F6F">
      <w:pPr>
        <w:pStyle w:val="CETBodytext"/>
        <w:rPr>
          <w:iCs/>
          <w:lang w:val="en-GB"/>
        </w:rPr>
      </w:pPr>
      <w:r w:rsidRPr="00BF2A4F">
        <w:rPr>
          <w:iCs/>
          <w:lang w:val="en-GB"/>
        </w:rPr>
        <w:t xml:space="preserve">Table </w:t>
      </w:r>
      <w:r w:rsidR="00D1575F" w:rsidRPr="00BF2A4F">
        <w:rPr>
          <w:iCs/>
          <w:lang w:val="en-GB"/>
        </w:rPr>
        <w:t>2</w:t>
      </w:r>
      <w:r w:rsidRPr="00BF2A4F">
        <w:rPr>
          <w:iCs/>
          <w:lang w:val="en-GB"/>
        </w:rPr>
        <w:t>: Hansen solubility parameters of sc-CO</w:t>
      </w:r>
      <w:r w:rsidRPr="00BF2A4F">
        <w:rPr>
          <w:iCs/>
          <w:vertAlign w:val="subscript"/>
          <w:lang w:val="en-GB"/>
        </w:rPr>
        <w:t xml:space="preserve">2 </w:t>
      </w:r>
      <w:r w:rsidRPr="00BF2A4F">
        <w:rPr>
          <w:iCs/>
          <w:lang w:val="en-GB"/>
        </w:rPr>
        <w:t xml:space="preserve">and </w:t>
      </w:r>
      <w:r w:rsidR="00D56B12" w:rsidRPr="00BF2A4F">
        <w:rPr>
          <w:iCs/>
          <w:lang w:val="en-GB"/>
        </w:rPr>
        <w:t xml:space="preserve">its </w:t>
      </w:r>
      <w:r w:rsidRPr="00BF2A4F">
        <w:rPr>
          <w:iCs/>
          <w:lang w:val="en-GB"/>
        </w:rPr>
        <w:t>supercritical mixtures</w:t>
      </w:r>
      <w:r w:rsidR="00D56B12" w:rsidRPr="00BF2A4F">
        <w:rPr>
          <w:iCs/>
          <w:lang w:val="en-GB"/>
        </w:rPr>
        <w:t xml:space="preserve"> with several </w:t>
      </w:r>
      <w:r w:rsidR="00981D65" w:rsidRPr="00BF2A4F">
        <w:rPr>
          <w:iCs/>
          <w:lang w:val="en-GB"/>
        </w:rPr>
        <w:t>cosolvent</w:t>
      </w:r>
      <w:r w:rsidR="00D56B12" w:rsidRPr="00BF2A4F">
        <w:rPr>
          <w:iCs/>
          <w:lang w:val="en-GB"/>
        </w:rPr>
        <w:t>s (5</w:t>
      </w:r>
      <w:r w:rsidR="00503F45" w:rsidRPr="00BF2A4F">
        <w:rPr>
          <w:iCs/>
          <w:lang w:val="en-GB"/>
        </w:rPr>
        <w:t xml:space="preserve"> </w:t>
      </w:r>
      <w:r w:rsidR="00D56B12" w:rsidRPr="00BF2A4F">
        <w:rPr>
          <w:iCs/>
          <w:lang w:val="en-GB"/>
        </w:rPr>
        <w:t>% volume fraction)</w:t>
      </w:r>
      <w:r w:rsidRPr="00BF2A4F">
        <w:rPr>
          <w:iCs/>
          <w:lang w:val="en-GB"/>
        </w:rPr>
        <w:t xml:space="preserve"> at 305.15 K</w:t>
      </w:r>
      <w:r w:rsidR="000220FD" w:rsidRPr="00BF2A4F">
        <w:rPr>
          <w:iCs/>
          <w:lang w:val="en-GB"/>
        </w:rPr>
        <w:t xml:space="preserve"> and</w:t>
      </w:r>
      <w:r w:rsidRPr="00BF2A4F">
        <w:rPr>
          <w:iCs/>
          <w:lang w:val="en-GB"/>
        </w:rPr>
        <w:t xml:space="preserve"> 20 MPa.</w:t>
      </w:r>
    </w:p>
    <w:tbl>
      <w:tblPr>
        <w:tblW w:w="5550" w:type="dxa"/>
        <w:jc w:val="center"/>
        <w:tblLook w:val="04A0" w:firstRow="1" w:lastRow="0" w:firstColumn="1" w:lastColumn="0" w:noHBand="0" w:noVBand="1"/>
      </w:tblPr>
      <w:tblGrid>
        <w:gridCol w:w="2620"/>
        <w:gridCol w:w="932"/>
        <w:gridCol w:w="1066"/>
        <w:gridCol w:w="932"/>
      </w:tblGrid>
      <w:tr w:rsidR="00EA0561" w:rsidTr="006A1FF1">
        <w:trPr>
          <w:trHeight w:val="300"/>
          <w:jc w:val="center"/>
        </w:trPr>
        <w:tc>
          <w:tcPr>
            <w:tcW w:w="2620" w:type="dxa"/>
            <w:tcBorders>
              <w:top w:val="single" w:sz="4" w:space="0" w:color="auto"/>
              <w:bottom w:val="nil"/>
            </w:tcBorders>
            <w:noWrap/>
          </w:tcPr>
          <w:p w:rsidR="006A1FF1" w:rsidRPr="00BF2A4F" w:rsidRDefault="00581E00" w:rsidP="00075089">
            <w:pPr>
              <w:pStyle w:val="CETBodytext"/>
              <w:jc w:val="center"/>
              <w:rPr>
                <w:b/>
                <w:bCs/>
                <w:lang w:val="en-GB"/>
              </w:rPr>
            </w:pPr>
            <w:r w:rsidRPr="00BF2A4F">
              <w:rPr>
                <w:bCs/>
                <w:lang w:val="en-GB"/>
              </w:rPr>
              <w:t>Supercritical fluid</w:t>
            </w:r>
          </w:p>
        </w:tc>
        <w:tc>
          <w:tcPr>
            <w:tcW w:w="932" w:type="dxa"/>
            <w:tcBorders>
              <w:top w:val="single" w:sz="4" w:space="0" w:color="auto"/>
              <w:bottom w:val="nil"/>
            </w:tcBorders>
            <w:noWrap/>
          </w:tcPr>
          <w:p w:rsidR="006A1FF1" w:rsidRPr="00BF2A4F" w:rsidRDefault="00581E00" w:rsidP="00075089">
            <w:pPr>
              <w:pStyle w:val="CETBodytext"/>
              <w:jc w:val="center"/>
              <w:rPr>
                <w:b/>
                <w:bCs/>
                <w:vertAlign w:val="subscript"/>
                <w:lang w:val="en-GB"/>
              </w:rPr>
            </w:pPr>
            <w:r w:rsidRPr="00BF2A4F">
              <w:rPr>
                <w:bCs/>
                <w:lang w:val="en-GB"/>
              </w:rPr>
              <w:t>δ</w:t>
            </w:r>
            <w:r w:rsidRPr="00BF2A4F">
              <w:rPr>
                <w:bCs/>
                <w:vertAlign w:val="subscript"/>
                <w:lang w:val="en-GB"/>
              </w:rPr>
              <w:t>d</w:t>
            </w:r>
          </w:p>
          <w:p w:rsidR="006A1FF1" w:rsidRPr="00BF2A4F" w:rsidRDefault="00581E00" w:rsidP="00075089">
            <w:pPr>
              <w:pStyle w:val="CETBodytext"/>
              <w:jc w:val="center"/>
              <w:rPr>
                <w:b/>
                <w:bCs/>
                <w:lang w:val="en-GB"/>
              </w:rPr>
            </w:pPr>
            <w:r w:rsidRPr="00BF2A4F">
              <w:rPr>
                <w:bCs/>
                <w:lang w:val="en-GB"/>
              </w:rPr>
              <w:t>MPa</w:t>
            </w:r>
            <w:r w:rsidRPr="00BF2A4F">
              <w:rPr>
                <w:bCs/>
                <w:vertAlign w:val="superscript"/>
                <w:lang w:val="en-GB"/>
              </w:rPr>
              <w:t>1/2</w:t>
            </w:r>
          </w:p>
        </w:tc>
        <w:tc>
          <w:tcPr>
            <w:tcW w:w="1066" w:type="dxa"/>
            <w:tcBorders>
              <w:top w:val="single" w:sz="4" w:space="0" w:color="auto"/>
              <w:bottom w:val="nil"/>
            </w:tcBorders>
            <w:noWrap/>
          </w:tcPr>
          <w:p w:rsidR="006A1FF1" w:rsidRPr="00BF2A4F" w:rsidRDefault="00581E00" w:rsidP="00075089">
            <w:pPr>
              <w:pStyle w:val="CETBodytext"/>
              <w:jc w:val="center"/>
              <w:rPr>
                <w:b/>
                <w:bCs/>
                <w:vertAlign w:val="subscript"/>
                <w:lang w:val="en-GB"/>
              </w:rPr>
            </w:pPr>
            <w:r w:rsidRPr="00BF2A4F">
              <w:rPr>
                <w:bCs/>
                <w:lang w:val="en-GB"/>
              </w:rPr>
              <w:t>δ</w:t>
            </w:r>
            <w:r w:rsidRPr="00BF2A4F">
              <w:rPr>
                <w:bCs/>
                <w:vertAlign w:val="subscript"/>
                <w:lang w:val="en-GB"/>
              </w:rPr>
              <w:t>p</w:t>
            </w:r>
          </w:p>
          <w:p w:rsidR="006A1FF1" w:rsidRPr="00BF2A4F" w:rsidRDefault="00581E00" w:rsidP="00075089">
            <w:pPr>
              <w:pStyle w:val="CETBodytext"/>
              <w:jc w:val="center"/>
              <w:rPr>
                <w:b/>
                <w:bCs/>
                <w:lang w:val="en-GB"/>
              </w:rPr>
            </w:pPr>
            <w:r w:rsidRPr="00BF2A4F">
              <w:rPr>
                <w:bCs/>
                <w:lang w:val="en-GB"/>
              </w:rPr>
              <w:t>MPa</w:t>
            </w:r>
            <w:r w:rsidRPr="00BF2A4F">
              <w:rPr>
                <w:bCs/>
                <w:vertAlign w:val="superscript"/>
                <w:lang w:val="en-GB"/>
              </w:rPr>
              <w:t>1/2</w:t>
            </w:r>
          </w:p>
        </w:tc>
        <w:tc>
          <w:tcPr>
            <w:tcW w:w="932" w:type="dxa"/>
            <w:tcBorders>
              <w:top w:val="single" w:sz="4" w:space="0" w:color="auto"/>
              <w:bottom w:val="nil"/>
            </w:tcBorders>
            <w:noWrap/>
          </w:tcPr>
          <w:p w:rsidR="006A1FF1" w:rsidRPr="00BF2A4F" w:rsidRDefault="00581E00" w:rsidP="00075089">
            <w:pPr>
              <w:pStyle w:val="CETBodytext"/>
              <w:jc w:val="center"/>
              <w:rPr>
                <w:b/>
                <w:bCs/>
                <w:vertAlign w:val="subscript"/>
                <w:lang w:val="en-GB"/>
              </w:rPr>
            </w:pPr>
            <w:r w:rsidRPr="00BF2A4F">
              <w:rPr>
                <w:bCs/>
                <w:lang w:val="en-GB"/>
              </w:rPr>
              <w:t>δ</w:t>
            </w:r>
            <w:r w:rsidRPr="00BF2A4F">
              <w:rPr>
                <w:bCs/>
                <w:vertAlign w:val="subscript"/>
                <w:lang w:val="en-GB"/>
              </w:rPr>
              <w:t>h</w:t>
            </w:r>
          </w:p>
          <w:p w:rsidR="006A1FF1" w:rsidRPr="00BF2A4F" w:rsidRDefault="00581E00" w:rsidP="00075089">
            <w:pPr>
              <w:pStyle w:val="CETBodytext"/>
              <w:jc w:val="center"/>
              <w:rPr>
                <w:b/>
                <w:bCs/>
                <w:lang w:val="en-GB"/>
              </w:rPr>
            </w:pPr>
            <w:r w:rsidRPr="00BF2A4F">
              <w:rPr>
                <w:bCs/>
                <w:lang w:val="en-GB"/>
              </w:rPr>
              <w:t>MPa</w:t>
            </w:r>
            <w:r w:rsidRPr="00BF2A4F">
              <w:rPr>
                <w:bCs/>
                <w:vertAlign w:val="superscript"/>
                <w:lang w:val="en-GB"/>
              </w:rPr>
              <w:t>1/2</w:t>
            </w:r>
          </w:p>
        </w:tc>
      </w:tr>
      <w:tr w:rsidR="00EA0561" w:rsidTr="006A1FF1">
        <w:trPr>
          <w:trHeight w:val="300"/>
          <w:jc w:val="center"/>
        </w:trPr>
        <w:tc>
          <w:tcPr>
            <w:tcW w:w="2620" w:type="dxa"/>
            <w:tcBorders>
              <w:top w:val="single" w:sz="4" w:space="0" w:color="auto"/>
              <w:bottom w:val="nil"/>
            </w:tcBorders>
            <w:noWrap/>
            <w:hideMark/>
          </w:tcPr>
          <w:p w:rsidR="006A1FF1" w:rsidRPr="00BF2A4F" w:rsidRDefault="00581E00" w:rsidP="00A7326B">
            <w:pPr>
              <w:pStyle w:val="CETBodytext"/>
              <w:rPr>
                <w:b/>
                <w:bCs/>
                <w:lang w:val="en-GB"/>
              </w:rPr>
            </w:pPr>
            <w:r w:rsidRPr="00BF2A4F">
              <w:rPr>
                <w:bCs/>
                <w:lang w:val="en-GB"/>
              </w:rPr>
              <w:t>sc-CO</w:t>
            </w:r>
            <w:r w:rsidRPr="00BF2A4F">
              <w:rPr>
                <w:bCs/>
                <w:vertAlign w:val="subscript"/>
                <w:lang w:val="en-GB"/>
              </w:rPr>
              <w:t>2</w:t>
            </w:r>
          </w:p>
        </w:tc>
        <w:tc>
          <w:tcPr>
            <w:tcW w:w="932" w:type="dxa"/>
            <w:tcBorders>
              <w:top w:val="single" w:sz="4" w:space="0" w:color="auto"/>
              <w:bottom w:val="nil"/>
            </w:tcBorders>
            <w:noWrap/>
            <w:hideMark/>
          </w:tcPr>
          <w:p w:rsidR="006A1FF1" w:rsidRPr="00BF2A4F" w:rsidRDefault="00581E00" w:rsidP="00075089">
            <w:pPr>
              <w:pStyle w:val="CETBodytext"/>
              <w:jc w:val="center"/>
              <w:rPr>
                <w:lang w:val="en-GB"/>
              </w:rPr>
            </w:pPr>
            <w:r w:rsidRPr="00BF2A4F">
              <w:rPr>
                <w:lang w:val="en-GB"/>
              </w:rPr>
              <w:t>11.30</w:t>
            </w:r>
          </w:p>
        </w:tc>
        <w:tc>
          <w:tcPr>
            <w:tcW w:w="1066" w:type="dxa"/>
            <w:tcBorders>
              <w:top w:val="single" w:sz="4" w:space="0" w:color="auto"/>
              <w:bottom w:val="nil"/>
            </w:tcBorders>
            <w:noWrap/>
            <w:hideMark/>
          </w:tcPr>
          <w:p w:rsidR="006A1FF1" w:rsidRPr="00BF2A4F" w:rsidRDefault="00581E00" w:rsidP="00075089">
            <w:pPr>
              <w:pStyle w:val="CETBodytext"/>
              <w:jc w:val="center"/>
              <w:rPr>
                <w:lang w:val="en-GB"/>
              </w:rPr>
            </w:pPr>
            <w:r w:rsidRPr="00BF2A4F">
              <w:rPr>
                <w:lang w:val="en-GB"/>
              </w:rPr>
              <w:t>5.52</w:t>
            </w:r>
          </w:p>
        </w:tc>
        <w:tc>
          <w:tcPr>
            <w:tcW w:w="932" w:type="dxa"/>
            <w:tcBorders>
              <w:top w:val="single" w:sz="4" w:space="0" w:color="auto"/>
              <w:bottom w:val="nil"/>
            </w:tcBorders>
            <w:noWrap/>
            <w:hideMark/>
          </w:tcPr>
          <w:p w:rsidR="006A1FF1" w:rsidRPr="00BF2A4F" w:rsidRDefault="00581E00" w:rsidP="00075089">
            <w:pPr>
              <w:pStyle w:val="CETBodytext"/>
              <w:jc w:val="center"/>
              <w:rPr>
                <w:lang w:val="en-GB"/>
              </w:rPr>
            </w:pPr>
            <w:r w:rsidRPr="00BF2A4F">
              <w:rPr>
                <w:lang w:val="en-GB"/>
              </w:rPr>
              <w:t>4.97</w:t>
            </w:r>
          </w:p>
        </w:tc>
      </w:tr>
      <w:tr w:rsidR="00EA0561" w:rsidTr="006A1FF1">
        <w:trPr>
          <w:trHeight w:val="300"/>
          <w:jc w:val="center"/>
        </w:trPr>
        <w:tc>
          <w:tcPr>
            <w:tcW w:w="2620" w:type="dxa"/>
            <w:tcBorders>
              <w:top w:val="nil"/>
              <w:bottom w:val="nil"/>
            </w:tcBorders>
            <w:noWrap/>
          </w:tcPr>
          <w:p w:rsidR="006A1FF1" w:rsidRPr="00BF2A4F" w:rsidRDefault="00581E00" w:rsidP="00A7326B">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+acetone</w:t>
            </w:r>
          </w:p>
        </w:tc>
        <w:tc>
          <w:tcPr>
            <w:tcW w:w="932" w:type="dxa"/>
            <w:tcBorders>
              <w:top w:val="nil"/>
              <w:bottom w:val="nil"/>
            </w:tcBorders>
            <w:noWrap/>
          </w:tcPr>
          <w:p w:rsidR="006A1FF1" w:rsidRPr="00BF2A4F" w:rsidRDefault="00581E00" w:rsidP="00075089">
            <w:pPr>
              <w:pStyle w:val="CETBodytext"/>
              <w:jc w:val="center"/>
              <w:rPr>
                <w:lang w:val="en-GB"/>
              </w:rPr>
            </w:pPr>
            <w:r w:rsidRPr="00BF2A4F">
              <w:rPr>
                <w:lang w:val="en-GB"/>
              </w:rPr>
              <w:t>11.53</w:t>
            </w:r>
          </w:p>
        </w:tc>
        <w:tc>
          <w:tcPr>
            <w:tcW w:w="1066" w:type="dxa"/>
            <w:tcBorders>
              <w:top w:val="nil"/>
              <w:bottom w:val="nil"/>
            </w:tcBorders>
            <w:noWrap/>
          </w:tcPr>
          <w:p w:rsidR="006A1FF1" w:rsidRPr="00BF2A4F" w:rsidRDefault="00581E00" w:rsidP="00075089">
            <w:pPr>
              <w:pStyle w:val="CETBodytext"/>
              <w:jc w:val="center"/>
              <w:rPr>
                <w:lang w:val="en-GB"/>
              </w:rPr>
            </w:pPr>
            <w:r w:rsidRPr="00BF2A4F">
              <w:rPr>
                <w:lang w:val="en-GB"/>
              </w:rPr>
              <w:t>5.77</w:t>
            </w:r>
          </w:p>
        </w:tc>
        <w:tc>
          <w:tcPr>
            <w:tcW w:w="932" w:type="dxa"/>
            <w:tcBorders>
              <w:top w:val="nil"/>
              <w:bottom w:val="nil"/>
            </w:tcBorders>
            <w:noWrap/>
          </w:tcPr>
          <w:p w:rsidR="006A1FF1" w:rsidRPr="00BF2A4F" w:rsidRDefault="00581E00" w:rsidP="00075089">
            <w:pPr>
              <w:pStyle w:val="CETBodytext"/>
              <w:jc w:val="center"/>
              <w:rPr>
                <w:lang w:val="en-GB"/>
              </w:rPr>
            </w:pPr>
            <w:r w:rsidRPr="00BF2A4F">
              <w:rPr>
                <w:lang w:val="en-GB"/>
              </w:rPr>
              <w:t>5.07</w:t>
            </w:r>
          </w:p>
        </w:tc>
      </w:tr>
      <w:tr w:rsidR="00EA0561" w:rsidTr="006A1FF1">
        <w:trPr>
          <w:trHeight w:val="300"/>
          <w:jc w:val="center"/>
        </w:trPr>
        <w:tc>
          <w:tcPr>
            <w:tcW w:w="2620" w:type="dxa"/>
            <w:tcBorders>
              <w:top w:val="nil"/>
              <w:bottom w:val="nil"/>
            </w:tcBorders>
            <w:noWrap/>
          </w:tcPr>
          <w:p w:rsidR="006A1FF1" w:rsidRPr="00BF2A4F" w:rsidRDefault="00581E00" w:rsidP="00A7326B">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 ethanol</w:t>
            </w:r>
          </w:p>
        </w:tc>
        <w:tc>
          <w:tcPr>
            <w:tcW w:w="932" w:type="dxa"/>
            <w:tcBorders>
              <w:top w:val="nil"/>
              <w:bottom w:val="nil"/>
            </w:tcBorders>
            <w:noWrap/>
          </w:tcPr>
          <w:p w:rsidR="006A1FF1" w:rsidRPr="00BF2A4F" w:rsidRDefault="00581E00" w:rsidP="00075089">
            <w:pPr>
              <w:pStyle w:val="CETBodytext"/>
              <w:jc w:val="center"/>
              <w:rPr>
                <w:lang w:val="en-GB"/>
              </w:rPr>
            </w:pPr>
            <w:r w:rsidRPr="00BF2A4F">
              <w:rPr>
                <w:lang w:val="en-GB"/>
              </w:rPr>
              <w:t>11.54</w:t>
            </w:r>
          </w:p>
        </w:tc>
        <w:tc>
          <w:tcPr>
            <w:tcW w:w="1066" w:type="dxa"/>
            <w:tcBorders>
              <w:top w:val="nil"/>
              <w:bottom w:val="nil"/>
            </w:tcBorders>
            <w:noWrap/>
          </w:tcPr>
          <w:p w:rsidR="006A1FF1" w:rsidRPr="00BF2A4F" w:rsidRDefault="00581E00" w:rsidP="00075089">
            <w:pPr>
              <w:pStyle w:val="CETBodytext"/>
              <w:jc w:val="center"/>
              <w:rPr>
                <w:lang w:val="en-GB"/>
              </w:rPr>
            </w:pPr>
            <w:r w:rsidRPr="00BF2A4F">
              <w:rPr>
                <w:lang w:val="en-GB"/>
              </w:rPr>
              <w:t>5.69</w:t>
            </w:r>
          </w:p>
        </w:tc>
        <w:tc>
          <w:tcPr>
            <w:tcW w:w="932" w:type="dxa"/>
            <w:tcBorders>
              <w:top w:val="nil"/>
              <w:bottom w:val="nil"/>
            </w:tcBorders>
            <w:noWrap/>
          </w:tcPr>
          <w:p w:rsidR="006A1FF1" w:rsidRPr="00BF2A4F" w:rsidRDefault="00581E00" w:rsidP="00075089">
            <w:pPr>
              <w:pStyle w:val="CETBodytext"/>
              <w:jc w:val="center"/>
              <w:rPr>
                <w:lang w:val="en-GB"/>
              </w:rPr>
            </w:pPr>
            <w:r w:rsidRPr="00BF2A4F">
              <w:rPr>
                <w:lang w:val="en-GB"/>
              </w:rPr>
              <w:t>5.69</w:t>
            </w:r>
          </w:p>
        </w:tc>
      </w:tr>
      <w:tr w:rsidR="00EA0561" w:rsidTr="006A1FF1">
        <w:trPr>
          <w:trHeight w:val="300"/>
          <w:jc w:val="center"/>
        </w:trPr>
        <w:tc>
          <w:tcPr>
            <w:tcW w:w="2620" w:type="dxa"/>
            <w:tcBorders>
              <w:top w:val="nil"/>
              <w:bottom w:val="nil"/>
            </w:tcBorders>
            <w:noWrap/>
            <w:hideMark/>
          </w:tcPr>
          <w:p w:rsidR="006A1FF1" w:rsidRPr="00BF2A4F" w:rsidRDefault="00581E00" w:rsidP="00A7326B">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+diethyl ether</w:t>
            </w:r>
          </w:p>
        </w:tc>
        <w:tc>
          <w:tcPr>
            <w:tcW w:w="932" w:type="dxa"/>
            <w:tcBorders>
              <w:top w:val="nil"/>
              <w:bottom w:val="nil"/>
            </w:tcBorders>
            <w:noWrap/>
            <w:hideMark/>
          </w:tcPr>
          <w:p w:rsidR="006A1FF1" w:rsidRPr="00BF2A4F" w:rsidRDefault="00581E00" w:rsidP="00075089">
            <w:pPr>
              <w:pStyle w:val="CETBodytext"/>
              <w:jc w:val="center"/>
              <w:rPr>
                <w:lang w:val="en-GB"/>
              </w:rPr>
            </w:pPr>
            <w:r w:rsidRPr="00BF2A4F">
              <w:rPr>
                <w:lang w:val="en-GB"/>
              </w:rPr>
              <w:t>11.49</w:t>
            </w:r>
          </w:p>
        </w:tc>
        <w:tc>
          <w:tcPr>
            <w:tcW w:w="1066" w:type="dxa"/>
            <w:tcBorders>
              <w:top w:val="nil"/>
              <w:bottom w:val="nil"/>
            </w:tcBorders>
            <w:noWrap/>
            <w:hideMark/>
          </w:tcPr>
          <w:p w:rsidR="006A1FF1" w:rsidRPr="00BF2A4F" w:rsidRDefault="00581E00" w:rsidP="00075089">
            <w:pPr>
              <w:pStyle w:val="CETBodytext"/>
              <w:jc w:val="center"/>
              <w:rPr>
                <w:lang w:val="en-GB"/>
              </w:rPr>
            </w:pPr>
            <w:r w:rsidRPr="00BF2A4F">
              <w:rPr>
                <w:lang w:val="en-GB"/>
              </w:rPr>
              <w:t>5.40</w:t>
            </w:r>
          </w:p>
        </w:tc>
        <w:tc>
          <w:tcPr>
            <w:tcW w:w="932" w:type="dxa"/>
            <w:tcBorders>
              <w:top w:val="nil"/>
              <w:bottom w:val="nil"/>
            </w:tcBorders>
            <w:noWrap/>
            <w:hideMark/>
          </w:tcPr>
          <w:p w:rsidR="006A1FF1" w:rsidRPr="00BF2A4F" w:rsidRDefault="00581E00" w:rsidP="00075089">
            <w:pPr>
              <w:pStyle w:val="CETBodytext"/>
              <w:jc w:val="center"/>
              <w:rPr>
                <w:lang w:val="en-GB"/>
              </w:rPr>
            </w:pPr>
            <w:r w:rsidRPr="00BF2A4F">
              <w:rPr>
                <w:lang w:val="en-GB"/>
              </w:rPr>
              <w:t>4.97</w:t>
            </w:r>
          </w:p>
        </w:tc>
      </w:tr>
      <w:tr w:rsidR="00EA0561" w:rsidTr="006A1FF1">
        <w:trPr>
          <w:trHeight w:val="300"/>
          <w:jc w:val="center"/>
        </w:trPr>
        <w:tc>
          <w:tcPr>
            <w:tcW w:w="2620" w:type="dxa"/>
            <w:tcBorders>
              <w:top w:val="nil"/>
              <w:bottom w:val="nil"/>
            </w:tcBorders>
            <w:noWrap/>
          </w:tcPr>
          <w:p w:rsidR="006A1FF1" w:rsidRPr="00BF2A4F" w:rsidRDefault="00581E00" w:rsidP="00A7326B">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+n-hexane</w:t>
            </w:r>
          </w:p>
        </w:tc>
        <w:tc>
          <w:tcPr>
            <w:tcW w:w="932" w:type="dxa"/>
            <w:tcBorders>
              <w:top w:val="nil"/>
              <w:bottom w:val="nil"/>
            </w:tcBorders>
            <w:noWrap/>
          </w:tcPr>
          <w:p w:rsidR="006A1FF1" w:rsidRPr="00BF2A4F" w:rsidRDefault="00581E00" w:rsidP="00075089">
            <w:pPr>
              <w:pStyle w:val="CETBodytext"/>
              <w:jc w:val="center"/>
              <w:rPr>
                <w:lang w:val="en-GB"/>
              </w:rPr>
            </w:pPr>
            <w:r w:rsidRPr="00BF2A4F">
              <w:rPr>
                <w:lang w:val="en-GB"/>
              </w:rPr>
              <w:t>11.51</w:t>
            </w:r>
          </w:p>
        </w:tc>
        <w:tc>
          <w:tcPr>
            <w:tcW w:w="1066" w:type="dxa"/>
            <w:tcBorders>
              <w:top w:val="nil"/>
              <w:bottom w:val="nil"/>
            </w:tcBorders>
            <w:noWrap/>
          </w:tcPr>
          <w:p w:rsidR="006A1FF1" w:rsidRPr="00BF2A4F" w:rsidRDefault="00581E00" w:rsidP="00075089">
            <w:pPr>
              <w:pStyle w:val="CETBodytext"/>
              <w:jc w:val="center"/>
              <w:rPr>
                <w:lang w:val="en-GB"/>
              </w:rPr>
            </w:pPr>
            <w:r w:rsidRPr="00BF2A4F">
              <w:rPr>
                <w:lang w:val="en-GB"/>
              </w:rPr>
              <w:t>5.25</w:t>
            </w:r>
          </w:p>
        </w:tc>
        <w:tc>
          <w:tcPr>
            <w:tcW w:w="932" w:type="dxa"/>
            <w:tcBorders>
              <w:top w:val="nil"/>
              <w:bottom w:val="nil"/>
            </w:tcBorders>
            <w:noWrap/>
          </w:tcPr>
          <w:p w:rsidR="006A1FF1" w:rsidRPr="00BF2A4F" w:rsidRDefault="00581E00" w:rsidP="00075089">
            <w:pPr>
              <w:pStyle w:val="CETBodytext"/>
              <w:jc w:val="center"/>
              <w:rPr>
                <w:lang w:val="en-GB"/>
              </w:rPr>
            </w:pPr>
            <w:r w:rsidRPr="00BF2A4F">
              <w:rPr>
                <w:lang w:val="en-GB"/>
              </w:rPr>
              <w:t>4.72</w:t>
            </w:r>
          </w:p>
        </w:tc>
      </w:tr>
      <w:tr w:rsidR="00EA0561" w:rsidTr="006A1FF1">
        <w:trPr>
          <w:trHeight w:val="300"/>
          <w:jc w:val="center"/>
        </w:trPr>
        <w:tc>
          <w:tcPr>
            <w:tcW w:w="2620" w:type="dxa"/>
            <w:tcBorders>
              <w:top w:val="nil"/>
              <w:bottom w:val="single" w:sz="4" w:space="0" w:color="auto"/>
            </w:tcBorders>
            <w:noWrap/>
            <w:hideMark/>
          </w:tcPr>
          <w:p w:rsidR="006A1FF1" w:rsidRPr="00BF2A4F" w:rsidRDefault="00581E00" w:rsidP="00A7326B">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 methanol</w:t>
            </w:r>
          </w:p>
        </w:tc>
        <w:tc>
          <w:tcPr>
            <w:tcW w:w="932" w:type="dxa"/>
            <w:tcBorders>
              <w:top w:val="nil"/>
              <w:bottom w:val="single" w:sz="4" w:space="0" w:color="auto"/>
            </w:tcBorders>
            <w:noWrap/>
            <w:hideMark/>
          </w:tcPr>
          <w:p w:rsidR="006A1FF1" w:rsidRPr="00BF2A4F" w:rsidRDefault="00581E00" w:rsidP="00075089">
            <w:pPr>
              <w:pStyle w:val="CETBodytext"/>
              <w:jc w:val="center"/>
              <w:rPr>
                <w:lang w:val="en-GB"/>
              </w:rPr>
            </w:pPr>
            <w:r w:rsidRPr="00BF2A4F">
              <w:rPr>
                <w:lang w:val="en-GB"/>
              </w:rPr>
              <w:t>11.51</w:t>
            </w:r>
          </w:p>
        </w:tc>
        <w:tc>
          <w:tcPr>
            <w:tcW w:w="1066" w:type="dxa"/>
            <w:tcBorders>
              <w:top w:val="nil"/>
              <w:bottom w:val="single" w:sz="4" w:space="0" w:color="auto"/>
            </w:tcBorders>
            <w:noWrap/>
            <w:hideMark/>
          </w:tcPr>
          <w:p w:rsidR="006A1FF1" w:rsidRPr="00BF2A4F" w:rsidRDefault="00581E00" w:rsidP="00075089">
            <w:pPr>
              <w:pStyle w:val="CETBodytext"/>
              <w:jc w:val="center"/>
              <w:rPr>
                <w:lang w:val="en-GB"/>
              </w:rPr>
            </w:pPr>
            <w:r w:rsidRPr="00BF2A4F">
              <w:rPr>
                <w:lang w:val="en-GB"/>
              </w:rPr>
              <w:t>5.87</w:t>
            </w:r>
          </w:p>
        </w:tc>
        <w:tc>
          <w:tcPr>
            <w:tcW w:w="932" w:type="dxa"/>
            <w:tcBorders>
              <w:top w:val="nil"/>
              <w:bottom w:val="single" w:sz="4" w:space="0" w:color="auto"/>
            </w:tcBorders>
            <w:noWrap/>
            <w:hideMark/>
          </w:tcPr>
          <w:p w:rsidR="006A1FF1" w:rsidRPr="00BF2A4F" w:rsidRDefault="00581E00" w:rsidP="00075089">
            <w:pPr>
              <w:pStyle w:val="CETBodytext"/>
              <w:jc w:val="center"/>
              <w:rPr>
                <w:lang w:val="en-GB"/>
              </w:rPr>
            </w:pPr>
            <w:r w:rsidRPr="00BF2A4F">
              <w:rPr>
                <w:lang w:val="en-GB"/>
              </w:rPr>
              <w:t>5.83</w:t>
            </w:r>
          </w:p>
        </w:tc>
      </w:tr>
    </w:tbl>
    <w:p w:rsidR="00A7326B" w:rsidRPr="00BF2A4F" w:rsidRDefault="00581E00" w:rsidP="00670E42">
      <w:pPr>
        <w:pStyle w:val="CETHeadingxx"/>
        <w:rPr>
          <w:lang w:val="en-GB"/>
        </w:rPr>
      </w:pPr>
      <w:r w:rsidRPr="00BF2A4F">
        <w:rPr>
          <w:lang w:val="en-GB"/>
        </w:rPr>
        <w:t xml:space="preserve">3.3 Prediction of the best </w:t>
      </w:r>
      <w:r w:rsidR="00981D65" w:rsidRPr="00BF2A4F">
        <w:rPr>
          <w:lang w:val="en-GB"/>
        </w:rPr>
        <w:t>cosolvent</w:t>
      </w:r>
    </w:p>
    <w:p w:rsidR="00A34749" w:rsidRPr="00BF2A4F" w:rsidRDefault="00581E00" w:rsidP="00A34749">
      <w:pPr>
        <w:pStyle w:val="CETBodytext"/>
        <w:rPr>
          <w:lang w:val="en-GB"/>
        </w:rPr>
      </w:pPr>
      <w:r w:rsidRPr="00BF2A4F">
        <w:rPr>
          <w:lang w:val="en-GB"/>
        </w:rPr>
        <w:t>Table 3 shows the R</w:t>
      </w:r>
      <w:r w:rsidRPr="00BF2A4F">
        <w:rPr>
          <w:vertAlign w:val="subscript"/>
          <w:lang w:val="en-GB"/>
        </w:rPr>
        <w:t xml:space="preserve">a </w:t>
      </w:r>
      <w:r w:rsidRPr="00BF2A4F">
        <w:rPr>
          <w:lang w:val="en-GB"/>
        </w:rPr>
        <w:t xml:space="preserve">values between all the studied fatty acids and the </w:t>
      </w:r>
      <w:r w:rsidR="00981D65" w:rsidRPr="00BF2A4F">
        <w:rPr>
          <w:lang w:val="en-GB"/>
        </w:rPr>
        <w:t xml:space="preserve">supercritical mixture </w:t>
      </w:r>
      <w:r w:rsidRPr="00BF2A4F">
        <w:rPr>
          <w:lang w:val="en-GB"/>
        </w:rPr>
        <w:t>at 305.15 K</w:t>
      </w:r>
      <w:r w:rsidR="00516FE0" w:rsidRPr="00BF2A4F">
        <w:rPr>
          <w:lang w:val="en-GB"/>
        </w:rPr>
        <w:t xml:space="preserve"> and </w:t>
      </w:r>
      <w:r w:rsidRPr="00BF2A4F">
        <w:rPr>
          <w:lang w:val="en-GB"/>
        </w:rPr>
        <w:t xml:space="preserve">20 MPa. The </w:t>
      </w:r>
      <w:r w:rsidR="00981D65" w:rsidRPr="00BF2A4F">
        <w:rPr>
          <w:lang w:val="en-GB"/>
        </w:rPr>
        <w:t>cosolvent</w:t>
      </w:r>
      <w:r w:rsidRPr="00BF2A4F">
        <w:rPr>
          <w:lang w:val="en-GB"/>
        </w:rPr>
        <w:t xml:space="preserve"> order depended on the fatty acid. For oleic acid, the most adequate </w:t>
      </w:r>
      <w:r w:rsidR="00981D65" w:rsidRPr="00BF2A4F">
        <w:rPr>
          <w:lang w:val="en-GB"/>
        </w:rPr>
        <w:t>cosolvent</w:t>
      </w:r>
      <w:r w:rsidRPr="00BF2A4F">
        <w:rPr>
          <w:lang w:val="en-GB"/>
        </w:rPr>
        <w:t>s by increasing miscibility (minor R</w:t>
      </w:r>
      <w:r w:rsidRPr="00BF2A4F">
        <w:rPr>
          <w:vertAlign w:val="subscript"/>
          <w:lang w:val="en-GB"/>
        </w:rPr>
        <w:t>a</w:t>
      </w:r>
      <w:r w:rsidRPr="00BF2A4F">
        <w:rPr>
          <w:lang w:val="en-GB"/>
        </w:rPr>
        <w:t xml:space="preserve">), at the tested operating conditions, were ethanol and n-hexane. In the case of linoleic </w:t>
      </w:r>
      <w:r w:rsidR="003368F5" w:rsidRPr="00BF2A4F">
        <w:rPr>
          <w:lang w:val="en-GB"/>
        </w:rPr>
        <w:t xml:space="preserve">and </w:t>
      </w:r>
      <w:r w:rsidR="009B65A8" w:rsidRPr="00BF2A4F">
        <w:rPr>
          <w:lang w:val="en-GB"/>
        </w:rPr>
        <w:t>α-linolenic acids</w:t>
      </w:r>
      <w:r w:rsidRPr="00BF2A4F">
        <w:rPr>
          <w:lang w:val="en-GB"/>
        </w:rPr>
        <w:t xml:space="preserve">, the best </w:t>
      </w:r>
      <w:r w:rsidR="00981D65" w:rsidRPr="00BF2A4F">
        <w:rPr>
          <w:lang w:val="en-GB"/>
        </w:rPr>
        <w:t>cosolvent</w:t>
      </w:r>
      <w:r w:rsidRPr="00BF2A4F">
        <w:rPr>
          <w:lang w:val="en-GB"/>
        </w:rPr>
        <w:t>s were bot</w:t>
      </w:r>
      <w:r w:rsidRPr="00BF2A4F">
        <w:rPr>
          <w:lang w:val="en-GB"/>
        </w:rPr>
        <w:t xml:space="preserve">h alcohols. These differences in the </w:t>
      </w:r>
      <w:r w:rsidR="00981D65" w:rsidRPr="00BF2A4F">
        <w:rPr>
          <w:lang w:val="en-GB"/>
        </w:rPr>
        <w:t>cosolvent</w:t>
      </w:r>
      <w:r w:rsidRPr="00BF2A4F">
        <w:rPr>
          <w:lang w:val="en-GB"/>
        </w:rPr>
        <w:t xml:space="preserve"> order could be explained by the different affinities of the fatty acids (due mainly to their structural differences) with the </w:t>
      </w:r>
      <w:r w:rsidR="00B81CBA" w:rsidRPr="00BF2A4F">
        <w:rPr>
          <w:lang w:val="en-GB"/>
        </w:rPr>
        <w:t xml:space="preserve">supercritical mixture </w:t>
      </w:r>
      <w:r w:rsidRPr="00BF2A4F">
        <w:rPr>
          <w:lang w:val="en-GB"/>
        </w:rPr>
        <w:t xml:space="preserve">since the </w:t>
      </w:r>
      <w:r w:rsidR="00981D65" w:rsidRPr="00BF2A4F">
        <w:rPr>
          <w:lang w:val="en-GB"/>
        </w:rPr>
        <w:t>cosolvent</w:t>
      </w:r>
      <w:r w:rsidRPr="00BF2A4F">
        <w:rPr>
          <w:lang w:val="en-GB"/>
        </w:rPr>
        <w:t xml:space="preserve"> effect is obtained when there are speciﬁc</w:t>
      </w:r>
      <w:r w:rsidRPr="00BF2A4F">
        <w:rPr>
          <w:lang w:val="en-GB"/>
        </w:rPr>
        <w:t xml:space="preserve"> intermolecular interactions between the pair </w:t>
      </w:r>
      <w:r w:rsidR="00981D65" w:rsidRPr="00BF2A4F">
        <w:rPr>
          <w:lang w:val="en-GB"/>
        </w:rPr>
        <w:t>cosolvent</w:t>
      </w:r>
      <w:r w:rsidRPr="00BF2A4F">
        <w:rPr>
          <w:lang w:val="en-GB"/>
        </w:rPr>
        <w:t xml:space="preserve"> – solute </w:t>
      </w:r>
      <w:r w:rsidR="004830C7" w:rsidRPr="00BF2A4F">
        <w:rPr>
          <w:bCs/>
          <w:lang w:val="en-GB"/>
        </w:rPr>
        <w:fldChar w:fldCharType="begin" w:fldLock="1"/>
      </w:r>
      <w:r w:rsidR="004830C7" w:rsidRPr="00BF2A4F">
        <w:rPr>
          <w:bCs/>
          <w:lang w:val="en-GB"/>
        </w:rPr>
        <w:instrText>ADDIN CSL_CITATION {"citationItems":[{"id":"ITEM-1","itemData":{"DOI":"10.1016/0378-3812(87)85042-2","ISSN":"03783812","author":[{"dropping-particle":"","family":"Walsh","given":"John M.","non-dropping-particle":"","parse-names":false,"suffix":""},{"dropping-particle":"","family":"Ikonomou","given":"George D.","non-dropping-particle":"","parse-names":false,"suffix":""},{"dropping-particle":"","family":"Donohue","given":"Marc D.","non-dropping-particle":"","parse-names":false,"suffix":""}],"container-title":"Fluid Phase Equilibria","id":"ITEM-1","issue":"3","issued":{"date-parts":[["1987","1","1"]]},"page":"295-314","publisher":"Elsevier","title":"Supercritical phase behavior: The entrainer effect","type":"article-journal","volume":"33"},"uris":["http://www.mendeley.com/documents/?uuid=50a5c66a-a566-39b3-bb2a-0901d505ecdd"]}],"mendeley":{"formattedCitation":"(Walsh et al., 1987)","plainTextFormattedCitation":"(Walsh et al., 1987)","previouslyFormattedCitation":"(Walsh et al., 1987)"},"properties":{"noteIndex":0},"schema":"https://github.com/citation-style-language/schema/raw/master/csl-citation.json"}</w:instrText>
      </w:r>
      <w:r w:rsidR="004830C7" w:rsidRPr="00BF2A4F">
        <w:rPr>
          <w:bCs/>
          <w:lang w:val="en-GB"/>
        </w:rPr>
        <w:fldChar w:fldCharType="separate"/>
      </w:r>
      <w:r w:rsidR="004830C7" w:rsidRPr="00BF2A4F">
        <w:rPr>
          <w:bCs/>
          <w:noProof/>
          <w:lang w:val="en-GB"/>
        </w:rPr>
        <w:t xml:space="preserve">(Walsh </w:t>
      </w:r>
      <w:r w:rsidR="004830C7" w:rsidRPr="00BF2A4F">
        <w:rPr>
          <w:bCs/>
          <w:i/>
          <w:noProof/>
          <w:lang w:val="en-GB"/>
        </w:rPr>
        <w:t>et al.,</w:t>
      </w:r>
      <w:r w:rsidR="004830C7" w:rsidRPr="00BF2A4F">
        <w:rPr>
          <w:bCs/>
          <w:noProof/>
          <w:lang w:val="en-GB"/>
        </w:rPr>
        <w:t xml:space="preserve"> 1987)</w:t>
      </w:r>
      <w:r w:rsidR="004830C7" w:rsidRPr="00BF2A4F">
        <w:rPr>
          <w:lang w:val="en-GB"/>
        </w:rPr>
        <w:fldChar w:fldCharType="end"/>
      </w:r>
      <w:r w:rsidR="004830C7" w:rsidRPr="00BF2A4F">
        <w:rPr>
          <w:bCs/>
          <w:lang w:val="en-GB"/>
        </w:rPr>
        <w:t>.</w:t>
      </w:r>
      <w:r>
        <w:rPr>
          <w:bCs/>
          <w:lang w:val="en-GB"/>
        </w:rPr>
        <w:t xml:space="preserve"> </w:t>
      </w:r>
      <w:r w:rsidRPr="00BF2A4F">
        <w:rPr>
          <w:lang w:val="en-GB"/>
        </w:rPr>
        <w:t>In any case, the best cosolvent power for all the studied fatty acids was</w:t>
      </w:r>
      <w:r w:rsidRPr="00BF2A4F">
        <w:rPr>
          <w:lang w:val="en-GB"/>
        </w:rPr>
        <w:t xml:space="preserve"> given by ethanol, as the supercritical mixture containing this alcohol provoked the highest reduction in R</w:t>
      </w:r>
      <w:r w:rsidRPr="00BF2A4F">
        <w:rPr>
          <w:vertAlign w:val="subscript"/>
          <w:lang w:val="en-GB"/>
        </w:rPr>
        <w:t>a</w:t>
      </w:r>
      <w:r w:rsidRPr="00BF2A4F">
        <w:rPr>
          <w:lang w:val="en-GB"/>
        </w:rPr>
        <w:t xml:space="preserve"> in relation to pure sc-CO</w:t>
      </w:r>
      <w:r w:rsidRPr="00BF2A4F">
        <w:rPr>
          <w:vertAlign w:val="subscript"/>
          <w:lang w:val="en-GB"/>
        </w:rPr>
        <w:t>2</w:t>
      </w:r>
      <w:r w:rsidRPr="00BF2A4F">
        <w:rPr>
          <w:lang w:val="en-GB"/>
        </w:rPr>
        <w:t>.</w:t>
      </w:r>
    </w:p>
    <w:p w:rsidR="00A7326B" w:rsidRPr="00BF2A4F" w:rsidRDefault="00A7326B" w:rsidP="00A7326B">
      <w:pPr>
        <w:pStyle w:val="CETBodytext"/>
        <w:rPr>
          <w:lang w:val="en-GB"/>
        </w:rPr>
      </w:pPr>
    </w:p>
    <w:p w:rsidR="00D93241" w:rsidRPr="00BF2A4F" w:rsidRDefault="00581E00" w:rsidP="00D93241">
      <w:pPr>
        <w:pStyle w:val="CETBodytext"/>
        <w:rPr>
          <w:iCs/>
          <w:lang w:val="en-GB"/>
        </w:rPr>
      </w:pPr>
      <w:r w:rsidRPr="00BF2A4F">
        <w:rPr>
          <w:lang w:val="en-GB"/>
        </w:rPr>
        <w:t>Table 3: R</w:t>
      </w:r>
      <w:r w:rsidRPr="00BF2A4F">
        <w:rPr>
          <w:vertAlign w:val="subscript"/>
          <w:lang w:val="en-GB"/>
        </w:rPr>
        <w:t>a</w:t>
      </w:r>
      <w:r w:rsidRPr="00BF2A4F">
        <w:rPr>
          <w:lang w:val="en-GB"/>
        </w:rPr>
        <w:t xml:space="preserve"> values between fatty acids and supercritical </w:t>
      </w:r>
      <w:r w:rsidR="006156B6" w:rsidRPr="00BF2A4F">
        <w:rPr>
          <w:lang w:val="en-GB"/>
        </w:rPr>
        <w:t xml:space="preserve">solvents </w:t>
      </w:r>
      <w:r w:rsidRPr="00BF2A4F">
        <w:rPr>
          <w:iCs/>
          <w:lang w:val="en-GB"/>
        </w:rPr>
        <w:t xml:space="preserve">at 305.15 K, 20 MPa and a </w:t>
      </w:r>
      <w:r w:rsidR="00981D65" w:rsidRPr="00BF2A4F">
        <w:rPr>
          <w:iCs/>
          <w:lang w:val="en-GB"/>
        </w:rPr>
        <w:t>cosolvent</w:t>
      </w:r>
      <w:r w:rsidRPr="00BF2A4F">
        <w:rPr>
          <w:iCs/>
          <w:lang w:val="en-GB"/>
        </w:rPr>
        <w:t xml:space="preserve"> volume fraction </w:t>
      </w:r>
      <w:r w:rsidRPr="00BF2A4F">
        <w:rPr>
          <w:iCs/>
          <w:lang w:val="en-GB"/>
        </w:rPr>
        <w:t>of 5 %</w:t>
      </w:r>
      <w:r w:rsidRPr="00BF2A4F">
        <w:rPr>
          <w:lang w:val="en-GB"/>
        </w:rPr>
        <w:t>.</w:t>
      </w:r>
    </w:p>
    <w:tbl>
      <w:tblPr>
        <w:tblW w:w="7718" w:type="dxa"/>
        <w:jc w:val="center"/>
        <w:tblLook w:val="04A0" w:firstRow="1" w:lastRow="0" w:firstColumn="1" w:lastColumn="0" w:noHBand="0" w:noVBand="1"/>
      </w:tblPr>
      <w:tblGrid>
        <w:gridCol w:w="2620"/>
        <w:gridCol w:w="1404"/>
        <w:gridCol w:w="1671"/>
        <w:gridCol w:w="2023"/>
      </w:tblGrid>
      <w:tr w:rsidR="00EA0561" w:rsidTr="007212E0">
        <w:trPr>
          <w:trHeight w:val="300"/>
          <w:jc w:val="center"/>
        </w:trPr>
        <w:tc>
          <w:tcPr>
            <w:tcW w:w="2620" w:type="dxa"/>
            <w:vMerge w:val="restart"/>
            <w:tcBorders>
              <w:top w:val="single" w:sz="4" w:space="0" w:color="auto"/>
            </w:tcBorders>
            <w:noWrap/>
          </w:tcPr>
          <w:p w:rsidR="00D93241" w:rsidRPr="00BF2A4F" w:rsidRDefault="00D93241" w:rsidP="007212E0">
            <w:pPr>
              <w:pStyle w:val="CETBodytext"/>
              <w:rPr>
                <w:b/>
                <w:bCs/>
                <w:lang w:val="en-GB"/>
              </w:rPr>
            </w:pPr>
          </w:p>
          <w:p w:rsidR="00D93241" w:rsidRPr="00BF2A4F" w:rsidRDefault="00581E00" w:rsidP="007212E0">
            <w:pPr>
              <w:pStyle w:val="CETBodytext"/>
              <w:rPr>
                <w:b/>
                <w:bCs/>
                <w:lang w:val="en-GB"/>
              </w:rPr>
            </w:pPr>
            <w:r w:rsidRPr="00BF2A4F">
              <w:rPr>
                <w:bCs/>
                <w:lang w:val="en-GB"/>
              </w:rPr>
              <w:t>Supercritical fluid</w:t>
            </w:r>
          </w:p>
        </w:tc>
        <w:tc>
          <w:tcPr>
            <w:tcW w:w="5098" w:type="dxa"/>
            <w:gridSpan w:val="3"/>
            <w:tcBorders>
              <w:top w:val="single" w:sz="4" w:space="0" w:color="auto"/>
              <w:bottom w:val="nil"/>
            </w:tcBorders>
            <w:noWrap/>
          </w:tcPr>
          <w:p w:rsidR="00D93241" w:rsidRPr="00BF2A4F" w:rsidRDefault="00581E00" w:rsidP="007212E0">
            <w:pPr>
              <w:pStyle w:val="CETBodytext"/>
              <w:jc w:val="center"/>
              <w:rPr>
                <w:b/>
                <w:bCs/>
                <w:lang w:val="en-GB"/>
              </w:rPr>
            </w:pPr>
            <w:r w:rsidRPr="00BF2A4F">
              <w:rPr>
                <w:bCs/>
                <w:lang w:val="en-GB"/>
              </w:rPr>
              <w:t>R</w:t>
            </w:r>
            <w:r w:rsidRPr="00BF2A4F">
              <w:rPr>
                <w:bCs/>
                <w:vertAlign w:val="subscript"/>
                <w:lang w:val="en-GB"/>
              </w:rPr>
              <w:t>a</w:t>
            </w:r>
            <w:r w:rsidRPr="00BF2A4F">
              <w:rPr>
                <w:bCs/>
                <w:lang w:val="en-GB"/>
              </w:rPr>
              <w:t xml:space="preserve"> between the fatty acid</w:t>
            </w:r>
          </w:p>
        </w:tc>
      </w:tr>
      <w:tr w:rsidR="00EA0561" w:rsidTr="007212E0">
        <w:trPr>
          <w:trHeight w:val="300"/>
          <w:jc w:val="center"/>
        </w:trPr>
        <w:tc>
          <w:tcPr>
            <w:tcW w:w="2620" w:type="dxa"/>
            <w:vMerge/>
            <w:tcBorders>
              <w:bottom w:val="nil"/>
            </w:tcBorders>
            <w:noWrap/>
          </w:tcPr>
          <w:p w:rsidR="00D93241" w:rsidRPr="00BF2A4F" w:rsidRDefault="00D93241" w:rsidP="007212E0">
            <w:pPr>
              <w:pStyle w:val="CETBodytext"/>
              <w:rPr>
                <w:b/>
                <w:bCs/>
                <w:lang w:val="en-GB"/>
              </w:rPr>
            </w:pPr>
          </w:p>
        </w:tc>
        <w:tc>
          <w:tcPr>
            <w:tcW w:w="1404" w:type="dxa"/>
            <w:tcBorders>
              <w:top w:val="single" w:sz="4" w:space="0" w:color="auto"/>
              <w:bottom w:val="nil"/>
            </w:tcBorders>
            <w:noWrap/>
          </w:tcPr>
          <w:p w:rsidR="00D93241" w:rsidRPr="00BF2A4F" w:rsidRDefault="00581E00" w:rsidP="00A53876">
            <w:pPr>
              <w:pStyle w:val="CETBodytext"/>
              <w:jc w:val="center"/>
              <w:rPr>
                <w:lang w:val="en-GB"/>
              </w:rPr>
            </w:pPr>
            <w:r w:rsidRPr="00BF2A4F">
              <w:rPr>
                <w:lang w:val="en-GB"/>
              </w:rPr>
              <w:t>Oleic acid</w:t>
            </w:r>
          </w:p>
        </w:tc>
        <w:tc>
          <w:tcPr>
            <w:tcW w:w="1671" w:type="dxa"/>
            <w:tcBorders>
              <w:top w:val="single" w:sz="4" w:space="0" w:color="auto"/>
              <w:bottom w:val="nil"/>
            </w:tcBorders>
            <w:noWrap/>
          </w:tcPr>
          <w:p w:rsidR="00D93241" w:rsidRPr="00BF2A4F" w:rsidRDefault="00581E00" w:rsidP="00A53876">
            <w:pPr>
              <w:pStyle w:val="CETBodytext"/>
              <w:jc w:val="center"/>
              <w:rPr>
                <w:lang w:val="en-GB"/>
              </w:rPr>
            </w:pPr>
            <w:r w:rsidRPr="00BF2A4F">
              <w:rPr>
                <w:lang w:val="en-GB"/>
              </w:rPr>
              <w:t>Linoleic acid</w:t>
            </w:r>
          </w:p>
        </w:tc>
        <w:tc>
          <w:tcPr>
            <w:tcW w:w="2023" w:type="dxa"/>
            <w:tcBorders>
              <w:top w:val="single" w:sz="4" w:space="0" w:color="auto"/>
              <w:bottom w:val="nil"/>
            </w:tcBorders>
            <w:noWrap/>
          </w:tcPr>
          <w:p w:rsidR="00D93241" w:rsidRPr="00BF2A4F" w:rsidRDefault="00581E00" w:rsidP="00A53876">
            <w:pPr>
              <w:pStyle w:val="CETBodytext"/>
              <w:jc w:val="center"/>
              <w:rPr>
                <w:lang w:val="en-GB"/>
              </w:rPr>
            </w:pPr>
            <w:r w:rsidRPr="00BF2A4F">
              <w:rPr>
                <w:lang w:val="en-GB"/>
              </w:rPr>
              <w:t>α-Linolenic acid</w:t>
            </w:r>
          </w:p>
        </w:tc>
      </w:tr>
      <w:tr w:rsidR="00EA0561" w:rsidTr="007212E0">
        <w:trPr>
          <w:trHeight w:val="300"/>
          <w:jc w:val="center"/>
        </w:trPr>
        <w:tc>
          <w:tcPr>
            <w:tcW w:w="2620" w:type="dxa"/>
            <w:tcBorders>
              <w:top w:val="single" w:sz="4" w:space="0" w:color="auto"/>
              <w:bottom w:val="nil"/>
            </w:tcBorders>
            <w:noWrap/>
            <w:hideMark/>
          </w:tcPr>
          <w:p w:rsidR="00D93241" w:rsidRPr="00BF2A4F" w:rsidRDefault="00581E00" w:rsidP="007212E0">
            <w:pPr>
              <w:pStyle w:val="CETBodytext"/>
              <w:rPr>
                <w:b/>
                <w:bCs/>
                <w:lang w:val="en-GB"/>
              </w:rPr>
            </w:pPr>
            <w:r w:rsidRPr="00BF2A4F">
              <w:rPr>
                <w:bCs/>
                <w:lang w:val="en-GB"/>
              </w:rPr>
              <w:t>sc-CO</w:t>
            </w:r>
            <w:r w:rsidRPr="00BF2A4F">
              <w:rPr>
                <w:bCs/>
                <w:vertAlign w:val="subscript"/>
                <w:lang w:val="en-GB"/>
              </w:rPr>
              <w:t>2</w:t>
            </w:r>
          </w:p>
        </w:tc>
        <w:tc>
          <w:tcPr>
            <w:tcW w:w="1404" w:type="dxa"/>
            <w:tcBorders>
              <w:top w:val="single" w:sz="4" w:space="0" w:color="auto"/>
              <w:bottom w:val="nil"/>
            </w:tcBorders>
            <w:noWrap/>
            <w:hideMark/>
          </w:tcPr>
          <w:p w:rsidR="00D93241" w:rsidRPr="00BF2A4F" w:rsidRDefault="00581E00" w:rsidP="00A53876">
            <w:pPr>
              <w:pStyle w:val="CETBodytext"/>
              <w:jc w:val="center"/>
              <w:rPr>
                <w:lang w:val="en-GB"/>
              </w:rPr>
            </w:pPr>
            <w:r w:rsidRPr="00BF2A4F">
              <w:rPr>
                <w:lang w:val="en-GB"/>
              </w:rPr>
              <w:t>12.514</w:t>
            </w:r>
          </w:p>
        </w:tc>
        <w:tc>
          <w:tcPr>
            <w:tcW w:w="1671" w:type="dxa"/>
            <w:tcBorders>
              <w:top w:val="single" w:sz="4" w:space="0" w:color="auto"/>
              <w:bottom w:val="nil"/>
            </w:tcBorders>
            <w:noWrap/>
            <w:hideMark/>
          </w:tcPr>
          <w:p w:rsidR="00D93241" w:rsidRPr="00BF2A4F" w:rsidRDefault="00581E00" w:rsidP="00A53876">
            <w:pPr>
              <w:pStyle w:val="CETBodytext"/>
              <w:jc w:val="center"/>
              <w:rPr>
                <w:lang w:val="en-GB"/>
              </w:rPr>
            </w:pPr>
            <w:r w:rsidRPr="00BF2A4F">
              <w:rPr>
                <w:lang w:val="en-GB"/>
              </w:rPr>
              <w:t>13.845</w:t>
            </w:r>
          </w:p>
        </w:tc>
        <w:tc>
          <w:tcPr>
            <w:tcW w:w="2023" w:type="dxa"/>
            <w:tcBorders>
              <w:top w:val="single" w:sz="4" w:space="0" w:color="auto"/>
              <w:bottom w:val="nil"/>
            </w:tcBorders>
            <w:noWrap/>
            <w:hideMark/>
          </w:tcPr>
          <w:p w:rsidR="00D93241" w:rsidRPr="00BF2A4F" w:rsidRDefault="00581E00" w:rsidP="00A53876">
            <w:pPr>
              <w:pStyle w:val="CETBodytext"/>
              <w:jc w:val="center"/>
              <w:rPr>
                <w:lang w:val="en-GB"/>
              </w:rPr>
            </w:pPr>
            <w:r w:rsidRPr="00BF2A4F">
              <w:rPr>
                <w:lang w:val="en-GB"/>
              </w:rPr>
              <w:t>14.286</w:t>
            </w:r>
          </w:p>
        </w:tc>
      </w:tr>
      <w:tr w:rsidR="00EA0561" w:rsidTr="007212E0">
        <w:trPr>
          <w:trHeight w:val="300"/>
          <w:jc w:val="center"/>
        </w:trPr>
        <w:tc>
          <w:tcPr>
            <w:tcW w:w="2620" w:type="dxa"/>
            <w:tcBorders>
              <w:top w:val="nil"/>
              <w:bottom w:val="nil"/>
            </w:tcBorders>
            <w:noWrap/>
          </w:tcPr>
          <w:p w:rsidR="00D93241" w:rsidRPr="00BF2A4F" w:rsidRDefault="00581E00" w:rsidP="007212E0">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+acetone</w:t>
            </w:r>
          </w:p>
        </w:tc>
        <w:tc>
          <w:tcPr>
            <w:tcW w:w="1404" w:type="dxa"/>
            <w:tcBorders>
              <w:top w:val="nil"/>
              <w:bottom w:val="nil"/>
            </w:tcBorders>
            <w:noWrap/>
          </w:tcPr>
          <w:p w:rsidR="00D93241" w:rsidRPr="00BF2A4F" w:rsidRDefault="00581E00" w:rsidP="00A53876">
            <w:pPr>
              <w:pStyle w:val="CETBodytext"/>
              <w:jc w:val="center"/>
              <w:rPr>
                <w:lang w:val="en-GB"/>
              </w:rPr>
            </w:pPr>
            <w:r w:rsidRPr="00BF2A4F">
              <w:rPr>
                <w:lang w:val="en-GB"/>
              </w:rPr>
              <w:t>12.127</w:t>
            </w:r>
          </w:p>
        </w:tc>
        <w:tc>
          <w:tcPr>
            <w:tcW w:w="1671" w:type="dxa"/>
            <w:tcBorders>
              <w:top w:val="nil"/>
              <w:bottom w:val="nil"/>
            </w:tcBorders>
            <w:noWrap/>
          </w:tcPr>
          <w:p w:rsidR="00D93241" w:rsidRPr="00BF2A4F" w:rsidRDefault="00581E00" w:rsidP="00A53876">
            <w:pPr>
              <w:pStyle w:val="CETBodytext"/>
              <w:jc w:val="center"/>
              <w:rPr>
                <w:lang w:val="en-GB"/>
              </w:rPr>
            </w:pPr>
            <w:r w:rsidRPr="00BF2A4F">
              <w:rPr>
                <w:lang w:val="en-GB"/>
              </w:rPr>
              <w:t>13.438</w:t>
            </w:r>
          </w:p>
        </w:tc>
        <w:tc>
          <w:tcPr>
            <w:tcW w:w="2023" w:type="dxa"/>
            <w:tcBorders>
              <w:top w:val="nil"/>
              <w:bottom w:val="nil"/>
            </w:tcBorders>
            <w:noWrap/>
          </w:tcPr>
          <w:p w:rsidR="00D93241" w:rsidRPr="00BF2A4F" w:rsidRDefault="00581E00" w:rsidP="00A53876">
            <w:pPr>
              <w:pStyle w:val="CETBodytext"/>
              <w:jc w:val="center"/>
              <w:rPr>
                <w:lang w:val="en-GB"/>
              </w:rPr>
            </w:pPr>
            <w:r w:rsidRPr="00BF2A4F">
              <w:rPr>
                <w:lang w:val="en-GB"/>
              </w:rPr>
              <w:t>13.881</w:t>
            </w:r>
          </w:p>
        </w:tc>
      </w:tr>
      <w:tr w:rsidR="00EA0561" w:rsidTr="007212E0">
        <w:trPr>
          <w:trHeight w:val="300"/>
          <w:jc w:val="center"/>
        </w:trPr>
        <w:tc>
          <w:tcPr>
            <w:tcW w:w="2620" w:type="dxa"/>
            <w:tcBorders>
              <w:top w:val="nil"/>
              <w:bottom w:val="nil"/>
            </w:tcBorders>
            <w:noWrap/>
          </w:tcPr>
          <w:p w:rsidR="00D93241" w:rsidRPr="00BF2A4F" w:rsidRDefault="00581E00" w:rsidP="007212E0">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 ethanol</w:t>
            </w:r>
          </w:p>
        </w:tc>
        <w:tc>
          <w:tcPr>
            <w:tcW w:w="1404" w:type="dxa"/>
            <w:tcBorders>
              <w:top w:val="nil"/>
              <w:bottom w:val="nil"/>
            </w:tcBorders>
            <w:noWrap/>
          </w:tcPr>
          <w:p w:rsidR="00D93241" w:rsidRPr="00BF2A4F" w:rsidRDefault="00581E00" w:rsidP="00A53876">
            <w:pPr>
              <w:pStyle w:val="CETBodytext"/>
              <w:jc w:val="center"/>
              <w:rPr>
                <w:lang w:val="en-GB"/>
              </w:rPr>
            </w:pPr>
            <w:r w:rsidRPr="00BF2A4F">
              <w:rPr>
                <w:lang w:val="en-GB"/>
              </w:rPr>
              <w:t>12.031</w:t>
            </w:r>
          </w:p>
        </w:tc>
        <w:tc>
          <w:tcPr>
            <w:tcW w:w="1671" w:type="dxa"/>
            <w:tcBorders>
              <w:top w:val="nil"/>
              <w:bottom w:val="nil"/>
            </w:tcBorders>
            <w:noWrap/>
          </w:tcPr>
          <w:p w:rsidR="00D93241" w:rsidRPr="00BF2A4F" w:rsidRDefault="00581E00" w:rsidP="00A53876">
            <w:pPr>
              <w:pStyle w:val="CETBodytext"/>
              <w:jc w:val="center"/>
              <w:rPr>
                <w:lang w:val="en-GB"/>
              </w:rPr>
            </w:pPr>
            <w:r w:rsidRPr="00BF2A4F">
              <w:rPr>
                <w:lang w:val="en-GB"/>
              </w:rPr>
              <w:t>13.297</w:t>
            </w:r>
          </w:p>
        </w:tc>
        <w:tc>
          <w:tcPr>
            <w:tcW w:w="2023" w:type="dxa"/>
            <w:tcBorders>
              <w:top w:val="nil"/>
              <w:bottom w:val="nil"/>
            </w:tcBorders>
            <w:noWrap/>
          </w:tcPr>
          <w:p w:rsidR="00D93241" w:rsidRPr="00BF2A4F" w:rsidRDefault="00581E00" w:rsidP="00A53876">
            <w:pPr>
              <w:pStyle w:val="CETBodytext"/>
              <w:jc w:val="center"/>
              <w:rPr>
                <w:lang w:val="en-GB"/>
              </w:rPr>
            </w:pPr>
            <w:r w:rsidRPr="00BF2A4F">
              <w:rPr>
                <w:lang w:val="en-GB"/>
              </w:rPr>
              <w:t>13.759</w:t>
            </w:r>
          </w:p>
        </w:tc>
      </w:tr>
      <w:tr w:rsidR="00EA0561" w:rsidTr="007212E0">
        <w:trPr>
          <w:trHeight w:val="300"/>
          <w:jc w:val="center"/>
        </w:trPr>
        <w:tc>
          <w:tcPr>
            <w:tcW w:w="2620" w:type="dxa"/>
            <w:tcBorders>
              <w:top w:val="nil"/>
              <w:bottom w:val="nil"/>
            </w:tcBorders>
            <w:noWrap/>
            <w:hideMark/>
          </w:tcPr>
          <w:p w:rsidR="00D93241" w:rsidRPr="00BF2A4F" w:rsidRDefault="00581E00" w:rsidP="007212E0">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+diethyl ether</w:t>
            </w:r>
          </w:p>
        </w:tc>
        <w:tc>
          <w:tcPr>
            <w:tcW w:w="1404" w:type="dxa"/>
            <w:tcBorders>
              <w:top w:val="nil"/>
              <w:bottom w:val="nil"/>
            </w:tcBorders>
            <w:noWrap/>
            <w:hideMark/>
          </w:tcPr>
          <w:p w:rsidR="00D93241" w:rsidRPr="00BF2A4F" w:rsidRDefault="00581E00" w:rsidP="00A53876">
            <w:pPr>
              <w:pStyle w:val="CETBodytext"/>
              <w:jc w:val="center"/>
              <w:rPr>
                <w:lang w:val="en-GB"/>
              </w:rPr>
            </w:pPr>
            <w:r w:rsidRPr="00BF2A4F">
              <w:rPr>
                <w:lang w:val="en-GB"/>
              </w:rPr>
              <w:t>12.126</w:t>
            </w:r>
          </w:p>
        </w:tc>
        <w:tc>
          <w:tcPr>
            <w:tcW w:w="1671" w:type="dxa"/>
            <w:tcBorders>
              <w:top w:val="nil"/>
              <w:bottom w:val="nil"/>
            </w:tcBorders>
            <w:noWrap/>
            <w:hideMark/>
          </w:tcPr>
          <w:p w:rsidR="00D93241" w:rsidRPr="00BF2A4F" w:rsidRDefault="00581E00" w:rsidP="00A53876">
            <w:pPr>
              <w:pStyle w:val="CETBodytext"/>
              <w:jc w:val="center"/>
              <w:rPr>
                <w:lang w:val="en-GB"/>
              </w:rPr>
            </w:pPr>
            <w:r w:rsidRPr="00BF2A4F">
              <w:rPr>
                <w:lang w:val="en-GB"/>
              </w:rPr>
              <w:t>13.463</w:t>
            </w:r>
          </w:p>
        </w:tc>
        <w:tc>
          <w:tcPr>
            <w:tcW w:w="2023" w:type="dxa"/>
            <w:tcBorders>
              <w:top w:val="nil"/>
              <w:bottom w:val="nil"/>
            </w:tcBorders>
            <w:noWrap/>
            <w:hideMark/>
          </w:tcPr>
          <w:p w:rsidR="00D93241" w:rsidRPr="00BF2A4F" w:rsidRDefault="00581E00" w:rsidP="00A53876">
            <w:pPr>
              <w:pStyle w:val="CETBodytext"/>
              <w:jc w:val="center"/>
              <w:rPr>
                <w:lang w:val="en-GB"/>
              </w:rPr>
            </w:pPr>
            <w:r w:rsidRPr="00BF2A4F">
              <w:rPr>
                <w:lang w:val="en-GB"/>
              </w:rPr>
              <w:t>13.902</w:t>
            </w:r>
          </w:p>
        </w:tc>
      </w:tr>
      <w:tr w:rsidR="00EA0561" w:rsidTr="007212E0">
        <w:trPr>
          <w:trHeight w:val="300"/>
          <w:jc w:val="center"/>
        </w:trPr>
        <w:tc>
          <w:tcPr>
            <w:tcW w:w="2620" w:type="dxa"/>
            <w:tcBorders>
              <w:top w:val="nil"/>
              <w:bottom w:val="nil"/>
            </w:tcBorders>
            <w:noWrap/>
          </w:tcPr>
          <w:p w:rsidR="00D93241" w:rsidRPr="00BF2A4F" w:rsidRDefault="00581E00" w:rsidP="007212E0">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+n-hexane</w:t>
            </w:r>
          </w:p>
        </w:tc>
        <w:tc>
          <w:tcPr>
            <w:tcW w:w="1404" w:type="dxa"/>
            <w:tcBorders>
              <w:top w:val="nil"/>
              <w:bottom w:val="nil"/>
            </w:tcBorders>
            <w:noWrap/>
          </w:tcPr>
          <w:p w:rsidR="00D93241" w:rsidRPr="00BF2A4F" w:rsidRDefault="00581E00" w:rsidP="00A53876">
            <w:pPr>
              <w:pStyle w:val="CETBodytext"/>
              <w:jc w:val="center"/>
              <w:rPr>
                <w:lang w:val="en-GB"/>
              </w:rPr>
            </w:pPr>
            <w:r w:rsidRPr="00BF2A4F">
              <w:rPr>
                <w:lang w:val="en-GB"/>
              </w:rPr>
              <w:t>12.093</w:t>
            </w:r>
          </w:p>
        </w:tc>
        <w:tc>
          <w:tcPr>
            <w:tcW w:w="1671" w:type="dxa"/>
            <w:tcBorders>
              <w:top w:val="nil"/>
              <w:bottom w:val="nil"/>
            </w:tcBorders>
            <w:noWrap/>
          </w:tcPr>
          <w:p w:rsidR="00D93241" w:rsidRPr="00BF2A4F" w:rsidRDefault="00581E00" w:rsidP="00A53876">
            <w:pPr>
              <w:pStyle w:val="CETBodytext"/>
              <w:jc w:val="center"/>
              <w:rPr>
                <w:lang w:val="en-GB"/>
              </w:rPr>
            </w:pPr>
            <w:r w:rsidRPr="00BF2A4F">
              <w:rPr>
                <w:lang w:val="en-GB"/>
              </w:rPr>
              <w:t>13.456</w:t>
            </w:r>
          </w:p>
        </w:tc>
        <w:tc>
          <w:tcPr>
            <w:tcW w:w="2023" w:type="dxa"/>
            <w:tcBorders>
              <w:top w:val="nil"/>
              <w:bottom w:val="nil"/>
            </w:tcBorders>
            <w:noWrap/>
          </w:tcPr>
          <w:p w:rsidR="00D93241" w:rsidRPr="00BF2A4F" w:rsidRDefault="00581E00" w:rsidP="00A53876">
            <w:pPr>
              <w:pStyle w:val="CETBodytext"/>
              <w:jc w:val="center"/>
              <w:rPr>
                <w:lang w:val="en-GB"/>
              </w:rPr>
            </w:pPr>
            <w:r w:rsidRPr="00BF2A4F">
              <w:rPr>
                <w:lang w:val="en-GB"/>
              </w:rPr>
              <w:t>13.887</w:t>
            </w:r>
          </w:p>
        </w:tc>
      </w:tr>
      <w:tr w:rsidR="00EA0561" w:rsidTr="007212E0">
        <w:trPr>
          <w:trHeight w:val="300"/>
          <w:jc w:val="center"/>
        </w:trPr>
        <w:tc>
          <w:tcPr>
            <w:tcW w:w="2620" w:type="dxa"/>
            <w:tcBorders>
              <w:top w:val="nil"/>
              <w:bottom w:val="single" w:sz="4" w:space="0" w:color="auto"/>
            </w:tcBorders>
            <w:noWrap/>
            <w:hideMark/>
          </w:tcPr>
          <w:p w:rsidR="00D93241" w:rsidRPr="00BF2A4F" w:rsidRDefault="00581E00" w:rsidP="007212E0">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 methanol</w:t>
            </w:r>
          </w:p>
        </w:tc>
        <w:tc>
          <w:tcPr>
            <w:tcW w:w="1404" w:type="dxa"/>
            <w:tcBorders>
              <w:top w:val="nil"/>
              <w:bottom w:val="single" w:sz="4" w:space="0" w:color="auto"/>
            </w:tcBorders>
            <w:noWrap/>
            <w:hideMark/>
          </w:tcPr>
          <w:p w:rsidR="00D93241" w:rsidRPr="00BF2A4F" w:rsidRDefault="00581E00" w:rsidP="00A53876">
            <w:pPr>
              <w:pStyle w:val="CETBodytext"/>
              <w:jc w:val="center"/>
              <w:rPr>
                <w:lang w:val="en-GB"/>
              </w:rPr>
            </w:pPr>
            <w:r w:rsidRPr="00BF2A4F">
              <w:rPr>
                <w:lang w:val="en-GB"/>
              </w:rPr>
              <w:t>12.132</w:t>
            </w:r>
          </w:p>
        </w:tc>
        <w:tc>
          <w:tcPr>
            <w:tcW w:w="1671" w:type="dxa"/>
            <w:tcBorders>
              <w:top w:val="nil"/>
              <w:bottom w:val="single" w:sz="4" w:space="0" w:color="auto"/>
            </w:tcBorders>
            <w:noWrap/>
            <w:hideMark/>
          </w:tcPr>
          <w:p w:rsidR="00D93241" w:rsidRPr="00BF2A4F" w:rsidRDefault="00581E00" w:rsidP="00A53876">
            <w:pPr>
              <w:pStyle w:val="CETBodytext"/>
              <w:jc w:val="center"/>
              <w:rPr>
                <w:lang w:val="en-GB"/>
              </w:rPr>
            </w:pPr>
            <w:r w:rsidRPr="00BF2A4F">
              <w:rPr>
                <w:lang w:val="en-GB"/>
              </w:rPr>
              <w:t>13.376</w:t>
            </w:r>
          </w:p>
        </w:tc>
        <w:tc>
          <w:tcPr>
            <w:tcW w:w="2023" w:type="dxa"/>
            <w:tcBorders>
              <w:top w:val="nil"/>
              <w:bottom w:val="single" w:sz="4" w:space="0" w:color="auto"/>
            </w:tcBorders>
            <w:noWrap/>
            <w:hideMark/>
          </w:tcPr>
          <w:p w:rsidR="00D93241" w:rsidRPr="00BF2A4F" w:rsidRDefault="00581E00" w:rsidP="00A53876">
            <w:pPr>
              <w:pStyle w:val="CETBodytext"/>
              <w:jc w:val="center"/>
              <w:rPr>
                <w:lang w:val="en-GB"/>
              </w:rPr>
            </w:pPr>
            <w:r w:rsidRPr="00BF2A4F">
              <w:rPr>
                <w:lang w:val="en-GB"/>
              </w:rPr>
              <w:t>13.843</w:t>
            </w:r>
          </w:p>
        </w:tc>
      </w:tr>
    </w:tbl>
    <w:p w:rsidR="00A7326B" w:rsidRPr="00BF2A4F" w:rsidRDefault="00581E00" w:rsidP="005A6983">
      <w:pPr>
        <w:pStyle w:val="CETheadingx"/>
        <w:numPr>
          <w:ilvl w:val="1"/>
          <w:numId w:val="23"/>
        </w:numPr>
        <w:rPr>
          <w:lang w:val="en-GB"/>
        </w:rPr>
      </w:pPr>
      <w:r w:rsidRPr="00BF2A4F">
        <w:rPr>
          <w:lang w:val="en-GB"/>
        </w:rPr>
        <w:lastRenderedPageBreak/>
        <w:t xml:space="preserve">Validation </w:t>
      </w:r>
      <w:r w:rsidR="005A6983" w:rsidRPr="00BF2A4F">
        <w:rPr>
          <w:lang w:val="en-GB"/>
        </w:rPr>
        <w:t>of the predictions</w:t>
      </w:r>
    </w:p>
    <w:p w:rsidR="0088616B" w:rsidRPr="00BF2A4F" w:rsidRDefault="00581E00" w:rsidP="00405F4D">
      <w:r w:rsidRPr="00BF2A4F">
        <w:t>V</w:t>
      </w:r>
      <w:r w:rsidR="00E33A88" w:rsidRPr="00BF2A4F">
        <w:t xml:space="preserve">alidations were performed </w:t>
      </w:r>
      <w:r w:rsidR="00273439" w:rsidRPr="00BF2A4F">
        <w:t>using</w:t>
      </w:r>
      <w:r w:rsidR="00E33A88" w:rsidRPr="00BF2A4F">
        <w:t xml:space="preserve"> ethanol </w:t>
      </w:r>
      <w:r w:rsidR="00DE4C09" w:rsidRPr="00BF2A4F">
        <w:t>(</w:t>
      </w:r>
      <w:r w:rsidR="00273439" w:rsidRPr="00BF2A4F">
        <w:t xml:space="preserve">as </w:t>
      </w:r>
      <w:r w:rsidR="00DE4C09" w:rsidRPr="00BF2A4F">
        <w:t xml:space="preserve">better) </w:t>
      </w:r>
      <w:r w:rsidR="00E33A88" w:rsidRPr="00BF2A4F">
        <w:t xml:space="preserve">and n-hexane </w:t>
      </w:r>
      <w:r w:rsidR="00DE4C09" w:rsidRPr="00BF2A4F">
        <w:t>(</w:t>
      </w:r>
      <w:r w:rsidR="00273439" w:rsidRPr="00BF2A4F">
        <w:t xml:space="preserve">as </w:t>
      </w:r>
      <w:r w:rsidR="00DE4C09" w:rsidRPr="00BF2A4F">
        <w:t xml:space="preserve">worse) </w:t>
      </w:r>
      <w:r w:rsidR="00981D65" w:rsidRPr="00BF2A4F">
        <w:t>cosolvent</w:t>
      </w:r>
      <w:r w:rsidR="00273439" w:rsidRPr="00BF2A4F">
        <w:t>. The</w:t>
      </w:r>
      <w:r w:rsidRPr="00BF2A4F">
        <w:t xml:space="preserve"> R</w:t>
      </w:r>
      <w:r w:rsidRPr="00BF2A4F">
        <w:rPr>
          <w:vertAlign w:val="subscript"/>
        </w:rPr>
        <w:t>a</w:t>
      </w:r>
      <w:r w:rsidRPr="00BF2A4F">
        <w:t xml:space="preserve"> values </w:t>
      </w:r>
      <w:r w:rsidR="00273439" w:rsidRPr="00BF2A4F">
        <w:t xml:space="preserve">provided by these </w:t>
      </w:r>
      <w:r w:rsidR="00981D65" w:rsidRPr="00BF2A4F">
        <w:t>cosolvent</w:t>
      </w:r>
      <w:r w:rsidR="00273439" w:rsidRPr="00BF2A4F">
        <w:t xml:space="preserve">s </w:t>
      </w:r>
      <w:r w:rsidRPr="00BF2A4F">
        <w:t xml:space="preserve">differed </w:t>
      </w:r>
      <w:r w:rsidR="00090EC1" w:rsidRPr="00BF2A4F">
        <w:t>sufficiently enough to find experimental variations on the equilibrium pressures and on the</w:t>
      </w:r>
      <w:r w:rsidR="00325FB6" w:rsidRPr="00BF2A4F">
        <w:t xml:space="preserve"> fatty acid content</w:t>
      </w:r>
      <w:r w:rsidR="00090EC1" w:rsidRPr="00BF2A4F">
        <w:t xml:space="preserve"> in the supercritical extracts.</w:t>
      </w:r>
      <w:r w:rsidR="00405F4D">
        <w:t xml:space="preserve"> </w:t>
      </w:r>
      <w:r w:rsidR="00686E02" w:rsidRPr="00BF2A4F">
        <w:t xml:space="preserve">Table 4 shows the fatty acid content of </w:t>
      </w:r>
      <w:r w:rsidR="00E33A88" w:rsidRPr="00BF2A4F">
        <w:t xml:space="preserve">the </w:t>
      </w:r>
      <w:r w:rsidR="00686E02" w:rsidRPr="00BF2A4F">
        <w:t>extracts obtained with pure sc-CO</w:t>
      </w:r>
      <w:r w:rsidR="00686E02" w:rsidRPr="00BF2A4F">
        <w:rPr>
          <w:vertAlign w:val="subscript"/>
        </w:rPr>
        <w:t>2</w:t>
      </w:r>
      <w:r w:rsidR="00686E02" w:rsidRPr="00BF2A4F">
        <w:t xml:space="preserve"> and </w:t>
      </w:r>
      <w:r w:rsidR="00E33A88" w:rsidRPr="00BF2A4F">
        <w:t xml:space="preserve">with its mixture with </w:t>
      </w:r>
      <w:r w:rsidR="00E33A88" w:rsidRPr="00BF2A4F">
        <w:rPr>
          <w:iCs/>
        </w:rPr>
        <w:t>a</w:t>
      </w:r>
      <w:r w:rsidRPr="00BF2A4F">
        <w:rPr>
          <w:iCs/>
        </w:rPr>
        <w:t>n</w:t>
      </w:r>
      <w:r w:rsidR="00E33A88" w:rsidRPr="00BF2A4F">
        <w:rPr>
          <w:iCs/>
        </w:rPr>
        <w:t xml:space="preserve"> ethanol and n-hexane mass fraction</w:t>
      </w:r>
      <w:r w:rsidR="00777347" w:rsidRPr="00BF2A4F">
        <w:rPr>
          <w:iCs/>
        </w:rPr>
        <w:t>s</w:t>
      </w:r>
      <w:r w:rsidR="00E33A88" w:rsidRPr="00BF2A4F">
        <w:rPr>
          <w:iCs/>
        </w:rPr>
        <w:t xml:space="preserve"> of 5 % </w:t>
      </w:r>
      <w:r w:rsidR="00686E02" w:rsidRPr="00BF2A4F">
        <w:rPr>
          <w:iCs/>
        </w:rPr>
        <w:t>at 305.15 K</w:t>
      </w:r>
      <w:r w:rsidR="000B363B" w:rsidRPr="00BF2A4F">
        <w:rPr>
          <w:iCs/>
        </w:rPr>
        <w:t xml:space="preserve"> and </w:t>
      </w:r>
      <w:r w:rsidR="00686E02" w:rsidRPr="00BF2A4F">
        <w:rPr>
          <w:iCs/>
        </w:rPr>
        <w:t>20 MPa</w:t>
      </w:r>
      <w:r w:rsidR="00686E02" w:rsidRPr="00BF2A4F">
        <w:t>.</w:t>
      </w:r>
      <w:r w:rsidR="00F633B0" w:rsidRPr="00BF2A4F">
        <w:t xml:space="preserve"> </w:t>
      </w:r>
      <w:r w:rsidR="00E33A88" w:rsidRPr="00BF2A4F">
        <w:t>T</w:t>
      </w:r>
      <w:r w:rsidR="00E86E29" w:rsidRPr="00BF2A4F">
        <w:t xml:space="preserve">he use of </w:t>
      </w:r>
      <w:r w:rsidR="00325FB6" w:rsidRPr="00BF2A4F">
        <w:t xml:space="preserve">both </w:t>
      </w:r>
      <w:r w:rsidR="00981D65" w:rsidRPr="00BF2A4F">
        <w:t>cosolvent</w:t>
      </w:r>
      <w:r w:rsidR="00E86E29" w:rsidRPr="00BF2A4F">
        <w:t xml:space="preserve">s improved the selective extraction of fatty acids from the microalgae, with the largest increase occurring in the </w:t>
      </w:r>
      <w:r w:rsidR="00E33A88" w:rsidRPr="00BF2A4F">
        <w:t>mixture</w:t>
      </w:r>
      <w:r w:rsidR="00E86E29" w:rsidRPr="00BF2A4F">
        <w:t xml:space="preserve"> made up of CO</w:t>
      </w:r>
      <w:r w:rsidR="00E86E29" w:rsidRPr="00BF2A4F">
        <w:rPr>
          <w:vertAlign w:val="subscript"/>
        </w:rPr>
        <w:t>2</w:t>
      </w:r>
      <w:r w:rsidR="00E86E29" w:rsidRPr="00BF2A4F">
        <w:t xml:space="preserve"> + ethanol, which agreed with the predictions based on the R</w:t>
      </w:r>
      <w:r w:rsidR="00E86E29" w:rsidRPr="00BF2A4F">
        <w:rPr>
          <w:vertAlign w:val="subscript"/>
        </w:rPr>
        <w:t>a</w:t>
      </w:r>
      <w:r w:rsidR="00E86E29" w:rsidRPr="00BF2A4F">
        <w:t xml:space="preserve"> values. The </w:t>
      </w:r>
      <w:r w:rsidR="000C224A" w:rsidRPr="00BF2A4F">
        <w:t xml:space="preserve">obtained extract </w:t>
      </w:r>
      <w:r w:rsidR="00E86E29" w:rsidRPr="00BF2A4F">
        <w:t>with pure sc-CO</w:t>
      </w:r>
      <w:r w:rsidR="00E86E29" w:rsidRPr="00BF2A4F">
        <w:rPr>
          <w:vertAlign w:val="subscript"/>
        </w:rPr>
        <w:t>2</w:t>
      </w:r>
      <w:r w:rsidR="00E86E29" w:rsidRPr="00BF2A4F">
        <w:t xml:space="preserve"> contained </w:t>
      </w:r>
      <w:bookmarkStart w:id="7" w:name="_Hlk536718378"/>
      <w:r w:rsidR="00E86E29" w:rsidRPr="00BF2A4F">
        <w:t>1</w:t>
      </w:r>
      <w:r w:rsidR="00152123" w:rsidRPr="00BF2A4F">
        <w:t>4</w:t>
      </w:r>
      <w:r w:rsidR="00E86E29" w:rsidRPr="00BF2A4F">
        <w:t>.</w:t>
      </w:r>
      <w:r w:rsidR="00152123" w:rsidRPr="00BF2A4F">
        <w:t>9</w:t>
      </w:r>
      <w:r w:rsidR="00E86E29" w:rsidRPr="00BF2A4F">
        <w:t xml:space="preserve"> %, 3.7 % and 15.</w:t>
      </w:r>
      <w:r w:rsidR="008A6B0F" w:rsidRPr="00BF2A4F">
        <w:t>7</w:t>
      </w:r>
      <w:r w:rsidR="00E86E29" w:rsidRPr="00BF2A4F">
        <w:t xml:space="preserve"> % of oleic, linoleic and α-linolenic acid</w:t>
      </w:r>
      <w:bookmarkEnd w:id="7"/>
      <w:r w:rsidR="00E86E29" w:rsidRPr="00BF2A4F">
        <w:t xml:space="preserve">, respectively; while the </w:t>
      </w:r>
      <w:r w:rsidR="00AA5468" w:rsidRPr="00BF2A4F">
        <w:t xml:space="preserve">obtained </w:t>
      </w:r>
      <w:r w:rsidR="00E86E29" w:rsidRPr="00BF2A4F">
        <w:t>extract with the sc-CO</w:t>
      </w:r>
      <w:r w:rsidR="00E86E29" w:rsidRPr="00BF2A4F">
        <w:rPr>
          <w:vertAlign w:val="subscript"/>
        </w:rPr>
        <w:t>2</w:t>
      </w:r>
      <w:r w:rsidR="00E86E29" w:rsidRPr="00BF2A4F">
        <w:t xml:space="preserve">-ethanol </w:t>
      </w:r>
      <w:r w:rsidR="00981D65" w:rsidRPr="00BF2A4F">
        <w:t xml:space="preserve">mixture </w:t>
      </w:r>
      <w:r w:rsidR="00E86E29" w:rsidRPr="00BF2A4F">
        <w:t xml:space="preserve">contained </w:t>
      </w:r>
      <w:r w:rsidR="00724842" w:rsidRPr="00BF2A4F">
        <w:t xml:space="preserve">roughly </w:t>
      </w:r>
      <w:r w:rsidR="00E86E29" w:rsidRPr="00BF2A4F">
        <w:t xml:space="preserve">53 %, 54 % and 61 % more. </w:t>
      </w:r>
    </w:p>
    <w:p w:rsidR="00711E45" w:rsidRPr="00BF2A4F" w:rsidRDefault="00711E45" w:rsidP="00005433">
      <w:pPr>
        <w:pStyle w:val="CETBodytext"/>
        <w:rPr>
          <w:lang w:val="en-GB"/>
        </w:rPr>
      </w:pPr>
    </w:p>
    <w:p w:rsidR="00A7326B" w:rsidRPr="00BF2A4F" w:rsidRDefault="00581E00" w:rsidP="00005433">
      <w:pPr>
        <w:pStyle w:val="CETBodytext"/>
        <w:rPr>
          <w:bCs/>
          <w:i/>
          <w:lang w:val="en-GB"/>
        </w:rPr>
      </w:pPr>
      <w:r w:rsidRPr="00BF2A4F">
        <w:rPr>
          <w:lang w:val="en-GB"/>
        </w:rPr>
        <w:t>Ta</w:t>
      </w:r>
      <w:r w:rsidR="00D1575F" w:rsidRPr="00BF2A4F">
        <w:rPr>
          <w:lang w:val="en-GB"/>
        </w:rPr>
        <w:t>ble 4</w:t>
      </w:r>
      <w:r w:rsidRPr="00BF2A4F">
        <w:rPr>
          <w:lang w:val="en-GB"/>
        </w:rPr>
        <w:t xml:space="preserve">: </w:t>
      </w:r>
      <w:r w:rsidR="00325FB6" w:rsidRPr="00BF2A4F">
        <w:rPr>
          <w:lang w:val="en-GB"/>
        </w:rPr>
        <w:t xml:space="preserve">Fatty acids content in the oil extracts obtained from </w:t>
      </w:r>
      <w:r w:rsidR="00325FB6" w:rsidRPr="00BF2A4F">
        <w:rPr>
          <w:i/>
          <w:lang w:val="en-GB"/>
        </w:rPr>
        <w:t>Tetraselmis suecica</w:t>
      </w:r>
      <w:r w:rsidR="00325FB6" w:rsidRPr="00BF2A4F">
        <w:rPr>
          <w:lang w:val="en-GB"/>
        </w:rPr>
        <w:t xml:space="preserve"> at 305.15 K, 20 MPa with a </w:t>
      </w:r>
      <w:r w:rsidR="00981D65" w:rsidRPr="00BF2A4F">
        <w:rPr>
          <w:lang w:val="en-GB"/>
        </w:rPr>
        <w:t>cosolvent</w:t>
      </w:r>
      <w:r w:rsidR="00325FB6" w:rsidRPr="00BF2A4F">
        <w:rPr>
          <w:lang w:val="en-GB"/>
        </w:rPr>
        <w:t xml:space="preserve"> mass fraction of 5 % in sc-CO</w:t>
      </w:r>
      <w:r w:rsidR="00325FB6" w:rsidRPr="00BF2A4F">
        <w:rPr>
          <w:vertAlign w:val="subscript"/>
          <w:lang w:val="en-GB"/>
        </w:rPr>
        <w:t>2</w:t>
      </w:r>
      <w:r w:rsidR="00325FB6" w:rsidRPr="00BF2A4F">
        <w:rPr>
          <w:lang w:val="en-GB"/>
        </w:rPr>
        <w:t>. Bubble pressures for α-linolenic acid at 305.15 K.</w:t>
      </w:r>
    </w:p>
    <w:tbl>
      <w:tblPr>
        <w:tblW w:w="8534" w:type="dxa"/>
        <w:jc w:val="center"/>
        <w:tblLook w:val="04A0" w:firstRow="1" w:lastRow="0" w:firstColumn="1" w:lastColumn="0" w:noHBand="0" w:noVBand="1"/>
      </w:tblPr>
      <w:tblGrid>
        <w:gridCol w:w="1985"/>
        <w:gridCol w:w="1195"/>
        <w:gridCol w:w="1451"/>
        <w:gridCol w:w="1426"/>
        <w:gridCol w:w="2477"/>
      </w:tblGrid>
      <w:tr w:rsidR="00EA0561" w:rsidTr="00E33A88">
        <w:trPr>
          <w:jc w:val="center"/>
        </w:trPr>
        <w:tc>
          <w:tcPr>
            <w:tcW w:w="1985" w:type="dxa"/>
            <w:vMerge w:val="restart"/>
            <w:tcBorders>
              <w:top w:val="single" w:sz="4" w:space="0" w:color="000000"/>
            </w:tcBorders>
          </w:tcPr>
          <w:p w:rsidR="00E309C4" w:rsidRPr="00BF2A4F" w:rsidRDefault="00E309C4" w:rsidP="00A7326B">
            <w:pPr>
              <w:pStyle w:val="CETBodytext"/>
              <w:rPr>
                <w:b/>
                <w:bCs/>
                <w:lang w:val="en-GB"/>
              </w:rPr>
            </w:pPr>
          </w:p>
          <w:p w:rsidR="00E309C4" w:rsidRPr="00BF2A4F" w:rsidRDefault="00581E00" w:rsidP="00A7326B">
            <w:pPr>
              <w:pStyle w:val="CETBodytext"/>
              <w:rPr>
                <w:b/>
                <w:bCs/>
                <w:lang w:val="en-GB"/>
              </w:rPr>
            </w:pPr>
            <w:r w:rsidRPr="00BF2A4F">
              <w:rPr>
                <w:lang w:val="en-GB"/>
              </w:rPr>
              <w:t>Supercritical fluid</w:t>
            </w:r>
          </w:p>
        </w:tc>
        <w:tc>
          <w:tcPr>
            <w:tcW w:w="4072" w:type="dxa"/>
            <w:gridSpan w:val="3"/>
            <w:tcBorders>
              <w:top w:val="single" w:sz="4" w:space="0" w:color="auto"/>
            </w:tcBorders>
          </w:tcPr>
          <w:p w:rsidR="00E309C4" w:rsidRPr="00BF2A4F" w:rsidRDefault="00581E00" w:rsidP="00632B21">
            <w:pPr>
              <w:pStyle w:val="CETBodytext"/>
              <w:jc w:val="center"/>
              <w:rPr>
                <w:b/>
                <w:bCs/>
                <w:lang w:val="en-GB"/>
              </w:rPr>
            </w:pPr>
            <w:r w:rsidRPr="00BF2A4F">
              <w:rPr>
                <w:bCs/>
                <w:lang w:val="en-GB"/>
              </w:rPr>
              <w:t>Mass fraction of the fatty acid</w:t>
            </w:r>
            <w:r w:rsidRPr="00BF2A4F">
              <w:rPr>
                <w:bCs/>
                <w:lang w:val="en-GB"/>
              </w:rPr>
              <w:t xml:space="preserve"> in </w:t>
            </w:r>
            <w:r w:rsidR="00325FB6" w:rsidRPr="00BF2A4F">
              <w:rPr>
                <w:bCs/>
                <w:lang w:val="en-GB"/>
              </w:rPr>
              <w:t>the extract</w:t>
            </w:r>
            <w:r w:rsidRPr="00BF2A4F">
              <w:rPr>
                <w:bCs/>
                <w:lang w:val="en-GB"/>
              </w:rPr>
              <w:t xml:space="preserve"> (%)</w:t>
            </w:r>
          </w:p>
        </w:tc>
        <w:tc>
          <w:tcPr>
            <w:tcW w:w="2477" w:type="dxa"/>
            <w:vMerge w:val="restart"/>
            <w:tcBorders>
              <w:top w:val="single" w:sz="4" w:space="0" w:color="auto"/>
            </w:tcBorders>
          </w:tcPr>
          <w:p w:rsidR="00E309C4" w:rsidRPr="00BF2A4F" w:rsidRDefault="00581E00" w:rsidP="00632B21">
            <w:pPr>
              <w:pStyle w:val="CETBodytext"/>
              <w:jc w:val="center"/>
              <w:rPr>
                <w:bCs/>
                <w:lang w:val="en-GB"/>
              </w:rPr>
            </w:pPr>
            <w:r w:rsidRPr="00BF2A4F">
              <w:rPr>
                <w:bCs/>
                <w:lang w:val="en-GB"/>
              </w:rPr>
              <w:t xml:space="preserve">Bubble pressure (MPa) </w:t>
            </w:r>
            <w:bookmarkStart w:id="8" w:name="_Hlk535247018"/>
            <w:r w:rsidRPr="00BF2A4F">
              <w:rPr>
                <w:bCs/>
                <w:lang w:val="en-GB"/>
              </w:rPr>
              <w:t xml:space="preserve">for </w:t>
            </w:r>
            <w:r w:rsidRPr="00BF2A4F">
              <w:rPr>
                <w:lang w:val="en-GB"/>
              </w:rPr>
              <w:t>α-linolenic acid</w:t>
            </w:r>
            <w:bookmarkEnd w:id="8"/>
          </w:p>
        </w:tc>
      </w:tr>
      <w:tr w:rsidR="00EA0561" w:rsidTr="00E33A88">
        <w:trPr>
          <w:jc w:val="center"/>
        </w:trPr>
        <w:tc>
          <w:tcPr>
            <w:tcW w:w="1985" w:type="dxa"/>
            <w:vMerge/>
            <w:tcBorders>
              <w:bottom w:val="single" w:sz="4" w:space="0" w:color="auto"/>
            </w:tcBorders>
          </w:tcPr>
          <w:p w:rsidR="00E309C4" w:rsidRPr="00BF2A4F" w:rsidRDefault="00E309C4" w:rsidP="009D061F">
            <w:pPr>
              <w:pStyle w:val="CETBodytext"/>
              <w:rPr>
                <w:b/>
                <w:bCs/>
                <w:lang w:val="en-GB"/>
              </w:rPr>
            </w:pPr>
          </w:p>
        </w:tc>
        <w:tc>
          <w:tcPr>
            <w:tcW w:w="1195" w:type="dxa"/>
            <w:tcBorders>
              <w:top w:val="single" w:sz="4" w:space="0" w:color="auto"/>
              <w:bottom w:val="single" w:sz="4" w:space="0" w:color="auto"/>
            </w:tcBorders>
          </w:tcPr>
          <w:p w:rsidR="00E309C4" w:rsidRPr="00BF2A4F" w:rsidRDefault="00581E00" w:rsidP="009D061F">
            <w:pPr>
              <w:pStyle w:val="CETBodytext"/>
              <w:jc w:val="center"/>
              <w:rPr>
                <w:bCs/>
                <w:lang w:val="en-GB"/>
              </w:rPr>
            </w:pPr>
            <w:r w:rsidRPr="00BF2A4F">
              <w:rPr>
                <w:lang w:val="en-GB"/>
              </w:rPr>
              <w:t>Oleic acid</w:t>
            </w:r>
          </w:p>
        </w:tc>
        <w:tc>
          <w:tcPr>
            <w:tcW w:w="1451" w:type="dxa"/>
            <w:tcBorders>
              <w:top w:val="single" w:sz="4" w:space="0" w:color="auto"/>
              <w:bottom w:val="single" w:sz="4" w:space="0" w:color="auto"/>
            </w:tcBorders>
          </w:tcPr>
          <w:p w:rsidR="00E309C4" w:rsidRPr="00BF2A4F" w:rsidRDefault="00581E00" w:rsidP="009D061F">
            <w:pPr>
              <w:pStyle w:val="CETBodytext"/>
              <w:jc w:val="center"/>
              <w:rPr>
                <w:bCs/>
                <w:lang w:val="en-GB"/>
              </w:rPr>
            </w:pPr>
            <w:r w:rsidRPr="00BF2A4F">
              <w:rPr>
                <w:lang w:val="en-GB"/>
              </w:rPr>
              <w:t>Linoleic acid</w:t>
            </w:r>
          </w:p>
        </w:tc>
        <w:tc>
          <w:tcPr>
            <w:tcW w:w="1426" w:type="dxa"/>
            <w:tcBorders>
              <w:top w:val="single" w:sz="4" w:space="0" w:color="auto"/>
              <w:bottom w:val="single" w:sz="4" w:space="0" w:color="auto"/>
            </w:tcBorders>
          </w:tcPr>
          <w:p w:rsidR="00E309C4" w:rsidRPr="00BF2A4F" w:rsidRDefault="00581E00" w:rsidP="009D061F">
            <w:pPr>
              <w:pStyle w:val="CETBodytext"/>
              <w:jc w:val="center"/>
              <w:rPr>
                <w:bCs/>
                <w:lang w:val="en-GB"/>
              </w:rPr>
            </w:pPr>
            <w:r w:rsidRPr="00BF2A4F">
              <w:rPr>
                <w:lang w:val="en-GB"/>
              </w:rPr>
              <w:t>α-Linolenic acid</w:t>
            </w:r>
          </w:p>
        </w:tc>
        <w:tc>
          <w:tcPr>
            <w:tcW w:w="2477" w:type="dxa"/>
            <w:vMerge/>
            <w:tcBorders>
              <w:bottom w:val="single" w:sz="4" w:space="0" w:color="auto"/>
            </w:tcBorders>
          </w:tcPr>
          <w:p w:rsidR="00E309C4" w:rsidRPr="00BF2A4F" w:rsidRDefault="00E309C4" w:rsidP="009D061F">
            <w:pPr>
              <w:pStyle w:val="CETBodytext"/>
              <w:jc w:val="center"/>
              <w:rPr>
                <w:lang w:val="en-GB"/>
              </w:rPr>
            </w:pPr>
          </w:p>
        </w:tc>
      </w:tr>
      <w:tr w:rsidR="00EA0561" w:rsidTr="00E33A88">
        <w:trPr>
          <w:jc w:val="center"/>
        </w:trPr>
        <w:tc>
          <w:tcPr>
            <w:tcW w:w="1985" w:type="dxa"/>
            <w:tcBorders>
              <w:top w:val="single" w:sz="4" w:space="0" w:color="auto"/>
              <w:bottom w:val="nil"/>
            </w:tcBorders>
          </w:tcPr>
          <w:p w:rsidR="00E309C4" w:rsidRPr="00BF2A4F" w:rsidRDefault="00581E00" w:rsidP="00A7326B">
            <w:pPr>
              <w:pStyle w:val="CETBodytext"/>
              <w:rPr>
                <w:b/>
                <w:bCs/>
                <w:lang w:val="en-GB"/>
              </w:rPr>
            </w:pPr>
            <w:r w:rsidRPr="00BF2A4F">
              <w:rPr>
                <w:lang w:val="en-GB"/>
              </w:rPr>
              <w:t>sc-CO</w:t>
            </w:r>
            <w:r w:rsidRPr="00BF2A4F">
              <w:rPr>
                <w:vertAlign w:val="subscript"/>
                <w:lang w:val="en-GB"/>
              </w:rPr>
              <w:t>2</w:t>
            </w:r>
          </w:p>
        </w:tc>
        <w:tc>
          <w:tcPr>
            <w:tcW w:w="1195" w:type="dxa"/>
            <w:tcBorders>
              <w:top w:val="single" w:sz="4" w:space="0" w:color="auto"/>
              <w:bottom w:val="nil"/>
            </w:tcBorders>
          </w:tcPr>
          <w:p w:rsidR="00E309C4" w:rsidRPr="00BF2A4F" w:rsidRDefault="00581E00" w:rsidP="00632B21">
            <w:pPr>
              <w:pStyle w:val="CETBodytext"/>
              <w:jc w:val="center"/>
              <w:rPr>
                <w:bCs/>
                <w:lang w:val="en-GB"/>
              </w:rPr>
            </w:pPr>
            <w:r w:rsidRPr="00BF2A4F">
              <w:rPr>
                <w:lang w:val="en-GB"/>
              </w:rPr>
              <w:t>14.</w:t>
            </w:r>
            <w:r w:rsidR="00721BDE" w:rsidRPr="00BF2A4F">
              <w:rPr>
                <w:lang w:val="en-GB"/>
              </w:rPr>
              <w:t>9</w:t>
            </w:r>
          </w:p>
        </w:tc>
        <w:tc>
          <w:tcPr>
            <w:tcW w:w="1451" w:type="dxa"/>
            <w:tcBorders>
              <w:top w:val="single" w:sz="4" w:space="0" w:color="auto"/>
              <w:bottom w:val="nil"/>
            </w:tcBorders>
          </w:tcPr>
          <w:p w:rsidR="00E309C4" w:rsidRPr="00BF2A4F" w:rsidRDefault="00581E00" w:rsidP="00632B21">
            <w:pPr>
              <w:pStyle w:val="CETBodytext"/>
              <w:jc w:val="center"/>
              <w:rPr>
                <w:bCs/>
                <w:lang w:val="en-GB"/>
              </w:rPr>
            </w:pPr>
            <w:r w:rsidRPr="00BF2A4F">
              <w:rPr>
                <w:lang w:val="en-GB"/>
              </w:rPr>
              <w:t>3.7</w:t>
            </w:r>
          </w:p>
        </w:tc>
        <w:tc>
          <w:tcPr>
            <w:tcW w:w="1426" w:type="dxa"/>
            <w:tcBorders>
              <w:top w:val="single" w:sz="4" w:space="0" w:color="auto"/>
              <w:bottom w:val="nil"/>
            </w:tcBorders>
          </w:tcPr>
          <w:p w:rsidR="00E309C4" w:rsidRPr="00BF2A4F" w:rsidRDefault="00581E00" w:rsidP="00632B21">
            <w:pPr>
              <w:pStyle w:val="CETBodytext"/>
              <w:jc w:val="center"/>
              <w:rPr>
                <w:bCs/>
                <w:lang w:val="en-GB"/>
              </w:rPr>
            </w:pPr>
            <w:r w:rsidRPr="00BF2A4F">
              <w:rPr>
                <w:lang w:val="en-GB"/>
              </w:rPr>
              <w:t>15.</w:t>
            </w:r>
            <w:r w:rsidR="00721BDE" w:rsidRPr="00BF2A4F">
              <w:rPr>
                <w:lang w:val="en-GB"/>
              </w:rPr>
              <w:t>7</w:t>
            </w:r>
          </w:p>
        </w:tc>
        <w:tc>
          <w:tcPr>
            <w:tcW w:w="2477" w:type="dxa"/>
            <w:tcBorders>
              <w:top w:val="single" w:sz="4" w:space="0" w:color="auto"/>
              <w:bottom w:val="nil"/>
            </w:tcBorders>
          </w:tcPr>
          <w:p w:rsidR="00E309C4" w:rsidRPr="00BF2A4F" w:rsidRDefault="00581E00" w:rsidP="00632B21">
            <w:pPr>
              <w:pStyle w:val="CETBodytext"/>
              <w:jc w:val="center"/>
              <w:rPr>
                <w:lang w:val="en-GB"/>
              </w:rPr>
            </w:pPr>
            <w:r w:rsidRPr="00BF2A4F">
              <w:rPr>
                <w:lang w:val="en-GB"/>
              </w:rPr>
              <w:t>13.0</w:t>
            </w:r>
          </w:p>
        </w:tc>
      </w:tr>
      <w:tr w:rsidR="00EA0561" w:rsidTr="00E33A88">
        <w:trPr>
          <w:jc w:val="center"/>
        </w:trPr>
        <w:tc>
          <w:tcPr>
            <w:tcW w:w="1985" w:type="dxa"/>
            <w:tcBorders>
              <w:top w:val="nil"/>
              <w:bottom w:val="nil"/>
            </w:tcBorders>
          </w:tcPr>
          <w:p w:rsidR="00E309C4" w:rsidRPr="00BF2A4F" w:rsidRDefault="00581E00" w:rsidP="00A7326B">
            <w:pPr>
              <w:pStyle w:val="CETBodytext"/>
              <w:rPr>
                <w:b/>
                <w:bCs/>
                <w:lang w:val="en-GB"/>
              </w:rPr>
            </w:pPr>
            <w:r w:rsidRPr="00BF2A4F">
              <w:rPr>
                <w:bCs/>
                <w:lang w:val="en-GB"/>
              </w:rPr>
              <w:t>sc-CO</w:t>
            </w:r>
            <w:r w:rsidRPr="00BF2A4F">
              <w:rPr>
                <w:bCs/>
                <w:vertAlign w:val="subscript"/>
                <w:lang w:val="en-GB"/>
              </w:rPr>
              <w:t>2</w:t>
            </w:r>
            <w:r w:rsidRPr="00BF2A4F">
              <w:rPr>
                <w:bCs/>
                <w:lang w:val="en-GB"/>
              </w:rPr>
              <w:t xml:space="preserve"> + n-hexane</w:t>
            </w:r>
          </w:p>
        </w:tc>
        <w:tc>
          <w:tcPr>
            <w:tcW w:w="1195" w:type="dxa"/>
            <w:tcBorders>
              <w:top w:val="nil"/>
              <w:bottom w:val="nil"/>
            </w:tcBorders>
          </w:tcPr>
          <w:p w:rsidR="00E309C4" w:rsidRPr="00BF2A4F" w:rsidRDefault="00581E00" w:rsidP="00632B21">
            <w:pPr>
              <w:pStyle w:val="CETBodytext"/>
              <w:jc w:val="center"/>
              <w:rPr>
                <w:bCs/>
                <w:lang w:val="en-GB"/>
              </w:rPr>
            </w:pPr>
            <w:r w:rsidRPr="00BF2A4F">
              <w:rPr>
                <w:lang w:val="en-GB"/>
              </w:rPr>
              <w:t>15.</w:t>
            </w:r>
            <w:r w:rsidR="00721BDE" w:rsidRPr="00BF2A4F">
              <w:rPr>
                <w:lang w:val="en-GB"/>
              </w:rPr>
              <w:t>7</w:t>
            </w:r>
          </w:p>
        </w:tc>
        <w:tc>
          <w:tcPr>
            <w:tcW w:w="1451" w:type="dxa"/>
            <w:tcBorders>
              <w:top w:val="nil"/>
              <w:bottom w:val="nil"/>
            </w:tcBorders>
          </w:tcPr>
          <w:p w:rsidR="00E309C4" w:rsidRPr="00BF2A4F" w:rsidRDefault="00581E00" w:rsidP="00632B21">
            <w:pPr>
              <w:pStyle w:val="CETBodytext"/>
              <w:jc w:val="center"/>
              <w:rPr>
                <w:bCs/>
                <w:lang w:val="en-GB"/>
              </w:rPr>
            </w:pPr>
            <w:r w:rsidRPr="00BF2A4F">
              <w:rPr>
                <w:lang w:val="en-GB"/>
              </w:rPr>
              <w:t>3.9</w:t>
            </w:r>
          </w:p>
        </w:tc>
        <w:tc>
          <w:tcPr>
            <w:tcW w:w="1426" w:type="dxa"/>
            <w:tcBorders>
              <w:top w:val="nil"/>
              <w:bottom w:val="nil"/>
            </w:tcBorders>
          </w:tcPr>
          <w:p w:rsidR="00E309C4" w:rsidRPr="00BF2A4F" w:rsidRDefault="00581E00" w:rsidP="00632B21">
            <w:pPr>
              <w:pStyle w:val="CETBodytext"/>
              <w:jc w:val="center"/>
              <w:rPr>
                <w:bCs/>
                <w:lang w:val="en-GB"/>
              </w:rPr>
            </w:pPr>
            <w:r w:rsidRPr="00BF2A4F">
              <w:rPr>
                <w:lang w:val="en-GB"/>
              </w:rPr>
              <w:t>16.</w:t>
            </w:r>
            <w:r w:rsidR="00721BDE" w:rsidRPr="00BF2A4F">
              <w:rPr>
                <w:lang w:val="en-GB"/>
              </w:rPr>
              <w:t>1</w:t>
            </w:r>
          </w:p>
        </w:tc>
        <w:tc>
          <w:tcPr>
            <w:tcW w:w="2477" w:type="dxa"/>
            <w:tcBorders>
              <w:top w:val="nil"/>
              <w:bottom w:val="nil"/>
            </w:tcBorders>
          </w:tcPr>
          <w:p w:rsidR="00E309C4" w:rsidRPr="00BF2A4F" w:rsidRDefault="00581E00" w:rsidP="00632B21">
            <w:pPr>
              <w:pStyle w:val="CETBodytext"/>
              <w:jc w:val="center"/>
              <w:rPr>
                <w:lang w:val="en-GB"/>
              </w:rPr>
            </w:pPr>
            <w:r w:rsidRPr="00BF2A4F">
              <w:rPr>
                <w:lang w:val="en-GB"/>
              </w:rPr>
              <w:t>12.8</w:t>
            </w:r>
          </w:p>
        </w:tc>
      </w:tr>
      <w:tr w:rsidR="00EA0561" w:rsidTr="00E33A88">
        <w:trPr>
          <w:jc w:val="center"/>
        </w:trPr>
        <w:tc>
          <w:tcPr>
            <w:tcW w:w="1985" w:type="dxa"/>
            <w:tcBorders>
              <w:top w:val="nil"/>
              <w:bottom w:val="single" w:sz="4" w:space="0" w:color="auto"/>
            </w:tcBorders>
          </w:tcPr>
          <w:p w:rsidR="00E309C4" w:rsidRPr="00BF2A4F" w:rsidRDefault="00581E00" w:rsidP="00A7326B">
            <w:pPr>
              <w:pStyle w:val="CETBodytext"/>
              <w:rPr>
                <w:b/>
                <w:bCs/>
                <w:lang w:val="en-GB"/>
              </w:rPr>
            </w:pPr>
            <w:bookmarkStart w:id="9" w:name="_Hlk536718393"/>
            <w:r w:rsidRPr="00BF2A4F">
              <w:rPr>
                <w:bCs/>
                <w:lang w:val="en-GB"/>
              </w:rPr>
              <w:t>sc-CO</w:t>
            </w:r>
            <w:r w:rsidRPr="00BF2A4F">
              <w:rPr>
                <w:bCs/>
                <w:vertAlign w:val="subscript"/>
                <w:lang w:val="en-GB"/>
              </w:rPr>
              <w:t>2</w:t>
            </w:r>
            <w:r w:rsidRPr="00BF2A4F">
              <w:rPr>
                <w:bCs/>
                <w:lang w:val="en-GB"/>
              </w:rPr>
              <w:t xml:space="preserve"> + ethanol</w:t>
            </w:r>
          </w:p>
        </w:tc>
        <w:tc>
          <w:tcPr>
            <w:tcW w:w="1195" w:type="dxa"/>
            <w:tcBorders>
              <w:top w:val="nil"/>
              <w:bottom w:val="single" w:sz="4" w:space="0" w:color="auto"/>
            </w:tcBorders>
          </w:tcPr>
          <w:p w:rsidR="00E309C4" w:rsidRPr="00BF2A4F" w:rsidRDefault="00581E00" w:rsidP="00632B21">
            <w:pPr>
              <w:pStyle w:val="CETBodytext"/>
              <w:jc w:val="center"/>
              <w:rPr>
                <w:bCs/>
                <w:lang w:val="en-GB"/>
              </w:rPr>
            </w:pPr>
            <w:r w:rsidRPr="00BF2A4F">
              <w:rPr>
                <w:lang w:val="en-GB"/>
              </w:rPr>
              <w:t>22.7</w:t>
            </w:r>
          </w:p>
        </w:tc>
        <w:tc>
          <w:tcPr>
            <w:tcW w:w="1451" w:type="dxa"/>
            <w:tcBorders>
              <w:top w:val="nil"/>
              <w:bottom w:val="single" w:sz="4" w:space="0" w:color="auto"/>
            </w:tcBorders>
          </w:tcPr>
          <w:p w:rsidR="00E309C4" w:rsidRPr="00BF2A4F" w:rsidRDefault="00581E00" w:rsidP="00632B21">
            <w:pPr>
              <w:pStyle w:val="CETBodytext"/>
              <w:jc w:val="center"/>
              <w:rPr>
                <w:bCs/>
                <w:lang w:val="en-GB"/>
              </w:rPr>
            </w:pPr>
            <w:r w:rsidRPr="00BF2A4F">
              <w:rPr>
                <w:lang w:val="en-GB"/>
              </w:rPr>
              <w:t>5.7</w:t>
            </w:r>
          </w:p>
        </w:tc>
        <w:tc>
          <w:tcPr>
            <w:tcW w:w="1426" w:type="dxa"/>
            <w:tcBorders>
              <w:top w:val="nil"/>
              <w:bottom w:val="single" w:sz="4" w:space="0" w:color="auto"/>
            </w:tcBorders>
          </w:tcPr>
          <w:p w:rsidR="00E309C4" w:rsidRPr="00BF2A4F" w:rsidRDefault="00581E00" w:rsidP="00632B21">
            <w:pPr>
              <w:pStyle w:val="CETBodytext"/>
              <w:jc w:val="center"/>
              <w:rPr>
                <w:bCs/>
                <w:lang w:val="en-GB"/>
              </w:rPr>
            </w:pPr>
            <w:r w:rsidRPr="00BF2A4F">
              <w:rPr>
                <w:lang w:val="en-GB"/>
              </w:rPr>
              <w:t>25.3</w:t>
            </w:r>
          </w:p>
        </w:tc>
        <w:tc>
          <w:tcPr>
            <w:tcW w:w="2477" w:type="dxa"/>
            <w:tcBorders>
              <w:top w:val="nil"/>
              <w:bottom w:val="single" w:sz="4" w:space="0" w:color="auto"/>
            </w:tcBorders>
          </w:tcPr>
          <w:p w:rsidR="00E309C4" w:rsidRPr="00BF2A4F" w:rsidRDefault="00581E00" w:rsidP="00632B21">
            <w:pPr>
              <w:pStyle w:val="CETBodytext"/>
              <w:jc w:val="center"/>
              <w:rPr>
                <w:lang w:val="en-GB"/>
              </w:rPr>
            </w:pPr>
            <w:r w:rsidRPr="00BF2A4F">
              <w:rPr>
                <w:lang w:val="en-GB"/>
              </w:rPr>
              <w:t>12.1</w:t>
            </w:r>
          </w:p>
        </w:tc>
      </w:tr>
      <w:bookmarkEnd w:id="9"/>
    </w:tbl>
    <w:p w:rsidR="00711E45" w:rsidRPr="00BF2A4F" w:rsidRDefault="00711E45" w:rsidP="00711E45">
      <w:pPr>
        <w:pStyle w:val="CETBodytext"/>
        <w:rPr>
          <w:lang w:val="en-GB"/>
        </w:rPr>
      </w:pPr>
    </w:p>
    <w:p w:rsidR="00DB6A5E" w:rsidRPr="00BF2A4F" w:rsidRDefault="00581E00" w:rsidP="00A7326B">
      <w:pPr>
        <w:pStyle w:val="CETBodytext"/>
        <w:rPr>
          <w:lang w:val="en-GB"/>
        </w:rPr>
      </w:pPr>
      <w:r w:rsidRPr="00BF2A4F">
        <w:rPr>
          <w:lang w:val="en-GB"/>
        </w:rPr>
        <w:t xml:space="preserve">Additionally, Table 4 shows the bubble pressures obtained by the static synthetic method at 305.15 K for a molar fraction of </w:t>
      </w:r>
      <w:r w:rsidR="008718E5" w:rsidRPr="00BF2A4F">
        <w:rPr>
          <w:lang w:val="en-GB"/>
        </w:rPr>
        <w:t>1.5</w:t>
      </w:r>
      <w:r w:rsidRPr="00BF2A4F">
        <w:rPr>
          <w:lang w:val="en-GB"/>
        </w:rPr>
        <w:t xml:space="preserve"> 10</w:t>
      </w:r>
      <w:r w:rsidRPr="00BF2A4F">
        <w:rPr>
          <w:vertAlign w:val="superscript"/>
          <w:lang w:val="en-GB"/>
        </w:rPr>
        <w:t>−</w:t>
      </w:r>
      <w:r w:rsidR="008718E5" w:rsidRPr="00BF2A4F">
        <w:rPr>
          <w:vertAlign w:val="superscript"/>
          <w:lang w:val="en-GB"/>
        </w:rPr>
        <w:t>3</w:t>
      </w:r>
      <w:r w:rsidRPr="00BF2A4F">
        <w:rPr>
          <w:lang w:val="en-GB"/>
        </w:rPr>
        <w:t xml:space="preserve"> α-linolenic acid in </w:t>
      </w:r>
      <w:r w:rsidR="008C48B7" w:rsidRPr="00BF2A4F">
        <w:rPr>
          <w:lang w:val="en-GB"/>
        </w:rPr>
        <w:t>sc-CO</w:t>
      </w:r>
      <w:r w:rsidR="008C48B7" w:rsidRPr="00BF2A4F">
        <w:rPr>
          <w:vertAlign w:val="subscript"/>
          <w:lang w:val="en-GB"/>
        </w:rPr>
        <w:t>2</w:t>
      </w:r>
      <w:r w:rsidR="008C48B7" w:rsidRPr="00BF2A4F">
        <w:rPr>
          <w:lang w:val="en-GB"/>
        </w:rPr>
        <w:t xml:space="preserve"> and </w:t>
      </w:r>
      <w:r w:rsidR="004A3453" w:rsidRPr="00BF2A4F">
        <w:rPr>
          <w:lang w:val="en-GB"/>
        </w:rPr>
        <w:t>sc-</w:t>
      </w:r>
      <w:r w:rsidRPr="00BF2A4F">
        <w:rPr>
          <w:lang w:val="en-GB"/>
        </w:rPr>
        <w:t>CO</w:t>
      </w:r>
      <w:r w:rsidRPr="00BF2A4F">
        <w:rPr>
          <w:vertAlign w:val="subscript"/>
          <w:lang w:val="en-GB"/>
        </w:rPr>
        <w:t>2</w:t>
      </w:r>
      <w:r w:rsidRPr="00BF2A4F">
        <w:rPr>
          <w:lang w:val="en-GB"/>
        </w:rPr>
        <w:t xml:space="preserve"> </w:t>
      </w:r>
      <w:r w:rsidR="00FC3CFD" w:rsidRPr="00BF2A4F">
        <w:rPr>
          <w:lang w:val="en-GB"/>
        </w:rPr>
        <w:t>+</w:t>
      </w:r>
      <w:r w:rsidRPr="00BF2A4F">
        <w:rPr>
          <w:lang w:val="en-GB"/>
        </w:rPr>
        <w:t xml:space="preserve"> 5</w:t>
      </w:r>
      <w:r w:rsidR="004A3453" w:rsidRPr="00BF2A4F">
        <w:rPr>
          <w:lang w:val="en-GB"/>
        </w:rPr>
        <w:t xml:space="preserve"> </w:t>
      </w:r>
      <w:r w:rsidRPr="00BF2A4F">
        <w:rPr>
          <w:lang w:val="en-GB"/>
        </w:rPr>
        <w:t xml:space="preserve">% mass fraction of </w:t>
      </w:r>
      <w:r w:rsidR="004A3453" w:rsidRPr="00BF2A4F">
        <w:rPr>
          <w:lang w:val="en-GB"/>
        </w:rPr>
        <w:t>ethanol or n-hexane</w:t>
      </w:r>
      <w:r w:rsidRPr="00BF2A4F">
        <w:rPr>
          <w:lang w:val="en-GB"/>
        </w:rPr>
        <w:t xml:space="preserve">. </w:t>
      </w:r>
      <w:r w:rsidR="00005433" w:rsidRPr="00BF2A4F">
        <w:rPr>
          <w:lang w:val="en-GB"/>
        </w:rPr>
        <w:t>L</w:t>
      </w:r>
      <w:r w:rsidRPr="00BF2A4F">
        <w:rPr>
          <w:lang w:val="en-GB"/>
        </w:rPr>
        <w:t>ower bubble pressure values indicate</w:t>
      </w:r>
      <w:r w:rsidR="00756B4F" w:rsidRPr="00BF2A4F">
        <w:rPr>
          <w:lang w:val="en-GB"/>
        </w:rPr>
        <w:t>d</w:t>
      </w:r>
      <w:r w:rsidRPr="00BF2A4F">
        <w:rPr>
          <w:lang w:val="en-GB"/>
        </w:rPr>
        <w:t xml:space="preserve"> h</w:t>
      </w:r>
      <w:r w:rsidRPr="00BF2A4F">
        <w:rPr>
          <w:lang w:val="en-GB"/>
        </w:rPr>
        <w:t xml:space="preserve">igher miscibility. Therefore, the best </w:t>
      </w:r>
      <w:r w:rsidR="00981D65" w:rsidRPr="00BF2A4F">
        <w:rPr>
          <w:lang w:val="en-GB"/>
        </w:rPr>
        <w:t>cosolvent</w:t>
      </w:r>
      <w:r w:rsidRPr="00BF2A4F">
        <w:rPr>
          <w:lang w:val="en-GB"/>
        </w:rPr>
        <w:t xml:space="preserve"> for the solubilization of </w:t>
      </w:r>
      <w:r w:rsidR="004A3453" w:rsidRPr="00BF2A4F">
        <w:rPr>
          <w:lang w:val="en-GB"/>
        </w:rPr>
        <w:t xml:space="preserve">α-linolenic </w:t>
      </w:r>
      <w:r w:rsidRPr="00BF2A4F">
        <w:rPr>
          <w:lang w:val="en-GB"/>
        </w:rPr>
        <w:t>in sc-CO</w:t>
      </w:r>
      <w:r w:rsidRPr="00BF2A4F">
        <w:rPr>
          <w:vertAlign w:val="subscript"/>
          <w:lang w:val="en-GB"/>
        </w:rPr>
        <w:t>2</w:t>
      </w:r>
      <w:r w:rsidRPr="00BF2A4F">
        <w:rPr>
          <w:lang w:val="en-GB"/>
        </w:rPr>
        <w:t xml:space="preserve"> was ethanol followed by n-hexane, which was consistent with the predictions </w:t>
      </w:r>
      <w:r w:rsidR="00AF76EB" w:rsidRPr="00BF2A4F">
        <w:rPr>
          <w:lang w:val="en-GB"/>
        </w:rPr>
        <w:t xml:space="preserve">made </w:t>
      </w:r>
      <w:r w:rsidR="00045CA6" w:rsidRPr="00BF2A4F">
        <w:rPr>
          <w:lang w:val="en-GB"/>
        </w:rPr>
        <w:t>using</w:t>
      </w:r>
      <w:r w:rsidRPr="00BF2A4F">
        <w:rPr>
          <w:lang w:val="en-GB"/>
        </w:rPr>
        <w:t xml:space="preserve"> the HST.</w:t>
      </w:r>
      <w:r w:rsidR="00740CD0" w:rsidRPr="00BF2A4F">
        <w:rPr>
          <w:lang w:val="en-GB"/>
        </w:rPr>
        <w:t xml:space="preserve"> </w:t>
      </w:r>
      <w:r w:rsidR="00005433" w:rsidRPr="00BF2A4F">
        <w:rPr>
          <w:lang w:val="en-GB"/>
        </w:rPr>
        <w:t>Similar results were obtained for oleic and linoleic acids. For example, the bubble pressure of a 0.003 molar fraction of linoleic acid at 313</w:t>
      </w:r>
      <w:r w:rsidR="004F54AC" w:rsidRPr="00BF2A4F">
        <w:rPr>
          <w:lang w:val="en-GB"/>
        </w:rPr>
        <w:t>.</w:t>
      </w:r>
      <w:r w:rsidR="00005433" w:rsidRPr="00BF2A4F">
        <w:rPr>
          <w:lang w:val="en-GB"/>
        </w:rPr>
        <w:t>2 K was 9.6 MPa in the mixture CO</w:t>
      </w:r>
      <w:r w:rsidR="00005433" w:rsidRPr="00BF2A4F">
        <w:rPr>
          <w:vertAlign w:val="subscript"/>
          <w:lang w:val="en-GB"/>
        </w:rPr>
        <w:t>2</w:t>
      </w:r>
      <w:r w:rsidR="00005433" w:rsidRPr="00BF2A4F">
        <w:rPr>
          <w:lang w:val="en-GB"/>
        </w:rPr>
        <w:t>-ethanol, 15.5 MPa in the mixture CO</w:t>
      </w:r>
      <w:r w:rsidR="00005433" w:rsidRPr="00BF2A4F">
        <w:rPr>
          <w:vertAlign w:val="subscript"/>
          <w:lang w:val="en-GB"/>
        </w:rPr>
        <w:t>2</w:t>
      </w:r>
      <w:r w:rsidR="00005433" w:rsidRPr="00BF2A4F">
        <w:rPr>
          <w:lang w:val="en-GB"/>
        </w:rPr>
        <w:t>-hexane and 22.2 MPa in pure sc-CO</w:t>
      </w:r>
      <w:r w:rsidR="00005433" w:rsidRPr="00BF2A4F">
        <w:rPr>
          <w:vertAlign w:val="subscript"/>
          <w:lang w:val="en-GB"/>
        </w:rPr>
        <w:t>2</w:t>
      </w:r>
      <w:r w:rsidR="004C5728" w:rsidRPr="00BF2A4F">
        <w:rPr>
          <w:lang w:val="en-GB"/>
        </w:rPr>
        <w:t xml:space="preserve"> </w:t>
      </w:r>
      <w:r w:rsidR="004B46DB" w:rsidRPr="00BF2A4F">
        <w:rPr>
          <w:lang w:val="en-GB"/>
        </w:rPr>
        <w:fldChar w:fldCharType="begin" w:fldLock="1"/>
      </w:r>
      <w:r w:rsidR="00801F17">
        <w:rPr>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004B46DB" w:rsidRPr="00BF2A4F">
        <w:rPr>
          <w:lang w:val="en-GB"/>
        </w:rPr>
        <w:fldChar w:fldCharType="separate"/>
      </w:r>
      <w:r w:rsidR="00D11C61" w:rsidRPr="00D11C61">
        <w:rPr>
          <w:noProof/>
          <w:lang w:val="en-GB"/>
        </w:rPr>
        <w:t xml:space="preserve">(Tirado </w:t>
      </w:r>
      <w:r w:rsidR="00D11C61" w:rsidRPr="005A4BF7">
        <w:rPr>
          <w:i/>
          <w:noProof/>
          <w:lang w:val="en-GB"/>
        </w:rPr>
        <w:t>et al</w:t>
      </w:r>
      <w:r w:rsidR="00D11C61" w:rsidRPr="00D11C61">
        <w:rPr>
          <w:noProof/>
          <w:lang w:val="en-GB"/>
        </w:rPr>
        <w:t>., 2018)</w:t>
      </w:r>
      <w:r w:rsidR="004B46DB" w:rsidRPr="00BF2A4F">
        <w:rPr>
          <w:lang w:val="en-GB"/>
        </w:rPr>
        <w:fldChar w:fldCharType="end"/>
      </w:r>
      <w:r w:rsidR="004B46DB" w:rsidRPr="00BF2A4F">
        <w:rPr>
          <w:lang w:val="en-GB"/>
        </w:rPr>
        <w:t>.</w:t>
      </w:r>
    </w:p>
    <w:p w:rsidR="00CC6D3B" w:rsidRPr="00BF2A4F" w:rsidRDefault="00581E00" w:rsidP="00B637E7">
      <w:pPr>
        <w:pStyle w:val="CETheadingx"/>
        <w:numPr>
          <w:ilvl w:val="1"/>
          <w:numId w:val="23"/>
        </w:numPr>
        <w:rPr>
          <w:lang w:val="en-GB"/>
        </w:rPr>
      </w:pPr>
      <w:r w:rsidRPr="00BF2A4F">
        <w:rPr>
          <w:lang w:val="en-GB"/>
        </w:rPr>
        <w:t xml:space="preserve">The impact of the amount of </w:t>
      </w:r>
      <w:r w:rsidR="00981D65" w:rsidRPr="00BF2A4F">
        <w:rPr>
          <w:lang w:val="en-GB"/>
        </w:rPr>
        <w:t>cosolvent</w:t>
      </w:r>
      <w:r w:rsidRPr="00BF2A4F">
        <w:rPr>
          <w:lang w:val="en-GB"/>
        </w:rPr>
        <w:t xml:space="preserve"> on the miscibility enhancement</w:t>
      </w:r>
    </w:p>
    <w:p w:rsidR="00542B8A" w:rsidRPr="00BF2A4F" w:rsidRDefault="00581E00" w:rsidP="0039113B">
      <w:pPr>
        <w:pStyle w:val="CETBodytext"/>
        <w:rPr>
          <w:lang w:val="en-GB"/>
        </w:rPr>
      </w:pPr>
      <w:r w:rsidRPr="00BF2A4F">
        <w:rPr>
          <w:lang w:val="en-GB"/>
        </w:rPr>
        <w:t>Figure 1 shows the miscibility enhancement predicted by the Hansen theory of α-linolenic with raising ethanol concentrations at increasing pressures. The percentage reduction of the R</w:t>
      </w:r>
      <w:r w:rsidRPr="00BF2A4F">
        <w:rPr>
          <w:vertAlign w:val="subscript"/>
          <w:lang w:val="en-GB"/>
        </w:rPr>
        <w:t>a</w:t>
      </w:r>
      <w:r w:rsidRPr="00BF2A4F">
        <w:rPr>
          <w:lang w:val="en-GB"/>
        </w:rPr>
        <w:t xml:space="preserve"> values of the mixture sc-CO</w:t>
      </w:r>
      <w:r w:rsidRPr="00BF2A4F">
        <w:rPr>
          <w:vertAlign w:val="subscript"/>
          <w:lang w:val="en-GB"/>
        </w:rPr>
        <w:t>2</w:t>
      </w:r>
      <w:r w:rsidRPr="00BF2A4F">
        <w:rPr>
          <w:lang w:val="en-GB"/>
        </w:rPr>
        <w:t> + et</w:t>
      </w:r>
      <w:r w:rsidRPr="00BF2A4F">
        <w:rPr>
          <w:lang w:val="en-GB"/>
        </w:rPr>
        <w:t>hanol in relation to pure sc-CO</w:t>
      </w:r>
      <w:r w:rsidRPr="00BF2A4F">
        <w:rPr>
          <w:vertAlign w:val="subscript"/>
          <w:lang w:val="en-GB"/>
        </w:rPr>
        <w:t>2</w:t>
      </w:r>
      <w:r w:rsidRPr="00BF2A4F">
        <w:rPr>
          <w:lang w:val="en-GB"/>
        </w:rPr>
        <w:t xml:space="preserve"> </w:t>
      </w:r>
      <w:r w:rsidR="00AC15FB">
        <w:rPr>
          <w:lang w:val="en-GB"/>
        </w:rPr>
        <w:t>was</w:t>
      </w:r>
      <w:r w:rsidRPr="00BF2A4F">
        <w:rPr>
          <w:lang w:val="en-GB"/>
        </w:rPr>
        <w:t xml:space="preserve"> plotted as a function of increasing volume fraction of ethanol. In </w:t>
      </w:r>
      <w:r w:rsidR="00D8059E" w:rsidRPr="00BF2A4F">
        <w:rPr>
          <w:lang w:val="en-GB"/>
        </w:rPr>
        <w:t xml:space="preserve">Figure 1, a non-linear relationship between </w:t>
      </w:r>
      <w:r w:rsidR="00DD6F2B">
        <w:rPr>
          <w:lang w:val="en-GB"/>
        </w:rPr>
        <w:t xml:space="preserve">the </w:t>
      </w:r>
      <w:r w:rsidR="00D8059E" w:rsidRPr="00BF2A4F">
        <w:rPr>
          <w:lang w:val="en-GB"/>
        </w:rPr>
        <w:t xml:space="preserve">miscibility enhancement and the </w:t>
      </w:r>
      <w:r w:rsidR="00981D65" w:rsidRPr="00BF2A4F">
        <w:rPr>
          <w:lang w:val="en-GB"/>
        </w:rPr>
        <w:t>cosolvent</w:t>
      </w:r>
      <w:r w:rsidR="00D8059E" w:rsidRPr="00BF2A4F">
        <w:rPr>
          <w:lang w:val="en-GB"/>
        </w:rPr>
        <w:t xml:space="preserve"> concentration </w:t>
      </w:r>
      <w:r w:rsidR="00AC15FB">
        <w:rPr>
          <w:lang w:val="en-GB"/>
        </w:rPr>
        <w:t xml:space="preserve">was </w:t>
      </w:r>
      <w:r w:rsidR="00D8059E" w:rsidRPr="00BF2A4F">
        <w:rPr>
          <w:lang w:val="en-GB"/>
        </w:rPr>
        <w:t>observed, mainly at the highest pressures. Thus, at ethanol concentrations in the supercritical solvent mixture higher than 25</w:t>
      </w:r>
      <w:r w:rsidR="00241058" w:rsidRPr="00BF2A4F">
        <w:rPr>
          <w:lang w:val="en-GB"/>
        </w:rPr>
        <w:t xml:space="preserve"> </w:t>
      </w:r>
      <w:r w:rsidR="00D8059E" w:rsidRPr="00BF2A4F">
        <w:rPr>
          <w:lang w:val="en-GB"/>
        </w:rPr>
        <w:t xml:space="preserve">%, the miscibility enhancement curves </w:t>
      </w:r>
      <w:r w:rsidR="00AC15FB">
        <w:rPr>
          <w:lang w:val="en-GB"/>
        </w:rPr>
        <w:t>were</w:t>
      </w:r>
      <w:r w:rsidR="00D8059E" w:rsidRPr="00BF2A4F">
        <w:rPr>
          <w:lang w:val="en-GB"/>
        </w:rPr>
        <w:t xml:space="preserve"> not linear. Above 50 MPa, the lines even curved down. Similar behaviour was previously predicted for oleic acid in the same supercritical solvent mixture; however, it happened at </w:t>
      </w:r>
      <w:r w:rsidR="001A0F5D" w:rsidRPr="00BF2A4F">
        <w:rPr>
          <w:lang w:val="en-GB"/>
        </w:rPr>
        <w:t xml:space="preserve">a </w:t>
      </w:r>
      <w:r w:rsidR="00D8059E" w:rsidRPr="00BF2A4F">
        <w:rPr>
          <w:lang w:val="en-GB"/>
        </w:rPr>
        <w:t>lower ethanol concentration of 10</w:t>
      </w:r>
      <w:r w:rsidR="001A0F5D" w:rsidRPr="00BF2A4F">
        <w:rPr>
          <w:lang w:val="en-GB"/>
        </w:rPr>
        <w:t xml:space="preserve"> </w:t>
      </w:r>
      <w:r w:rsidR="00D8059E" w:rsidRPr="00BF2A4F">
        <w:rPr>
          <w:lang w:val="en-GB"/>
        </w:rPr>
        <w:t>%</w:t>
      </w:r>
      <w:r w:rsidR="00AC4455" w:rsidRPr="00BF2A4F">
        <w:rPr>
          <w:lang w:val="en-GB"/>
        </w:rPr>
        <w:fldChar w:fldCharType="begin" w:fldLock="1"/>
      </w:r>
      <w:r w:rsidR="0090478D">
        <w:rPr>
          <w:lang w:val="en-GB"/>
        </w:rPr>
        <w:instrText>ADDIN CSL_CITATION {"citationItems":[{"id":"ITEM-1","itemData":{"DOI":"10.1016/j.ces.2018.06.017","ISSN":"00092509","abstract":"Cosolvents are employed to improve the extraction efficiency and modify the selectivity of the main solvent. However, choosing a proper cosolvent in supercritical extraction is an arduous task. This study aimed to predict the best cosolvents for the supercritical CO2 extraction of oleic and linoleic acids using the Hansen solubility theory. Calculations were performed for eight organic cosolvents used in food and pharmaceutical production. The best cosolvents for the solubilization of both fatty acids were short-chain alcohols, ethanol and methanol. The predictions were validated with bubble pressures of the mixtures with a 0.003 fatty acid molar fraction at temperatures of 313.2 K and 323.2 K. The experimental results agreed with the predictions. The effect of pressure was well predicted via the direct relationship between pressure and the solvent density. However, the impact of temperature was not properly foreseen because the variation of solute vapour pressure was not considered. The Hansen theory predicted that the miscibility enhancement of the solute in the supercritical mixture is maximum at low pressures and low cosolvent concentrations, as was experimentally confirmed.","author":[{"dropping-particle":"","family":"Tirado","given":"Diego F.","non-dropping-particle":"","parse-names":false,"suffix":""},{"dropping-particle":"","family":"Tenorio","given":"María José","non-dropping-particle":"","parse-names":false,"suffix":""},{"dropping-particle":"","family":"Cabañas","given":"Albertina","non-dropping-particle":"","parse-names":false,"suffix":""},{"dropping-particle":"","family":"Calvo","given":"Lourdes","non-dropping-particle":"","parse-names":false,"suffix":""}],"container-title":"Chemical Engineering Science","id":"ITEM-1","issued":{"date-parts":[["2018","11","23"]]},"page":"14-20","publisher":"Pergamon","title":"Prediction of the best cosolvents to solubilise fatty acids in supercritical CO&lt;sub&gt;2&lt;/sub&gt; using the Hansen solubility theory","type":"article-journal","volume":"190"},"uris":["http://www.mendeley.com/documents/?uuid=43784489-e009-325f-bc37-cfaf410769d8"]}],"mendeley":{"formattedCitation":"(Tirado et al., 2018)","plainTextFormattedCitation":"(Tirado et al., 2018)","previouslyFormattedCitation":"(Tirado et al., 2018)"},"properties":{"noteIndex":0},"schema":"https://github.com/citation-style-language/schema/raw/master/csl-citation.json"}</w:instrText>
      </w:r>
      <w:r w:rsidR="00AC4455" w:rsidRPr="00BF2A4F">
        <w:rPr>
          <w:lang w:val="en-GB"/>
        </w:rPr>
        <w:fldChar w:fldCharType="separate"/>
      </w:r>
      <w:r w:rsidR="00AC4455" w:rsidRPr="00BF2A4F">
        <w:rPr>
          <w:noProof/>
          <w:lang w:val="en-GB"/>
        </w:rPr>
        <w:t xml:space="preserve"> (Tirado </w:t>
      </w:r>
      <w:r w:rsidR="00AC4455" w:rsidRPr="005A4BF7">
        <w:rPr>
          <w:i/>
          <w:noProof/>
          <w:lang w:val="en-GB"/>
        </w:rPr>
        <w:t>et al.,</w:t>
      </w:r>
      <w:r w:rsidR="00AC4455" w:rsidRPr="00BF2A4F">
        <w:rPr>
          <w:noProof/>
          <w:lang w:val="en-GB"/>
        </w:rPr>
        <w:t xml:space="preserve"> 2018)</w:t>
      </w:r>
      <w:r w:rsidR="00AC4455" w:rsidRPr="00BF2A4F">
        <w:rPr>
          <w:lang w:val="en-GB"/>
        </w:rPr>
        <w:fldChar w:fldCharType="end"/>
      </w:r>
      <w:r w:rsidR="00AC4455" w:rsidRPr="00BF2A4F">
        <w:rPr>
          <w:lang w:val="en-GB"/>
        </w:rPr>
        <w:t xml:space="preserve">. </w:t>
      </w:r>
      <w:r w:rsidR="00D8059E" w:rsidRPr="00BF2A4F">
        <w:rPr>
          <w:lang w:val="en-GB"/>
        </w:rPr>
        <w:t xml:space="preserve">It was also experimentally detected for different systems </w:t>
      </w:r>
      <w:r w:rsidR="00D8059E" w:rsidRPr="00BF2A4F">
        <w:rPr>
          <w:lang w:val="en-GB"/>
        </w:rPr>
        <w:fldChar w:fldCharType="begin" w:fldLock="1"/>
      </w:r>
      <w:r w:rsidR="00D55AF6">
        <w:rPr>
          <w:lang w:val="en-GB"/>
        </w:rPr>
        <w:instrText>ADDIN CSL_CITATION {"citationItems":[{"id":"ITEM-1","itemData":{"DOI":"10.1002/aic.690390206","ISSN":"0001-1541","author":[{"dropping-particle":"","family":"Ekart","given":"Michael P.","non-dropping-particle":"","parse-names":false,"suffix":""},{"dropping-particle":"","family":"Bennett","given":"Karen L.","non-dropping-particle":"","parse-names":false,"suffix":""},{"dropping-particle":"","family":"Ekart","given":"Susan M.","non-dropping-particle":"","parse-names":false,"suffix":""},{"dropping-particle":"","family":"Gurdial","given":"Gurdev S.","non-dropping-particle":"","parse-names":false,"suffix":""},{"dropping-particle":"","family":"Liotta","given":"Charles L.","non-dropping-particle":"","parse-names":false,"suffix":""},{"dropping-particle":"","family":"Eckert","given":"Charles A.","non-dropping-particle":"","parse-names":false,"suffix":""}],"container-title":"AIChE Journal","id":"ITEM-1","issue":"2","issued":{"date-parts":[["1993","2"]]},"page":"235-248","title":"Cosolvent interactions in supercritical fluid solutions","type":"article-journal","volume":"39"},"uris":["http://www.mendeley.com/documents/?uuid=7f19ee33-510d-4c96-97d5-35bd8d7da39c"]},{"id":"ITEM-2","itemData":{"DOI":"10.1016/j.supflu.2005.03.002","ISSN":"08968446","abstract":"Phase behavior of solutes in supercritical fluids can be modified by the addition of small amounts of cosolvents. The addition of a cosolvent may increase solubility selectively or non-selectively. This solubility enhancement results from an increase in solvent density and/or intermolecular interactions and can be used to improve the feasibility of a process by improving solvent loading and/or selectivity. The effects of cosolvent addition on the solubility behavior of solutes and on various aspects of SCCO2 processing were assessed with special emphasis on lipids. The cosolvent effect in ternary systems of lipid components (fatty acids (palmitic, stearic and behenic acids), β-carotene, squalene, stigmasterol), cosolvent (ethanol) and SCCO2 was quantified as the ratio of solubility obtained with cosolvent addition to that without a cosolvent. The effects of operating conditions, cosolvent concentration, and cosolvent and solute properties on the cosolvent effect were identified. Cosolvent effects for these solutes were compared and implications for fractionation were noted. Solubility enhancement was observed for all lipid systems, but to different extents. Cosolvent effect for fatty acids decreased with pressure. Specific intermolecular interactions (H-bonding) between the fatty acids and ethanol contribute significantly to the cosolvent effect and can be exploited to increase selectivity of a fractionation process. Study of the use of cosolvents for any process should entail a case by case analysis, which takes into account the effect of the cosolvent not only on the solubility behavior but also on mass transfer properties, process design, quality of the extract and/or the residue, post processing steps such as compositional analysis and cost.","author":[{"dropping-particle":"","family":"Güçlü-Üstündağ","given":"Özlem","non-dropping-particle":"","parse-names":false,"suffix":""},{"dropping-particle":"","family":"Temelli","given":"Feral","non-dropping-particle":"","parse-names":false,"suffix":""}],"container-title":"The Journal of Supercritical Fluids","id":"ITEM-2","issue":"1","issued":{"date-parts":[["2005"]]},"page":"1-15","title":"Solubility behavior of ternary systems of lipids, cosolvents and supercritical carbon dioxide and processing aspects","type":"article-journal","volume":"36"},"uris":["http://www.mendeley.com/documents/?uuid=51834734-4951-338e-8cdb-884ff28a05dd"]},{"id":"ITEM-3","itemData":{"author":[{"dropping-particle":"","family":"Brunner","given":"Gerd","non-dropping-particle":"","parse-names":false,"suffix":""}],"chapter-number":"Chapter 3:","container-title":"Gas extraction: An introduction to fundamentals of supercritical fluids and the application to separation processes","id":"ITEM-3","issued":{"date-parts":[["1994"]]},"page":"97-105","publisher":"Springer","publisher-place":"Berlin","title":"The effect of a modifier or entrainer on solvent power, selectivity, and their pressure and temperature dependence","type":"chapter"},"uris":["http://www.mendeley.com/documents/?uuid=f69ff18d-d0da-4fee-bdeb-d79147ab7690"]}],"mendeley":{"formattedCitation":"(Brunner, 1994; Ekart et al., 1993; Güçlü-Üstündağ and Temelli, 2005)","plainTextFormattedCitation":"(Brunner, 1994; Ekart et al., 1993; Güçlü-Üstündağ and Temelli, 2005)","previouslyFormattedCitation":"(Brunner, 1994; Ekart et al., 1993; Güçlü-Üstündağ and Temelli, 2005)"},"properties":{"noteIndex":0},"schema":"https://github.com/citation-style-language/schema/raw/master/csl-citation.json"}</w:instrText>
      </w:r>
      <w:r w:rsidR="00D8059E" w:rsidRPr="00BF2A4F">
        <w:rPr>
          <w:lang w:val="en-GB"/>
        </w:rPr>
        <w:fldChar w:fldCharType="separate"/>
      </w:r>
      <w:r w:rsidR="00D8059E" w:rsidRPr="00BF2A4F">
        <w:rPr>
          <w:noProof/>
          <w:lang w:val="en-GB"/>
        </w:rPr>
        <w:t xml:space="preserve">(Brunner, 1994; Ekart </w:t>
      </w:r>
      <w:r w:rsidR="00D8059E" w:rsidRPr="005A4BF7">
        <w:rPr>
          <w:i/>
          <w:noProof/>
          <w:lang w:val="en-GB"/>
        </w:rPr>
        <w:t>et al.,</w:t>
      </w:r>
      <w:r w:rsidR="00D8059E" w:rsidRPr="00BF2A4F">
        <w:rPr>
          <w:noProof/>
          <w:lang w:val="en-GB"/>
        </w:rPr>
        <w:t xml:space="preserve"> 1993; Güçlü-Üstündağ and Temelli, 2005)</w:t>
      </w:r>
      <w:r w:rsidR="00D8059E" w:rsidRPr="00BF2A4F">
        <w:rPr>
          <w:lang w:val="en-GB"/>
        </w:rPr>
        <w:fldChar w:fldCharType="end"/>
      </w:r>
      <w:r w:rsidR="00D8059E" w:rsidRPr="00BF2A4F">
        <w:rPr>
          <w:lang w:val="en-GB"/>
        </w:rPr>
        <w:t xml:space="preserve">. </w:t>
      </w:r>
    </w:p>
    <w:p w:rsidR="00542B8A" w:rsidRPr="00BF2A4F" w:rsidRDefault="00581E00" w:rsidP="00AF6AC2">
      <w:pPr>
        <w:pStyle w:val="CETBodytext"/>
        <w:jc w:val="center"/>
        <w:rPr>
          <w:lang w:val="en-GB"/>
        </w:rPr>
      </w:pPr>
      <w:r w:rsidRPr="00BF2A4F">
        <w:rPr>
          <w:noProof/>
        </w:rPr>
        <w:drawing>
          <wp:inline distT="0" distB="0" distL="0" distR="0">
            <wp:extent cx="3116275" cy="2604211"/>
            <wp:effectExtent l="0" t="0" r="8255" b="5715"/>
            <wp:docPr id="22" name="Gráfico 22">
              <a:extLst xmlns:a="http://schemas.openxmlformats.org/drawingml/2006/main">
                <a:ext uri="{FF2B5EF4-FFF2-40B4-BE49-F238E27FC236}">
                  <a16:creationId xmlns:a16="http://schemas.microsoft.com/office/drawing/2014/main" id="{54862E24-DD75-4BE2-9033-22823A23F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30F3" w:rsidRPr="00BF2A4F" w:rsidRDefault="00581E00" w:rsidP="00DF30F3">
      <w:pPr>
        <w:pStyle w:val="CETBodytext"/>
        <w:rPr>
          <w:i/>
        </w:rPr>
      </w:pPr>
      <w:r w:rsidRPr="00BF2A4F">
        <w:rPr>
          <w:i/>
          <w:lang w:val="en-GB"/>
        </w:rPr>
        <w:t xml:space="preserve">Figure 1: </w:t>
      </w:r>
      <w:r w:rsidRPr="00BF2A4F">
        <w:rPr>
          <w:i/>
        </w:rPr>
        <w:t>Predicted miscibi</w:t>
      </w:r>
      <w:r w:rsidRPr="00BF2A4F">
        <w:rPr>
          <w:i/>
        </w:rPr>
        <w:t xml:space="preserve">lity enhancement of </w:t>
      </w:r>
      <w:r w:rsidR="00B22BCD" w:rsidRPr="00BF2A4F">
        <w:rPr>
          <w:i/>
          <w:lang w:val="en-GB"/>
        </w:rPr>
        <w:t xml:space="preserve">α-linolenic acid </w:t>
      </w:r>
      <w:r w:rsidRPr="00BF2A4F">
        <w:rPr>
          <w:i/>
        </w:rPr>
        <w:t>in</w:t>
      </w:r>
      <w:r w:rsidR="00B22BCD" w:rsidRPr="00BF2A4F">
        <w:rPr>
          <w:i/>
        </w:rPr>
        <w:t xml:space="preserve"> sc-</w:t>
      </w:r>
      <w:r w:rsidRPr="00BF2A4F">
        <w:rPr>
          <w:i/>
        </w:rPr>
        <w:t>CO</w:t>
      </w:r>
      <w:r w:rsidRPr="00BF2A4F">
        <w:rPr>
          <w:i/>
          <w:vertAlign w:val="subscript"/>
        </w:rPr>
        <w:t>2</w:t>
      </w:r>
      <w:r w:rsidRPr="00BF2A4F">
        <w:rPr>
          <w:i/>
        </w:rPr>
        <w:t xml:space="preserve"> + ethanol at 313.</w:t>
      </w:r>
      <w:r w:rsidR="00EB1CC0" w:rsidRPr="00BF2A4F">
        <w:rPr>
          <w:i/>
        </w:rPr>
        <w:t>15</w:t>
      </w:r>
      <w:r w:rsidRPr="00BF2A4F">
        <w:rPr>
          <w:i/>
        </w:rPr>
        <w:t xml:space="preserve"> K and 10 MPa (</w:t>
      </w:r>
      <w:r w:rsidR="00D11C61">
        <w:rPr>
          <w:rFonts w:cs="Arial"/>
          <w:i/>
          <w:noProof/>
        </w:rPr>
        <w:t>▲</w:t>
      </w:r>
      <w:r w:rsidRPr="00BF2A4F">
        <w:rPr>
          <w:i/>
        </w:rPr>
        <w:t>), 20 MPa (</w:t>
      </w:r>
      <w:r w:rsidR="00D11C61">
        <w:rPr>
          <w:rFonts w:cs="Arial"/>
          <w:i/>
        </w:rPr>
        <w:t>х</w:t>
      </w:r>
      <w:r w:rsidRPr="00BF2A4F">
        <w:rPr>
          <w:i/>
        </w:rPr>
        <w:t>), 30 MPa (</w:t>
      </w:r>
      <w:r w:rsidR="00D11C61">
        <w:rPr>
          <w:rFonts w:cs="Arial"/>
          <w:i/>
        </w:rPr>
        <w:t>■</w:t>
      </w:r>
      <w:r w:rsidRPr="00BF2A4F">
        <w:rPr>
          <w:i/>
        </w:rPr>
        <w:t>), 40 MPa (</w:t>
      </w:r>
      <w:r w:rsidR="00D11C61">
        <w:rPr>
          <w:rFonts w:cs="Arial"/>
          <w:i/>
          <w:noProof/>
        </w:rPr>
        <w:t>●</w:t>
      </w:r>
      <w:r w:rsidRPr="00BF2A4F">
        <w:rPr>
          <w:i/>
        </w:rPr>
        <w:t>), 50 MPa (</w:t>
      </w:r>
      <w:r w:rsidR="00D11C61">
        <w:rPr>
          <w:rFonts w:cs="Arial"/>
          <w:i/>
          <w:noProof/>
        </w:rPr>
        <w:t>Δ</w:t>
      </w:r>
      <w:r w:rsidRPr="00BF2A4F">
        <w:rPr>
          <w:i/>
        </w:rPr>
        <w:t>) and 60 MPa (</w:t>
      </w:r>
      <w:r w:rsidR="00D11C61">
        <w:rPr>
          <w:rFonts w:cs="Arial"/>
          <w:i/>
          <w:noProof/>
        </w:rPr>
        <w:t>◊</w:t>
      </w:r>
      <w:r w:rsidRPr="00BF2A4F">
        <w:rPr>
          <w:i/>
        </w:rPr>
        <w:t>) by the Hansen theory</w:t>
      </w:r>
      <w:r w:rsidR="00C030DC">
        <w:rPr>
          <w:i/>
        </w:rPr>
        <w:t>.</w:t>
      </w:r>
    </w:p>
    <w:p w:rsidR="00AC4455" w:rsidRPr="00BF2A4F" w:rsidRDefault="00581E00" w:rsidP="00D8059E">
      <w:pPr>
        <w:pStyle w:val="CETBodytext"/>
        <w:rPr>
          <w:lang w:val="en-GB"/>
        </w:rPr>
      </w:pPr>
      <w:r w:rsidRPr="00BF2A4F">
        <w:rPr>
          <w:lang w:val="en-GB"/>
        </w:rPr>
        <w:lastRenderedPageBreak/>
        <w:t xml:space="preserve">Theoretically, this behaviour </w:t>
      </w:r>
      <w:r w:rsidR="00EB3CFE">
        <w:rPr>
          <w:lang w:val="en-GB"/>
        </w:rPr>
        <w:t>was</w:t>
      </w:r>
      <w:r w:rsidRPr="00BF2A4F">
        <w:rPr>
          <w:lang w:val="en-GB"/>
        </w:rPr>
        <w:t xml:space="preserve"> explained due to the reduction of the molar volume of the solvent mixture with the increase of pressure and the </w:t>
      </w:r>
      <w:r w:rsidR="00981D65" w:rsidRPr="00BF2A4F">
        <w:rPr>
          <w:lang w:val="en-GB"/>
        </w:rPr>
        <w:t>cosolvent</w:t>
      </w:r>
      <w:r w:rsidRPr="00BF2A4F">
        <w:rPr>
          <w:lang w:val="en-GB"/>
        </w:rPr>
        <w:t xml:space="preserve"> fraction. Besides, </w:t>
      </w:r>
      <w:r w:rsidRPr="00BF2A4F">
        <w:rPr>
          <w:lang w:val="en-GB"/>
        </w:rPr>
        <w:fldChar w:fldCharType="begin" w:fldLock="1"/>
      </w:r>
      <w:r w:rsidRPr="00BF2A4F">
        <w:rPr>
          <w:lang w:val="en-GB"/>
        </w:rPr>
        <w:instrText>ADDIN CSL_CITATION {"citationItems":[{"id":"ITEM-1","itemData":{"DOI":"10.1016/j.supflu.2005.03.002","ISSN":"08968</w:instrText>
      </w:r>
      <w:r w:rsidRPr="00BF2A4F">
        <w:rPr>
          <w:lang w:val="en-GB"/>
        </w:rPr>
        <w:instrText xml:space="preserve">446","abstract":"Phase behavior of solutes in supercritical fluids can be modified by the addition of small amounts of cosolvents. The addition of a cosolvent may increase solubility selectively or non-selectively. This solubility enhancement results from </w:instrText>
      </w:r>
      <w:r w:rsidRPr="00BF2A4F">
        <w:rPr>
          <w:lang w:val="en-GB"/>
        </w:rPr>
        <w:instrText>an increase in solvent density and/or intermolecular interactions and can be used to improve the feasibility of a process by improving solvent loading and/or selectivity. The effects of cosolvent addition on the solubility behavior of solutes and on variou</w:instrText>
      </w:r>
      <w:r w:rsidRPr="00BF2A4F">
        <w:rPr>
          <w:lang w:val="en-GB"/>
        </w:rPr>
        <w:instrText xml:space="preserve">s aspects of SCCO2 processing were assessed with special emphasis on lipids. The cosolvent effect in ternary systems of lipid components (fatty acids (palmitic, stearic and behenic acids), β-carotene, squalene, stigmasterol), cosolvent (ethanol) and SCCO2 </w:instrText>
      </w:r>
      <w:r w:rsidRPr="00BF2A4F">
        <w:rPr>
          <w:lang w:val="en-GB"/>
        </w:rPr>
        <w:instrText>was quantified as the ratio of solubility obtained with cosolvent addition to that without a cosolvent. The effects of operating conditions, cosolvent concentration, and cosolvent and solute properties on the cosolvent effect were identified. Cosolvent eff</w:instrText>
      </w:r>
      <w:r w:rsidRPr="00BF2A4F">
        <w:rPr>
          <w:lang w:val="en-GB"/>
        </w:rPr>
        <w:instrText>ects for these solutes were compared and implications for fractionation were noted. Solubility enhancement was observed for all lipid systems, but to different extents. Cosolvent effect for fatty acids decreased with pressure. Specific intermolecular inter</w:instrText>
      </w:r>
      <w:r w:rsidRPr="00BF2A4F">
        <w:rPr>
          <w:lang w:val="en-GB"/>
        </w:rPr>
        <w:instrText>actions (H-bonding) between the fatty acids and ethanol contribute significantly to the cosolvent effect and can be exploited to increase selectivity of a fractionation process. Study of the use of cosolvents for any process should entail a case by case an</w:instrText>
      </w:r>
      <w:r w:rsidRPr="00BF2A4F">
        <w:rPr>
          <w:lang w:val="en-GB"/>
        </w:rPr>
        <w:instrText>alysis, which takes into account the effect of the cosolvent not only on the solubility behavior but also on mass transfer properties, process design, quality of the extract and/or the residue, post processing steps such as compositional analysis and cost.</w:instrText>
      </w:r>
      <w:r w:rsidRPr="00BF2A4F">
        <w:rPr>
          <w:lang w:val="en-GB"/>
        </w:rPr>
        <w:instrText>","author":[{"dropping-particle":"","family":"Güçlü-Üstündağ","given":"Özlem","non-dropping-particle":"","parse-names":false,"suffix":""},{"dropping-particle":"","family":"Temelli","given":"Feral","non-dropping-particle":"","parse-names":false,"suffix":""}</w:instrText>
      </w:r>
      <w:r w:rsidRPr="00BF2A4F">
        <w:rPr>
          <w:lang w:val="en-GB"/>
        </w:rPr>
        <w:instrText>],"container-title":"The Journal of Supercritical Fluids","id":"ITEM-1","issue":"1","issued":{"date-parts":[["2005"]]},"page":"1-15","title":"Solubility behavior of ternary systems of lipids, cosolvents and supercritical carbon dioxide and processing aspec</w:instrText>
      </w:r>
      <w:r w:rsidRPr="00BF2A4F">
        <w:rPr>
          <w:lang w:val="en-GB"/>
        </w:rPr>
        <w:instrText>ts","type":"article-journal","volume":"36"},"uris":["http://www.mendeley.com/documents/?uuid=51834734-4951-338e-8cdb-884ff28a05dd"]}],"mendeley":{"formattedCitation":"(Güçlü-Üstündağ and Temelli, 2005)","manualFormatting":"Güçlü-Üstündağ and Temelli (2005)</w:instrText>
      </w:r>
      <w:r w:rsidRPr="00BF2A4F">
        <w:rPr>
          <w:lang w:val="en-GB"/>
        </w:rPr>
        <w:instrText>","plainTextFormattedCitation":"(Güçlü-Üstündağ and Temelli, 2005)","previouslyFormattedCitation":"(Güçlü-Üstündağ and Temelli, 2005)"},"properties":{"noteIndex":0},"schema":"https://github.com/citation-style-language/schema/raw/master/csl-citation.json"}</w:instrText>
      </w:r>
      <w:r w:rsidRPr="00BF2A4F">
        <w:rPr>
          <w:lang w:val="en-GB"/>
        </w:rPr>
        <w:fldChar w:fldCharType="separate"/>
      </w:r>
      <w:r w:rsidRPr="00BF2A4F">
        <w:rPr>
          <w:noProof/>
          <w:lang w:val="en-GB"/>
        </w:rPr>
        <w:t>G</w:t>
      </w:r>
      <w:r w:rsidRPr="00BF2A4F">
        <w:rPr>
          <w:noProof/>
          <w:lang w:val="en-GB"/>
        </w:rPr>
        <w:t>üçlü-Üstündağ and Temelli (2005)</w:t>
      </w:r>
      <w:r w:rsidRPr="00BF2A4F">
        <w:rPr>
          <w:lang w:val="en-GB"/>
        </w:rPr>
        <w:fldChar w:fldCharType="end"/>
      </w:r>
      <w:r w:rsidRPr="00BF2A4F">
        <w:rPr>
          <w:lang w:val="en-GB"/>
        </w:rPr>
        <w:t xml:space="preserve"> related this conduct to the self-association of the </w:t>
      </w:r>
      <w:r w:rsidR="00981D65" w:rsidRPr="00BF2A4F">
        <w:rPr>
          <w:lang w:val="en-GB"/>
        </w:rPr>
        <w:t>cosolvent</w:t>
      </w:r>
      <w:r w:rsidRPr="00BF2A4F">
        <w:rPr>
          <w:lang w:val="en-GB"/>
        </w:rPr>
        <w:t xml:space="preserve">. Although these cannot be the only explanations, given that for the same </w:t>
      </w:r>
      <w:r w:rsidR="00981D65" w:rsidRPr="00BF2A4F">
        <w:rPr>
          <w:lang w:val="en-GB"/>
        </w:rPr>
        <w:t>cosolvent</w:t>
      </w:r>
      <w:r w:rsidRPr="00BF2A4F">
        <w:rPr>
          <w:lang w:val="en-GB"/>
        </w:rPr>
        <w:t xml:space="preserve">, the reduction in the miscibility enhancement does not always occur at the </w:t>
      </w:r>
      <w:r w:rsidRPr="00BF2A4F">
        <w:rPr>
          <w:lang w:val="en-GB"/>
        </w:rPr>
        <w:t>same pressure and concentration. It must also be related to the target solute. Based on the predictions we have made with Hansen's theory, the lower the miscibility of the compound of interest in sc-CO</w:t>
      </w:r>
      <w:r w:rsidRPr="00BF2A4F">
        <w:rPr>
          <w:vertAlign w:val="subscript"/>
          <w:lang w:val="en-GB"/>
        </w:rPr>
        <w:t>2</w:t>
      </w:r>
      <w:r w:rsidRPr="00BF2A4F">
        <w:rPr>
          <w:lang w:val="en-GB"/>
        </w:rPr>
        <w:t xml:space="preserve"> alone, the higher the concentration of </w:t>
      </w:r>
      <w:r w:rsidR="00981D65" w:rsidRPr="00BF2A4F">
        <w:rPr>
          <w:lang w:val="en-GB"/>
        </w:rPr>
        <w:t>cosolvent</w:t>
      </w:r>
      <w:r w:rsidRPr="00BF2A4F">
        <w:rPr>
          <w:lang w:val="en-GB"/>
        </w:rPr>
        <w:t xml:space="preserve"> and </w:t>
      </w:r>
      <w:r w:rsidRPr="00BF2A4F">
        <w:rPr>
          <w:lang w:val="en-GB"/>
        </w:rPr>
        <w:t>the pressure needed to observe the bending phenomenon of the miscibility enhancement curves.</w:t>
      </w:r>
    </w:p>
    <w:p w:rsidR="00600535" w:rsidRPr="00BF2A4F" w:rsidRDefault="00581E00" w:rsidP="00AC4455">
      <w:pPr>
        <w:pStyle w:val="CETHeading1"/>
        <w:numPr>
          <w:ilvl w:val="1"/>
          <w:numId w:val="22"/>
        </w:numPr>
        <w:rPr>
          <w:lang w:val="en-GB"/>
        </w:rPr>
      </w:pPr>
      <w:r w:rsidRPr="00BF2A4F">
        <w:rPr>
          <w:lang w:val="en-GB"/>
        </w:rPr>
        <w:t>Conclusions</w:t>
      </w:r>
    </w:p>
    <w:p w:rsidR="004830C7" w:rsidRPr="00BF2A4F" w:rsidRDefault="00581E00" w:rsidP="004830C7">
      <w:pPr>
        <w:pStyle w:val="CETAcknowledgementstitle"/>
        <w:jc w:val="both"/>
        <w:rPr>
          <w:b w:val="0"/>
        </w:rPr>
      </w:pPr>
      <w:r w:rsidRPr="00BF2A4F">
        <w:rPr>
          <w:b w:val="0"/>
        </w:rPr>
        <w:t xml:space="preserve">In this study, the Hansen solubility theory was validated </w:t>
      </w:r>
      <w:r w:rsidR="004F54AC" w:rsidRPr="00BF2A4F">
        <w:rPr>
          <w:b w:val="0"/>
        </w:rPr>
        <w:t>to choose</w:t>
      </w:r>
      <w:r w:rsidRPr="00BF2A4F">
        <w:rPr>
          <w:b w:val="0"/>
        </w:rPr>
        <w:t xml:space="preserve"> the best supercritical solvent mixture to reach the selective extraction of oleic, </w:t>
      </w:r>
      <w:r w:rsidRPr="00BF2A4F">
        <w:rPr>
          <w:b w:val="0"/>
        </w:rPr>
        <w:t>linoleic and α-linolenic acid</w:t>
      </w:r>
      <w:r w:rsidR="00981D65" w:rsidRPr="00BF2A4F">
        <w:rPr>
          <w:b w:val="0"/>
        </w:rPr>
        <w:t>s</w:t>
      </w:r>
      <w:r w:rsidRPr="00BF2A4F">
        <w:rPr>
          <w:b w:val="0"/>
        </w:rPr>
        <w:t xml:space="preserve">. According to this theory, the best </w:t>
      </w:r>
      <w:r w:rsidR="00981D65" w:rsidRPr="00BF2A4F">
        <w:rPr>
          <w:b w:val="0"/>
        </w:rPr>
        <w:t>cosolvent</w:t>
      </w:r>
      <w:r w:rsidRPr="00BF2A4F">
        <w:rPr>
          <w:b w:val="0"/>
        </w:rPr>
        <w:t xml:space="preserve"> for</w:t>
      </w:r>
      <w:r w:rsidR="0016423A">
        <w:rPr>
          <w:b w:val="0"/>
        </w:rPr>
        <w:t xml:space="preserve"> supercritical carbon dioxide (</w:t>
      </w:r>
      <w:r w:rsidRPr="00BF2A4F">
        <w:rPr>
          <w:b w:val="0"/>
        </w:rPr>
        <w:t>sc-CO</w:t>
      </w:r>
      <w:r w:rsidRPr="00BF2A4F">
        <w:rPr>
          <w:b w:val="0"/>
          <w:vertAlign w:val="subscript"/>
        </w:rPr>
        <w:t>2</w:t>
      </w:r>
      <w:r w:rsidR="0016423A">
        <w:rPr>
          <w:b w:val="0"/>
        </w:rPr>
        <w:t xml:space="preserve">) </w:t>
      </w:r>
      <w:r w:rsidRPr="00BF2A4F">
        <w:rPr>
          <w:b w:val="0"/>
        </w:rPr>
        <w:t xml:space="preserve">in the extraction of the three fatty acids from </w:t>
      </w:r>
      <w:r w:rsidRPr="00BF2A4F">
        <w:rPr>
          <w:b w:val="0"/>
          <w:i/>
        </w:rPr>
        <w:t>Tetraselmis suecica</w:t>
      </w:r>
      <w:r w:rsidRPr="00BF2A4F">
        <w:rPr>
          <w:b w:val="0"/>
        </w:rPr>
        <w:t xml:space="preserve"> was ethanol, as it was experimentally corroborated</w:t>
      </w:r>
      <w:r w:rsidRPr="00161A17">
        <w:rPr>
          <w:b w:val="0"/>
        </w:rPr>
        <w:t>. Consequently</w:t>
      </w:r>
      <w:r w:rsidRPr="00BF2A4F">
        <w:rPr>
          <w:b w:val="0"/>
        </w:rPr>
        <w:t>, the</w:t>
      </w:r>
      <w:r w:rsidRPr="00BF2A4F">
        <w:rPr>
          <w:b w:val="0"/>
        </w:rPr>
        <w:t xml:space="preserve"> Hansen solubility parameters could be a suitable tool to at least reduce the number of experiments for the selection of the best </w:t>
      </w:r>
      <w:r w:rsidR="00981D65" w:rsidRPr="00BF2A4F">
        <w:rPr>
          <w:b w:val="0"/>
        </w:rPr>
        <w:t>cosolvent</w:t>
      </w:r>
      <w:r w:rsidRPr="00BF2A4F">
        <w:rPr>
          <w:b w:val="0"/>
        </w:rPr>
        <w:t xml:space="preserve"> for sc-CO</w:t>
      </w:r>
      <w:r w:rsidRPr="00BF2A4F">
        <w:rPr>
          <w:b w:val="0"/>
          <w:vertAlign w:val="subscript"/>
        </w:rPr>
        <w:t>2</w:t>
      </w:r>
      <w:r w:rsidRPr="00BF2A4F">
        <w:rPr>
          <w:b w:val="0"/>
        </w:rPr>
        <w:t xml:space="preserve"> in the extraction of a target compound from a natural complex matrix. </w:t>
      </w:r>
    </w:p>
    <w:p w:rsidR="00600535" w:rsidRPr="00BF2A4F" w:rsidRDefault="00581E00" w:rsidP="00600535">
      <w:pPr>
        <w:pStyle w:val="CETAcknowledgementstitle"/>
      </w:pPr>
      <w:r w:rsidRPr="00BF2A4F">
        <w:t>Acknowledgements</w:t>
      </w:r>
    </w:p>
    <w:p w:rsidR="00600535" w:rsidRPr="00BF2A4F" w:rsidRDefault="00581E00" w:rsidP="00600535">
      <w:pPr>
        <w:pStyle w:val="CETBodytext"/>
        <w:rPr>
          <w:lang w:val="en-GB"/>
        </w:rPr>
      </w:pPr>
      <w:r w:rsidRPr="00BF2A4F">
        <w:rPr>
          <w:lang w:val="en-GB"/>
        </w:rPr>
        <w:t>Diego F. Tirado thanks the "Bolívar Gana con Ciencia" program from the Department of Bol</w:t>
      </w:r>
      <w:r w:rsidR="00BA455F" w:rsidRPr="00BF2A4F">
        <w:rPr>
          <w:lang w:val="en-GB"/>
        </w:rPr>
        <w:t>ívar (Colombia) for a PhD grant.</w:t>
      </w:r>
    </w:p>
    <w:p w:rsidR="00600535" w:rsidRPr="00BF2A4F" w:rsidRDefault="00581E00" w:rsidP="00600535">
      <w:pPr>
        <w:pStyle w:val="CETReference"/>
      </w:pPr>
      <w:r w:rsidRPr="00BF2A4F">
        <w:t>References</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Pr="00B335D7">
        <w:rPr>
          <w:rFonts w:cs="Arial"/>
          <w:noProof/>
          <w:szCs w:val="24"/>
        </w:rPr>
        <w:t>AOAC, 1995. Fatty acid in oils and fats preparation of methyl ester boron trifl</w:t>
      </w:r>
      <w:r w:rsidRPr="00B335D7">
        <w:rPr>
          <w:rFonts w:cs="Arial"/>
          <w:noProof/>
          <w:szCs w:val="24"/>
        </w:rPr>
        <w:t>uoride method, in: Official Methods of Analysis of AOAC International. AOAC International Press, Virginia, pp. 17–22.</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Brunner, G., 1994. The effect of a modifier or entrainer on solvent power, selectivity, and their pressure and temperature dependence, in:</w:t>
      </w:r>
      <w:r w:rsidRPr="00B335D7">
        <w:rPr>
          <w:rFonts w:cs="Arial"/>
          <w:noProof/>
          <w:szCs w:val="24"/>
        </w:rPr>
        <w:t xml:space="preserve"> Gas Extraction: An Introduction to Fundamentals of Supercritical Fluids and the Application to Separation Processes. Springer, Berlin, pp. 97–105.</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Calder, P.C., 2015. Functional roles of fatty acids and their effects on human health. J. Parenter. Enter. N</w:t>
      </w:r>
      <w:r w:rsidRPr="00B335D7">
        <w:rPr>
          <w:rFonts w:cs="Arial"/>
          <w:noProof/>
          <w:szCs w:val="24"/>
        </w:rPr>
        <w:t>utr. 39, 18S–32S.</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Ekart, M.P., Bennett, K.L., Ekart, S.M., Gurdial, G.S., Liotta, C.L., Eckert, C.A., 1993. Cosolvent interactions in supercritical fluid solutions. AIChE J. 39, 235–248.</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European Parliament and Council of the European Union, 2009. Directive 2009/32/EC of the European Parliament and of the Council of 23 April 2009 on the approximation of the laws of the Member States on extraction solvents used in the production o</w:t>
      </w:r>
      <w:r w:rsidRPr="00B335D7">
        <w:rPr>
          <w:rFonts w:cs="Arial"/>
          <w:noProof/>
          <w:szCs w:val="24"/>
        </w:rPr>
        <w:t>f foodstuffs and food ingredients (Recast). France.</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Güçlü-Üstündağ, Ö., Temelli, F., 2005. Solubility behavior of ternary systems of lipids, cosolvents and supercritical carbon dioxide and processing aspects. J. Supercrit. Fluids 36, 1–15.</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Hansen, C.M., 2007. Hansen Solubility Parameters: A User’s Handbook, Second. ed. CRC Press, Boca Raton FL, United States.</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Hansen, C.M., 1967. The three dimensional solubility parameter and solvent diffusion coefficient. Technic</w:t>
      </w:r>
      <w:r w:rsidRPr="00B335D7">
        <w:rPr>
          <w:rFonts w:cs="Arial"/>
          <w:noProof/>
          <w:szCs w:val="24"/>
        </w:rPr>
        <w:t>al University of Denmark.</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Jayasri, A., Yaseen, M., 1980. Nomograms for solubility parameter. J. Coatings Technol. 52, 41–45.</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Joback, K.G., Reid, R.C., 1987. Estimation of pure-component properties from group-contributions. Chem. Eng. Commun. 57, 233–243.</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Martínez, J., Aguiar, A., 2013. Extraction of triacylglycerols and fatty acids using supercritical fluids - Review. Curr. Anal. Chem. 10, 67–77.</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Mendes, R.L., Coelho, J.P</w:t>
      </w:r>
      <w:r w:rsidRPr="00B335D7">
        <w:rPr>
          <w:rFonts w:cs="Arial"/>
          <w:noProof/>
          <w:szCs w:val="24"/>
        </w:rPr>
        <w:t>., Fernandes, H.L., Marrucho, I.J., Cabral, J.M.S., Novais, J.M., Palavra, A.F., 1995. Applications of supercritical CO</w:t>
      </w:r>
      <w:r w:rsidRPr="00B335D7">
        <w:rPr>
          <w:rFonts w:cs="Arial"/>
          <w:noProof/>
          <w:szCs w:val="24"/>
          <w:vertAlign w:val="subscript"/>
        </w:rPr>
        <w:t>2</w:t>
      </w:r>
      <w:r w:rsidRPr="00B335D7">
        <w:rPr>
          <w:rFonts w:cs="Arial"/>
          <w:noProof/>
          <w:szCs w:val="24"/>
        </w:rPr>
        <w:t xml:space="preserve"> extraction to microalgae and plants. J. Chem. Technol. Biotechnol. 62, 53–59. </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FF056A">
        <w:rPr>
          <w:rFonts w:cs="Arial"/>
          <w:noProof/>
          <w:szCs w:val="24"/>
          <w:lang w:val="es-CO"/>
        </w:rPr>
        <w:t>Pérez-López, P., G</w:t>
      </w:r>
      <w:r w:rsidRPr="00FF056A">
        <w:rPr>
          <w:rFonts w:cs="Arial"/>
          <w:noProof/>
          <w:szCs w:val="24"/>
          <w:lang w:val="es-CO"/>
        </w:rPr>
        <w:t xml:space="preserve">onzález-García, S., Ulloa, R.G., Sineiro, J., Feijoo, G., Moreira, M.T., 2014. </w:t>
      </w:r>
      <w:r w:rsidRPr="00B335D7">
        <w:rPr>
          <w:rFonts w:cs="Arial"/>
          <w:noProof/>
          <w:szCs w:val="24"/>
        </w:rPr>
        <w:t xml:space="preserve">Life cycle assessment of the production of bioactive compounds from </w:t>
      </w:r>
      <w:r w:rsidRPr="00581E00">
        <w:rPr>
          <w:rFonts w:cs="Arial"/>
          <w:i/>
          <w:noProof/>
          <w:szCs w:val="24"/>
        </w:rPr>
        <w:t>Tetrase</w:t>
      </w:r>
      <w:bookmarkStart w:id="10" w:name="_GoBack"/>
      <w:bookmarkEnd w:id="10"/>
      <w:r w:rsidRPr="00581E00">
        <w:rPr>
          <w:rFonts w:cs="Arial"/>
          <w:i/>
          <w:noProof/>
          <w:szCs w:val="24"/>
        </w:rPr>
        <w:t>lmis suecica</w:t>
      </w:r>
      <w:r w:rsidRPr="00B335D7">
        <w:rPr>
          <w:rFonts w:cs="Arial"/>
          <w:noProof/>
          <w:szCs w:val="24"/>
        </w:rPr>
        <w:t xml:space="preserve"> at pilot scale. J. Clean. Prod. 64, 323–331. </w:t>
      </w:r>
    </w:p>
    <w:p w:rsidR="00B335D7" w:rsidRPr="00F61F66" w:rsidRDefault="00581E00" w:rsidP="00B335D7">
      <w:pPr>
        <w:widowControl w:val="0"/>
        <w:autoSpaceDE w:val="0"/>
        <w:autoSpaceDN w:val="0"/>
        <w:adjustRightInd w:val="0"/>
        <w:spacing w:line="240" w:lineRule="auto"/>
        <w:ind w:left="480" w:hanging="480"/>
        <w:rPr>
          <w:rFonts w:cs="Arial"/>
          <w:noProof/>
          <w:szCs w:val="24"/>
          <w:lang w:val="es-CO"/>
        </w:rPr>
      </w:pPr>
      <w:r w:rsidRPr="00FF056A">
        <w:rPr>
          <w:rFonts w:cs="Arial"/>
          <w:noProof/>
          <w:szCs w:val="24"/>
          <w:lang w:val="es-CO"/>
        </w:rPr>
        <w:t xml:space="preserve">Tirado, D.F., Calvo, L., 2019. </w:t>
      </w:r>
      <w:r w:rsidRPr="00B335D7">
        <w:rPr>
          <w:rFonts w:cs="Arial"/>
          <w:noProof/>
          <w:szCs w:val="24"/>
        </w:rPr>
        <w:t>The Hansen theory to choose the best cosolvent for supercritical CO</w:t>
      </w:r>
      <w:r w:rsidRPr="00B335D7">
        <w:rPr>
          <w:rFonts w:cs="Arial"/>
          <w:noProof/>
          <w:szCs w:val="24"/>
          <w:vertAlign w:val="subscript"/>
        </w:rPr>
        <w:t>2</w:t>
      </w:r>
      <w:r w:rsidRPr="00B335D7">
        <w:rPr>
          <w:rFonts w:cs="Arial"/>
          <w:noProof/>
          <w:szCs w:val="24"/>
        </w:rPr>
        <w:t xml:space="preserve"> extraction of β-carotene from </w:t>
      </w:r>
      <w:r w:rsidRPr="00B335D7">
        <w:rPr>
          <w:rFonts w:cs="Arial"/>
          <w:i/>
          <w:iCs/>
          <w:noProof/>
          <w:szCs w:val="24"/>
        </w:rPr>
        <w:t>Dunaliella salina</w:t>
      </w:r>
      <w:r w:rsidRPr="00B335D7">
        <w:rPr>
          <w:rFonts w:cs="Arial"/>
          <w:noProof/>
          <w:szCs w:val="24"/>
        </w:rPr>
        <w:t xml:space="preserve">. </w:t>
      </w:r>
      <w:r w:rsidRPr="00F61F66">
        <w:rPr>
          <w:rFonts w:cs="Arial"/>
          <w:noProof/>
          <w:szCs w:val="24"/>
          <w:lang w:val="es-CO"/>
        </w:rPr>
        <w:t xml:space="preserve">J. Supercrit. Fluids 145, 211–218. </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F61F66">
        <w:rPr>
          <w:rFonts w:cs="Arial"/>
          <w:noProof/>
          <w:szCs w:val="24"/>
          <w:lang w:val="es-CO"/>
        </w:rPr>
        <w:t>Tirado, D.F., Tenorio, M.</w:t>
      </w:r>
      <w:r w:rsidRPr="00F61F66">
        <w:rPr>
          <w:rFonts w:cs="Arial"/>
          <w:noProof/>
          <w:szCs w:val="24"/>
          <w:lang w:val="es-CO"/>
        </w:rPr>
        <w:t xml:space="preserve">J., Cabañas, A., Calvo, L., 2018. </w:t>
      </w:r>
      <w:r w:rsidRPr="00B335D7">
        <w:rPr>
          <w:rFonts w:cs="Arial"/>
          <w:noProof/>
          <w:szCs w:val="24"/>
        </w:rPr>
        <w:t>Prediction of the best cosolvents to solubilise fatty acids in supercritical CO</w:t>
      </w:r>
      <w:r w:rsidRPr="00B335D7">
        <w:rPr>
          <w:rFonts w:cs="Arial"/>
          <w:noProof/>
          <w:szCs w:val="24"/>
          <w:vertAlign w:val="subscript"/>
        </w:rPr>
        <w:t>2</w:t>
      </w:r>
      <w:r w:rsidRPr="00B335D7">
        <w:rPr>
          <w:rFonts w:cs="Arial"/>
          <w:noProof/>
          <w:szCs w:val="24"/>
        </w:rPr>
        <w:t xml:space="preserve"> using the Hansen solubility theory. Chem. Eng. Sci. 190, 14–20.</w:t>
      </w:r>
    </w:p>
    <w:p w:rsidR="00B335D7" w:rsidRPr="00B335D7" w:rsidRDefault="00581E00" w:rsidP="00B335D7">
      <w:pPr>
        <w:widowControl w:val="0"/>
        <w:autoSpaceDE w:val="0"/>
        <w:autoSpaceDN w:val="0"/>
        <w:adjustRightInd w:val="0"/>
        <w:spacing w:line="240" w:lineRule="auto"/>
        <w:ind w:left="480" w:hanging="480"/>
        <w:rPr>
          <w:rFonts w:cs="Arial"/>
          <w:noProof/>
          <w:szCs w:val="24"/>
        </w:rPr>
      </w:pPr>
      <w:r w:rsidRPr="00B335D7">
        <w:rPr>
          <w:rFonts w:cs="Arial"/>
          <w:noProof/>
          <w:szCs w:val="24"/>
        </w:rPr>
        <w:t>Viso, A.-C., Marty, J.-C., 1993. Fa</w:t>
      </w:r>
      <w:r w:rsidRPr="00B335D7">
        <w:rPr>
          <w:rFonts w:cs="Arial"/>
          <w:noProof/>
          <w:szCs w:val="24"/>
        </w:rPr>
        <w:t xml:space="preserve">tty acids from 28 marine microalgae. Phytochemistry 34, 1521–1533. </w:t>
      </w:r>
    </w:p>
    <w:p w:rsidR="00B335D7" w:rsidRPr="00B335D7" w:rsidRDefault="00581E00" w:rsidP="00B335D7">
      <w:pPr>
        <w:widowControl w:val="0"/>
        <w:autoSpaceDE w:val="0"/>
        <w:autoSpaceDN w:val="0"/>
        <w:adjustRightInd w:val="0"/>
        <w:spacing w:line="240" w:lineRule="auto"/>
        <w:ind w:left="480" w:hanging="480"/>
        <w:rPr>
          <w:rFonts w:cs="Arial"/>
          <w:noProof/>
        </w:rPr>
      </w:pPr>
      <w:r w:rsidRPr="00B335D7">
        <w:rPr>
          <w:rFonts w:cs="Arial"/>
          <w:noProof/>
          <w:szCs w:val="24"/>
        </w:rPr>
        <w:t>Walsh, J.M., Ikonomou, G.D., Donohue, M.D., 1987. Supercritical phase behavior: The entrainer effect. Fluid Phase Equilib. 33, 295–314.</w:t>
      </w:r>
    </w:p>
    <w:p w:rsidR="00CC16C4" w:rsidRPr="00BF2A4F" w:rsidRDefault="00581E00" w:rsidP="00EB47A9">
      <w:pPr>
        <w:widowControl w:val="0"/>
        <w:autoSpaceDE w:val="0"/>
        <w:autoSpaceDN w:val="0"/>
        <w:adjustRightInd w:val="0"/>
        <w:spacing w:line="240" w:lineRule="auto"/>
        <w:ind w:left="480" w:hanging="480"/>
      </w:pPr>
      <w:r>
        <w:fldChar w:fldCharType="end"/>
      </w:r>
    </w:p>
    <w:sectPr w:rsidR="00CC16C4" w:rsidRPr="00BF2A4F" w:rsidSect="0077098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4FC4184"/>
    <w:multiLevelType w:val="hybridMultilevel"/>
    <w:tmpl w:val="9578CB32"/>
    <w:lvl w:ilvl="0" w:tplc="1982E33A">
      <w:start w:val="1"/>
      <w:numFmt w:val="decimal"/>
      <w:lvlText w:val="%1."/>
      <w:lvlJc w:val="left"/>
      <w:pPr>
        <w:ind w:left="720" w:hanging="360"/>
      </w:pPr>
      <w:rPr>
        <w:rFonts w:hint="default"/>
      </w:rPr>
    </w:lvl>
    <w:lvl w:ilvl="1" w:tplc="D3249A64" w:tentative="1">
      <w:start w:val="1"/>
      <w:numFmt w:val="lowerLetter"/>
      <w:lvlText w:val="%2."/>
      <w:lvlJc w:val="left"/>
      <w:pPr>
        <w:ind w:left="1440" w:hanging="360"/>
      </w:pPr>
    </w:lvl>
    <w:lvl w:ilvl="2" w:tplc="600660B4" w:tentative="1">
      <w:start w:val="1"/>
      <w:numFmt w:val="lowerRoman"/>
      <w:lvlText w:val="%3."/>
      <w:lvlJc w:val="right"/>
      <w:pPr>
        <w:ind w:left="2160" w:hanging="180"/>
      </w:pPr>
    </w:lvl>
    <w:lvl w:ilvl="3" w:tplc="76041618" w:tentative="1">
      <w:start w:val="1"/>
      <w:numFmt w:val="decimal"/>
      <w:lvlText w:val="%4."/>
      <w:lvlJc w:val="left"/>
      <w:pPr>
        <w:ind w:left="2880" w:hanging="360"/>
      </w:pPr>
    </w:lvl>
    <w:lvl w:ilvl="4" w:tplc="FEA6DEB4" w:tentative="1">
      <w:start w:val="1"/>
      <w:numFmt w:val="lowerLetter"/>
      <w:lvlText w:val="%5."/>
      <w:lvlJc w:val="left"/>
      <w:pPr>
        <w:ind w:left="3600" w:hanging="360"/>
      </w:pPr>
    </w:lvl>
    <w:lvl w:ilvl="5" w:tplc="54BAEE22" w:tentative="1">
      <w:start w:val="1"/>
      <w:numFmt w:val="lowerRoman"/>
      <w:lvlText w:val="%6."/>
      <w:lvlJc w:val="right"/>
      <w:pPr>
        <w:ind w:left="4320" w:hanging="180"/>
      </w:pPr>
    </w:lvl>
    <w:lvl w:ilvl="6" w:tplc="1CF076F8" w:tentative="1">
      <w:start w:val="1"/>
      <w:numFmt w:val="decimal"/>
      <w:lvlText w:val="%7."/>
      <w:lvlJc w:val="left"/>
      <w:pPr>
        <w:ind w:left="5040" w:hanging="360"/>
      </w:pPr>
    </w:lvl>
    <w:lvl w:ilvl="7" w:tplc="AD424442" w:tentative="1">
      <w:start w:val="1"/>
      <w:numFmt w:val="lowerLetter"/>
      <w:lvlText w:val="%8."/>
      <w:lvlJc w:val="left"/>
      <w:pPr>
        <w:ind w:left="5760" w:hanging="360"/>
      </w:pPr>
    </w:lvl>
    <w:lvl w:ilvl="8" w:tplc="00E23316"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C2826994">
      <w:start w:val="1"/>
      <w:numFmt w:val="bullet"/>
      <w:lvlText w:val=""/>
      <w:lvlJc w:val="left"/>
      <w:pPr>
        <w:ind w:left="720" w:hanging="360"/>
      </w:pPr>
      <w:rPr>
        <w:rFonts w:ascii="Symbol" w:hAnsi="Symbol" w:hint="default"/>
      </w:rPr>
    </w:lvl>
    <w:lvl w:ilvl="1" w:tplc="ECD09B00" w:tentative="1">
      <w:start w:val="1"/>
      <w:numFmt w:val="bullet"/>
      <w:lvlText w:val="o"/>
      <w:lvlJc w:val="left"/>
      <w:pPr>
        <w:ind w:left="1440" w:hanging="360"/>
      </w:pPr>
      <w:rPr>
        <w:rFonts w:ascii="Courier New" w:hAnsi="Courier New" w:cs="Courier New" w:hint="default"/>
      </w:rPr>
    </w:lvl>
    <w:lvl w:ilvl="2" w:tplc="BF6C0E04" w:tentative="1">
      <w:start w:val="1"/>
      <w:numFmt w:val="bullet"/>
      <w:lvlText w:val=""/>
      <w:lvlJc w:val="left"/>
      <w:pPr>
        <w:ind w:left="2160" w:hanging="360"/>
      </w:pPr>
      <w:rPr>
        <w:rFonts w:ascii="Wingdings" w:hAnsi="Wingdings" w:hint="default"/>
      </w:rPr>
    </w:lvl>
    <w:lvl w:ilvl="3" w:tplc="1E589D3C" w:tentative="1">
      <w:start w:val="1"/>
      <w:numFmt w:val="bullet"/>
      <w:lvlText w:val=""/>
      <w:lvlJc w:val="left"/>
      <w:pPr>
        <w:ind w:left="2880" w:hanging="360"/>
      </w:pPr>
      <w:rPr>
        <w:rFonts w:ascii="Symbol" w:hAnsi="Symbol" w:hint="default"/>
      </w:rPr>
    </w:lvl>
    <w:lvl w:ilvl="4" w:tplc="B20ABEA6" w:tentative="1">
      <w:start w:val="1"/>
      <w:numFmt w:val="bullet"/>
      <w:lvlText w:val="o"/>
      <w:lvlJc w:val="left"/>
      <w:pPr>
        <w:ind w:left="3600" w:hanging="360"/>
      </w:pPr>
      <w:rPr>
        <w:rFonts w:ascii="Courier New" w:hAnsi="Courier New" w:cs="Courier New" w:hint="default"/>
      </w:rPr>
    </w:lvl>
    <w:lvl w:ilvl="5" w:tplc="9B489D3E" w:tentative="1">
      <w:start w:val="1"/>
      <w:numFmt w:val="bullet"/>
      <w:lvlText w:val=""/>
      <w:lvlJc w:val="left"/>
      <w:pPr>
        <w:ind w:left="4320" w:hanging="360"/>
      </w:pPr>
      <w:rPr>
        <w:rFonts w:ascii="Wingdings" w:hAnsi="Wingdings" w:hint="default"/>
      </w:rPr>
    </w:lvl>
    <w:lvl w:ilvl="6" w:tplc="E542D47C" w:tentative="1">
      <w:start w:val="1"/>
      <w:numFmt w:val="bullet"/>
      <w:lvlText w:val=""/>
      <w:lvlJc w:val="left"/>
      <w:pPr>
        <w:ind w:left="5040" w:hanging="360"/>
      </w:pPr>
      <w:rPr>
        <w:rFonts w:ascii="Symbol" w:hAnsi="Symbol" w:hint="default"/>
      </w:rPr>
    </w:lvl>
    <w:lvl w:ilvl="7" w:tplc="47CCDD7A" w:tentative="1">
      <w:start w:val="1"/>
      <w:numFmt w:val="bullet"/>
      <w:lvlText w:val="o"/>
      <w:lvlJc w:val="left"/>
      <w:pPr>
        <w:ind w:left="5760" w:hanging="360"/>
      </w:pPr>
      <w:rPr>
        <w:rFonts w:ascii="Courier New" w:hAnsi="Courier New" w:cs="Courier New" w:hint="default"/>
      </w:rPr>
    </w:lvl>
    <w:lvl w:ilvl="8" w:tplc="328ECF4C"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6944C8C6">
      <w:start w:val="1"/>
      <w:numFmt w:val="bullet"/>
      <w:pStyle w:val="CETnumberingbullets"/>
      <w:lvlText w:val=""/>
      <w:lvlJc w:val="left"/>
      <w:pPr>
        <w:ind w:left="340" w:hanging="227"/>
      </w:pPr>
      <w:rPr>
        <w:rFonts w:ascii="Symbol" w:hAnsi="Symbol" w:hint="default"/>
      </w:rPr>
    </w:lvl>
    <w:lvl w:ilvl="1" w:tplc="D1565A10" w:tentative="1">
      <w:start w:val="1"/>
      <w:numFmt w:val="bullet"/>
      <w:lvlText w:val="o"/>
      <w:lvlJc w:val="left"/>
      <w:pPr>
        <w:ind w:left="1440" w:hanging="360"/>
      </w:pPr>
      <w:rPr>
        <w:rFonts w:ascii="Courier New" w:hAnsi="Courier New" w:cs="Courier New" w:hint="default"/>
      </w:rPr>
    </w:lvl>
    <w:lvl w:ilvl="2" w:tplc="966E66F8" w:tentative="1">
      <w:start w:val="1"/>
      <w:numFmt w:val="bullet"/>
      <w:lvlText w:val=""/>
      <w:lvlJc w:val="left"/>
      <w:pPr>
        <w:ind w:left="2160" w:hanging="360"/>
      </w:pPr>
      <w:rPr>
        <w:rFonts w:ascii="Wingdings" w:hAnsi="Wingdings" w:hint="default"/>
      </w:rPr>
    </w:lvl>
    <w:lvl w:ilvl="3" w:tplc="ACA6EB9A" w:tentative="1">
      <w:start w:val="1"/>
      <w:numFmt w:val="bullet"/>
      <w:lvlText w:val=""/>
      <w:lvlJc w:val="left"/>
      <w:pPr>
        <w:ind w:left="2880" w:hanging="360"/>
      </w:pPr>
      <w:rPr>
        <w:rFonts w:ascii="Symbol" w:hAnsi="Symbol" w:hint="default"/>
      </w:rPr>
    </w:lvl>
    <w:lvl w:ilvl="4" w:tplc="38DE079C" w:tentative="1">
      <w:start w:val="1"/>
      <w:numFmt w:val="bullet"/>
      <w:lvlText w:val="o"/>
      <w:lvlJc w:val="left"/>
      <w:pPr>
        <w:ind w:left="3600" w:hanging="360"/>
      </w:pPr>
      <w:rPr>
        <w:rFonts w:ascii="Courier New" w:hAnsi="Courier New" w:cs="Courier New" w:hint="default"/>
      </w:rPr>
    </w:lvl>
    <w:lvl w:ilvl="5" w:tplc="313C351E" w:tentative="1">
      <w:start w:val="1"/>
      <w:numFmt w:val="bullet"/>
      <w:lvlText w:val=""/>
      <w:lvlJc w:val="left"/>
      <w:pPr>
        <w:ind w:left="4320" w:hanging="360"/>
      </w:pPr>
      <w:rPr>
        <w:rFonts w:ascii="Wingdings" w:hAnsi="Wingdings" w:hint="default"/>
      </w:rPr>
    </w:lvl>
    <w:lvl w:ilvl="6" w:tplc="34C857A2" w:tentative="1">
      <w:start w:val="1"/>
      <w:numFmt w:val="bullet"/>
      <w:lvlText w:val=""/>
      <w:lvlJc w:val="left"/>
      <w:pPr>
        <w:ind w:left="5040" w:hanging="360"/>
      </w:pPr>
      <w:rPr>
        <w:rFonts w:ascii="Symbol" w:hAnsi="Symbol" w:hint="default"/>
      </w:rPr>
    </w:lvl>
    <w:lvl w:ilvl="7" w:tplc="5866B3A2" w:tentative="1">
      <w:start w:val="1"/>
      <w:numFmt w:val="bullet"/>
      <w:lvlText w:val="o"/>
      <w:lvlJc w:val="left"/>
      <w:pPr>
        <w:ind w:left="5760" w:hanging="360"/>
      </w:pPr>
      <w:rPr>
        <w:rFonts w:ascii="Courier New" w:hAnsi="Courier New" w:cs="Courier New" w:hint="default"/>
      </w:rPr>
    </w:lvl>
    <w:lvl w:ilvl="8" w:tplc="DB8E7CE0"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8BE2E546">
      <w:start w:val="1"/>
      <w:numFmt w:val="decimal"/>
      <w:lvlText w:val="%1)"/>
      <w:lvlJc w:val="left"/>
      <w:pPr>
        <w:ind w:left="720" w:hanging="360"/>
      </w:pPr>
      <w:rPr>
        <w:rFonts w:hint="default"/>
      </w:rPr>
    </w:lvl>
    <w:lvl w:ilvl="1" w:tplc="6B60E15A" w:tentative="1">
      <w:start w:val="1"/>
      <w:numFmt w:val="lowerLetter"/>
      <w:lvlText w:val="%2."/>
      <w:lvlJc w:val="left"/>
      <w:pPr>
        <w:ind w:left="1440" w:hanging="360"/>
      </w:pPr>
    </w:lvl>
    <w:lvl w:ilvl="2" w:tplc="C1602D1A" w:tentative="1">
      <w:start w:val="1"/>
      <w:numFmt w:val="lowerRoman"/>
      <w:lvlText w:val="%3."/>
      <w:lvlJc w:val="right"/>
      <w:pPr>
        <w:ind w:left="2160" w:hanging="180"/>
      </w:pPr>
    </w:lvl>
    <w:lvl w:ilvl="3" w:tplc="AB7062F0" w:tentative="1">
      <w:start w:val="1"/>
      <w:numFmt w:val="decimal"/>
      <w:lvlText w:val="%4."/>
      <w:lvlJc w:val="left"/>
      <w:pPr>
        <w:ind w:left="2880" w:hanging="360"/>
      </w:pPr>
    </w:lvl>
    <w:lvl w:ilvl="4" w:tplc="2E060D24" w:tentative="1">
      <w:start w:val="1"/>
      <w:numFmt w:val="lowerLetter"/>
      <w:lvlText w:val="%5."/>
      <w:lvlJc w:val="left"/>
      <w:pPr>
        <w:ind w:left="3600" w:hanging="360"/>
      </w:pPr>
    </w:lvl>
    <w:lvl w:ilvl="5" w:tplc="6D225310" w:tentative="1">
      <w:start w:val="1"/>
      <w:numFmt w:val="lowerRoman"/>
      <w:lvlText w:val="%6."/>
      <w:lvlJc w:val="right"/>
      <w:pPr>
        <w:ind w:left="4320" w:hanging="180"/>
      </w:pPr>
    </w:lvl>
    <w:lvl w:ilvl="6" w:tplc="0EB6CF74" w:tentative="1">
      <w:start w:val="1"/>
      <w:numFmt w:val="decimal"/>
      <w:lvlText w:val="%7."/>
      <w:lvlJc w:val="left"/>
      <w:pPr>
        <w:ind w:left="5040" w:hanging="360"/>
      </w:pPr>
    </w:lvl>
    <w:lvl w:ilvl="7" w:tplc="183E8798" w:tentative="1">
      <w:start w:val="1"/>
      <w:numFmt w:val="lowerLetter"/>
      <w:lvlText w:val="%8."/>
      <w:lvlJc w:val="left"/>
      <w:pPr>
        <w:ind w:left="5760" w:hanging="360"/>
      </w:pPr>
    </w:lvl>
    <w:lvl w:ilvl="8" w:tplc="32A2D12A"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D2A6EC26">
      <w:start w:val="1"/>
      <w:numFmt w:val="bullet"/>
      <w:lvlText w:val=""/>
      <w:lvlJc w:val="left"/>
      <w:pPr>
        <w:ind w:left="340" w:hanging="227"/>
      </w:pPr>
      <w:rPr>
        <w:rFonts w:ascii="Symbol" w:hAnsi="Symbol" w:hint="default"/>
      </w:rPr>
    </w:lvl>
    <w:lvl w:ilvl="1" w:tplc="11E24B9C" w:tentative="1">
      <w:start w:val="1"/>
      <w:numFmt w:val="bullet"/>
      <w:lvlText w:val="o"/>
      <w:lvlJc w:val="left"/>
      <w:pPr>
        <w:ind w:left="1440" w:hanging="360"/>
      </w:pPr>
      <w:rPr>
        <w:rFonts w:ascii="Courier New" w:hAnsi="Courier New" w:cs="Courier New" w:hint="default"/>
      </w:rPr>
    </w:lvl>
    <w:lvl w:ilvl="2" w:tplc="FF6C6092" w:tentative="1">
      <w:start w:val="1"/>
      <w:numFmt w:val="bullet"/>
      <w:lvlText w:val=""/>
      <w:lvlJc w:val="left"/>
      <w:pPr>
        <w:ind w:left="2160" w:hanging="360"/>
      </w:pPr>
      <w:rPr>
        <w:rFonts w:ascii="Wingdings" w:hAnsi="Wingdings" w:hint="default"/>
      </w:rPr>
    </w:lvl>
    <w:lvl w:ilvl="3" w:tplc="1B586784" w:tentative="1">
      <w:start w:val="1"/>
      <w:numFmt w:val="bullet"/>
      <w:lvlText w:val=""/>
      <w:lvlJc w:val="left"/>
      <w:pPr>
        <w:ind w:left="2880" w:hanging="360"/>
      </w:pPr>
      <w:rPr>
        <w:rFonts w:ascii="Symbol" w:hAnsi="Symbol" w:hint="default"/>
      </w:rPr>
    </w:lvl>
    <w:lvl w:ilvl="4" w:tplc="B322CDDC" w:tentative="1">
      <w:start w:val="1"/>
      <w:numFmt w:val="bullet"/>
      <w:lvlText w:val="o"/>
      <w:lvlJc w:val="left"/>
      <w:pPr>
        <w:ind w:left="3600" w:hanging="360"/>
      </w:pPr>
      <w:rPr>
        <w:rFonts w:ascii="Courier New" w:hAnsi="Courier New" w:cs="Courier New" w:hint="default"/>
      </w:rPr>
    </w:lvl>
    <w:lvl w:ilvl="5" w:tplc="1B5E6E2A" w:tentative="1">
      <w:start w:val="1"/>
      <w:numFmt w:val="bullet"/>
      <w:lvlText w:val=""/>
      <w:lvlJc w:val="left"/>
      <w:pPr>
        <w:ind w:left="4320" w:hanging="360"/>
      </w:pPr>
      <w:rPr>
        <w:rFonts w:ascii="Wingdings" w:hAnsi="Wingdings" w:hint="default"/>
      </w:rPr>
    </w:lvl>
    <w:lvl w:ilvl="6" w:tplc="9BD47E38" w:tentative="1">
      <w:start w:val="1"/>
      <w:numFmt w:val="bullet"/>
      <w:lvlText w:val=""/>
      <w:lvlJc w:val="left"/>
      <w:pPr>
        <w:ind w:left="5040" w:hanging="360"/>
      </w:pPr>
      <w:rPr>
        <w:rFonts w:ascii="Symbol" w:hAnsi="Symbol" w:hint="default"/>
      </w:rPr>
    </w:lvl>
    <w:lvl w:ilvl="7" w:tplc="866417C6" w:tentative="1">
      <w:start w:val="1"/>
      <w:numFmt w:val="bullet"/>
      <w:lvlText w:val="o"/>
      <w:lvlJc w:val="left"/>
      <w:pPr>
        <w:ind w:left="5760" w:hanging="360"/>
      </w:pPr>
      <w:rPr>
        <w:rFonts w:ascii="Courier New" w:hAnsi="Courier New" w:cs="Courier New" w:hint="default"/>
      </w:rPr>
    </w:lvl>
    <w:lvl w:ilvl="8" w:tplc="8690E27E"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92DA54F6">
      <w:start w:val="1"/>
      <w:numFmt w:val="decimal"/>
      <w:lvlText w:val="%1)"/>
      <w:lvlJc w:val="left"/>
      <w:pPr>
        <w:ind w:left="340" w:hanging="227"/>
      </w:pPr>
      <w:rPr>
        <w:rFonts w:hint="default"/>
      </w:rPr>
    </w:lvl>
    <w:lvl w:ilvl="1" w:tplc="B5702782" w:tentative="1">
      <w:start w:val="1"/>
      <w:numFmt w:val="bullet"/>
      <w:lvlText w:val="o"/>
      <w:lvlJc w:val="left"/>
      <w:pPr>
        <w:ind w:left="1440" w:hanging="360"/>
      </w:pPr>
      <w:rPr>
        <w:rFonts w:ascii="Courier New" w:hAnsi="Courier New" w:cs="Courier New" w:hint="default"/>
      </w:rPr>
    </w:lvl>
    <w:lvl w:ilvl="2" w:tplc="01A8F68A" w:tentative="1">
      <w:start w:val="1"/>
      <w:numFmt w:val="bullet"/>
      <w:lvlText w:val=""/>
      <w:lvlJc w:val="left"/>
      <w:pPr>
        <w:ind w:left="2160" w:hanging="360"/>
      </w:pPr>
      <w:rPr>
        <w:rFonts w:ascii="Wingdings" w:hAnsi="Wingdings" w:hint="default"/>
      </w:rPr>
    </w:lvl>
    <w:lvl w:ilvl="3" w:tplc="B21A2696" w:tentative="1">
      <w:start w:val="1"/>
      <w:numFmt w:val="bullet"/>
      <w:lvlText w:val=""/>
      <w:lvlJc w:val="left"/>
      <w:pPr>
        <w:ind w:left="2880" w:hanging="360"/>
      </w:pPr>
      <w:rPr>
        <w:rFonts w:ascii="Symbol" w:hAnsi="Symbol" w:hint="default"/>
      </w:rPr>
    </w:lvl>
    <w:lvl w:ilvl="4" w:tplc="AA8C68D0" w:tentative="1">
      <w:start w:val="1"/>
      <w:numFmt w:val="bullet"/>
      <w:lvlText w:val="o"/>
      <w:lvlJc w:val="left"/>
      <w:pPr>
        <w:ind w:left="3600" w:hanging="360"/>
      </w:pPr>
      <w:rPr>
        <w:rFonts w:ascii="Courier New" w:hAnsi="Courier New" w:cs="Courier New" w:hint="default"/>
      </w:rPr>
    </w:lvl>
    <w:lvl w:ilvl="5" w:tplc="5A889FBE" w:tentative="1">
      <w:start w:val="1"/>
      <w:numFmt w:val="bullet"/>
      <w:lvlText w:val=""/>
      <w:lvlJc w:val="left"/>
      <w:pPr>
        <w:ind w:left="4320" w:hanging="360"/>
      </w:pPr>
      <w:rPr>
        <w:rFonts w:ascii="Wingdings" w:hAnsi="Wingdings" w:hint="default"/>
      </w:rPr>
    </w:lvl>
    <w:lvl w:ilvl="6" w:tplc="E124D152" w:tentative="1">
      <w:start w:val="1"/>
      <w:numFmt w:val="bullet"/>
      <w:lvlText w:val=""/>
      <w:lvlJc w:val="left"/>
      <w:pPr>
        <w:ind w:left="5040" w:hanging="360"/>
      </w:pPr>
      <w:rPr>
        <w:rFonts w:ascii="Symbol" w:hAnsi="Symbol" w:hint="default"/>
      </w:rPr>
    </w:lvl>
    <w:lvl w:ilvl="7" w:tplc="C2C0CDF0" w:tentative="1">
      <w:start w:val="1"/>
      <w:numFmt w:val="bullet"/>
      <w:lvlText w:val="o"/>
      <w:lvlJc w:val="left"/>
      <w:pPr>
        <w:ind w:left="5760" w:hanging="360"/>
      </w:pPr>
      <w:rPr>
        <w:rFonts w:ascii="Courier New" w:hAnsi="Courier New" w:cs="Courier New" w:hint="default"/>
      </w:rPr>
    </w:lvl>
    <w:lvl w:ilvl="8" w:tplc="01CA1856"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D1FEA038">
      <w:start w:val="1"/>
      <w:numFmt w:val="decimal"/>
      <w:pStyle w:val="CETnumbering1"/>
      <w:lvlText w:val="%1."/>
      <w:lvlJc w:val="left"/>
      <w:pPr>
        <w:ind w:left="720" w:hanging="360"/>
      </w:pPr>
    </w:lvl>
    <w:lvl w:ilvl="1" w:tplc="1F7E663A" w:tentative="1">
      <w:start w:val="1"/>
      <w:numFmt w:val="lowerLetter"/>
      <w:lvlText w:val="%2."/>
      <w:lvlJc w:val="left"/>
      <w:pPr>
        <w:ind w:left="1440" w:hanging="360"/>
      </w:pPr>
    </w:lvl>
    <w:lvl w:ilvl="2" w:tplc="35289668" w:tentative="1">
      <w:start w:val="1"/>
      <w:numFmt w:val="lowerRoman"/>
      <w:lvlText w:val="%3."/>
      <w:lvlJc w:val="right"/>
      <w:pPr>
        <w:ind w:left="2160" w:hanging="180"/>
      </w:pPr>
    </w:lvl>
    <w:lvl w:ilvl="3" w:tplc="A7C6CC58" w:tentative="1">
      <w:start w:val="1"/>
      <w:numFmt w:val="decimal"/>
      <w:lvlText w:val="%4."/>
      <w:lvlJc w:val="left"/>
      <w:pPr>
        <w:ind w:left="2880" w:hanging="360"/>
      </w:pPr>
    </w:lvl>
    <w:lvl w:ilvl="4" w:tplc="DC58D7A0" w:tentative="1">
      <w:start w:val="1"/>
      <w:numFmt w:val="lowerLetter"/>
      <w:lvlText w:val="%5."/>
      <w:lvlJc w:val="left"/>
      <w:pPr>
        <w:ind w:left="3600" w:hanging="360"/>
      </w:pPr>
    </w:lvl>
    <w:lvl w:ilvl="5" w:tplc="BCF488D8" w:tentative="1">
      <w:start w:val="1"/>
      <w:numFmt w:val="lowerRoman"/>
      <w:lvlText w:val="%6."/>
      <w:lvlJc w:val="right"/>
      <w:pPr>
        <w:ind w:left="4320" w:hanging="180"/>
      </w:pPr>
    </w:lvl>
    <w:lvl w:ilvl="6" w:tplc="54385982" w:tentative="1">
      <w:start w:val="1"/>
      <w:numFmt w:val="decimal"/>
      <w:lvlText w:val="%7."/>
      <w:lvlJc w:val="left"/>
      <w:pPr>
        <w:ind w:left="5040" w:hanging="360"/>
      </w:pPr>
    </w:lvl>
    <w:lvl w:ilvl="7" w:tplc="5090340A" w:tentative="1">
      <w:start w:val="1"/>
      <w:numFmt w:val="lowerLetter"/>
      <w:lvlText w:val="%8."/>
      <w:lvlJc w:val="left"/>
      <w:pPr>
        <w:ind w:left="5760" w:hanging="360"/>
      </w:pPr>
    </w:lvl>
    <w:lvl w:ilvl="8" w:tplc="C5028884"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7F8C96E0">
      <w:start w:val="1"/>
      <w:numFmt w:val="bullet"/>
      <w:lvlText w:val=""/>
      <w:lvlJc w:val="left"/>
      <w:pPr>
        <w:ind w:left="720" w:hanging="360"/>
      </w:pPr>
      <w:rPr>
        <w:rFonts w:ascii="Symbol" w:hAnsi="Symbol" w:hint="default"/>
      </w:rPr>
    </w:lvl>
    <w:lvl w:ilvl="1" w:tplc="85660B9C" w:tentative="1">
      <w:start w:val="1"/>
      <w:numFmt w:val="bullet"/>
      <w:lvlText w:val="o"/>
      <w:lvlJc w:val="left"/>
      <w:pPr>
        <w:ind w:left="1440" w:hanging="360"/>
      </w:pPr>
      <w:rPr>
        <w:rFonts w:ascii="Courier New" w:hAnsi="Courier New" w:cs="Courier New" w:hint="default"/>
      </w:rPr>
    </w:lvl>
    <w:lvl w:ilvl="2" w:tplc="C07AA448" w:tentative="1">
      <w:start w:val="1"/>
      <w:numFmt w:val="bullet"/>
      <w:lvlText w:val=""/>
      <w:lvlJc w:val="left"/>
      <w:pPr>
        <w:ind w:left="2160" w:hanging="360"/>
      </w:pPr>
      <w:rPr>
        <w:rFonts w:ascii="Wingdings" w:hAnsi="Wingdings" w:hint="default"/>
      </w:rPr>
    </w:lvl>
    <w:lvl w:ilvl="3" w:tplc="ECF0502A" w:tentative="1">
      <w:start w:val="1"/>
      <w:numFmt w:val="bullet"/>
      <w:lvlText w:val=""/>
      <w:lvlJc w:val="left"/>
      <w:pPr>
        <w:ind w:left="2880" w:hanging="360"/>
      </w:pPr>
      <w:rPr>
        <w:rFonts w:ascii="Symbol" w:hAnsi="Symbol" w:hint="default"/>
      </w:rPr>
    </w:lvl>
    <w:lvl w:ilvl="4" w:tplc="B01A596E" w:tentative="1">
      <w:start w:val="1"/>
      <w:numFmt w:val="bullet"/>
      <w:lvlText w:val="o"/>
      <w:lvlJc w:val="left"/>
      <w:pPr>
        <w:ind w:left="3600" w:hanging="360"/>
      </w:pPr>
      <w:rPr>
        <w:rFonts w:ascii="Courier New" w:hAnsi="Courier New" w:cs="Courier New" w:hint="default"/>
      </w:rPr>
    </w:lvl>
    <w:lvl w:ilvl="5" w:tplc="32BCA408" w:tentative="1">
      <w:start w:val="1"/>
      <w:numFmt w:val="bullet"/>
      <w:lvlText w:val=""/>
      <w:lvlJc w:val="left"/>
      <w:pPr>
        <w:ind w:left="4320" w:hanging="360"/>
      </w:pPr>
      <w:rPr>
        <w:rFonts w:ascii="Wingdings" w:hAnsi="Wingdings" w:hint="default"/>
      </w:rPr>
    </w:lvl>
    <w:lvl w:ilvl="6" w:tplc="4B0EBBEE" w:tentative="1">
      <w:start w:val="1"/>
      <w:numFmt w:val="bullet"/>
      <w:lvlText w:val=""/>
      <w:lvlJc w:val="left"/>
      <w:pPr>
        <w:ind w:left="5040" w:hanging="360"/>
      </w:pPr>
      <w:rPr>
        <w:rFonts w:ascii="Symbol" w:hAnsi="Symbol" w:hint="default"/>
      </w:rPr>
    </w:lvl>
    <w:lvl w:ilvl="7" w:tplc="13E247CA" w:tentative="1">
      <w:start w:val="1"/>
      <w:numFmt w:val="bullet"/>
      <w:lvlText w:val="o"/>
      <w:lvlJc w:val="left"/>
      <w:pPr>
        <w:ind w:left="5760" w:hanging="360"/>
      </w:pPr>
      <w:rPr>
        <w:rFonts w:ascii="Courier New" w:hAnsi="Courier New" w:cs="Courier New" w:hint="default"/>
      </w:rPr>
    </w:lvl>
    <w:lvl w:ilvl="8" w:tplc="84B2091C"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4FDAD11E">
      <w:start w:val="1"/>
      <w:numFmt w:val="lowerLetter"/>
      <w:pStyle w:val="CETnumberinga"/>
      <w:lvlText w:val="%1."/>
      <w:lvlJc w:val="left"/>
      <w:pPr>
        <w:ind w:left="340" w:hanging="227"/>
      </w:pPr>
      <w:rPr>
        <w:rFonts w:hint="default"/>
      </w:rPr>
    </w:lvl>
    <w:lvl w:ilvl="1" w:tplc="1E0C147A" w:tentative="1">
      <w:start w:val="1"/>
      <w:numFmt w:val="bullet"/>
      <w:lvlText w:val="o"/>
      <w:lvlJc w:val="left"/>
      <w:pPr>
        <w:ind w:left="1440" w:hanging="360"/>
      </w:pPr>
      <w:rPr>
        <w:rFonts w:ascii="Courier New" w:hAnsi="Courier New" w:cs="Courier New" w:hint="default"/>
      </w:rPr>
    </w:lvl>
    <w:lvl w:ilvl="2" w:tplc="109817DE" w:tentative="1">
      <w:start w:val="1"/>
      <w:numFmt w:val="bullet"/>
      <w:lvlText w:val=""/>
      <w:lvlJc w:val="left"/>
      <w:pPr>
        <w:ind w:left="2160" w:hanging="360"/>
      </w:pPr>
      <w:rPr>
        <w:rFonts w:ascii="Wingdings" w:hAnsi="Wingdings" w:hint="default"/>
      </w:rPr>
    </w:lvl>
    <w:lvl w:ilvl="3" w:tplc="DF7886EC" w:tentative="1">
      <w:start w:val="1"/>
      <w:numFmt w:val="bullet"/>
      <w:lvlText w:val=""/>
      <w:lvlJc w:val="left"/>
      <w:pPr>
        <w:ind w:left="2880" w:hanging="360"/>
      </w:pPr>
      <w:rPr>
        <w:rFonts w:ascii="Symbol" w:hAnsi="Symbol" w:hint="default"/>
      </w:rPr>
    </w:lvl>
    <w:lvl w:ilvl="4" w:tplc="84F4FE0A" w:tentative="1">
      <w:start w:val="1"/>
      <w:numFmt w:val="bullet"/>
      <w:lvlText w:val="o"/>
      <w:lvlJc w:val="left"/>
      <w:pPr>
        <w:ind w:left="3600" w:hanging="360"/>
      </w:pPr>
      <w:rPr>
        <w:rFonts w:ascii="Courier New" w:hAnsi="Courier New" w:cs="Courier New" w:hint="default"/>
      </w:rPr>
    </w:lvl>
    <w:lvl w:ilvl="5" w:tplc="4E1024B6" w:tentative="1">
      <w:start w:val="1"/>
      <w:numFmt w:val="bullet"/>
      <w:lvlText w:val=""/>
      <w:lvlJc w:val="left"/>
      <w:pPr>
        <w:ind w:left="4320" w:hanging="360"/>
      </w:pPr>
      <w:rPr>
        <w:rFonts w:ascii="Wingdings" w:hAnsi="Wingdings" w:hint="default"/>
      </w:rPr>
    </w:lvl>
    <w:lvl w:ilvl="6" w:tplc="C4849314" w:tentative="1">
      <w:start w:val="1"/>
      <w:numFmt w:val="bullet"/>
      <w:lvlText w:val=""/>
      <w:lvlJc w:val="left"/>
      <w:pPr>
        <w:ind w:left="5040" w:hanging="360"/>
      </w:pPr>
      <w:rPr>
        <w:rFonts w:ascii="Symbol" w:hAnsi="Symbol" w:hint="default"/>
      </w:rPr>
    </w:lvl>
    <w:lvl w:ilvl="7" w:tplc="0EDED5E2" w:tentative="1">
      <w:start w:val="1"/>
      <w:numFmt w:val="bullet"/>
      <w:lvlText w:val="o"/>
      <w:lvlJc w:val="left"/>
      <w:pPr>
        <w:ind w:left="5760" w:hanging="360"/>
      </w:pPr>
      <w:rPr>
        <w:rFonts w:ascii="Courier New" w:hAnsi="Courier New" w:cs="Courier New" w:hint="default"/>
      </w:rPr>
    </w:lvl>
    <w:lvl w:ilvl="8" w:tplc="E7E8549E" w:tentative="1">
      <w:start w:val="1"/>
      <w:numFmt w:val="bullet"/>
      <w:lvlText w:val=""/>
      <w:lvlJc w:val="left"/>
      <w:pPr>
        <w:ind w:left="6480" w:hanging="360"/>
      </w:pPr>
      <w:rPr>
        <w:rFonts w:ascii="Wingdings" w:hAnsi="Wingdings" w:hint="default"/>
      </w:rPr>
    </w:lvl>
  </w:abstractNum>
  <w:abstractNum w:abstractNumId="21" w15:restartNumberingAfterBreak="0">
    <w:nsid w:val="73387C37"/>
    <w:multiLevelType w:val="multilevel"/>
    <w:tmpl w:val="47AE6C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lvlOverride w:ilvl="0">
      <w:startOverride w:val="1"/>
    </w:lvlOverride>
    <w:lvlOverride w:ilvl="1">
      <w:startOverride w:val="4"/>
    </w:lvlOverride>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DB"/>
    <w:rsid w:val="00000FCF"/>
    <w:rsid w:val="000027C0"/>
    <w:rsid w:val="00003AE3"/>
    <w:rsid w:val="000052FB"/>
    <w:rsid w:val="00005346"/>
    <w:rsid w:val="00005433"/>
    <w:rsid w:val="00007A47"/>
    <w:rsid w:val="00010F40"/>
    <w:rsid w:val="000114FD"/>
    <w:rsid w:val="000117CB"/>
    <w:rsid w:val="00012624"/>
    <w:rsid w:val="000159FE"/>
    <w:rsid w:val="00016A35"/>
    <w:rsid w:val="00016CE3"/>
    <w:rsid w:val="0002135C"/>
    <w:rsid w:val="0002163C"/>
    <w:rsid w:val="00021C27"/>
    <w:rsid w:val="00021C38"/>
    <w:rsid w:val="000220FD"/>
    <w:rsid w:val="00027786"/>
    <w:rsid w:val="0003148D"/>
    <w:rsid w:val="00036233"/>
    <w:rsid w:val="00043ED0"/>
    <w:rsid w:val="00044889"/>
    <w:rsid w:val="00045CA6"/>
    <w:rsid w:val="00046616"/>
    <w:rsid w:val="00047D7F"/>
    <w:rsid w:val="00051566"/>
    <w:rsid w:val="000521C6"/>
    <w:rsid w:val="000532B2"/>
    <w:rsid w:val="000534E6"/>
    <w:rsid w:val="0005585A"/>
    <w:rsid w:val="00056B51"/>
    <w:rsid w:val="000579FD"/>
    <w:rsid w:val="00060080"/>
    <w:rsid w:val="00060163"/>
    <w:rsid w:val="00061C6C"/>
    <w:rsid w:val="0006241C"/>
    <w:rsid w:val="00062A9A"/>
    <w:rsid w:val="00063AF4"/>
    <w:rsid w:val="00065058"/>
    <w:rsid w:val="000664EE"/>
    <w:rsid w:val="00070CAB"/>
    <w:rsid w:val="00071205"/>
    <w:rsid w:val="0007299A"/>
    <w:rsid w:val="0007374D"/>
    <w:rsid w:val="00074F6B"/>
    <w:rsid w:val="00075089"/>
    <w:rsid w:val="0007628A"/>
    <w:rsid w:val="00082C42"/>
    <w:rsid w:val="00086C39"/>
    <w:rsid w:val="00086F88"/>
    <w:rsid w:val="000872DB"/>
    <w:rsid w:val="00090EC1"/>
    <w:rsid w:val="00095C62"/>
    <w:rsid w:val="00095D68"/>
    <w:rsid w:val="000971C0"/>
    <w:rsid w:val="000A03B2"/>
    <w:rsid w:val="000A16EA"/>
    <w:rsid w:val="000A24FA"/>
    <w:rsid w:val="000A3B79"/>
    <w:rsid w:val="000A5EDC"/>
    <w:rsid w:val="000A6C2D"/>
    <w:rsid w:val="000A6E87"/>
    <w:rsid w:val="000B1CD7"/>
    <w:rsid w:val="000B21E0"/>
    <w:rsid w:val="000B24BA"/>
    <w:rsid w:val="000B363B"/>
    <w:rsid w:val="000B366B"/>
    <w:rsid w:val="000B52E0"/>
    <w:rsid w:val="000B7C59"/>
    <w:rsid w:val="000C1289"/>
    <w:rsid w:val="000C224A"/>
    <w:rsid w:val="000C5CE0"/>
    <w:rsid w:val="000D08E8"/>
    <w:rsid w:val="000D0C40"/>
    <w:rsid w:val="000D2FAF"/>
    <w:rsid w:val="000D34BE"/>
    <w:rsid w:val="000D433D"/>
    <w:rsid w:val="000D443D"/>
    <w:rsid w:val="000D60A7"/>
    <w:rsid w:val="000E102F"/>
    <w:rsid w:val="000E2E4F"/>
    <w:rsid w:val="000E36F1"/>
    <w:rsid w:val="000E3A73"/>
    <w:rsid w:val="000E414A"/>
    <w:rsid w:val="000E6ACF"/>
    <w:rsid w:val="000F093C"/>
    <w:rsid w:val="000F09B4"/>
    <w:rsid w:val="000F1644"/>
    <w:rsid w:val="000F16BD"/>
    <w:rsid w:val="000F1F72"/>
    <w:rsid w:val="000F787B"/>
    <w:rsid w:val="0010004F"/>
    <w:rsid w:val="0010083E"/>
    <w:rsid w:val="00101145"/>
    <w:rsid w:val="001013DC"/>
    <w:rsid w:val="00102ADB"/>
    <w:rsid w:val="001076E1"/>
    <w:rsid w:val="00112145"/>
    <w:rsid w:val="00115567"/>
    <w:rsid w:val="00115EFF"/>
    <w:rsid w:val="001169BB"/>
    <w:rsid w:val="00117AA6"/>
    <w:rsid w:val="00120810"/>
    <w:rsid w:val="0012091F"/>
    <w:rsid w:val="00121030"/>
    <w:rsid w:val="00121DFD"/>
    <w:rsid w:val="00125302"/>
    <w:rsid w:val="001259C9"/>
    <w:rsid w:val="00126332"/>
    <w:rsid w:val="00126BC2"/>
    <w:rsid w:val="001308B6"/>
    <w:rsid w:val="00130FD9"/>
    <w:rsid w:val="0013121F"/>
    <w:rsid w:val="00131FAB"/>
    <w:rsid w:val="00131FE6"/>
    <w:rsid w:val="0013263F"/>
    <w:rsid w:val="00133451"/>
    <w:rsid w:val="001339F9"/>
    <w:rsid w:val="00134DE4"/>
    <w:rsid w:val="0013600F"/>
    <w:rsid w:val="00136052"/>
    <w:rsid w:val="001369B5"/>
    <w:rsid w:val="00136AEE"/>
    <w:rsid w:val="00137BD6"/>
    <w:rsid w:val="00137D63"/>
    <w:rsid w:val="00140117"/>
    <w:rsid w:val="0014034D"/>
    <w:rsid w:val="0014059F"/>
    <w:rsid w:val="00141266"/>
    <w:rsid w:val="00143F30"/>
    <w:rsid w:val="00144E0F"/>
    <w:rsid w:val="001450FA"/>
    <w:rsid w:val="00146D8A"/>
    <w:rsid w:val="001502E3"/>
    <w:rsid w:val="00150E59"/>
    <w:rsid w:val="00152123"/>
    <w:rsid w:val="00152523"/>
    <w:rsid w:val="00152840"/>
    <w:rsid w:val="00152DE3"/>
    <w:rsid w:val="00156200"/>
    <w:rsid w:val="001564E5"/>
    <w:rsid w:val="0015744B"/>
    <w:rsid w:val="00161A17"/>
    <w:rsid w:val="0016242A"/>
    <w:rsid w:val="001626A3"/>
    <w:rsid w:val="00163FD3"/>
    <w:rsid w:val="0016423A"/>
    <w:rsid w:val="00164CF9"/>
    <w:rsid w:val="00164E75"/>
    <w:rsid w:val="0017042A"/>
    <w:rsid w:val="001716D5"/>
    <w:rsid w:val="00171C7E"/>
    <w:rsid w:val="00174C7A"/>
    <w:rsid w:val="001755DE"/>
    <w:rsid w:val="001762B7"/>
    <w:rsid w:val="00181503"/>
    <w:rsid w:val="00181853"/>
    <w:rsid w:val="00181898"/>
    <w:rsid w:val="00184AD6"/>
    <w:rsid w:val="00187974"/>
    <w:rsid w:val="001903CC"/>
    <w:rsid w:val="001918CB"/>
    <w:rsid w:val="001922DF"/>
    <w:rsid w:val="001924C3"/>
    <w:rsid w:val="00196C92"/>
    <w:rsid w:val="001A0F5D"/>
    <w:rsid w:val="001B0349"/>
    <w:rsid w:val="001B130D"/>
    <w:rsid w:val="001B1A88"/>
    <w:rsid w:val="001B238B"/>
    <w:rsid w:val="001B39C7"/>
    <w:rsid w:val="001B49A8"/>
    <w:rsid w:val="001B4A26"/>
    <w:rsid w:val="001B59CC"/>
    <w:rsid w:val="001B5B4E"/>
    <w:rsid w:val="001B65C1"/>
    <w:rsid w:val="001B6D21"/>
    <w:rsid w:val="001C15BA"/>
    <w:rsid w:val="001C610D"/>
    <w:rsid w:val="001C684B"/>
    <w:rsid w:val="001C77B1"/>
    <w:rsid w:val="001D0F4E"/>
    <w:rsid w:val="001D4D2B"/>
    <w:rsid w:val="001D53FC"/>
    <w:rsid w:val="001D6E32"/>
    <w:rsid w:val="001D7D1E"/>
    <w:rsid w:val="001E05CD"/>
    <w:rsid w:val="001E074C"/>
    <w:rsid w:val="001E0C8B"/>
    <w:rsid w:val="001E2956"/>
    <w:rsid w:val="001E6F1B"/>
    <w:rsid w:val="001F0115"/>
    <w:rsid w:val="001F140B"/>
    <w:rsid w:val="001F15C3"/>
    <w:rsid w:val="001F2F8D"/>
    <w:rsid w:val="001F2F9A"/>
    <w:rsid w:val="001F42A5"/>
    <w:rsid w:val="001F43BD"/>
    <w:rsid w:val="001F5584"/>
    <w:rsid w:val="001F5DC0"/>
    <w:rsid w:val="001F7B9D"/>
    <w:rsid w:val="001F7CEC"/>
    <w:rsid w:val="00203516"/>
    <w:rsid w:val="00203733"/>
    <w:rsid w:val="00204289"/>
    <w:rsid w:val="00212D39"/>
    <w:rsid w:val="00216162"/>
    <w:rsid w:val="00220BEF"/>
    <w:rsid w:val="00220D65"/>
    <w:rsid w:val="002224B4"/>
    <w:rsid w:val="0022522D"/>
    <w:rsid w:val="00225DC1"/>
    <w:rsid w:val="00226446"/>
    <w:rsid w:val="00230EE8"/>
    <w:rsid w:val="00231AB1"/>
    <w:rsid w:val="00231CCE"/>
    <w:rsid w:val="00235A5F"/>
    <w:rsid w:val="00236ED4"/>
    <w:rsid w:val="002403A8"/>
    <w:rsid w:val="00240E93"/>
    <w:rsid w:val="00241058"/>
    <w:rsid w:val="002447EF"/>
    <w:rsid w:val="00244855"/>
    <w:rsid w:val="00247130"/>
    <w:rsid w:val="00250478"/>
    <w:rsid w:val="00251550"/>
    <w:rsid w:val="00251CF4"/>
    <w:rsid w:val="00252C1A"/>
    <w:rsid w:val="00253456"/>
    <w:rsid w:val="00253D7B"/>
    <w:rsid w:val="00253D9B"/>
    <w:rsid w:val="002544D2"/>
    <w:rsid w:val="0025597D"/>
    <w:rsid w:val="00256BE5"/>
    <w:rsid w:val="00256E14"/>
    <w:rsid w:val="00260353"/>
    <w:rsid w:val="0026174E"/>
    <w:rsid w:val="00261762"/>
    <w:rsid w:val="0026284A"/>
    <w:rsid w:val="00262E7A"/>
    <w:rsid w:val="00263444"/>
    <w:rsid w:val="00263B05"/>
    <w:rsid w:val="00263FC2"/>
    <w:rsid w:val="00271148"/>
    <w:rsid w:val="0027122E"/>
    <w:rsid w:val="00271788"/>
    <w:rsid w:val="0027221A"/>
    <w:rsid w:val="00272737"/>
    <w:rsid w:val="00272C08"/>
    <w:rsid w:val="002731F2"/>
    <w:rsid w:val="00273439"/>
    <w:rsid w:val="00275B61"/>
    <w:rsid w:val="0027706B"/>
    <w:rsid w:val="00282656"/>
    <w:rsid w:val="00283C56"/>
    <w:rsid w:val="00284375"/>
    <w:rsid w:val="002844BB"/>
    <w:rsid w:val="0028597D"/>
    <w:rsid w:val="00285FC8"/>
    <w:rsid w:val="00286B32"/>
    <w:rsid w:val="00293A83"/>
    <w:rsid w:val="00294538"/>
    <w:rsid w:val="002947F1"/>
    <w:rsid w:val="002957E6"/>
    <w:rsid w:val="00296B83"/>
    <w:rsid w:val="00297987"/>
    <w:rsid w:val="00297B6E"/>
    <w:rsid w:val="002A0485"/>
    <w:rsid w:val="002B1A04"/>
    <w:rsid w:val="002B30B1"/>
    <w:rsid w:val="002B78CE"/>
    <w:rsid w:val="002C04CA"/>
    <w:rsid w:val="002C2FB6"/>
    <w:rsid w:val="002C3BF4"/>
    <w:rsid w:val="002C695B"/>
    <w:rsid w:val="002D0964"/>
    <w:rsid w:val="002D143C"/>
    <w:rsid w:val="002D324F"/>
    <w:rsid w:val="002D3CB8"/>
    <w:rsid w:val="002D5052"/>
    <w:rsid w:val="002D5BCD"/>
    <w:rsid w:val="002D753E"/>
    <w:rsid w:val="002E6504"/>
    <w:rsid w:val="002F3797"/>
    <w:rsid w:val="002F55C6"/>
    <w:rsid w:val="002F5F5D"/>
    <w:rsid w:val="003009B7"/>
    <w:rsid w:val="00300E56"/>
    <w:rsid w:val="00302748"/>
    <w:rsid w:val="0030469C"/>
    <w:rsid w:val="00305760"/>
    <w:rsid w:val="00306ACE"/>
    <w:rsid w:val="003073A9"/>
    <w:rsid w:val="003118A5"/>
    <w:rsid w:val="00314402"/>
    <w:rsid w:val="00317BE1"/>
    <w:rsid w:val="003211B7"/>
    <w:rsid w:val="00321CA6"/>
    <w:rsid w:val="003253EE"/>
    <w:rsid w:val="0032551B"/>
    <w:rsid w:val="00325FB6"/>
    <w:rsid w:val="003260D8"/>
    <w:rsid w:val="00326635"/>
    <w:rsid w:val="00331EFC"/>
    <w:rsid w:val="00334C09"/>
    <w:rsid w:val="003365E3"/>
    <w:rsid w:val="003368F5"/>
    <w:rsid w:val="00351DAD"/>
    <w:rsid w:val="003529FE"/>
    <w:rsid w:val="00355C7E"/>
    <w:rsid w:val="0035790E"/>
    <w:rsid w:val="00361FFB"/>
    <w:rsid w:val="003649C6"/>
    <w:rsid w:val="00364AB9"/>
    <w:rsid w:val="00366B34"/>
    <w:rsid w:val="003703E8"/>
    <w:rsid w:val="00370817"/>
    <w:rsid w:val="00371059"/>
    <w:rsid w:val="003723D4"/>
    <w:rsid w:val="00374840"/>
    <w:rsid w:val="00374BF9"/>
    <w:rsid w:val="003753F2"/>
    <w:rsid w:val="003763E2"/>
    <w:rsid w:val="00380FDC"/>
    <w:rsid w:val="0038228C"/>
    <w:rsid w:val="00383242"/>
    <w:rsid w:val="00383280"/>
    <w:rsid w:val="00383790"/>
    <w:rsid w:val="00384CC8"/>
    <w:rsid w:val="003871FD"/>
    <w:rsid w:val="0039113B"/>
    <w:rsid w:val="00392322"/>
    <w:rsid w:val="003A07A0"/>
    <w:rsid w:val="003A0925"/>
    <w:rsid w:val="003A11D5"/>
    <w:rsid w:val="003A1493"/>
    <w:rsid w:val="003A1E30"/>
    <w:rsid w:val="003A5818"/>
    <w:rsid w:val="003A7D1C"/>
    <w:rsid w:val="003B188D"/>
    <w:rsid w:val="003B304B"/>
    <w:rsid w:val="003B3146"/>
    <w:rsid w:val="003B4037"/>
    <w:rsid w:val="003B4D3C"/>
    <w:rsid w:val="003B51D4"/>
    <w:rsid w:val="003B521C"/>
    <w:rsid w:val="003B60F3"/>
    <w:rsid w:val="003B647B"/>
    <w:rsid w:val="003C08DD"/>
    <w:rsid w:val="003C484B"/>
    <w:rsid w:val="003C73C2"/>
    <w:rsid w:val="003D00BD"/>
    <w:rsid w:val="003D1AD6"/>
    <w:rsid w:val="003E0DDE"/>
    <w:rsid w:val="003E2196"/>
    <w:rsid w:val="003E2E5C"/>
    <w:rsid w:val="003E370F"/>
    <w:rsid w:val="003F015E"/>
    <w:rsid w:val="003F2C34"/>
    <w:rsid w:val="00400414"/>
    <w:rsid w:val="00400BDD"/>
    <w:rsid w:val="0040203A"/>
    <w:rsid w:val="00402446"/>
    <w:rsid w:val="00403A69"/>
    <w:rsid w:val="004049C1"/>
    <w:rsid w:val="00405F4D"/>
    <w:rsid w:val="00407E96"/>
    <w:rsid w:val="0041345B"/>
    <w:rsid w:val="0041446B"/>
    <w:rsid w:val="00416CF0"/>
    <w:rsid w:val="00421ECE"/>
    <w:rsid w:val="0042384B"/>
    <w:rsid w:val="00423A76"/>
    <w:rsid w:val="00424E72"/>
    <w:rsid w:val="00433C0A"/>
    <w:rsid w:val="0044282B"/>
    <w:rsid w:val="00443049"/>
    <w:rsid w:val="0044329C"/>
    <w:rsid w:val="004438E5"/>
    <w:rsid w:val="004457EE"/>
    <w:rsid w:val="004529D8"/>
    <w:rsid w:val="00454879"/>
    <w:rsid w:val="004577FE"/>
    <w:rsid w:val="00457B9C"/>
    <w:rsid w:val="00457D4D"/>
    <w:rsid w:val="004602BE"/>
    <w:rsid w:val="0046164A"/>
    <w:rsid w:val="004628D2"/>
    <w:rsid w:val="00462DCD"/>
    <w:rsid w:val="0046366C"/>
    <w:rsid w:val="004648AD"/>
    <w:rsid w:val="004651EC"/>
    <w:rsid w:val="00466E57"/>
    <w:rsid w:val="004703A9"/>
    <w:rsid w:val="00471290"/>
    <w:rsid w:val="004716EC"/>
    <w:rsid w:val="00472F76"/>
    <w:rsid w:val="004760DE"/>
    <w:rsid w:val="00476CEE"/>
    <w:rsid w:val="00476D93"/>
    <w:rsid w:val="00477D7B"/>
    <w:rsid w:val="00481EF5"/>
    <w:rsid w:val="004830C7"/>
    <w:rsid w:val="00483C76"/>
    <w:rsid w:val="00486AB8"/>
    <w:rsid w:val="00487A4F"/>
    <w:rsid w:val="0049091B"/>
    <w:rsid w:val="00493A05"/>
    <w:rsid w:val="00493A4D"/>
    <w:rsid w:val="004A004E"/>
    <w:rsid w:val="004A1162"/>
    <w:rsid w:val="004A24CF"/>
    <w:rsid w:val="004A3453"/>
    <w:rsid w:val="004A7554"/>
    <w:rsid w:val="004B2B21"/>
    <w:rsid w:val="004B336F"/>
    <w:rsid w:val="004B46DB"/>
    <w:rsid w:val="004B6721"/>
    <w:rsid w:val="004C3D1D"/>
    <w:rsid w:val="004C5728"/>
    <w:rsid w:val="004C7913"/>
    <w:rsid w:val="004D3BF3"/>
    <w:rsid w:val="004D4213"/>
    <w:rsid w:val="004E43EF"/>
    <w:rsid w:val="004E4B19"/>
    <w:rsid w:val="004E4DD6"/>
    <w:rsid w:val="004E596C"/>
    <w:rsid w:val="004E63A4"/>
    <w:rsid w:val="004E63C2"/>
    <w:rsid w:val="004E7065"/>
    <w:rsid w:val="004F4FF9"/>
    <w:rsid w:val="004F54AC"/>
    <w:rsid w:val="004F5E36"/>
    <w:rsid w:val="004F6EB6"/>
    <w:rsid w:val="005003E8"/>
    <w:rsid w:val="005019ED"/>
    <w:rsid w:val="00503F45"/>
    <w:rsid w:val="00506F4B"/>
    <w:rsid w:val="00507AC2"/>
    <w:rsid w:val="00507B47"/>
    <w:rsid w:val="00507CC9"/>
    <w:rsid w:val="00510483"/>
    <w:rsid w:val="005106EC"/>
    <w:rsid w:val="0051071D"/>
    <w:rsid w:val="00511326"/>
    <w:rsid w:val="005119A5"/>
    <w:rsid w:val="005119C0"/>
    <w:rsid w:val="005142BF"/>
    <w:rsid w:val="005152F8"/>
    <w:rsid w:val="00516237"/>
    <w:rsid w:val="00516FE0"/>
    <w:rsid w:val="00517EED"/>
    <w:rsid w:val="005237A8"/>
    <w:rsid w:val="00526BC6"/>
    <w:rsid w:val="005278B7"/>
    <w:rsid w:val="00531180"/>
    <w:rsid w:val="00532016"/>
    <w:rsid w:val="005346C8"/>
    <w:rsid w:val="00535516"/>
    <w:rsid w:val="00537037"/>
    <w:rsid w:val="0054079B"/>
    <w:rsid w:val="00540D08"/>
    <w:rsid w:val="005425E3"/>
    <w:rsid w:val="00542B8A"/>
    <w:rsid w:val="00543E7D"/>
    <w:rsid w:val="005465E4"/>
    <w:rsid w:val="00546B05"/>
    <w:rsid w:val="0054704D"/>
    <w:rsid w:val="00547A68"/>
    <w:rsid w:val="005531C9"/>
    <w:rsid w:val="00557563"/>
    <w:rsid w:val="005579A2"/>
    <w:rsid w:val="0056527D"/>
    <w:rsid w:val="00565592"/>
    <w:rsid w:val="005665D2"/>
    <w:rsid w:val="00566B72"/>
    <w:rsid w:val="00572B54"/>
    <w:rsid w:val="0057493A"/>
    <w:rsid w:val="00576147"/>
    <w:rsid w:val="00577579"/>
    <w:rsid w:val="00580092"/>
    <w:rsid w:val="00581E00"/>
    <w:rsid w:val="0058516C"/>
    <w:rsid w:val="005931B3"/>
    <w:rsid w:val="00593BCD"/>
    <w:rsid w:val="005943B6"/>
    <w:rsid w:val="005A00E3"/>
    <w:rsid w:val="005A0110"/>
    <w:rsid w:val="005A034A"/>
    <w:rsid w:val="005A1F29"/>
    <w:rsid w:val="005A25A6"/>
    <w:rsid w:val="005A310B"/>
    <w:rsid w:val="005A4BF7"/>
    <w:rsid w:val="005A6983"/>
    <w:rsid w:val="005A7204"/>
    <w:rsid w:val="005B1F2D"/>
    <w:rsid w:val="005B2110"/>
    <w:rsid w:val="005B3601"/>
    <w:rsid w:val="005B61E6"/>
    <w:rsid w:val="005C0A76"/>
    <w:rsid w:val="005C0EA8"/>
    <w:rsid w:val="005C2CC2"/>
    <w:rsid w:val="005C3C90"/>
    <w:rsid w:val="005C6FF5"/>
    <w:rsid w:val="005C74A7"/>
    <w:rsid w:val="005C77E1"/>
    <w:rsid w:val="005D249E"/>
    <w:rsid w:val="005D478E"/>
    <w:rsid w:val="005D6A2F"/>
    <w:rsid w:val="005E161B"/>
    <w:rsid w:val="005E1A82"/>
    <w:rsid w:val="005E2E7F"/>
    <w:rsid w:val="005E30F4"/>
    <w:rsid w:val="005E5473"/>
    <w:rsid w:val="005E58AC"/>
    <w:rsid w:val="005E70D2"/>
    <w:rsid w:val="005E7763"/>
    <w:rsid w:val="005E794C"/>
    <w:rsid w:val="005F0A28"/>
    <w:rsid w:val="005F0A9A"/>
    <w:rsid w:val="005F0E5E"/>
    <w:rsid w:val="005F14E2"/>
    <w:rsid w:val="005F6E23"/>
    <w:rsid w:val="00600535"/>
    <w:rsid w:val="006006EA"/>
    <w:rsid w:val="006020C2"/>
    <w:rsid w:val="00610CD6"/>
    <w:rsid w:val="00613611"/>
    <w:rsid w:val="00614472"/>
    <w:rsid w:val="006156B6"/>
    <w:rsid w:val="00615FF3"/>
    <w:rsid w:val="00617EAB"/>
    <w:rsid w:val="00620DEE"/>
    <w:rsid w:val="00621F92"/>
    <w:rsid w:val="00624226"/>
    <w:rsid w:val="00625639"/>
    <w:rsid w:val="00631B33"/>
    <w:rsid w:val="00632B21"/>
    <w:rsid w:val="006410D9"/>
    <w:rsid w:val="0064184D"/>
    <w:rsid w:val="006422CC"/>
    <w:rsid w:val="00643012"/>
    <w:rsid w:val="00647D4C"/>
    <w:rsid w:val="006502C0"/>
    <w:rsid w:val="006506E8"/>
    <w:rsid w:val="006513FB"/>
    <w:rsid w:val="0065251C"/>
    <w:rsid w:val="00652DE0"/>
    <w:rsid w:val="00654655"/>
    <w:rsid w:val="00654D32"/>
    <w:rsid w:val="00654D93"/>
    <w:rsid w:val="006556F3"/>
    <w:rsid w:val="00655D48"/>
    <w:rsid w:val="00656717"/>
    <w:rsid w:val="00660E3E"/>
    <w:rsid w:val="00662170"/>
    <w:rsid w:val="00662CF4"/>
    <w:rsid w:val="00662E74"/>
    <w:rsid w:val="00664B82"/>
    <w:rsid w:val="006701EC"/>
    <w:rsid w:val="00670DF1"/>
    <w:rsid w:val="00670E42"/>
    <w:rsid w:val="0067151C"/>
    <w:rsid w:val="00673E2C"/>
    <w:rsid w:val="006767CA"/>
    <w:rsid w:val="00676889"/>
    <w:rsid w:val="00676D60"/>
    <w:rsid w:val="006773DC"/>
    <w:rsid w:val="00680C23"/>
    <w:rsid w:val="00685E1D"/>
    <w:rsid w:val="0068699B"/>
    <w:rsid w:val="00686AC8"/>
    <w:rsid w:val="00686E02"/>
    <w:rsid w:val="00687657"/>
    <w:rsid w:val="00693491"/>
    <w:rsid w:val="00693766"/>
    <w:rsid w:val="006940CF"/>
    <w:rsid w:val="00694B87"/>
    <w:rsid w:val="0069711E"/>
    <w:rsid w:val="006A165B"/>
    <w:rsid w:val="006A1FF1"/>
    <w:rsid w:val="006A3281"/>
    <w:rsid w:val="006A3C7D"/>
    <w:rsid w:val="006A7162"/>
    <w:rsid w:val="006B0CBE"/>
    <w:rsid w:val="006B1EDE"/>
    <w:rsid w:val="006B4888"/>
    <w:rsid w:val="006B4924"/>
    <w:rsid w:val="006C2E45"/>
    <w:rsid w:val="006C359C"/>
    <w:rsid w:val="006C4BC8"/>
    <w:rsid w:val="006C5579"/>
    <w:rsid w:val="006C691C"/>
    <w:rsid w:val="006D0443"/>
    <w:rsid w:val="006D227C"/>
    <w:rsid w:val="006E01C9"/>
    <w:rsid w:val="006E1282"/>
    <w:rsid w:val="006E254D"/>
    <w:rsid w:val="006E2F13"/>
    <w:rsid w:val="006E4171"/>
    <w:rsid w:val="006E50F1"/>
    <w:rsid w:val="006E6F26"/>
    <w:rsid w:val="006E737D"/>
    <w:rsid w:val="006F111C"/>
    <w:rsid w:val="006F11E6"/>
    <w:rsid w:val="006F28D6"/>
    <w:rsid w:val="006F4878"/>
    <w:rsid w:val="006F5659"/>
    <w:rsid w:val="006F5E1D"/>
    <w:rsid w:val="006F75F1"/>
    <w:rsid w:val="00700178"/>
    <w:rsid w:val="00700998"/>
    <w:rsid w:val="0070195D"/>
    <w:rsid w:val="00706130"/>
    <w:rsid w:val="00706818"/>
    <w:rsid w:val="00711A79"/>
    <w:rsid w:val="00711CA5"/>
    <w:rsid w:val="00711E45"/>
    <w:rsid w:val="0071353F"/>
    <w:rsid w:val="00715EA7"/>
    <w:rsid w:val="00720060"/>
    <w:rsid w:val="00720A24"/>
    <w:rsid w:val="00720D18"/>
    <w:rsid w:val="007212E0"/>
    <w:rsid w:val="00721BDE"/>
    <w:rsid w:val="00722AB2"/>
    <w:rsid w:val="00724842"/>
    <w:rsid w:val="00726AC6"/>
    <w:rsid w:val="00727CCD"/>
    <w:rsid w:val="00727E3A"/>
    <w:rsid w:val="0073162D"/>
    <w:rsid w:val="00731AD2"/>
    <w:rsid w:val="00732386"/>
    <w:rsid w:val="00736313"/>
    <w:rsid w:val="00737884"/>
    <w:rsid w:val="00740CD0"/>
    <w:rsid w:val="00743039"/>
    <w:rsid w:val="00743DDE"/>
    <w:rsid w:val="007447F3"/>
    <w:rsid w:val="00744AE6"/>
    <w:rsid w:val="00744B0F"/>
    <w:rsid w:val="00744CC2"/>
    <w:rsid w:val="00745C54"/>
    <w:rsid w:val="00745E32"/>
    <w:rsid w:val="00753656"/>
    <w:rsid w:val="00753DC5"/>
    <w:rsid w:val="0075499F"/>
    <w:rsid w:val="00756B4F"/>
    <w:rsid w:val="00760756"/>
    <w:rsid w:val="007627E1"/>
    <w:rsid w:val="00763265"/>
    <w:rsid w:val="007652FC"/>
    <w:rsid w:val="007653DB"/>
    <w:rsid w:val="007661C8"/>
    <w:rsid w:val="007667EA"/>
    <w:rsid w:val="0077098D"/>
    <w:rsid w:val="00770BAC"/>
    <w:rsid w:val="00770DD8"/>
    <w:rsid w:val="00773A6A"/>
    <w:rsid w:val="00773C7A"/>
    <w:rsid w:val="00774A22"/>
    <w:rsid w:val="00774C8A"/>
    <w:rsid w:val="00774F0B"/>
    <w:rsid w:val="00775C3D"/>
    <w:rsid w:val="00777347"/>
    <w:rsid w:val="00777C70"/>
    <w:rsid w:val="00783392"/>
    <w:rsid w:val="00783594"/>
    <w:rsid w:val="0078672A"/>
    <w:rsid w:val="00787BD9"/>
    <w:rsid w:val="00787E07"/>
    <w:rsid w:val="00791815"/>
    <w:rsid w:val="00791F2B"/>
    <w:rsid w:val="007922C9"/>
    <w:rsid w:val="007927B4"/>
    <w:rsid w:val="007931FA"/>
    <w:rsid w:val="00793DBF"/>
    <w:rsid w:val="0079489D"/>
    <w:rsid w:val="007976E8"/>
    <w:rsid w:val="007A21CD"/>
    <w:rsid w:val="007A2F3E"/>
    <w:rsid w:val="007A754B"/>
    <w:rsid w:val="007A7BBA"/>
    <w:rsid w:val="007B0C50"/>
    <w:rsid w:val="007B1BA6"/>
    <w:rsid w:val="007B1D2F"/>
    <w:rsid w:val="007B1E59"/>
    <w:rsid w:val="007B5B63"/>
    <w:rsid w:val="007C1A43"/>
    <w:rsid w:val="007C339D"/>
    <w:rsid w:val="007D41C1"/>
    <w:rsid w:val="007D7DBA"/>
    <w:rsid w:val="007E1DC6"/>
    <w:rsid w:val="007E21AB"/>
    <w:rsid w:val="007E3EBF"/>
    <w:rsid w:val="007E722D"/>
    <w:rsid w:val="007F09F9"/>
    <w:rsid w:val="007F0B6A"/>
    <w:rsid w:val="007F4268"/>
    <w:rsid w:val="007F4A6C"/>
    <w:rsid w:val="007F4ACF"/>
    <w:rsid w:val="00801B0F"/>
    <w:rsid w:val="00801F17"/>
    <w:rsid w:val="00805173"/>
    <w:rsid w:val="00805F09"/>
    <w:rsid w:val="008068AB"/>
    <w:rsid w:val="00810551"/>
    <w:rsid w:val="008114DF"/>
    <w:rsid w:val="00813288"/>
    <w:rsid w:val="008132EF"/>
    <w:rsid w:val="0081452A"/>
    <w:rsid w:val="008168FC"/>
    <w:rsid w:val="00816FC9"/>
    <w:rsid w:val="00817B98"/>
    <w:rsid w:val="00820A1C"/>
    <w:rsid w:val="00822DBB"/>
    <w:rsid w:val="00823F6A"/>
    <w:rsid w:val="00825DA7"/>
    <w:rsid w:val="00830996"/>
    <w:rsid w:val="008345F1"/>
    <w:rsid w:val="00835DF0"/>
    <w:rsid w:val="00837A11"/>
    <w:rsid w:val="00843903"/>
    <w:rsid w:val="008439B7"/>
    <w:rsid w:val="00845D8D"/>
    <w:rsid w:val="008466CE"/>
    <w:rsid w:val="00847D90"/>
    <w:rsid w:val="008500EC"/>
    <w:rsid w:val="00852686"/>
    <w:rsid w:val="00852EA0"/>
    <w:rsid w:val="00854EEB"/>
    <w:rsid w:val="00857790"/>
    <w:rsid w:val="00860B2D"/>
    <w:rsid w:val="00860CAE"/>
    <w:rsid w:val="00861A72"/>
    <w:rsid w:val="00864E36"/>
    <w:rsid w:val="008655AE"/>
    <w:rsid w:val="00865B07"/>
    <w:rsid w:val="008667EA"/>
    <w:rsid w:val="00870E37"/>
    <w:rsid w:val="008718E5"/>
    <w:rsid w:val="00874466"/>
    <w:rsid w:val="0087637F"/>
    <w:rsid w:val="00877913"/>
    <w:rsid w:val="008821BE"/>
    <w:rsid w:val="008827D6"/>
    <w:rsid w:val="00883BD4"/>
    <w:rsid w:val="0088616B"/>
    <w:rsid w:val="008904B9"/>
    <w:rsid w:val="008913C1"/>
    <w:rsid w:val="00891CB3"/>
    <w:rsid w:val="00892641"/>
    <w:rsid w:val="00892AD5"/>
    <w:rsid w:val="008967DB"/>
    <w:rsid w:val="008A1512"/>
    <w:rsid w:val="008A56F2"/>
    <w:rsid w:val="008A5864"/>
    <w:rsid w:val="008A6AA3"/>
    <w:rsid w:val="008A6B0F"/>
    <w:rsid w:val="008B3EAA"/>
    <w:rsid w:val="008B4ECC"/>
    <w:rsid w:val="008B5235"/>
    <w:rsid w:val="008C0F28"/>
    <w:rsid w:val="008C1C02"/>
    <w:rsid w:val="008C208D"/>
    <w:rsid w:val="008C486F"/>
    <w:rsid w:val="008C48B7"/>
    <w:rsid w:val="008C78C1"/>
    <w:rsid w:val="008D28BC"/>
    <w:rsid w:val="008D32B9"/>
    <w:rsid w:val="008D433B"/>
    <w:rsid w:val="008D4763"/>
    <w:rsid w:val="008E13FE"/>
    <w:rsid w:val="008E1EB9"/>
    <w:rsid w:val="008E2807"/>
    <w:rsid w:val="008E31E2"/>
    <w:rsid w:val="008E566E"/>
    <w:rsid w:val="008E5B1D"/>
    <w:rsid w:val="008E6FEB"/>
    <w:rsid w:val="008E71E5"/>
    <w:rsid w:val="008E734E"/>
    <w:rsid w:val="008F1553"/>
    <w:rsid w:val="008F1588"/>
    <w:rsid w:val="008F66C9"/>
    <w:rsid w:val="009006DF"/>
    <w:rsid w:val="0090161A"/>
    <w:rsid w:val="0090178D"/>
    <w:rsid w:val="00901EB6"/>
    <w:rsid w:val="009032BF"/>
    <w:rsid w:val="0090478D"/>
    <w:rsid w:val="00904C62"/>
    <w:rsid w:val="0090649A"/>
    <w:rsid w:val="00907DBD"/>
    <w:rsid w:val="00910DE7"/>
    <w:rsid w:val="00913D98"/>
    <w:rsid w:val="00916B0B"/>
    <w:rsid w:val="009177EA"/>
    <w:rsid w:val="009204D6"/>
    <w:rsid w:val="00920CF8"/>
    <w:rsid w:val="00922C6E"/>
    <w:rsid w:val="00924DAC"/>
    <w:rsid w:val="00926E2D"/>
    <w:rsid w:val="00926F66"/>
    <w:rsid w:val="00927058"/>
    <w:rsid w:val="009318A5"/>
    <w:rsid w:val="00931BD6"/>
    <w:rsid w:val="00932AA3"/>
    <w:rsid w:val="00933178"/>
    <w:rsid w:val="009343F4"/>
    <w:rsid w:val="009352A9"/>
    <w:rsid w:val="009355B0"/>
    <w:rsid w:val="00935ED0"/>
    <w:rsid w:val="0093760D"/>
    <w:rsid w:val="00937A4D"/>
    <w:rsid w:val="00937E51"/>
    <w:rsid w:val="009402EA"/>
    <w:rsid w:val="00940C45"/>
    <w:rsid w:val="00943680"/>
    <w:rsid w:val="00943975"/>
    <w:rsid w:val="0094494E"/>
    <w:rsid w:val="00944975"/>
    <w:rsid w:val="00944A98"/>
    <w:rsid w:val="009450CE"/>
    <w:rsid w:val="00947179"/>
    <w:rsid w:val="009479F3"/>
    <w:rsid w:val="009500F4"/>
    <w:rsid w:val="00950126"/>
    <w:rsid w:val="0095118B"/>
    <w:rsid w:val="0095164B"/>
    <w:rsid w:val="00954090"/>
    <w:rsid w:val="00955EFC"/>
    <w:rsid w:val="009562D8"/>
    <w:rsid w:val="009573E7"/>
    <w:rsid w:val="009607A4"/>
    <w:rsid w:val="00961895"/>
    <w:rsid w:val="009635B9"/>
    <w:rsid w:val="00963E05"/>
    <w:rsid w:val="00964983"/>
    <w:rsid w:val="00965FF0"/>
    <w:rsid w:val="00967D54"/>
    <w:rsid w:val="009716CE"/>
    <w:rsid w:val="00973552"/>
    <w:rsid w:val="00974F7E"/>
    <w:rsid w:val="00974F96"/>
    <w:rsid w:val="0097577B"/>
    <w:rsid w:val="00975928"/>
    <w:rsid w:val="0097665A"/>
    <w:rsid w:val="00981D65"/>
    <w:rsid w:val="00983BD9"/>
    <w:rsid w:val="00984A52"/>
    <w:rsid w:val="009859B5"/>
    <w:rsid w:val="009870EC"/>
    <w:rsid w:val="00987241"/>
    <w:rsid w:val="00990E31"/>
    <w:rsid w:val="009922F2"/>
    <w:rsid w:val="009944AB"/>
    <w:rsid w:val="00996483"/>
    <w:rsid w:val="00996F5A"/>
    <w:rsid w:val="009A0A3E"/>
    <w:rsid w:val="009A38B4"/>
    <w:rsid w:val="009A6E30"/>
    <w:rsid w:val="009B041A"/>
    <w:rsid w:val="009B4130"/>
    <w:rsid w:val="009B46EB"/>
    <w:rsid w:val="009B65A8"/>
    <w:rsid w:val="009C7244"/>
    <w:rsid w:val="009C7C86"/>
    <w:rsid w:val="009D061F"/>
    <w:rsid w:val="009D2B38"/>
    <w:rsid w:val="009D2FF7"/>
    <w:rsid w:val="009D3146"/>
    <w:rsid w:val="009D33F5"/>
    <w:rsid w:val="009D3A78"/>
    <w:rsid w:val="009D7545"/>
    <w:rsid w:val="009E2E01"/>
    <w:rsid w:val="009E4044"/>
    <w:rsid w:val="009E7884"/>
    <w:rsid w:val="009E788A"/>
    <w:rsid w:val="009F0E08"/>
    <w:rsid w:val="009F1D91"/>
    <w:rsid w:val="009F4ABD"/>
    <w:rsid w:val="009F5531"/>
    <w:rsid w:val="009F7114"/>
    <w:rsid w:val="00A007D3"/>
    <w:rsid w:val="00A02AA4"/>
    <w:rsid w:val="00A02DE7"/>
    <w:rsid w:val="00A03CA5"/>
    <w:rsid w:val="00A06B24"/>
    <w:rsid w:val="00A073C1"/>
    <w:rsid w:val="00A074D8"/>
    <w:rsid w:val="00A102F6"/>
    <w:rsid w:val="00A11A4D"/>
    <w:rsid w:val="00A11AEE"/>
    <w:rsid w:val="00A11BF1"/>
    <w:rsid w:val="00A12DB6"/>
    <w:rsid w:val="00A1307D"/>
    <w:rsid w:val="00A1752B"/>
    <w:rsid w:val="00A1763D"/>
    <w:rsid w:val="00A17C78"/>
    <w:rsid w:val="00A17CEC"/>
    <w:rsid w:val="00A20824"/>
    <w:rsid w:val="00A229C9"/>
    <w:rsid w:val="00A240BF"/>
    <w:rsid w:val="00A27EF0"/>
    <w:rsid w:val="00A30A4F"/>
    <w:rsid w:val="00A34749"/>
    <w:rsid w:val="00A362D3"/>
    <w:rsid w:val="00A410DE"/>
    <w:rsid w:val="00A443AF"/>
    <w:rsid w:val="00A46AF6"/>
    <w:rsid w:val="00A47705"/>
    <w:rsid w:val="00A50424"/>
    <w:rsid w:val="00A50B20"/>
    <w:rsid w:val="00A51390"/>
    <w:rsid w:val="00A53876"/>
    <w:rsid w:val="00A56331"/>
    <w:rsid w:val="00A57BDE"/>
    <w:rsid w:val="00A603D3"/>
    <w:rsid w:val="00A60D13"/>
    <w:rsid w:val="00A615C9"/>
    <w:rsid w:val="00A63377"/>
    <w:rsid w:val="00A635D7"/>
    <w:rsid w:val="00A67A7F"/>
    <w:rsid w:val="00A67D90"/>
    <w:rsid w:val="00A71590"/>
    <w:rsid w:val="00A72745"/>
    <w:rsid w:val="00A7326B"/>
    <w:rsid w:val="00A76EFC"/>
    <w:rsid w:val="00A779A4"/>
    <w:rsid w:val="00A80B2B"/>
    <w:rsid w:val="00A81FBF"/>
    <w:rsid w:val="00A8289A"/>
    <w:rsid w:val="00A84950"/>
    <w:rsid w:val="00A85BEE"/>
    <w:rsid w:val="00A90D12"/>
    <w:rsid w:val="00A91010"/>
    <w:rsid w:val="00A915B5"/>
    <w:rsid w:val="00A93007"/>
    <w:rsid w:val="00A9379A"/>
    <w:rsid w:val="00A9451A"/>
    <w:rsid w:val="00A96FB7"/>
    <w:rsid w:val="00A97F29"/>
    <w:rsid w:val="00AA1CF1"/>
    <w:rsid w:val="00AA3C33"/>
    <w:rsid w:val="00AA5468"/>
    <w:rsid w:val="00AA663E"/>
    <w:rsid w:val="00AA702E"/>
    <w:rsid w:val="00AA7A1E"/>
    <w:rsid w:val="00AB0964"/>
    <w:rsid w:val="00AB3AAE"/>
    <w:rsid w:val="00AB4EB6"/>
    <w:rsid w:val="00AB5011"/>
    <w:rsid w:val="00AB7AE1"/>
    <w:rsid w:val="00AC01BD"/>
    <w:rsid w:val="00AC15FB"/>
    <w:rsid w:val="00AC2DD8"/>
    <w:rsid w:val="00AC4455"/>
    <w:rsid w:val="00AC6082"/>
    <w:rsid w:val="00AC7368"/>
    <w:rsid w:val="00AD16B9"/>
    <w:rsid w:val="00AD224F"/>
    <w:rsid w:val="00AD3438"/>
    <w:rsid w:val="00AD5336"/>
    <w:rsid w:val="00AD7A04"/>
    <w:rsid w:val="00AE20B4"/>
    <w:rsid w:val="00AE377D"/>
    <w:rsid w:val="00AE4314"/>
    <w:rsid w:val="00AE5551"/>
    <w:rsid w:val="00AE5B43"/>
    <w:rsid w:val="00AE7D27"/>
    <w:rsid w:val="00AF2B51"/>
    <w:rsid w:val="00AF3E5B"/>
    <w:rsid w:val="00AF4B2B"/>
    <w:rsid w:val="00AF5AC9"/>
    <w:rsid w:val="00AF6AC2"/>
    <w:rsid w:val="00AF76EB"/>
    <w:rsid w:val="00B00CE4"/>
    <w:rsid w:val="00B014DC"/>
    <w:rsid w:val="00B037C6"/>
    <w:rsid w:val="00B041F6"/>
    <w:rsid w:val="00B05099"/>
    <w:rsid w:val="00B07AB8"/>
    <w:rsid w:val="00B1110D"/>
    <w:rsid w:val="00B11166"/>
    <w:rsid w:val="00B1396C"/>
    <w:rsid w:val="00B15119"/>
    <w:rsid w:val="00B15949"/>
    <w:rsid w:val="00B16F16"/>
    <w:rsid w:val="00B177A3"/>
    <w:rsid w:val="00B17FBD"/>
    <w:rsid w:val="00B2240B"/>
    <w:rsid w:val="00B22BCD"/>
    <w:rsid w:val="00B230EF"/>
    <w:rsid w:val="00B262B6"/>
    <w:rsid w:val="00B268A1"/>
    <w:rsid w:val="00B315A6"/>
    <w:rsid w:val="00B31813"/>
    <w:rsid w:val="00B31D98"/>
    <w:rsid w:val="00B33365"/>
    <w:rsid w:val="00B335D7"/>
    <w:rsid w:val="00B3476F"/>
    <w:rsid w:val="00B3652E"/>
    <w:rsid w:val="00B3745B"/>
    <w:rsid w:val="00B41B40"/>
    <w:rsid w:val="00B42C21"/>
    <w:rsid w:val="00B431DB"/>
    <w:rsid w:val="00B43E93"/>
    <w:rsid w:val="00B44A9D"/>
    <w:rsid w:val="00B52638"/>
    <w:rsid w:val="00B53AA6"/>
    <w:rsid w:val="00B560DB"/>
    <w:rsid w:val="00B57B36"/>
    <w:rsid w:val="00B616BB"/>
    <w:rsid w:val="00B637E7"/>
    <w:rsid w:val="00B67ED4"/>
    <w:rsid w:val="00B70E46"/>
    <w:rsid w:val="00B71E5C"/>
    <w:rsid w:val="00B72455"/>
    <w:rsid w:val="00B76D7E"/>
    <w:rsid w:val="00B819F3"/>
    <w:rsid w:val="00B81CBA"/>
    <w:rsid w:val="00B82A5A"/>
    <w:rsid w:val="00B84B90"/>
    <w:rsid w:val="00B8686D"/>
    <w:rsid w:val="00B9011C"/>
    <w:rsid w:val="00B90CC5"/>
    <w:rsid w:val="00B94047"/>
    <w:rsid w:val="00B95910"/>
    <w:rsid w:val="00B96BD0"/>
    <w:rsid w:val="00BA0268"/>
    <w:rsid w:val="00BA0BDA"/>
    <w:rsid w:val="00BA3668"/>
    <w:rsid w:val="00BA3D8C"/>
    <w:rsid w:val="00BA455F"/>
    <w:rsid w:val="00BB3EFC"/>
    <w:rsid w:val="00BB7147"/>
    <w:rsid w:val="00BC036D"/>
    <w:rsid w:val="00BC22FC"/>
    <w:rsid w:val="00BC2CCD"/>
    <w:rsid w:val="00BC30C9"/>
    <w:rsid w:val="00BC4944"/>
    <w:rsid w:val="00BC61E2"/>
    <w:rsid w:val="00BD2A81"/>
    <w:rsid w:val="00BD2F92"/>
    <w:rsid w:val="00BD4C97"/>
    <w:rsid w:val="00BD6BA7"/>
    <w:rsid w:val="00BD6C7B"/>
    <w:rsid w:val="00BE0618"/>
    <w:rsid w:val="00BE0AE5"/>
    <w:rsid w:val="00BE3709"/>
    <w:rsid w:val="00BE3E58"/>
    <w:rsid w:val="00BE67F0"/>
    <w:rsid w:val="00BE7BF5"/>
    <w:rsid w:val="00BE7DA3"/>
    <w:rsid w:val="00BF2A4F"/>
    <w:rsid w:val="00BF3441"/>
    <w:rsid w:val="00BF3E0C"/>
    <w:rsid w:val="00BF4486"/>
    <w:rsid w:val="00C008F7"/>
    <w:rsid w:val="00C01616"/>
    <w:rsid w:val="00C0162B"/>
    <w:rsid w:val="00C030DC"/>
    <w:rsid w:val="00C0355A"/>
    <w:rsid w:val="00C03B65"/>
    <w:rsid w:val="00C03C80"/>
    <w:rsid w:val="00C05294"/>
    <w:rsid w:val="00C11EEC"/>
    <w:rsid w:val="00C12AD2"/>
    <w:rsid w:val="00C156C6"/>
    <w:rsid w:val="00C1766A"/>
    <w:rsid w:val="00C20FB0"/>
    <w:rsid w:val="00C279F6"/>
    <w:rsid w:val="00C345B1"/>
    <w:rsid w:val="00C371AA"/>
    <w:rsid w:val="00C37EA7"/>
    <w:rsid w:val="00C40142"/>
    <w:rsid w:val="00C40399"/>
    <w:rsid w:val="00C41DD7"/>
    <w:rsid w:val="00C41E71"/>
    <w:rsid w:val="00C43FC5"/>
    <w:rsid w:val="00C4660F"/>
    <w:rsid w:val="00C47D83"/>
    <w:rsid w:val="00C504AD"/>
    <w:rsid w:val="00C54122"/>
    <w:rsid w:val="00C56D16"/>
    <w:rsid w:val="00C57182"/>
    <w:rsid w:val="00C57863"/>
    <w:rsid w:val="00C621ED"/>
    <w:rsid w:val="00C64145"/>
    <w:rsid w:val="00C64332"/>
    <w:rsid w:val="00C649B8"/>
    <w:rsid w:val="00C655FD"/>
    <w:rsid w:val="00C67BEF"/>
    <w:rsid w:val="00C817FC"/>
    <w:rsid w:val="00C818C6"/>
    <w:rsid w:val="00C82020"/>
    <w:rsid w:val="00C86B7F"/>
    <w:rsid w:val="00C870A8"/>
    <w:rsid w:val="00C92F5B"/>
    <w:rsid w:val="00C94434"/>
    <w:rsid w:val="00C95199"/>
    <w:rsid w:val="00C966FF"/>
    <w:rsid w:val="00CA0D75"/>
    <w:rsid w:val="00CA1C95"/>
    <w:rsid w:val="00CA2C7E"/>
    <w:rsid w:val="00CA5A9C"/>
    <w:rsid w:val="00CA6599"/>
    <w:rsid w:val="00CA7004"/>
    <w:rsid w:val="00CA78F0"/>
    <w:rsid w:val="00CB0081"/>
    <w:rsid w:val="00CB0EF0"/>
    <w:rsid w:val="00CB17BA"/>
    <w:rsid w:val="00CB6EED"/>
    <w:rsid w:val="00CC155F"/>
    <w:rsid w:val="00CC16C4"/>
    <w:rsid w:val="00CC1EE5"/>
    <w:rsid w:val="00CC388C"/>
    <w:rsid w:val="00CC6D3B"/>
    <w:rsid w:val="00CD3517"/>
    <w:rsid w:val="00CD469E"/>
    <w:rsid w:val="00CD52E7"/>
    <w:rsid w:val="00CD5A00"/>
    <w:rsid w:val="00CD5FE2"/>
    <w:rsid w:val="00CE029E"/>
    <w:rsid w:val="00CE18B6"/>
    <w:rsid w:val="00CE19F0"/>
    <w:rsid w:val="00CE5901"/>
    <w:rsid w:val="00CE7C68"/>
    <w:rsid w:val="00CF642A"/>
    <w:rsid w:val="00CF7DF2"/>
    <w:rsid w:val="00D02B4C"/>
    <w:rsid w:val="00D030D2"/>
    <w:rsid w:val="00D040C4"/>
    <w:rsid w:val="00D064A6"/>
    <w:rsid w:val="00D1014D"/>
    <w:rsid w:val="00D10175"/>
    <w:rsid w:val="00D11815"/>
    <w:rsid w:val="00D11C61"/>
    <w:rsid w:val="00D126A0"/>
    <w:rsid w:val="00D129A3"/>
    <w:rsid w:val="00D1575F"/>
    <w:rsid w:val="00D16C9E"/>
    <w:rsid w:val="00D20A92"/>
    <w:rsid w:val="00D22FA4"/>
    <w:rsid w:val="00D239F2"/>
    <w:rsid w:val="00D24A38"/>
    <w:rsid w:val="00D24FFA"/>
    <w:rsid w:val="00D278A7"/>
    <w:rsid w:val="00D335BD"/>
    <w:rsid w:val="00D355BA"/>
    <w:rsid w:val="00D36F6F"/>
    <w:rsid w:val="00D42866"/>
    <w:rsid w:val="00D4290C"/>
    <w:rsid w:val="00D45EE7"/>
    <w:rsid w:val="00D50474"/>
    <w:rsid w:val="00D507A7"/>
    <w:rsid w:val="00D53621"/>
    <w:rsid w:val="00D55AF6"/>
    <w:rsid w:val="00D565BD"/>
    <w:rsid w:val="00D56B12"/>
    <w:rsid w:val="00D57C84"/>
    <w:rsid w:val="00D57EF8"/>
    <w:rsid w:val="00D60094"/>
    <w:rsid w:val="00D6057D"/>
    <w:rsid w:val="00D63B94"/>
    <w:rsid w:val="00D64567"/>
    <w:rsid w:val="00D75C91"/>
    <w:rsid w:val="00D8037D"/>
    <w:rsid w:val="00D8059E"/>
    <w:rsid w:val="00D84576"/>
    <w:rsid w:val="00D900DB"/>
    <w:rsid w:val="00D9071A"/>
    <w:rsid w:val="00D925B8"/>
    <w:rsid w:val="00D93125"/>
    <w:rsid w:val="00D93241"/>
    <w:rsid w:val="00DA1399"/>
    <w:rsid w:val="00DA24C6"/>
    <w:rsid w:val="00DA4D7B"/>
    <w:rsid w:val="00DA6986"/>
    <w:rsid w:val="00DB107A"/>
    <w:rsid w:val="00DB1C26"/>
    <w:rsid w:val="00DB6A5E"/>
    <w:rsid w:val="00DC10BF"/>
    <w:rsid w:val="00DC1592"/>
    <w:rsid w:val="00DC246C"/>
    <w:rsid w:val="00DC3413"/>
    <w:rsid w:val="00DC3810"/>
    <w:rsid w:val="00DC4F54"/>
    <w:rsid w:val="00DC5EC7"/>
    <w:rsid w:val="00DC69DC"/>
    <w:rsid w:val="00DD07EF"/>
    <w:rsid w:val="00DD1686"/>
    <w:rsid w:val="00DD176C"/>
    <w:rsid w:val="00DD348B"/>
    <w:rsid w:val="00DD6588"/>
    <w:rsid w:val="00DD6F2B"/>
    <w:rsid w:val="00DE264A"/>
    <w:rsid w:val="00DE3383"/>
    <w:rsid w:val="00DE3543"/>
    <w:rsid w:val="00DE4B23"/>
    <w:rsid w:val="00DE4C09"/>
    <w:rsid w:val="00DE503C"/>
    <w:rsid w:val="00DE76B5"/>
    <w:rsid w:val="00DF0AC3"/>
    <w:rsid w:val="00DF1404"/>
    <w:rsid w:val="00DF30F3"/>
    <w:rsid w:val="00E007DB"/>
    <w:rsid w:val="00E02D18"/>
    <w:rsid w:val="00E041E7"/>
    <w:rsid w:val="00E06050"/>
    <w:rsid w:val="00E07808"/>
    <w:rsid w:val="00E07DE3"/>
    <w:rsid w:val="00E07E9A"/>
    <w:rsid w:val="00E10A26"/>
    <w:rsid w:val="00E11DCD"/>
    <w:rsid w:val="00E13FF7"/>
    <w:rsid w:val="00E202C3"/>
    <w:rsid w:val="00E22B44"/>
    <w:rsid w:val="00E22E66"/>
    <w:rsid w:val="00E23CA1"/>
    <w:rsid w:val="00E23ED4"/>
    <w:rsid w:val="00E309C4"/>
    <w:rsid w:val="00E3172F"/>
    <w:rsid w:val="00E33876"/>
    <w:rsid w:val="00E33A88"/>
    <w:rsid w:val="00E35FCD"/>
    <w:rsid w:val="00E36987"/>
    <w:rsid w:val="00E409A8"/>
    <w:rsid w:val="00E418A9"/>
    <w:rsid w:val="00E41BCF"/>
    <w:rsid w:val="00E423BB"/>
    <w:rsid w:val="00E45FD2"/>
    <w:rsid w:val="00E469EC"/>
    <w:rsid w:val="00E47585"/>
    <w:rsid w:val="00E475F3"/>
    <w:rsid w:val="00E50C12"/>
    <w:rsid w:val="00E515DD"/>
    <w:rsid w:val="00E53ED6"/>
    <w:rsid w:val="00E57725"/>
    <w:rsid w:val="00E61042"/>
    <w:rsid w:val="00E64A9E"/>
    <w:rsid w:val="00E65B91"/>
    <w:rsid w:val="00E700ED"/>
    <w:rsid w:val="00E713C9"/>
    <w:rsid w:val="00E717C4"/>
    <w:rsid w:val="00E7198C"/>
    <w:rsid w:val="00E7209D"/>
    <w:rsid w:val="00E7225F"/>
    <w:rsid w:val="00E7401C"/>
    <w:rsid w:val="00E742DB"/>
    <w:rsid w:val="00E748CB"/>
    <w:rsid w:val="00E77223"/>
    <w:rsid w:val="00E82D6E"/>
    <w:rsid w:val="00E83CBD"/>
    <w:rsid w:val="00E8528B"/>
    <w:rsid w:val="00E85B94"/>
    <w:rsid w:val="00E86E29"/>
    <w:rsid w:val="00E87854"/>
    <w:rsid w:val="00E9044A"/>
    <w:rsid w:val="00E937E9"/>
    <w:rsid w:val="00E961EF"/>
    <w:rsid w:val="00E978D0"/>
    <w:rsid w:val="00EA0561"/>
    <w:rsid w:val="00EA1C21"/>
    <w:rsid w:val="00EA4613"/>
    <w:rsid w:val="00EA742A"/>
    <w:rsid w:val="00EA7E4D"/>
    <w:rsid w:val="00EA7F91"/>
    <w:rsid w:val="00EB1523"/>
    <w:rsid w:val="00EB1CC0"/>
    <w:rsid w:val="00EB32BF"/>
    <w:rsid w:val="00EB3CFE"/>
    <w:rsid w:val="00EB47A9"/>
    <w:rsid w:val="00EB7E99"/>
    <w:rsid w:val="00EC0E49"/>
    <w:rsid w:val="00EC0E9D"/>
    <w:rsid w:val="00EC12DF"/>
    <w:rsid w:val="00EC1AF6"/>
    <w:rsid w:val="00EC36CA"/>
    <w:rsid w:val="00EC5173"/>
    <w:rsid w:val="00EC6638"/>
    <w:rsid w:val="00EC7D1A"/>
    <w:rsid w:val="00EC7E02"/>
    <w:rsid w:val="00ED6443"/>
    <w:rsid w:val="00ED7B05"/>
    <w:rsid w:val="00EE0131"/>
    <w:rsid w:val="00EE0441"/>
    <w:rsid w:val="00EE1FA3"/>
    <w:rsid w:val="00EF0C8C"/>
    <w:rsid w:val="00EF3149"/>
    <w:rsid w:val="00EF5388"/>
    <w:rsid w:val="00EF571B"/>
    <w:rsid w:val="00EF59D7"/>
    <w:rsid w:val="00F044BD"/>
    <w:rsid w:val="00F066FD"/>
    <w:rsid w:val="00F07BB5"/>
    <w:rsid w:val="00F107A8"/>
    <w:rsid w:val="00F1112D"/>
    <w:rsid w:val="00F12AA7"/>
    <w:rsid w:val="00F13E8E"/>
    <w:rsid w:val="00F14D0B"/>
    <w:rsid w:val="00F155B2"/>
    <w:rsid w:val="00F21097"/>
    <w:rsid w:val="00F30C64"/>
    <w:rsid w:val="00F32CDB"/>
    <w:rsid w:val="00F33B1E"/>
    <w:rsid w:val="00F37CCD"/>
    <w:rsid w:val="00F37F5F"/>
    <w:rsid w:val="00F40CD6"/>
    <w:rsid w:val="00F45C6B"/>
    <w:rsid w:val="00F45E99"/>
    <w:rsid w:val="00F5041E"/>
    <w:rsid w:val="00F52B13"/>
    <w:rsid w:val="00F52B97"/>
    <w:rsid w:val="00F52EBF"/>
    <w:rsid w:val="00F53252"/>
    <w:rsid w:val="00F553CD"/>
    <w:rsid w:val="00F559CE"/>
    <w:rsid w:val="00F57CCA"/>
    <w:rsid w:val="00F60C73"/>
    <w:rsid w:val="00F61F66"/>
    <w:rsid w:val="00F62C4B"/>
    <w:rsid w:val="00F62FC9"/>
    <w:rsid w:val="00F633B0"/>
    <w:rsid w:val="00F63A70"/>
    <w:rsid w:val="00F64B00"/>
    <w:rsid w:val="00F65508"/>
    <w:rsid w:val="00F6617F"/>
    <w:rsid w:val="00F66730"/>
    <w:rsid w:val="00F67BE6"/>
    <w:rsid w:val="00F73006"/>
    <w:rsid w:val="00F746C3"/>
    <w:rsid w:val="00F76628"/>
    <w:rsid w:val="00F81BBB"/>
    <w:rsid w:val="00F8245F"/>
    <w:rsid w:val="00F8361B"/>
    <w:rsid w:val="00F9723C"/>
    <w:rsid w:val="00FA0B87"/>
    <w:rsid w:val="00FA21D0"/>
    <w:rsid w:val="00FA250A"/>
    <w:rsid w:val="00FA332C"/>
    <w:rsid w:val="00FA5F5F"/>
    <w:rsid w:val="00FA62D8"/>
    <w:rsid w:val="00FA6573"/>
    <w:rsid w:val="00FB239F"/>
    <w:rsid w:val="00FB4064"/>
    <w:rsid w:val="00FB730C"/>
    <w:rsid w:val="00FB7FA7"/>
    <w:rsid w:val="00FC206E"/>
    <w:rsid w:val="00FC2695"/>
    <w:rsid w:val="00FC3221"/>
    <w:rsid w:val="00FC3CFD"/>
    <w:rsid w:val="00FC3E03"/>
    <w:rsid w:val="00FC3FC1"/>
    <w:rsid w:val="00FC461B"/>
    <w:rsid w:val="00FE0F01"/>
    <w:rsid w:val="00FE1C02"/>
    <w:rsid w:val="00FE2CF9"/>
    <w:rsid w:val="00FE559F"/>
    <w:rsid w:val="00FE5D04"/>
    <w:rsid w:val="00FE6399"/>
    <w:rsid w:val="00FF056A"/>
    <w:rsid w:val="00FF24BC"/>
    <w:rsid w:val="00FF40E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DD9F"/>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670E42"/>
    <w:pPr>
      <w:numPr>
        <w:ilvl w:val="0"/>
        <w:numId w:val="0"/>
      </w:numPr>
    </w:pPr>
  </w:style>
  <w:style w:type="character" w:customStyle="1" w:styleId="CETHeadingxxChar">
    <w:name w:val="CET Headingxx Char"/>
    <w:basedOn w:val="CETheadingxCarattere"/>
    <w:link w:val="CETHeadingxx"/>
    <w:rsid w:val="00670E42"/>
    <w:rPr>
      <w:rFonts w:ascii="Arial" w:eastAsia="Times New Roman" w:hAnsi="Arial" w:cs="Times New Roman"/>
      <w:b/>
      <w:sz w:val="18"/>
      <w:szCs w:val="20"/>
      <w:lang w:val="en-US"/>
    </w:rPr>
  </w:style>
  <w:style w:type="paragraph" w:styleId="Prrafodelista">
    <w:name w:val="List Paragraph"/>
    <w:basedOn w:val="Normal"/>
    <w:uiPriority w:val="34"/>
    <w:rsid w:val="00383280"/>
    <w:pPr>
      <w:ind w:left="720"/>
      <w:contextualSpacing/>
    </w:pPr>
  </w:style>
  <w:style w:type="character" w:customStyle="1" w:styleId="Mencinsinresolver1">
    <w:name w:val="Mención sin resolver1"/>
    <w:basedOn w:val="Fuentedeprrafopredeter"/>
    <w:uiPriority w:val="99"/>
    <w:semiHidden/>
    <w:unhideWhenUsed/>
    <w:rsid w:val="00BB7147"/>
    <w:rPr>
      <w:color w:val="808080"/>
      <w:shd w:val="clear" w:color="auto" w:fill="E6E6E6"/>
    </w:rPr>
  </w:style>
  <w:style w:type="character" w:customStyle="1" w:styleId="Mencinsinresolver2">
    <w:name w:val="Mención sin resolver2"/>
    <w:basedOn w:val="Fuentedeprrafopredeter"/>
    <w:uiPriority w:val="99"/>
    <w:rsid w:val="00256E14"/>
    <w:rPr>
      <w:color w:val="605E5C"/>
      <w:shd w:val="clear" w:color="auto" w:fill="E1DFDD"/>
    </w:rPr>
  </w:style>
  <w:style w:type="paragraph" w:customStyle="1" w:styleId="BGKeywords">
    <w:name w:val="BG_Keywords"/>
    <w:basedOn w:val="Normal"/>
    <w:rsid w:val="00B15949"/>
    <w:pPr>
      <w:tabs>
        <w:tab w:val="clear" w:pos="7100"/>
      </w:tabs>
      <w:spacing w:after="200" w:line="480" w:lineRule="auto"/>
    </w:pPr>
    <w:rPr>
      <w:rFonts w:ascii="Times" w:hAnsi="Times"/>
      <w:sz w:val="24"/>
      <w:lang w:val="en-US"/>
    </w:rPr>
  </w:style>
  <w:style w:type="character" w:styleId="Textodelmarcadordeposicin">
    <w:name w:val="Placeholder Text"/>
    <w:basedOn w:val="Fuentedeprrafopredeter"/>
    <w:uiPriority w:val="99"/>
    <w:semiHidden/>
    <w:rsid w:val="00D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ego%20F.%20Tirado\Dropbox\Doctorado%20UCM\Tesis\Journals\Chemical%20Engineering%20Transactions\Petici&#243;n%20Lourdes%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068687027530975"/>
          <c:y val="3.7145251818997645E-2"/>
          <c:w val="0.78916444288971721"/>
          <c:h val="0.79293738611861531"/>
        </c:manualLayout>
      </c:layout>
      <c:scatterChart>
        <c:scatterStyle val="smoothMarker"/>
        <c:varyColors val="0"/>
        <c:ser>
          <c:idx val="0"/>
          <c:order val="0"/>
          <c:spPr>
            <a:ln w="12700" cap="rnd">
              <a:solidFill>
                <a:sysClr val="windowText" lastClr="000000"/>
              </a:solidFill>
              <a:prstDash val="sysDot"/>
              <a:round/>
            </a:ln>
            <a:effectLst/>
          </c:spPr>
          <c:marker>
            <c:symbol val="triangle"/>
            <c:size val="6"/>
            <c:spPr>
              <a:solidFill>
                <a:schemeClr val="tx1"/>
              </a:solidFill>
              <a:ln w="9525">
                <a:solidFill>
                  <a:sysClr val="windowText" lastClr="000000"/>
                </a:solidFill>
              </a:ln>
              <a:effectLst/>
            </c:spPr>
          </c:marker>
          <c:xVal>
            <c:numRef>
              <c:f>Hoja1!$N$16:$N$24</c:f>
              <c:numCache>
                <c:formatCode>0.00</c:formatCode>
                <c:ptCount val="9"/>
                <c:pt idx="0">
                  <c:v>0</c:v>
                </c:pt>
                <c:pt idx="1">
                  <c:v>0.05</c:v>
                </c:pt>
                <c:pt idx="2">
                  <c:v>0.1</c:v>
                </c:pt>
                <c:pt idx="3">
                  <c:v>0.15</c:v>
                </c:pt>
                <c:pt idx="4">
                  <c:v>0.2</c:v>
                </c:pt>
                <c:pt idx="5">
                  <c:v>0.25</c:v>
                </c:pt>
                <c:pt idx="6">
                  <c:v>0.3</c:v>
                </c:pt>
                <c:pt idx="7">
                  <c:v>0.35</c:v>
                </c:pt>
                <c:pt idx="8">
                  <c:v>0.4</c:v>
                </c:pt>
              </c:numCache>
            </c:numRef>
          </c:xVal>
          <c:yVal>
            <c:numRef>
              <c:f>Hoja1!$P$16:$P$24</c:f>
              <c:numCache>
                <c:formatCode>0.00</c:formatCode>
                <c:ptCount val="9"/>
                <c:pt idx="0">
                  <c:v>0</c:v>
                </c:pt>
                <c:pt idx="1">
                  <c:v>4.2440884509750587</c:v>
                </c:pt>
                <c:pt idx="2">
                  <c:v>8.380736722233328</c:v>
                </c:pt>
                <c:pt idx="3">
                  <c:v>12.394723783734907</c:v>
                </c:pt>
                <c:pt idx="4">
                  <c:v>16.268407105281778</c:v>
                </c:pt>
                <c:pt idx="5">
                  <c:v>19.981407867690535</c:v>
                </c:pt>
                <c:pt idx="6">
                  <c:v>23.510322687448092</c:v>
                </c:pt>
                <c:pt idx="7">
                  <c:v>26.828512422453255</c:v>
                </c:pt>
                <c:pt idx="8">
                  <c:v>29.906044029208989</c:v>
                </c:pt>
              </c:numCache>
            </c:numRef>
          </c:yVal>
          <c:smooth val="1"/>
          <c:extLst>
            <c:ext xmlns:c16="http://schemas.microsoft.com/office/drawing/2014/chart" uri="{C3380CC4-5D6E-409C-BE32-E72D297353CC}">
              <c16:uniqueId val="{00000000-E410-4B56-B50E-A32A8F77F4C5}"/>
            </c:ext>
          </c:extLst>
        </c:ser>
        <c:ser>
          <c:idx val="1"/>
          <c:order val="1"/>
          <c:spPr>
            <a:ln w="12700" cap="rnd">
              <a:solidFill>
                <a:schemeClr val="tx1"/>
              </a:solidFill>
              <a:prstDash val="sysDash"/>
              <a:round/>
            </a:ln>
            <a:effectLst/>
          </c:spPr>
          <c:marker>
            <c:symbol val="x"/>
            <c:size val="6"/>
            <c:spPr>
              <a:noFill/>
              <a:ln w="9525">
                <a:solidFill>
                  <a:schemeClr val="tx1"/>
                </a:solidFill>
              </a:ln>
              <a:effectLst/>
            </c:spPr>
          </c:marker>
          <c:xVal>
            <c:numRef>
              <c:f>Hoja1!$N$16:$N$24</c:f>
              <c:numCache>
                <c:formatCode>0.00</c:formatCode>
                <c:ptCount val="9"/>
                <c:pt idx="0">
                  <c:v>0</c:v>
                </c:pt>
                <c:pt idx="1">
                  <c:v>0.05</c:v>
                </c:pt>
                <c:pt idx="2">
                  <c:v>0.1</c:v>
                </c:pt>
                <c:pt idx="3">
                  <c:v>0.15</c:v>
                </c:pt>
                <c:pt idx="4">
                  <c:v>0.2</c:v>
                </c:pt>
                <c:pt idx="5">
                  <c:v>0.25</c:v>
                </c:pt>
                <c:pt idx="6">
                  <c:v>0.3</c:v>
                </c:pt>
                <c:pt idx="7">
                  <c:v>0.35</c:v>
                </c:pt>
                <c:pt idx="8">
                  <c:v>0.4</c:v>
                </c:pt>
              </c:numCache>
            </c:numRef>
          </c:xVal>
          <c:yVal>
            <c:numRef>
              <c:f>Hoja1!$R$16:$R$24</c:f>
              <c:numCache>
                <c:formatCode>0.00</c:formatCode>
                <c:ptCount val="9"/>
                <c:pt idx="0">
                  <c:v>0</c:v>
                </c:pt>
                <c:pt idx="1">
                  <c:v>4.0003693185515772</c:v>
                </c:pt>
                <c:pt idx="2">
                  <c:v>7.7869385192829821</c:v>
                </c:pt>
                <c:pt idx="3">
                  <c:v>11.332312255162346</c:v>
                </c:pt>
                <c:pt idx="4">
                  <c:v>14.606443345630138</c:v>
                </c:pt>
                <c:pt idx="5">
                  <c:v>17.577001317304418</c:v>
                </c:pt>
                <c:pt idx="6">
                  <c:v>20.210073121291039</c:v>
                </c:pt>
                <c:pt idx="7">
                  <c:v>22.471265478731539</c:v>
                </c:pt>
                <c:pt idx="8">
                  <c:v>24.327234441138344</c:v>
                </c:pt>
              </c:numCache>
            </c:numRef>
          </c:yVal>
          <c:smooth val="1"/>
          <c:extLst>
            <c:ext xmlns:c16="http://schemas.microsoft.com/office/drawing/2014/chart" uri="{C3380CC4-5D6E-409C-BE32-E72D297353CC}">
              <c16:uniqueId val="{00000001-E410-4B56-B50E-A32A8F77F4C5}"/>
            </c:ext>
          </c:extLst>
        </c:ser>
        <c:ser>
          <c:idx val="2"/>
          <c:order val="2"/>
          <c:spPr>
            <a:ln w="12700" cap="rnd">
              <a:solidFill>
                <a:schemeClr val="tx1"/>
              </a:solidFill>
              <a:prstDash val="sysDash"/>
              <a:round/>
            </a:ln>
            <a:effectLst/>
          </c:spPr>
          <c:marker>
            <c:symbol val="plus"/>
            <c:size val="6"/>
            <c:spPr>
              <a:solidFill>
                <a:schemeClr val="tx1"/>
              </a:solidFill>
              <a:ln w="9525">
                <a:solidFill>
                  <a:schemeClr val="tx1"/>
                </a:solidFill>
              </a:ln>
              <a:effectLst/>
            </c:spPr>
          </c:marker>
          <c:xVal>
            <c:numRef>
              <c:f>Hoja1!$N$16:$N$24</c:f>
              <c:numCache>
                <c:formatCode>0.00</c:formatCode>
                <c:ptCount val="9"/>
                <c:pt idx="0">
                  <c:v>0</c:v>
                </c:pt>
                <c:pt idx="1">
                  <c:v>0.05</c:v>
                </c:pt>
                <c:pt idx="2">
                  <c:v>0.1</c:v>
                </c:pt>
                <c:pt idx="3">
                  <c:v>0.15</c:v>
                </c:pt>
                <c:pt idx="4">
                  <c:v>0.2</c:v>
                </c:pt>
                <c:pt idx="5">
                  <c:v>0.25</c:v>
                </c:pt>
                <c:pt idx="6">
                  <c:v>0.3</c:v>
                </c:pt>
                <c:pt idx="7">
                  <c:v>0.35</c:v>
                </c:pt>
                <c:pt idx="8">
                  <c:v>0.4</c:v>
                </c:pt>
              </c:numCache>
            </c:numRef>
          </c:xVal>
          <c:yVal>
            <c:numRef>
              <c:f>Hoja1!$T$16:$T$24</c:f>
              <c:numCache>
                <c:formatCode>0.00</c:formatCode>
                <c:ptCount val="9"/>
                <c:pt idx="0">
                  <c:v>0</c:v>
                </c:pt>
                <c:pt idx="1">
                  <c:v>3.9513323675435585</c:v>
                </c:pt>
                <c:pt idx="2">
                  <c:v>7.6114332468146699</c:v>
                </c:pt>
                <c:pt idx="3">
                  <c:v>10.944387385111298</c:v>
                </c:pt>
                <c:pt idx="4">
                  <c:v>13.912189199131697</c:v>
                </c:pt>
                <c:pt idx="5">
                  <c:v>16.475905527047495</c:v>
                </c:pt>
                <c:pt idx="6">
                  <c:v>18.597348290519843</c:v>
                </c:pt>
                <c:pt idx="7">
                  <c:v>20.241218590610409</c:v>
                </c:pt>
                <c:pt idx="8">
                  <c:v>21.377554876140625</c:v>
                </c:pt>
              </c:numCache>
            </c:numRef>
          </c:yVal>
          <c:smooth val="1"/>
          <c:extLst>
            <c:ext xmlns:c16="http://schemas.microsoft.com/office/drawing/2014/chart" uri="{C3380CC4-5D6E-409C-BE32-E72D297353CC}">
              <c16:uniqueId val="{00000002-E410-4B56-B50E-A32A8F77F4C5}"/>
            </c:ext>
          </c:extLst>
        </c:ser>
        <c:ser>
          <c:idx val="3"/>
          <c:order val="3"/>
          <c:spPr>
            <a:ln w="12700" cap="rnd">
              <a:solidFill>
                <a:schemeClr val="tx1"/>
              </a:solidFill>
              <a:prstDash val="lgDashDotDot"/>
              <a:round/>
            </a:ln>
            <a:effectLst/>
          </c:spPr>
          <c:marker>
            <c:symbol val="circle"/>
            <c:size val="6"/>
            <c:spPr>
              <a:solidFill>
                <a:schemeClr val="tx1"/>
              </a:solidFill>
              <a:ln w="9525">
                <a:solidFill>
                  <a:schemeClr val="tx1"/>
                </a:solidFill>
              </a:ln>
              <a:effectLst/>
            </c:spPr>
          </c:marker>
          <c:xVal>
            <c:numRef>
              <c:f>Hoja1!$N$16:$N$24</c:f>
              <c:numCache>
                <c:formatCode>0.00</c:formatCode>
                <c:ptCount val="9"/>
                <c:pt idx="0">
                  <c:v>0</c:v>
                </c:pt>
                <c:pt idx="1">
                  <c:v>0.05</c:v>
                </c:pt>
                <c:pt idx="2">
                  <c:v>0.1</c:v>
                </c:pt>
                <c:pt idx="3">
                  <c:v>0.15</c:v>
                </c:pt>
                <c:pt idx="4">
                  <c:v>0.2</c:v>
                </c:pt>
                <c:pt idx="5">
                  <c:v>0.25</c:v>
                </c:pt>
                <c:pt idx="6">
                  <c:v>0.3</c:v>
                </c:pt>
                <c:pt idx="7">
                  <c:v>0.35</c:v>
                </c:pt>
                <c:pt idx="8">
                  <c:v>0.4</c:v>
                </c:pt>
              </c:numCache>
            </c:numRef>
          </c:xVal>
          <c:yVal>
            <c:numRef>
              <c:f>Hoja1!$V$16:$V$24</c:f>
              <c:numCache>
                <c:formatCode>0.00</c:formatCode>
                <c:ptCount val="9"/>
                <c:pt idx="0">
                  <c:v>0</c:v>
                </c:pt>
                <c:pt idx="1">
                  <c:v>3.9467572474771284</c:v>
                </c:pt>
                <c:pt idx="2">
                  <c:v>7.5247834737375392</c:v>
                </c:pt>
                <c:pt idx="3">
                  <c:v>10.689750392734155</c:v>
                </c:pt>
                <c:pt idx="4">
                  <c:v>13.396359872843233</c:v>
                </c:pt>
                <c:pt idx="5">
                  <c:v>15.600503161067413</c:v>
                </c:pt>
                <c:pt idx="6">
                  <c:v>17.262013348856119</c:v>
                </c:pt>
                <c:pt idx="7">
                  <c:v>18.347758214892263</c:v>
                </c:pt>
                <c:pt idx="8">
                  <c:v>18.834628522925634</c:v>
                </c:pt>
              </c:numCache>
            </c:numRef>
          </c:yVal>
          <c:smooth val="1"/>
          <c:extLst>
            <c:ext xmlns:c16="http://schemas.microsoft.com/office/drawing/2014/chart" uri="{C3380CC4-5D6E-409C-BE32-E72D297353CC}">
              <c16:uniqueId val="{00000003-E410-4B56-B50E-A32A8F77F4C5}"/>
            </c:ext>
          </c:extLst>
        </c:ser>
        <c:ser>
          <c:idx val="4"/>
          <c:order val="4"/>
          <c:spPr>
            <a:ln w="12700" cap="rnd">
              <a:solidFill>
                <a:schemeClr val="tx1"/>
              </a:solidFill>
              <a:prstDash val="lgDashDot"/>
              <a:round/>
            </a:ln>
            <a:effectLst/>
          </c:spPr>
          <c:marker>
            <c:symbol val="triangle"/>
            <c:size val="6"/>
            <c:spPr>
              <a:noFill/>
              <a:ln w="9525">
                <a:solidFill>
                  <a:schemeClr val="tx1"/>
                </a:solidFill>
              </a:ln>
              <a:effectLst/>
            </c:spPr>
          </c:marker>
          <c:xVal>
            <c:numRef>
              <c:f>Hoja1!$N$16:$N$24</c:f>
              <c:numCache>
                <c:formatCode>0.00</c:formatCode>
                <c:ptCount val="9"/>
                <c:pt idx="0">
                  <c:v>0</c:v>
                </c:pt>
                <c:pt idx="1">
                  <c:v>0.05</c:v>
                </c:pt>
                <c:pt idx="2">
                  <c:v>0.1</c:v>
                </c:pt>
                <c:pt idx="3">
                  <c:v>0.15</c:v>
                </c:pt>
                <c:pt idx="4">
                  <c:v>0.2</c:v>
                </c:pt>
                <c:pt idx="5">
                  <c:v>0.25</c:v>
                </c:pt>
                <c:pt idx="6">
                  <c:v>0.3</c:v>
                </c:pt>
                <c:pt idx="7">
                  <c:v>0.35</c:v>
                </c:pt>
                <c:pt idx="8">
                  <c:v>0.4</c:v>
                </c:pt>
              </c:numCache>
            </c:numRef>
          </c:xVal>
          <c:yVal>
            <c:numRef>
              <c:f>Hoja1!$X$16:$X$24</c:f>
              <c:numCache>
                <c:formatCode>0.00</c:formatCode>
                <c:ptCount val="9"/>
                <c:pt idx="0">
                  <c:v>0</c:v>
                </c:pt>
                <c:pt idx="1">
                  <c:v>3.9651429892744505</c:v>
                </c:pt>
                <c:pt idx="2">
                  <c:v>7.4795764621901295</c:v>
                </c:pt>
                <c:pt idx="3">
                  <c:v>10.490195890976983</c:v>
                </c:pt>
                <c:pt idx="4">
                  <c:v>12.944715604793233</c:v>
                </c:pt>
                <c:pt idx="5">
                  <c:v>14.795062935885539</c:v>
                </c:pt>
                <c:pt idx="6">
                  <c:v>16.001301744944797</c:v>
                </c:pt>
                <c:pt idx="7">
                  <c:v>16.535501160897002</c:v>
                </c:pt>
                <c:pt idx="8">
                  <c:v>16.384779651930803</c:v>
                </c:pt>
              </c:numCache>
            </c:numRef>
          </c:yVal>
          <c:smooth val="1"/>
          <c:extLst>
            <c:ext xmlns:c16="http://schemas.microsoft.com/office/drawing/2014/chart" uri="{C3380CC4-5D6E-409C-BE32-E72D297353CC}">
              <c16:uniqueId val="{00000004-E410-4B56-B50E-A32A8F77F4C5}"/>
            </c:ext>
          </c:extLst>
        </c:ser>
        <c:ser>
          <c:idx val="5"/>
          <c:order val="5"/>
          <c:spPr>
            <a:ln w="12700" cap="rnd">
              <a:solidFill>
                <a:schemeClr val="tx1"/>
              </a:solidFill>
              <a:prstDash val="dashDot"/>
              <a:round/>
            </a:ln>
            <a:effectLst/>
          </c:spPr>
          <c:marker>
            <c:symbol val="diamond"/>
            <c:size val="7"/>
            <c:spPr>
              <a:noFill/>
              <a:ln w="9525">
                <a:solidFill>
                  <a:schemeClr val="tx1"/>
                </a:solidFill>
              </a:ln>
              <a:effectLst/>
            </c:spPr>
          </c:marker>
          <c:xVal>
            <c:numRef>
              <c:f>Hoja1!$N$16:$N$24</c:f>
              <c:numCache>
                <c:formatCode>0.00</c:formatCode>
                <c:ptCount val="9"/>
                <c:pt idx="0">
                  <c:v>0</c:v>
                </c:pt>
                <c:pt idx="1">
                  <c:v>0.05</c:v>
                </c:pt>
                <c:pt idx="2">
                  <c:v>0.1</c:v>
                </c:pt>
                <c:pt idx="3">
                  <c:v>0.15</c:v>
                </c:pt>
                <c:pt idx="4">
                  <c:v>0.2</c:v>
                </c:pt>
                <c:pt idx="5">
                  <c:v>0.25</c:v>
                </c:pt>
                <c:pt idx="6">
                  <c:v>0.3</c:v>
                </c:pt>
                <c:pt idx="7">
                  <c:v>0.35</c:v>
                </c:pt>
                <c:pt idx="8">
                  <c:v>0.4</c:v>
                </c:pt>
              </c:numCache>
            </c:numRef>
          </c:xVal>
          <c:yVal>
            <c:numRef>
              <c:f>Hoja1!$Z$16:$Z$24</c:f>
              <c:numCache>
                <c:formatCode>0.00</c:formatCode>
                <c:ptCount val="9"/>
                <c:pt idx="0">
                  <c:v>0</c:v>
                </c:pt>
                <c:pt idx="1">
                  <c:v>3.9979598495613611</c:v>
                </c:pt>
                <c:pt idx="2">
                  <c:v>7.4567212358894963</c:v>
                </c:pt>
                <c:pt idx="3">
                  <c:v>10.313879590561402</c:v>
                </c:pt>
                <c:pt idx="4">
                  <c:v>12.510475129306043</c:v>
                </c:pt>
                <c:pt idx="5">
                  <c:v>13.99587946835188</c:v>
                </c:pt>
                <c:pt idx="6">
                  <c:v>14.732916356522729</c:v>
                </c:pt>
                <c:pt idx="7">
                  <c:v>14.702184224774895</c:v>
                </c:pt>
                <c:pt idx="8">
                  <c:v>13.90450524386454</c:v>
                </c:pt>
              </c:numCache>
            </c:numRef>
          </c:yVal>
          <c:smooth val="1"/>
          <c:extLst>
            <c:ext xmlns:c16="http://schemas.microsoft.com/office/drawing/2014/chart" uri="{C3380CC4-5D6E-409C-BE32-E72D297353CC}">
              <c16:uniqueId val="{00000005-E410-4B56-B50E-A32A8F77F4C5}"/>
            </c:ext>
          </c:extLst>
        </c:ser>
        <c:dLbls>
          <c:showLegendKey val="0"/>
          <c:showVal val="0"/>
          <c:showCatName val="0"/>
          <c:showSerName val="0"/>
          <c:showPercent val="0"/>
          <c:showBubbleSize val="0"/>
        </c:dLbls>
        <c:axId val="421786288"/>
        <c:axId val="420593360"/>
      </c:scatterChart>
      <c:valAx>
        <c:axId val="421786288"/>
        <c:scaling>
          <c:orientation val="minMax"/>
          <c:max val="0.4"/>
          <c:min val="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Volume fraction of ethanol (%)</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0"/>
        <c:majorTickMark val="in"/>
        <c:minorTickMark val="none"/>
        <c:tickLblPos val="nextTo"/>
        <c:spPr>
          <a:noFill/>
          <a:ln w="9525">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0593360"/>
        <c:crosses val="autoZero"/>
        <c:crossBetween val="midCat"/>
        <c:majorUnit val="0.1"/>
      </c:valAx>
      <c:valAx>
        <c:axId val="420593360"/>
        <c:scaling>
          <c:orientation val="minMax"/>
          <c:max val="31"/>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Miscibility enhancement (%)</a:t>
                </a:r>
              </a:p>
            </c:rich>
          </c:tx>
          <c:layout>
            <c:manualLayout>
              <c:xMode val="edge"/>
              <c:yMode val="edge"/>
              <c:x val="1.926446070132817E-2"/>
              <c:y val="0.1411466763435843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in"/>
        <c:minorTickMark val="none"/>
        <c:tickLblPos val="nextTo"/>
        <c:spPr>
          <a:noFill/>
          <a:ln w="9525">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1786288"/>
        <c:crosses val="autoZero"/>
        <c:crossBetween val="midCat"/>
      </c:valAx>
      <c:spPr>
        <a:noFill/>
        <a:ln>
          <a:solidFill>
            <a:sysClr val="windowText" lastClr="000000"/>
          </a:solidFill>
        </a:ln>
        <a:effectLst/>
      </c:spPr>
    </c:plotArea>
    <c:plotVisOnly val="1"/>
    <c:dispBlanksAs val="gap"/>
    <c:showDLblsOverMax val="0"/>
  </c:chart>
  <c:spPr>
    <a:solidFill>
      <a:schemeClr val="bg1"/>
    </a:solidFill>
    <a:ln w="9525">
      <a:noFill/>
      <a:round/>
    </a:ln>
    <a:effectLst/>
  </c:spPr>
  <c:txPr>
    <a:bodyPr/>
    <a:lstStyle/>
    <a:p>
      <a:pPr>
        <a:defRPr sz="9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EB44-9B76-4391-97A9-7422093C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11148</Words>
  <Characters>63548</Characters>
  <Application>Microsoft Office Word</Application>
  <DocSecurity>0</DocSecurity>
  <Lines>529</Lines>
  <Paragraphs>149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Diego Felipe Tirado Armesto</cp:lastModifiedBy>
  <cp:revision>865</cp:revision>
  <cp:lastPrinted>2015-05-12T18:31:00Z</cp:lastPrinted>
  <dcterms:created xsi:type="dcterms:W3CDTF">2019-01-31T15:22:00Z</dcterms:created>
  <dcterms:modified xsi:type="dcterms:W3CDTF">2019-04-11T17:46:00Z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http://www.zotero.org/styles/chemical-engineering-science</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http://www.zotero.org/styles/chemical-engineering-science</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http://www.zotero.org/styles/food-hydrocolloids</vt:lpwstr>
  </property>
  <property fmtid="{D5CDD505-2E9C-101B-9397-08002B2CF9AE}" pid="9" name="Mendeley Recent Style Id 5_1">
    <vt:lpwstr>http://www.zotero.org/styles/ieee</vt:lpwstr>
  </property>
  <property fmtid="{D5CDD505-2E9C-101B-9397-08002B2CF9AE}" pid="10" name="Mendeley Recent Style Id 6_1">
    <vt:lpwstr>http://www.zotero.org/styles/journal-of-food-engineering</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http://www.zotero.org/styles/separation-and-purification-technology</vt:lpwstr>
  </property>
  <property fmtid="{D5CDD505-2E9C-101B-9397-08002B2CF9AE}" pid="13" name="Mendeley Recent Style Id 9_1">
    <vt:lpwstr>http://www.zotero.org/styles/the-journal-of-supercritical-fluids</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Chemical Engineering Science</vt:lpwstr>
  </property>
  <property fmtid="{D5CDD505-2E9C-101B-9397-08002B2CF9AE}" pid="17" name="Mendeley Recent Style Name 3_1">
    <vt:lpwstr>Cite Them Right 10th edition - Harvard</vt:lpwstr>
  </property>
  <property fmtid="{D5CDD505-2E9C-101B-9397-08002B2CF9AE}" pid="18" name="Mendeley Recent Style Name 4_1">
    <vt:lpwstr>Food Hydrocolloids</vt:lpwstr>
  </property>
  <property fmtid="{D5CDD505-2E9C-101B-9397-08002B2CF9AE}" pid="19" name="Mendeley Recent Style Name 5_1">
    <vt:lpwstr>IEEE</vt:lpwstr>
  </property>
  <property fmtid="{D5CDD505-2E9C-101B-9397-08002B2CF9AE}" pid="20" name="Mendeley Recent Style Name 6_1">
    <vt:lpwstr>Journal of Food Engineering</vt:lpwstr>
  </property>
  <property fmtid="{D5CDD505-2E9C-101B-9397-08002B2CF9AE}" pid="21" name="Mendeley Recent Style Name 7_1">
    <vt:lpwstr>Modern Language Association 8th edition</vt:lpwstr>
  </property>
  <property fmtid="{D5CDD505-2E9C-101B-9397-08002B2CF9AE}" pid="22" name="Mendeley Recent Style Name 8_1">
    <vt:lpwstr>Separation and Purification Technology</vt:lpwstr>
  </property>
  <property fmtid="{D5CDD505-2E9C-101B-9397-08002B2CF9AE}" pid="23" name="Mendeley Recent Style Name 9_1">
    <vt:lpwstr>The Journal of Supercritical Fluids</vt:lpwstr>
  </property>
  <property fmtid="{D5CDD505-2E9C-101B-9397-08002B2CF9AE}" pid="24" name="Mendeley Unique User Id_1">
    <vt:lpwstr>933b61bd-0e5f-3594-8f85-48b26b93cf69</vt:lpwstr>
  </property>
  <property fmtid="{D5CDD505-2E9C-101B-9397-08002B2CF9AE}" pid="25"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26" name="ZOTERO_PREF_2">
    <vt:lpwstr>me="storeReferences" value="true"/&gt;&lt;pref name="automaticJournalAbbreviations" value=""/&gt;&lt;pref name="noteType" value=""/&gt;&lt;/prefs&gt;&lt;/data&gt;</vt:lpwstr>
  </property>
</Properties>
</file>