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bottom w:val="single" w:sz="4" w:space="0" w:color="auto"/>
        </w:tblBorders>
        <w:tblLook w:val="01E0" w:firstRow="1" w:lastRow="1" w:firstColumn="1" w:lastColumn="1" w:noHBand="0" w:noVBand="0"/>
      </w:tblPr>
      <w:tblGrid>
        <w:gridCol w:w="6946"/>
        <w:gridCol w:w="1843"/>
      </w:tblGrid>
      <w:tr w:rsidR="000A03B2" w:rsidRPr="00B57B36" w:rsidTr="00DE264A">
        <w:trPr>
          <w:trHeight w:val="852"/>
          <w:jc w:val="center"/>
        </w:trPr>
        <w:tc>
          <w:tcPr>
            <w:tcW w:w="6946" w:type="dxa"/>
            <w:vMerge w:val="restart"/>
            <w:tcBorders>
              <w:right w:val="single" w:sz="4" w:space="0" w:color="auto"/>
            </w:tcBorders>
          </w:tcPr>
          <w:p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pt-BR" w:eastAsia="pt-BR"/>
              </w:rPr>
              <w:drawing>
                <wp:inline distT="0" distB="0" distL="0" distR="0">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cs="Arial"/>
                <w:b/>
                <w:bCs/>
                <w:i/>
                <w:iCs/>
                <w:color w:val="000066"/>
                <w:sz w:val="24"/>
                <w:szCs w:val="24"/>
                <w:lang w:eastAsia="it-IT"/>
              </w:rPr>
              <w:t>CHEMICAL ENGINEERING</w:t>
            </w:r>
            <w:r w:rsidRPr="00B57B36">
              <w:rPr>
                <w:rFonts w:cs="Arial"/>
                <w:b/>
                <w:bCs/>
                <w:i/>
                <w:iCs/>
                <w:color w:val="666666"/>
                <w:sz w:val="24"/>
                <w:szCs w:val="24"/>
                <w:lang w:eastAsia="it-IT"/>
              </w:rPr>
              <w:t>TRANSACTIONS</w:t>
            </w:r>
            <w:r w:rsidRPr="00B57B36">
              <w:rPr>
                <w:rFonts w:cs="Arial"/>
                <w:b/>
                <w:bCs/>
                <w:i/>
                <w:iCs/>
                <w:color w:val="000066"/>
                <w:sz w:val="27"/>
                <w:szCs w:val="27"/>
                <w:lang w:eastAsia="it-IT"/>
              </w:rPr>
              <w:br/>
            </w:r>
          </w:p>
          <w:p w:rsidR="000A03B2" w:rsidRPr="00B57B36" w:rsidRDefault="00A76EFC" w:rsidP="004C3D1D">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p>
        </w:tc>
        <w:tc>
          <w:tcPr>
            <w:tcW w:w="1843" w:type="dxa"/>
            <w:tcBorders>
              <w:left w:val="single" w:sz="4" w:space="0" w:color="auto"/>
              <w:bottom w:val="nil"/>
              <w:right w:val="single" w:sz="4" w:space="0" w:color="auto"/>
            </w:tcBorders>
          </w:tcPr>
          <w:p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rsidR="000A03B2" w:rsidRPr="00B57B36" w:rsidRDefault="000A03B2" w:rsidP="00CD5FE2">
            <w:pPr>
              <w:jc w:val="right"/>
            </w:pPr>
            <w:r w:rsidRPr="00B57B36">
              <w:rPr>
                <w:noProof/>
                <w:lang w:val="pt-BR" w:eastAsia="pt-BR"/>
              </w:rPr>
              <w:drawing>
                <wp:inline distT="0" distB="0" distL="0" distR="0">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rsidTr="00DE264A">
        <w:trPr>
          <w:trHeight w:val="567"/>
          <w:jc w:val="center"/>
        </w:trPr>
        <w:tc>
          <w:tcPr>
            <w:tcW w:w="6946" w:type="dxa"/>
            <w:vMerge/>
            <w:tcBorders>
              <w:right w:val="single" w:sz="4" w:space="0" w:color="auto"/>
            </w:tcBorders>
          </w:tcPr>
          <w:p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rsidR="000A03B2" w:rsidRPr="00B57B36" w:rsidRDefault="000A03B2" w:rsidP="00CD5FE2">
            <w:pPr>
              <w:spacing w:line="140" w:lineRule="atLeast"/>
              <w:jc w:val="right"/>
              <w:rPr>
                <w:rFonts w:cs="Arial"/>
                <w:sz w:val="14"/>
                <w:szCs w:val="14"/>
              </w:rPr>
            </w:pPr>
            <w:r w:rsidRPr="00B57B36">
              <w:rPr>
                <w:rFonts w:cs="Arial"/>
                <w:sz w:val="14"/>
                <w:szCs w:val="14"/>
              </w:rPr>
              <w:t xml:space="preserve">Online at </w:t>
            </w:r>
            <w:r w:rsidR="00892AD5" w:rsidRPr="00963E05">
              <w:rPr>
                <w:rFonts w:cs="Arial"/>
                <w:sz w:val="14"/>
                <w:szCs w:val="14"/>
              </w:rPr>
              <w:t>www.aidic.it/cet</w:t>
            </w:r>
          </w:p>
        </w:tc>
      </w:tr>
      <w:tr w:rsidR="000A03B2" w:rsidRPr="00B57B36" w:rsidTr="00DE264A">
        <w:trPr>
          <w:trHeight w:val="68"/>
          <w:jc w:val="center"/>
        </w:trPr>
        <w:tc>
          <w:tcPr>
            <w:tcW w:w="8789" w:type="dxa"/>
            <w:gridSpan w:val="2"/>
          </w:tcPr>
          <w:p w:rsidR="00300E56" w:rsidRPr="0014464F" w:rsidRDefault="00300E56" w:rsidP="00EC0E49">
            <w:pPr>
              <w:tabs>
                <w:tab w:val="left" w:pos="-108"/>
              </w:tabs>
              <w:spacing w:line="140" w:lineRule="atLeast"/>
              <w:ind w:left="-108"/>
              <w:jc w:val="left"/>
              <w:rPr>
                <w:rFonts w:ascii="Tahoma" w:hAnsi="Tahoma" w:cs="Tahoma"/>
                <w:iCs/>
                <w:color w:val="333333"/>
                <w:sz w:val="14"/>
                <w:szCs w:val="14"/>
                <w:lang w:val="en-US" w:eastAsia="it-IT"/>
              </w:rPr>
            </w:pPr>
            <w:r w:rsidRPr="0014464F">
              <w:rPr>
                <w:rFonts w:ascii="Tahoma" w:hAnsi="Tahoma" w:cs="Tahoma"/>
                <w:iCs/>
                <w:color w:val="333333"/>
                <w:sz w:val="14"/>
                <w:szCs w:val="14"/>
                <w:lang w:val="en-US" w:eastAsia="it-IT"/>
              </w:rPr>
              <w:t>Guest Editors:</w:t>
            </w:r>
          </w:p>
          <w:p w:rsidR="000A03B2" w:rsidRPr="00B57B36" w:rsidRDefault="0014464F" w:rsidP="0014464F">
            <w:pPr>
              <w:tabs>
                <w:tab w:val="left" w:pos="-108"/>
              </w:tabs>
              <w:spacing w:line="140" w:lineRule="atLeast"/>
              <w:ind w:left="-108"/>
              <w:jc w:val="left"/>
            </w:pPr>
            <w:r>
              <w:rPr>
                <w:rFonts w:ascii="Tahoma" w:hAnsi="Tahoma" w:cs="Tahoma"/>
                <w:iCs/>
                <w:color w:val="333333"/>
                <w:sz w:val="14"/>
                <w:szCs w:val="14"/>
                <w:lang w:eastAsia="it-IT"/>
              </w:rPr>
              <w:t xml:space="preserve">Copyright © </w:t>
            </w:r>
            <w:r w:rsidR="00904C62" w:rsidRPr="00B57B36">
              <w:rPr>
                <w:rFonts w:ascii="Tahoma" w:hAnsi="Tahoma" w:cs="Tahoma"/>
                <w:iCs/>
                <w:color w:val="333333"/>
                <w:sz w:val="14"/>
                <w:szCs w:val="14"/>
                <w:lang w:eastAsia="it-IT"/>
              </w:rPr>
              <w:t xml:space="preserve"> AIDIC Servizi S.r.l.</w:t>
            </w:r>
            <w:r w:rsidR="00300E56" w:rsidRPr="00B57B36">
              <w:rPr>
                <w:rFonts w:ascii="Tahoma" w:hAnsi="Tahoma" w:cs="Tahoma"/>
                <w:iCs/>
                <w:color w:val="333333"/>
                <w:sz w:val="14"/>
                <w:szCs w:val="14"/>
                <w:lang w:eastAsia="it-IT"/>
              </w:rPr>
              <w:br/>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rsidR="000A03B2" w:rsidRPr="00B57B36" w:rsidRDefault="000A03B2" w:rsidP="000A03B2">
      <w:pPr>
        <w:pStyle w:val="CETAuthors"/>
        <w:sectPr w:rsidR="000A03B2" w:rsidRPr="00B57B36" w:rsidSect="00CD5FE2">
          <w:type w:val="continuous"/>
          <w:pgSz w:w="11906" w:h="16838" w:code="9"/>
          <w:pgMar w:top="1701" w:right="1418" w:bottom="1701" w:left="1701" w:header="1701" w:footer="0" w:gutter="0"/>
          <w:cols w:space="708"/>
          <w:titlePg/>
          <w:docGrid w:linePitch="360"/>
        </w:sectPr>
      </w:pPr>
    </w:p>
    <w:p w:rsidR="00E978D0" w:rsidRPr="005C46A5" w:rsidRDefault="005F64E8" w:rsidP="00E978D0">
      <w:pPr>
        <w:pStyle w:val="CETTitle"/>
      </w:pPr>
      <w:r w:rsidRPr="005F64E8">
        <w:lastRenderedPageBreak/>
        <w:t xml:space="preserve">Evaluation </w:t>
      </w:r>
      <w:r w:rsidR="007A2074" w:rsidRPr="005F64E8">
        <w:t xml:space="preserve">of </w:t>
      </w:r>
      <w:r w:rsidRPr="005F64E8">
        <w:t xml:space="preserve">Cooking Methods </w:t>
      </w:r>
      <w:r w:rsidR="007A2074" w:rsidRPr="005F64E8">
        <w:t xml:space="preserve">in </w:t>
      </w:r>
      <w:r w:rsidR="003727A1">
        <w:t>t</w:t>
      </w:r>
      <w:r w:rsidRPr="005F64E8">
        <w:t xml:space="preserve">he Phenolic Content </w:t>
      </w:r>
      <w:r w:rsidR="007A2074" w:rsidRPr="005F64E8">
        <w:t xml:space="preserve">and </w:t>
      </w:r>
      <w:r w:rsidRPr="005C46A5">
        <w:t xml:space="preserve">Antioxidant Activity </w:t>
      </w:r>
      <w:r w:rsidR="007A2074" w:rsidRPr="005C46A5">
        <w:t xml:space="preserve">in </w:t>
      </w:r>
      <w:r w:rsidRPr="005C46A5">
        <w:rPr>
          <w:i/>
        </w:rPr>
        <w:t xml:space="preserve">Araucaria </w:t>
      </w:r>
      <w:proofErr w:type="spellStart"/>
      <w:r w:rsidRPr="005C46A5">
        <w:rPr>
          <w:i/>
        </w:rPr>
        <w:t>angustifolia</w:t>
      </w:r>
      <w:proofErr w:type="spellEnd"/>
      <w:r w:rsidRPr="005C46A5">
        <w:t xml:space="preserve"> Seeds</w:t>
      </w:r>
    </w:p>
    <w:p w:rsidR="005F64E8" w:rsidRPr="005C46A5" w:rsidRDefault="005F64E8" w:rsidP="00AB5011">
      <w:pPr>
        <w:pStyle w:val="CETAuthors"/>
        <w:rPr>
          <w:lang w:val="pt-BR"/>
        </w:rPr>
      </w:pPr>
      <w:r w:rsidRPr="005C46A5">
        <w:rPr>
          <w:lang w:val="pt-BR"/>
        </w:rPr>
        <w:t>Luiza Pigozzi</w:t>
      </w:r>
      <w:r w:rsidRPr="005C46A5">
        <w:rPr>
          <w:vertAlign w:val="superscript"/>
          <w:lang w:val="pt-BR"/>
        </w:rPr>
        <w:t>a</w:t>
      </w:r>
      <w:r w:rsidRPr="005C46A5">
        <w:rPr>
          <w:lang w:val="pt-BR"/>
        </w:rPr>
        <w:t xml:space="preserve">, </w:t>
      </w:r>
      <w:r w:rsidR="00391879" w:rsidRPr="005C46A5">
        <w:rPr>
          <w:rFonts w:cs="Arial"/>
          <w:szCs w:val="24"/>
          <w:lang w:val="pt-BR"/>
        </w:rPr>
        <w:t>William Gustavo Sganzerla</w:t>
      </w:r>
      <w:r w:rsidR="00391879" w:rsidRPr="005C46A5">
        <w:rPr>
          <w:vertAlign w:val="superscript"/>
          <w:lang w:val="pt-BR"/>
        </w:rPr>
        <w:t>a</w:t>
      </w:r>
      <w:r w:rsidR="00391879" w:rsidRPr="005C46A5">
        <w:rPr>
          <w:lang w:val="pt-BR"/>
        </w:rPr>
        <w:t xml:space="preserve">, </w:t>
      </w:r>
      <w:r w:rsidRPr="005C46A5">
        <w:rPr>
          <w:lang w:val="pt-BR"/>
        </w:rPr>
        <w:t xml:space="preserve">Ana Paula </w:t>
      </w:r>
      <w:r w:rsidR="0000784F" w:rsidRPr="005C46A5">
        <w:rPr>
          <w:lang w:val="pt-BR"/>
        </w:rPr>
        <w:t xml:space="preserve">de </w:t>
      </w:r>
      <w:r w:rsidRPr="005C46A5">
        <w:rPr>
          <w:lang w:val="pt-BR"/>
        </w:rPr>
        <w:t>Lima Veeck</w:t>
      </w:r>
      <w:r w:rsidR="000555CC" w:rsidRPr="005C46A5">
        <w:rPr>
          <w:vertAlign w:val="superscript"/>
          <w:lang w:val="pt-BR"/>
        </w:rPr>
        <w:t>a</w:t>
      </w:r>
      <w:r w:rsidRPr="005C46A5">
        <w:rPr>
          <w:lang w:val="pt-BR"/>
        </w:rPr>
        <w:t>, Leilane Costa de Conto</w:t>
      </w:r>
      <w:r w:rsidR="000555CC" w:rsidRPr="005C46A5">
        <w:rPr>
          <w:vertAlign w:val="superscript"/>
          <w:lang w:val="pt-BR"/>
        </w:rPr>
        <w:t>a</w:t>
      </w:r>
      <w:r w:rsidRPr="005C46A5">
        <w:rPr>
          <w:lang w:val="pt-BR"/>
        </w:rPr>
        <w:t>*</w:t>
      </w:r>
    </w:p>
    <w:p w:rsidR="007A2074" w:rsidRPr="005C46A5" w:rsidRDefault="000555CC" w:rsidP="000555CC">
      <w:pPr>
        <w:autoSpaceDE w:val="0"/>
        <w:autoSpaceDN w:val="0"/>
        <w:adjustRightInd w:val="0"/>
        <w:spacing w:line="240" w:lineRule="auto"/>
        <w:rPr>
          <w:rFonts w:cs="Arial"/>
          <w:sz w:val="16"/>
          <w:szCs w:val="16"/>
          <w:lang w:val="en-US"/>
        </w:rPr>
      </w:pPr>
      <w:proofErr w:type="gramStart"/>
      <w:r w:rsidRPr="005C46A5">
        <w:rPr>
          <w:rFonts w:cs="Arial"/>
          <w:sz w:val="16"/>
          <w:szCs w:val="16"/>
          <w:vertAlign w:val="superscript"/>
          <w:lang w:val="en-US"/>
        </w:rPr>
        <w:t>a</w:t>
      </w:r>
      <w:proofErr w:type="gramEnd"/>
      <w:r w:rsidRPr="005C46A5">
        <w:rPr>
          <w:rFonts w:cs="Arial"/>
          <w:sz w:val="16"/>
          <w:szCs w:val="16"/>
          <w:lang w:val="en-US"/>
        </w:rPr>
        <w:t xml:space="preserve"> Federal Institute of Santa </w:t>
      </w:r>
      <w:proofErr w:type="spellStart"/>
      <w:r w:rsidRPr="005C46A5">
        <w:rPr>
          <w:rFonts w:cs="Arial"/>
          <w:sz w:val="16"/>
          <w:szCs w:val="16"/>
          <w:lang w:val="en-US"/>
        </w:rPr>
        <w:t>Catarina</w:t>
      </w:r>
      <w:proofErr w:type="spellEnd"/>
      <w:r w:rsidRPr="005C46A5">
        <w:rPr>
          <w:rFonts w:cs="Arial"/>
          <w:sz w:val="16"/>
          <w:szCs w:val="16"/>
          <w:lang w:val="en-US"/>
        </w:rPr>
        <w:t xml:space="preserve">, Brazil. * Department of Food Science and Technology, Federal Institute of Santa </w:t>
      </w:r>
      <w:proofErr w:type="spellStart"/>
      <w:r w:rsidRPr="005C46A5">
        <w:rPr>
          <w:rFonts w:cs="Arial"/>
          <w:sz w:val="16"/>
          <w:szCs w:val="16"/>
          <w:lang w:val="en-US"/>
        </w:rPr>
        <w:t>Catarina</w:t>
      </w:r>
      <w:proofErr w:type="spellEnd"/>
      <w:r w:rsidRPr="005C46A5">
        <w:rPr>
          <w:rFonts w:cs="Arial"/>
          <w:sz w:val="16"/>
          <w:szCs w:val="16"/>
          <w:lang w:val="en-US"/>
        </w:rPr>
        <w:t xml:space="preserve">, Zip Code 88.625-000, </w:t>
      </w:r>
      <w:proofErr w:type="spellStart"/>
      <w:r w:rsidRPr="005C46A5">
        <w:rPr>
          <w:rFonts w:cs="Arial"/>
          <w:sz w:val="16"/>
          <w:szCs w:val="16"/>
          <w:lang w:val="en-US"/>
        </w:rPr>
        <w:t>Urupema</w:t>
      </w:r>
      <w:proofErr w:type="spellEnd"/>
      <w:r w:rsidRPr="005C46A5">
        <w:rPr>
          <w:rFonts w:cs="Arial"/>
          <w:sz w:val="16"/>
          <w:szCs w:val="16"/>
          <w:lang w:val="en-US"/>
        </w:rPr>
        <w:t xml:space="preserve"> - SC, Brazil. </w:t>
      </w:r>
    </w:p>
    <w:p w:rsidR="000555CC" w:rsidRPr="005C46A5" w:rsidRDefault="007A2074" w:rsidP="000555CC">
      <w:pPr>
        <w:autoSpaceDE w:val="0"/>
        <w:autoSpaceDN w:val="0"/>
        <w:adjustRightInd w:val="0"/>
        <w:spacing w:line="240" w:lineRule="auto"/>
        <w:rPr>
          <w:rFonts w:cs="Arial"/>
          <w:sz w:val="16"/>
          <w:szCs w:val="16"/>
          <w:lang w:val="en-US"/>
        </w:rPr>
      </w:pPr>
      <w:r w:rsidRPr="005C46A5">
        <w:rPr>
          <w:rFonts w:cs="Arial"/>
          <w:sz w:val="16"/>
          <w:szCs w:val="16"/>
          <w:lang w:val="en-US"/>
        </w:rPr>
        <w:t xml:space="preserve">* </w:t>
      </w:r>
      <w:r w:rsidR="000555CC" w:rsidRPr="005C46A5">
        <w:rPr>
          <w:rFonts w:cs="Arial"/>
          <w:sz w:val="16"/>
          <w:szCs w:val="16"/>
          <w:lang w:val="en-US"/>
        </w:rPr>
        <w:t>leilane.conto@ifsc.edu.br</w:t>
      </w:r>
    </w:p>
    <w:p w:rsidR="000555CC" w:rsidRPr="005C46A5" w:rsidRDefault="000555CC" w:rsidP="00600535">
      <w:pPr>
        <w:pStyle w:val="CETBodytext"/>
        <w:rPr>
          <w:i/>
        </w:rPr>
      </w:pPr>
    </w:p>
    <w:p w:rsidR="00512389" w:rsidRDefault="00512389" w:rsidP="00600535">
      <w:pPr>
        <w:pStyle w:val="CETBodytext"/>
        <w:rPr>
          <w:lang w:val="en-GB"/>
        </w:rPr>
      </w:pPr>
      <w:r w:rsidRPr="00512389">
        <w:rPr>
          <w:i/>
          <w:lang w:val="en-GB"/>
        </w:rPr>
        <w:t xml:space="preserve">Araucaria </w:t>
      </w:r>
      <w:proofErr w:type="spellStart"/>
      <w:r w:rsidRPr="00512389">
        <w:rPr>
          <w:i/>
          <w:lang w:val="en-GB"/>
        </w:rPr>
        <w:t>angustifolia</w:t>
      </w:r>
      <w:proofErr w:type="spellEnd"/>
      <w:r w:rsidRPr="00512389">
        <w:rPr>
          <w:lang w:val="en-GB"/>
        </w:rPr>
        <w:t xml:space="preserve"> seeds (</w:t>
      </w:r>
      <w:proofErr w:type="spellStart"/>
      <w:r w:rsidRPr="00512389">
        <w:rPr>
          <w:lang w:val="en-GB"/>
        </w:rPr>
        <w:t>pinhão</w:t>
      </w:r>
      <w:proofErr w:type="spellEnd"/>
      <w:r w:rsidRPr="00512389">
        <w:rPr>
          <w:lang w:val="en-GB"/>
        </w:rPr>
        <w:t xml:space="preserve">) are a typical and popular food source in the southern region of Brazil, which contain high amount of carbohydrates and dietary </w:t>
      </w:r>
      <w:proofErr w:type="spellStart"/>
      <w:r w:rsidRPr="00512389">
        <w:rPr>
          <w:lang w:val="en-GB"/>
        </w:rPr>
        <w:t>fibers</w:t>
      </w:r>
      <w:proofErr w:type="spellEnd"/>
      <w:r w:rsidRPr="00512389">
        <w:rPr>
          <w:lang w:val="en-GB"/>
        </w:rPr>
        <w:t xml:space="preserve">. They are also rich in bioactive compounds highly beneficial to human health. The objective of this study was to evaluate three </w:t>
      </w:r>
      <w:r w:rsidR="003727A1" w:rsidRPr="00512389">
        <w:rPr>
          <w:lang w:val="en-GB"/>
        </w:rPr>
        <w:t xml:space="preserve">processing </w:t>
      </w:r>
      <w:r w:rsidRPr="00512389">
        <w:rPr>
          <w:lang w:val="en-GB"/>
        </w:rPr>
        <w:t xml:space="preserve">methods of the </w:t>
      </w:r>
      <w:proofErr w:type="spellStart"/>
      <w:r w:rsidRPr="00512389">
        <w:rPr>
          <w:lang w:val="en-GB"/>
        </w:rPr>
        <w:t>pinhão</w:t>
      </w:r>
      <w:proofErr w:type="spellEnd"/>
      <w:r w:rsidRPr="00512389">
        <w:rPr>
          <w:lang w:val="en-GB"/>
        </w:rPr>
        <w:t xml:space="preserve"> with a focus on their centesimal composition and its antioxidant propert</w:t>
      </w:r>
      <w:r w:rsidR="0000784F">
        <w:rPr>
          <w:lang w:val="en-GB"/>
        </w:rPr>
        <w:t>ies</w:t>
      </w:r>
      <w:r w:rsidRPr="00512389">
        <w:rPr>
          <w:lang w:val="en-GB"/>
        </w:rPr>
        <w:t xml:space="preserve">, testing different types of solvents in the extraction of the phenolic compounds. The processed </w:t>
      </w:r>
      <w:proofErr w:type="spellStart"/>
      <w:r w:rsidRPr="00512389">
        <w:rPr>
          <w:lang w:val="en-GB"/>
        </w:rPr>
        <w:t>pinhão</w:t>
      </w:r>
      <w:proofErr w:type="spellEnd"/>
      <w:r w:rsidRPr="00512389">
        <w:rPr>
          <w:lang w:val="en-GB"/>
        </w:rPr>
        <w:t xml:space="preserve"> was evaluated in three different fo</w:t>
      </w:r>
      <w:r w:rsidR="003727A1">
        <w:rPr>
          <w:lang w:val="en-GB"/>
        </w:rPr>
        <w:t xml:space="preserve">rms: raw, </w:t>
      </w:r>
      <w:r w:rsidRPr="00512389">
        <w:rPr>
          <w:lang w:val="en-GB"/>
        </w:rPr>
        <w:t xml:space="preserve">cooked flour and grits (toasted cooked </w:t>
      </w:r>
      <w:proofErr w:type="spellStart"/>
      <w:r w:rsidRPr="00512389">
        <w:rPr>
          <w:lang w:val="en-GB"/>
        </w:rPr>
        <w:t>pinhão</w:t>
      </w:r>
      <w:proofErr w:type="spellEnd"/>
      <w:r w:rsidRPr="00512389">
        <w:rPr>
          <w:lang w:val="en-GB"/>
        </w:rPr>
        <w:t xml:space="preserve">). </w:t>
      </w:r>
      <w:r w:rsidR="003727A1">
        <w:rPr>
          <w:lang w:val="en-GB"/>
        </w:rPr>
        <w:t>C</w:t>
      </w:r>
      <w:r w:rsidRPr="00512389">
        <w:rPr>
          <w:lang w:val="en-GB"/>
        </w:rPr>
        <w:t>entesimal comp</w:t>
      </w:r>
      <w:r w:rsidR="003727A1">
        <w:rPr>
          <w:lang w:val="en-GB"/>
        </w:rPr>
        <w:t>osition, total phenolic content</w:t>
      </w:r>
      <w:r w:rsidRPr="00512389">
        <w:rPr>
          <w:lang w:val="en-GB"/>
        </w:rPr>
        <w:t xml:space="preserve"> and the antioxidant capacity (DPPH) </w:t>
      </w:r>
      <w:bookmarkStart w:id="0" w:name="_GoBack"/>
      <w:bookmarkEnd w:id="0"/>
      <w:r w:rsidR="008F0913">
        <w:rPr>
          <w:lang w:val="en-GB"/>
        </w:rPr>
        <w:t>were</w:t>
      </w:r>
      <w:r w:rsidRPr="00512389">
        <w:rPr>
          <w:lang w:val="en-GB"/>
        </w:rPr>
        <w:t xml:space="preserve"> measure in three different </w:t>
      </w:r>
      <w:r w:rsidR="003727A1">
        <w:rPr>
          <w:lang w:val="en-GB"/>
        </w:rPr>
        <w:t>solvent extractors</w:t>
      </w:r>
      <w:r w:rsidR="008F0913">
        <w:rPr>
          <w:lang w:val="en-GB"/>
        </w:rPr>
        <w:t xml:space="preserve"> </w:t>
      </w:r>
      <w:r w:rsidR="008F0913" w:rsidRPr="00512389">
        <w:rPr>
          <w:lang w:val="en-GB"/>
        </w:rPr>
        <w:t>(0</w:t>
      </w:r>
      <w:r w:rsidR="008F0913">
        <w:rPr>
          <w:lang w:val="en-GB"/>
        </w:rPr>
        <w:t>.</w:t>
      </w:r>
      <w:r w:rsidR="008F0913" w:rsidRPr="00512389">
        <w:rPr>
          <w:lang w:val="en-GB"/>
        </w:rPr>
        <w:t>1</w:t>
      </w:r>
      <w:r w:rsidR="008F0913">
        <w:rPr>
          <w:lang w:val="en-GB"/>
        </w:rPr>
        <w:t xml:space="preserve"> </w:t>
      </w:r>
      <w:r w:rsidR="008F0913" w:rsidRPr="00512389">
        <w:rPr>
          <w:lang w:val="en-GB"/>
        </w:rPr>
        <w:t>g</w:t>
      </w:r>
      <w:r w:rsidR="008F0913">
        <w:rPr>
          <w:lang w:val="en-GB"/>
        </w:rPr>
        <w:t>/</w:t>
      </w:r>
      <w:r w:rsidR="008F0913" w:rsidRPr="00512389">
        <w:rPr>
          <w:lang w:val="en-GB"/>
        </w:rPr>
        <w:t>mL)</w:t>
      </w:r>
      <w:r w:rsidRPr="00512389">
        <w:rPr>
          <w:lang w:val="en-GB"/>
        </w:rPr>
        <w:t>: aqueous, ethanolic and hydro</w:t>
      </w:r>
      <w:r w:rsidR="008F0913">
        <w:rPr>
          <w:lang w:val="en-GB"/>
        </w:rPr>
        <w:t xml:space="preserve">ethanolic. </w:t>
      </w:r>
      <w:r w:rsidRPr="00512389">
        <w:rPr>
          <w:lang w:val="en-GB"/>
        </w:rPr>
        <w:t xml:space="preserve">The bioactive compounds obtained in the cooked </w:t>
      </w:r>
      <w:proofErr w:type="spellStart"/>
      <w:r w:rsidRPr="00512389">
        <w:rPr>
          <w:lang w:val="en-GB"/>
        </w:rPr>
        <w:t>pinhão</w:t>
      </w:r>
      <w:proofErr w:type="spellEnd"/>
      <w:r w:rsidRPr="00512389">
        <w:rPr>
          <w:lang w:val="en-GB"/>
        </w:rPr>
        <w:t xml:space="preserve"> flour showed the highest concentration of phenolic compounds and, consequently, the highest antioxidant activity. </w:t>
      </w:r>
      <w:r w:rsidR="008F0913">
        <w:rPr>
          <w:lang w:val="en-GB"/>
        </w:rPr>
        <w:t xml:space="preserve">Comparing </w:t>
      </w:r>
      <w:r w:rsidRPr="00512389">
        <w:rPr>
          <w:lang w:val="en-GB"/>
        </w:rPr>
        <w:t xml:space="preserve">the solvents used, the hydroethanolic and aqueous extracts were the most efficient in the extraction of the bioactive compounds from the </w:t>
      </w:r>
      <w:proofErr w:type="spellStart"/>
      <w:r w:rsidRPr="00512389">
        <w:rPr>
          <w:lang w:val="en-GB"/>
        </w:rPr>
        <w:t>pinhão</w:t>
      </w:r>
      <w:proofErr w:type="spellEnd"/>
      <w:r w:rsidRPr="00512389">
        <w:rPr>
          <w:lang w:val="en-GB"/>
        </w:rPr>
        <w:t>.</w:t>
      </w:r>
    </w:p>
    <w:p w:rsidR="00512389" w:rsidRDefault="00512389" w:rsidP="00600535">
      <w:pPr>
        <w:pStyle w:val="CETBodytext"/>
        <w:rPr>
          <w:lang w:val="en-GB"/>
        </w:rPr>
      </w:pPr>
    </w:p>
    <w:p w:rsidR="00512389" w:rsidRDefault="00512389" w:rsidP="00600535">
      <w:pPr>
        <w:pStyle w:val="CETBodytext"/>
        <w:rPr>
          <w:lang w:val="en-GB"/>
        </w:rPr>
      </w:pPr>
      <w:r w:rsidRPr="00512389">
        <w:rPr>
          <w:lang w:val="en-GB"/>
        </w:rPr>
        <w:t xml:space="preserve">Key Words: Bioactive compounds, extraction solvents, </w:t>
      </w:r>
      <w:proofErr w:type="spellStart"/>
      <w:r w:rsidRPr="00512389">
        <w:rPr>
          <w:lang w:val="en-GB"/>
        </w:rPr>
        <w:t>pinhão</w:t>
      </w:r>
      <w:proofErr w:type="spellEnd"/>
      <w:r w:rsidRPr="00512389">
        <w:rPr>
          <w:lang w:val="en-GB"/>
        </w:rPr>
        <w:t>, DPPH</w:t>
      </w:r>
      <w:r w:rsidR="008F0913">
        <w:rPr>
          <w:lang w:val="en-GB"/>
        </w:rPr>
        <w:t>.</w:t>
      </w:r>
    </w:p>
    <w:p w:rsidR="00600535" w:rsidRPr="0041365F" w:rsidRDefault="00600535" w:rsidP="00600535">
      <w:pPr>
        <w:pStyle w:val="CETHeading1"/>
        <w:rPr>
          <w:sz w:val="18"/>
          <w:szCs w:val="18"/>
          <w:lang w:val="en-GB"/>
        </w:rPr>
      </w:pPr>
      <w:r w:rsidRPr="0041365F">
        <w:rPr>
          <w:sz w:val="18"/>
          <w:szCs w:val="18"/>
          <w:lang w:val="en-GB"/>
        </w:rPr>
        <w:t>Introduction</w:t>
      </w:r>
    </w:p>
    <w:p w:rsidR="00512389" w:rsidRPr="00512389" w:rsidRDefault="00512389" w:rsidP="00512389">
      <w:pPr>
        <w:pStyle w:val="CETBodytext"/>
        <w:rPr>
          <w:lang w:val="en-GB"/>
        </w:rPr>
      </w:pPr>
      <w:r w:rsidRPr="00512389">
        <w:rPr>
          <w:lang w:val="en-GB"/>
        </w:rPr>
        <w:t xml:space="preserve">The </w:t>
      </w:r>
      <w:r w:rsidRPr="00334B94">
        <w:rPr>
          <w:i/>
          <w:lang w:val="en-GB"/>
        </w:rPr>
        <w:t xml:space="preserve">Araucaria </w:t>
      </w:r>
      <w:proofErr w:type="spellStart"/>
      <w:r w:rsidRPr="00334B94">
        <w:rPr>
          <w:i/>
          <w:lang w:val="en-GB"/>
        </w:rPr>
        <w:t>angustifolia</w:t>
      </w:r>
      <w:proofErr w:type="spellEnd"/>
      <w:r w:rsidRPr="00512389">
        <w:rPr>
          <w:lang w:val="en-GB"/>
        </w:rPr>
        <w:t xml:space="preserve"> is a typical tree species from the southern region of Brazil, which is also found in the south-eastern part of the country and in </w:t>
      </w:r>
      <w:proofErr w:type="spellStart"/>
      <w:r w:rsidRPr="00512389">
        <w:rPr>
          <w:lang w:val="en-GB"/>
        </w:rPr>
        <w:t>neighboring</w:t>
      </w:r>
      <w:proofErr w:type="spellEnd"/>
      <w:r w:rsidRPr="00512389">
        <w:rPr>
          <w:lang w:val="en-GB"/>
        </w:rPr>
        <w:t xml:space="preserve"> countries like Paraguay and Argentina, in mountain range regions and high plains. This species is naturally found in Mixed </w:t>
      </w:r>
      <w:proofErr w:type="spellStart"/>
      <w:r w:rsidRPr="00512389">
        <w:rPr>
          <w:lang w:val="en-GB"/>
        </w:rPr>
        <w:t>Ombrophilous</w:t>
      </w:r>
      <w:proofErr w:type="spellEnd"/>
      <w:r w:rsidRPr="00512389">
        <w:rPr>
          <w:lang w:val="en-GB"/>
        </w:rPr>
        <w:t xml:space="preserve"> Forests, being their most important representative (Silva</w:t>
      </w:r>
      <w:r>
        <w:rPr>
          <w:lang w:val="en-GB"/>
        </w:rPr>
        <w:t>,</w:t>
      </w:r>
      <w:r w:rsidRPr="00512389">
        <w:rPr>
          <w:lang w:val="en-GB"/>
        </w:rPr>
        <w:t xml:space="preserve"> 2013). Uncontrolled exploitation of this tree, due to the quality of its wood, resulted in a large-scale impact on the forest of Brazilian pines (</w:t>
      </w:r>
      <w:r w:rsidRPr="00334B94">
        <w:rPr>
          <w:i/>
          <w:lang w:val="en-GB"/>
        </w:rPr>
        <w:t xml:space="preserve">Araucaria </w:t>
      </w:r>
      <w:proofErr w:type="spellStart"/>
      <w:r w:rsidRPr="00334B94">
        <w:rPr>
          <w:i/>
          <w:lang w:val="en-GB"/>
        </w:rPr>
        <w:t>angustifolia</w:t>
      </w:r>
      <w:proofErr w:type="spellEnd"/>
      <w:r w:rsidRPr="00512389">
        <w:rPr>
          <w:lang w:val="en-GB"/>
        </w:rPr>
        <w:t>), reducing its population considerably. This fact resulted in negative environmental impacts on the biological diversity and on the food chain balance of this ecosystem (</w:t>
      </w:r>
      <w:proofErr w:type="spellStart"/>
      <w:r w:rsidRPr="00512389">
        <w:rPr>
          <w:lang w:val="en-GB"/>
        </w:rPr>
        <w:t>Carvalho</w:t>
      </w:r>
      <w:proofErr w:type="spellEnd"/>
      <w:r>
        <w:rPr>
          <w:lang w:val="en-GB"/>
        </w:rPr>
        <w:t>,</w:t>
      </w:r>
      <w:r w:rsidRPr="00512389">
        <w:rPr>
          <w:lang w:val="en-GB"/>
        </w:rPr>
        <w:t xml:space="preserve"> 2010).</w:t>
      </w:r>
    </w:p>
    <w:p w:rsidR="00512389" w:rsidRPr="00512389" w:rsidRDefault="00512389" w:rsidP="00512389">
      <w:pPr>
        <w:pStyle w:val="CETBodytext"/>
        <w:rPr>
          <w:lang w:val="en-GB"/>
        </w:rPr>
      </w:pPr>
      <w:r w:rsidRPr="00512389">
        <w:rPr>
          <w:lang w:val="en-GB"/>
        </w:rPr>
        <w:t xml:space="preserve">Usually, </w:t>
      </w:r>
      <w:proofErr w:type="spellStart"/>
      <w:r w:rsidRPr="00512389">
        <w:rPr>
          <w:lang w:val="en-GB"/>
        </w:rPr>
        <w:t>pinhão</w:t>
      </w:r>
      <w:proofErr w:type="spellEnd"/>
      <w:r w:rsidRPr="00512389">
        <w:rPr>
          <w:lang w:val="en-GB"/>
        </w:rPr>
        <w:t xml:space="preserve"> are eaten cooked or roasted, and are used in typical dishes and some delicacies.  In spite of its popularity, industrialization of </w:t>
      </w:r>
      <w:proofErr w:type="spellStart"/>
      <w:r w:rsidRPr="00512389">
        <w:rPr>
          <w:lang w:val="en-GB"/>
        </w:rPr>
        <w:t>pinhão</w:t>
      </w:r>
      <w:proofErr w:type="spellEnd"/>
      <w:r w:rsidRPr="00512389">
        <w:rPr>
          <w:lang w:val="en-GB"/>
        </w:rPr>
        <w:t xml:space="preserve"> is almost non-existent, not because of any technical difficulties involve</w:t>
      </w:r>
      <w:r w:rsidR="00577528">
        <w:rPr>
          <w:lang w:val="en-GB"/>
        </w:rPr>
        <w:t>d in its processing, but</w:t>
      </w:r>
      <w:r w:rsidRPr="00512389">
        <w:rPr>
          <w:lang w:val="en-GB"/>
        </w:rPr>
        <w:t xml:space="preserve"> due to the lack of a more industrial culture </w:t>
      </w:r>
      <w:r w:rsidR="00577528" w:rsidRPr="00512389">
        <w:rPr>
          <w:lang w:val="en-GB"/>
        </w:rPr>
        <w:t xml:space="preserve">developed </w:t>
      </w:r>
      <w:r w:rsidRPr="00512389">
        <w:rPr>
          <w:lang w:val="en-GB"/>
        </w:rPr>
        <w:t>in producing regions, making it difficult to include the seeds in diversified food products (Santos et al.</w:t>
      </w:r>
      <w:r>
        <w:rPr>
          <w:lang w:val="en-GB"/>
        </w:rPr>
        <w:t>,</w:t>
      </w:r>
      <w:r w:rsidR="00577528">
        <w:rPr>
          <w:lang w:val="en-GB"/>
        </w:rPr>
        <w:t xml:space="preserve"> 2002). </w:t>
      </w:r>
      <w:proofErr w:type="spellStart"/>
      <w:r w:rsidR="00577528">
        <w:rPr>
          <w:lang w:val="en-GB"/>
        </w:rPr>
        <w:t>P</w:t>
      </w:r>
      <w:r w:rsidRPr="00512389">
        <w:rPr>
          <w:lang w:val="en-GB"/>
        </w:rPr>
        <w:t>inhão</w:t>
      </w:r>
      <w:proofErr w:type="spellEnd"/>
      <w:r w:rsidR="00577528">
        <w:rPr>
          <w:lang w:val="en-GB"/>
        </w:rPr>
        <w:t xml:space="preserve"> processing studies</w:t>
      </w:r>
      <w:r w:rsidR="00E765B5">
        <w:rPr>
          <w:lang w:val="en-GB"/>
        </w:rPr>
        <w:t xml:space="preserve"> could </w:t>
      </w:r>
      <w:r w:rsidR="00E765B5">
        <w:rPr>
          <w:rStyle w:val="tlid-translation"/>
        </w:rPr>
        <w:t>enable</w:t>
      </w:r>
      <w:r w:rsidRPr="00512389">
        <w:rPr>
          <w:lang w:val="en-GB"/>
        </w:rPr>
        <w:t xml:space="preserve"> </w:t>
      </w:r>
      <w:r w:rsidR="00E765B5" w:rsidRPr="00512389">
        <w:rPr>
          <w:lang w:val="en-GB"/>
        </w:rPr>
        <w:t xml:space="preserve">the </w:t>
      </w:r>
      <w:r w:rsidR="00E765B5">
        <w:rPr>
          <w:rStyle w:val="tlid-translation"/>
        </w:rPr>
        <w:t>commercialization</w:t>
      </w:r>
      <w:r w:rsidR="00E765B5" w:rsidRPr="00512389">
        <w:rPr>
          <w:lang w:val="en-GB"/>
        </w:rPr>
        <w:t xml:space="preserve"> </w:t>
      </w:r>
      <w:r w:rsidR="00E765B5">
        <w:rPr>
          <w:rStyle w:val="tlid-translation"/>
        </w:rPr>
        <w:t>throughout the year</w:t>
      </w:r>
      <w:r w:rsidRPr="00512389">
        <w:rPr>
          <w:lang w:val="en-GB"/>
        </w:rPr>
        <w:t>, which otherwise would be diffic</w:t>
      </w:r>
      <w:r w:rsidR="00E765B5">
        <w:rPr>
          <w:lang w:val="en-GB"/>
        </w:rPr>
        <w:t>ult as they are a seasonal sampl</w:t>
      </w:r>
      <w:r w:rsidRPr="00512389">
        <w:rPr>
          <w:lang w:val="en-GB"/>
        </w:rPr>
        <w:t>e. In addition to being an extra source of income, it boosts the production chain by adding value to the seeds, while reinforcing the need of preserving the Brazilian pines, as they are threatened of extinction.</w:t>
      </w:r>
    </w:p>
    <w:p w:rsidR="00512389" w:rsidRPr="00512389" w:rsidRDefault="00334B94" w:rsidP="00512389">
      <w:pPr>
        <w:pStyle w:val="CETBodytext"/>
        <w:rPr>
          <w:lang w:val="en-GB"/>
        </w:rPr>
      </w:pPr>
      <w:r>
        <w:rPr>
          <w:rStyle w:val="gt-baf-cell"/>
        </w:rPr>
        <w:t>Nowadays,</w:t>
      </w:r>
      <w:r w:rsidRPr="00334B94">
        <w:t xml:space="preserve"> </w:t>
      </w:r>
      <w:r>
        <w:rPr>
          <w:rStyle w:val="tlid-translation"/>
        </w:rPr>
        <w:t>studies have been carried out to determine differe</w:t>
      </w:r>
      <w:r w:rsidR="00577528">
        <w:rPr>
          <w:rStyle w:val="tlid-translation"/>
        </w:rPr>
        <w:t xml:space="preserve">nt forms of </w:t>
      </w:r>
      <w:proofErr w:type="spellStart"/>
      <w:r w:rsidR="00577528">
        <w:rPr>
          <w:rStyle w:val="tlid-translation"/>
        </w:rPr>
        <w:t>pinhão</w:t>
      </w:r>
      <w:proofErr w:type="spellEnd"/>
      <w:r w:rsidR="00577528">
        <w:rPr>
          <w:rStyle w:val="tlid-translation"/>
        </w:rPr>
        <w:t xml:space="preserve"> processing</w:t>
      </w:r>
      <w:r>
        <w:rPr>
          <w:rStyle w:val="tlid-translation"/>
        </w:rPr>
        <w:t xml:space="preserve">. </w:t>
      </w:r>
      <w:r w:rsidR="00577528">
        <w:rPr>
          <w:lang w:val="en-GB"/>
        </w:rPr>
        <w:t>One of the most studied methods</w:t>
      </w:r>
      <w:r w:rsidR="00512389" w:rsidRPr="00512389">
        <w:rPr>
          <w:lang w:val="en-GB"/>
        </w:rPr>
        <w:t xml:space="preserve"> is to </w:t>
      </w:r>
      <w:r w:rsidR="008F0913">
        <w:rPr>
          <w:lang w:val="en-GB"/>
        </w:rPr>
        <w:t>produce</w:t>
      </w:r>
      <w:r w:rsidR="00512389" w:rsidRPr="00512389">
        <w:rPr>
          <w:lang w:val="en-GB"/>
        </w:rPr>
        <w:t xml:space="preserve"> </w:t>
      </w:r>
      <w:proofErr w:type="spellStart"/>
      <w:r w:rsidR="00512389" w:rsidRPr="00512389">
        <w:rPr>
          <w:lang w:val="en-GB"/>
        </w:rPr>
        <w:t>pinhão</w:t>
      </w:r>
      <w:proofErr w:type="spellEnd"/>
      <w:r w:rsidR="00512389" w:rsidRPr="00512389">
        <w:rPr>
          <w:lang w:val="en-GB"/>
        </w:rPr>
        <w:t xml:space="preserve"> flour, which may extend their shelf-life by dehydration, reducing physical, chemical and enzymatic deterioration. </w:t>
      </w:r>
      <w:r w:rsidR="00577528">
        <w:rPr>
          <w:rStyle w:val="alt-edited"/>
        </w:rPr>
        <w:t>Additionally</w:t>
      </w:r>
      <w:r w:rsidR="008F0913">
        <w:rPr>
          <w:rStyle w:val="alt-edited"/>
        </w:rPr>
        <w:t>,</w:t>
      </w:r>
      <w:r w:rsidR="00512389" w:rsidRPr="00512389">
        <w:rPr>
          <w:lang w:val="en-GB"/>
        </w:rPr>
        <w:t xml:space="preserve"> flour</w:t>
      </w:r>
      <w:r w:rsidR="008F0913">
        <w:rPr>
          <w:lang w:val="en-GB"/>
        </w:rPr>
        <w:t xml:space="preserve"> and</w:t>
      </w:r>
      <w:r w:rsidR="00512389" w:rsidRPr="00512389">
        <w:rPr>
          <w:lang w:val="en-GB"/>
        </w:rPr>
        <w:t xml:space="preserve"> grits are also an interesting alternat</w:t>
      </w:r>
      <w:r w:rsidR="00577528">
        <w:rPr>
          <w:lang w:val="en-GB"/>
        </w:rPr>
        <w:t xml:space="preserve">ive for </w:t>
      </w:r>
      <w:proofErr w:type="spellStart"/>
      <w:r w:rsidR="00577528">
        <w:rPr>
          <w:lang w:val="en-GB"/>
        </w:rPr>
        <w:t>pinhão</w:t>
      </w:r>
      <w:proofErr w:type="spellEnd"/>
      <w:r w:rsidR="008F0913">
        <w:rPr>
          <w:lang w:val="en-GB"/>
        </w:rPr>
        <w:t xml:space="preserve"> </w:t>
      </w:r>
      <w:r w:rsidR="00577528">
        <w:rPr>
          <w:lang w:val="en-GB"/>
        </w:rPr>
        <w:t>based products</w:t>
      </w:r>
      <w:r w:rsidR="008F0913">
        <w:rPr>
          <w:lang w:val="en-GB"/>
        </w:rPr>
        <w:t>. I</w:t>
      </w:r>
      <w:r w:rsidR="00577528">
        <w:rPr>
          <w:lang w:val="en-GB"/>
        </w:rPr>
        <w:t>n this way</w:t>
      </w:r>
      <w:r w:rsidR="008F0913">
        <w:rPr>
          <w:lang w:val="en-GB"/>
        </w:rPr>
        <w:t>,</w:t>
      </w:r>
      <w:r w:rsidR="00577528">
        <w:rPr>
          <w:lang w:val="en-GB"/>
        </w:rPr>
        <w:t xml:space="preserve"> </w:t>
      </w:r>
      <w:proofErr w:type="spellStart"/>
      <w:r w:rsidR="00577528">
        <w:rPr>
          <w:lang w:val="en-GB"/>
        </w:rPr>
        <w:t>pinhão</w:t>
      </w:r>
      <w:proofErr w:type="spellEnd"/>
      <w:r w:rsidR="00512389" w:rsidRPr="00512389">
        <w:rPr>
          <w:lang w:val="en-GB"/>
        </w:rPr>
        <w:t xml:space="preserve"> </w:t>
      </w:r>
      <w:r w:rsidR="008F0913">
        <w:rPr>
          <w:lang w:val="en-GB"/>
        </w:rPr>
        <w:t>presents</w:t>
      </w:r>
      <w:r w:rsidR="00512389" w:rsidRPr="00512389">
        <w:rPr>
          <w:lang w:val="en-GB"/>
        </w:rPr>
        <w:t xml:space="preserve"> a high nutritional value, being a source of starch and dietary </w:t>
      </w:r>
      <w:proofErr w:type="spellStart"/>
      <w:r w:rsidR="00512389" w:rsidRPr="00512389">
        <w:rPr>
          <w:lang w:val="en-GB"/>
        </w:rPr>
        <w:t>f</w:t>
      </w:r>
      <w:r w:rsidR="00577528">
        <w:rPr>
          <w:lang w:val="en-GB"/>
        </w:rPr>
        <w:t>ibers</w:t>
      </w:r>
      <w:proofErr w:type="spellEnd"/>
      <w:r w:rsidR="00577528">
        <w:rPr>
          <w:lang w:val="en-GB"/>
        </w:rPr>
        <w:t>, with a low fat content</w:t>
      </w:r>
      <w:r w:rsidR="003727A1">
        <w:rPr>
          <w:lang w:val="en-GB"/>
        </w:rPr>
        <w:t>,</w:t>
      </w:r>
      <w:r w:rsidR="008F0913">
        <w:rPr>
          <w:lang w:val="en-GB"/>
        </w:rPr>
        <w:t xml:space="preserve"> and also </w:t>
      </w:r>
      <w:r w:rsidR="00512389" w:rsidRPr="00512389">
        <w:rPr>
          <w:lang w:val="en-GB"/>
        </w:rPr>
        <w:t>a good source of bioactive compounds, such as phenolic compou</w:t>
      </w:r>
      <w:r w:rsidR="007A2074">
        <w:rPr>
          <w:lang w:val="en-GB"/>
        </w:rPr>
        <w:t>nds with antioxidant properties</w:t>
      </w:r>
      <w:r w:rsidR="00512389" w:rsidRPr="00512389">
        <w:rPr>
          <w:lang w:val="en-GB"/>
        </w:rPr>
        <w:t xml:space="preserve"> (Costa</w:t>
      </w:r>
      <w:r w:rsidR="00512389">
        <w:rPr>
          <w:lang w:val="en-GB"/>
        </w:rPr>
        <w:t>,</w:t>
      </w:r>
      <w:r w:rsidR="00512389" w:rsidRPr="00512389">
        <w:rPr>
          <w:lang w:val="en-GB"/>
        </w:rPr>
        <w:t xml:space="preserve"> 2014; </w:t>
      </w:r>
      <w:proofErr w:type="spellStart"/>
      <w:r w:rsidR="00E765B5">
        <w:rPr>
          <w:lang w:val="en-GB"/>
        </w:rPr>
        <w:t>Conto</w:t>
      </w:r>
      <w:proofErr w:type="spellEnd"/>
      <w:r w:rsidR="00E765B5">
        <w:rPr>
          <w:lang w:val="en-GB"/>
        </w:rPr>
        <w:t xml:space="preserve"> et al., 2015; </w:t>
      </w:r>
      <w:proofErr w:type="spellStart"/>
      <w:r w:rsidR="00512389" w:rsidRPr="00512389">
        <w:rPr>
          <w:lang w:val="en-GB"/>
        </w:rPr>
        <w:t>Thys</w:t>
      </w:r>
      <w:proofErr w:type="spellEnd"/>
      <w:r w:rsidR="00512389" w:rsidRPr="00512389">
        <w:rPr>
          <w:lang w:val="en-GB"/>
        </w:rPr>
        <w:t xml:space="preserve"> </w:t>
      </w:r>
      <w:r w:rsidR="00512389">
        <w:rPr>
          <w:lang w:val="en-GB"/>
        </w:rPr>
        <w:t>and</w:t>
      </w:r>
      <w:r w:rsidR="00512389" w:rsidRPr="00512389">
        <w:rPr>
          <w:lang w:val="en-GB"/>
        </w:rPr>
        <w:t xml:space="preserve"> Cunha</w:t>
      </w:r>
      <w:r w:rsidR="00512389">
        <w:rPr>
          <w:lang w:val="en-GB"/>
        </w:rPr>
        <w:t>,</w:t>
      </w:r>
      <w:r w:rsidR="00512389" w:rsidRPr="00512389">
        <w:rPr>
          <w:lang w:val="en-GB"/>
        </w:rPr>
        <w:t xml:space="preserve"> 2015).</w:t>
      </w:r>
    </w:p>
    <w:p w:rsidR="00512389" w:rsidRPr="00512389" w:rsidRDefault="00512389" w:rsidP="00512389">
      <w:pPr>
        <w:pStyle w:val="CETBodytext"/>
        <w:rPr>
          <w:lang w:val="en-GB"/>
        </w:rPr>
      </w:pPr>
      <w:r w:rsidRPr="00512389">
        <w:rPr>
          <w:lang w:val="en-GB"/>
        </w:rPr>
        <w:lastRenderedPageBreak/>
        <w:t xml:space="preserve">Phenolic compounds are secondary metabolites in plants, </w:t>
      </w:r>
      <w:r w:rsidR="00334B94">
        <w:rPr>
          <w:lang w:val="en-GB"/>
        </w:rPr>
        <w:t>that</w:t>
      </w:r>
      <w:r w:rsidRPr="00512389">
        <w:rPr>
          <w:lang w:val="en-GB"/>
        </w:rPr>
        <w:t xml:space="preserve"> </w:t>
      </w:r>
      <w:r w:rsidR="00F7374C">
        <w:rPr>
          <w:lang w:val="en-GB"/>
        </w:rPr>
        <w:t>presents</w:t>
      </w:r>
      <w:r w:rsidRPr="00512389">
        <w:rPr>
          <w:lang w:val="en-GB"/>
        </w:rPr>
        <w:t xml:space="preserve"> an important function in</w:t>
      </w:r>
      <w:r w:rsidR="00F7374C">
        <w:rPr>
          <w:lang w:val="en-GB"/>
        </w:rPr>
        <w:t xml:space="preserve"> the</w:t>
      </w:r>
      <w:r w:rsidR="00334B94">
        <w:rPr>
          <w:lang w:val="en-GB"/>
        </w:rPr>
        <w:t xml:space="preserve"> protection </w:t>
      </w:r>
      <w:r w:rsidRPr="00512389">
        <w:rPr>
          <w:lang w:val="en-GB"/>
        </w:rPr>
        <w:t xml:space="preserve">and, usually, appearing as a </w:t>
      </w:r>
      <w:r w:rsidR="00334B94" w:rsidRPr="00334B94">
        <w:t>defen</w:t>
      </w:r>
      <w:r w:rsidR="00334B94">
        <w:t>s</w:t>
      </w:r>
      <w:r w:rsidR="00334B94" w:rsidRPr="00334B94">
        <w:t>e</w:t>
      </w:r>
      <w:r w:rsidRPr="00512389">
        <w:rPr>
          <w:lang w:val="en-GB"/>
        </w:rPr>
        <w:t xml:space="preserve"> mechanism in plants. They present a large structural variety and are highly reactive. The most important types are flavonoids, </w:t>
      </w:r>
      <w:proofErr w:type="spellStart"/>
      <w:r w:rsidRPr="00512389">
        <w:rPr>
          <w:lang w:val="en-GB"/>
        </w:rPr>
        <w:t>anthocyanins</w:t>
      </w:r>
      <w:proofErr w:type="spellEnd"/>
      <w:r w:rsidRPr="00512389">
        <w:rPr>
          <w:lang w:val="en-GB"/>
        </w:rPr>
        <w:t xml:space="preserve">, </w:t>
      </w:r>
      <w:proofErr w:type="spellStart"/>
      <w:r w:rsidRPr="00512389">
        <w:rPr>
          <w:lang w:val="en-GB"/>
        </w:rPr>
        <w:t>catechins</w:t>
      </w:r>
      <w:proofErr w:type="spellEnd"/>
      <w:r w:rsidRPr="00512389">
        <w:rPr>
          <w:lang w:val="en-GB"/>
        </w:rPr>
        <w:t>, tannins (polyphenols) and phenolic acids (simple phenols).</w:t>
      </w:r>
      <w:r w:rsidR="00F7374C">
        <w:rPr>
          <w:lang w:val="en-GB"/>
        </w:rPr>
        <w:t xml:space="preserve"> </w:t>
      </w:r>
      <w:r w:rsidRPr="00512389">
        <w:rPr>
          <w:lang w:val="en-GB"/>
        </w:rPr>
        <w:t xml:space="preserve">These compounds can influence the nutritional value and the sensory quality of foods, giving </w:t>
      </w:r>
      <w:r w:rsidR="00334B94" w:rsidRPr="00512389">
        <w:rPr>
          <w:lang w:val="en-GB"/>
        </w:rPr>
        <w:t>those</w:t>
      </w:r>
      <w:r w:rsidRPr="00512389">
        <w:rPr>
          <w:lang w:val="en-GB"/>
        </w:rPr>
        <w:t xml:space="preserve"> colo</w:t>
      </w:r>
      <w:r w:rsidR="00F7374C">
        <w:rPr>
          <w:lang w:val="en-GB"/>
        </w:rPr>
        <w:t>u</w:t>
      </w:r>
      <w:r w:rsidRPr="00512389">
        <w:rPr>
          <w:lang w:val="en-GB"/>
        </w:rPr>
        <w:t>r, texture, bi</w:t>
      </w:r>
      <w:r w:rsidR="00334B94">
        <w:rPr>
          <w:lang w:val="en-GB"/>
        </w:rPr>
        <w:t xml:space="preserve">tterness and astringency </w:t>
      </w:r>
      <w:r w:rsidR="00334B94" w:rsidRPr="00512389">
        <w:rPr>
          <w:lang w:val="en-GB"/>
        </w:rPr>
        <w:t xml:space="preserve">characteristics </w:t>
      </w:r>
      <w:r w:rsidR="00334B94">
        <w:rPr>
          <w:lang w:val="en-GB"/>
        </w:rPr>
        <w:t>(</w:t>
      </w:r>
      <w:proofErr w:type="spellStart"/>
      <w:r w:rsidR="00334B94" w:rsidRPr="00512389">
        <w:rPr>
          <w:lang w:val="en-GB"/>
        </w:rPr>
        <w:t>Rockenbach</w:t>
      </w:r>
      <w:proofErr w:type="spellEnd"/>
      <w:r w:rsidR="00334B94" w:rsidRPr="00512389">
        <w:rPr>
          <w:lang w:val="en-GB"/>
        </w:rPr>
        <w:t xml:space="preserve"> et al.</w:t>
      </w:r>
      <w:r w:rsidR="00334B94">
        <w:rPr>
          <w:lang w:val="en-GB"/>
        </w:rPr>
        <w:t>,</w:t>
      </w:r>
      <w:r w:rsidR="00334B94" w:rsidRPr="00512389">
        <w:rPr>
          <w:lang w:val="en-GB"/>
        </w:rPr>
        <w:t xml:space="preserve"> 2008</w:t>
      </w:r>
      <w:r w:rsidRPr="00512389">
        <w:rPr>
          <w:lang w:val="en-GB"/>
        </w:rPr>
        <w:t>).</w:t>
      </w:r>
    </w:p>
    <w:p w:rsidR="00512389" w:rsidRPr="00512389" w:rsidRDefault="00512389" w:rsidP="00512389">
      <w:pPr>
        <w:pStyle w:val="CETBodytext"/>
        <w:rPr>
          <w:lang w:val="en-GB"/>
        </w:rPr>
      </w:pPr>
      <w:r w:rsidRPr="00512389">
        <w:rPr>
          <w:lang w:val="en-GB"/>
        </w:rPr>
        <w:t>Antioxidants are a group of substances that may be composed of vitamins, minerals, natural pigments and other plant compounds, and also by enzymes, which prevent oxidation activity. Some examples of these substances ar</w:t>
      </w:r>
      <w:r w:rsidR="00F7374C">
        <w:rPr>
          <w:lang w:val="en-GB"/>
        </w:rPr>
        <w:t>e the phenolic compounds, carote</w:t>
      </w:r>
      <w:r w:rsidRPr="00512389">
        <w:rPr>
          <w:lang w:val="en-GB"/>
        </w:rPr>
        <w:t xml:space="preserve">noids, ascorbic acid (vitamin C), </w:t>
      </w:r>
      <w:r w:rsidR="00F7374C">
        <w:rPr>
          <w:lang w:val="en-GB"/>
        </w:rPr>
        <w:t>D</w:t>
      </w:r>
      <w:r w:rsidRPr="00512389">
        <w:rPr>
          <w:lang w:val="en-GB"/>
        </w:rPr>
        <w:t xml:space="preserve">-alpha </w:t>
      </w:r>
      <w:proofErr w:type="spellStart"/>
      <w:r w:rsidRPr="00512389">
        <w:rPr>
          <w:lang w:val="en-GB"/>
        </w:rPr>
        <w:t>tocopherol</w:t>
      </w:r>
      <w:proofErr w:type="spellEnd"/>
      <w:r w:rsidRPr="00512389">
        <w:rPr>
          <w:lang w:val="en-GB"/>
        </w:rPr>
        <w:t xml:space="preserve"> (vitamin E), among others (</w:t>
      </w:r>
      <w:proofErr w:type="spellStart"/>
      <w:r w:rsidRPr="00512389">
        <w:rPr>
          <w:lang w:val="en-GB"/>
        </w:rPr>
        <w:t>Lushchak</w:t>
      </w:r>
      <w:proofErr w:type="spellEnd"/>
      <w:r>
        <w:rPr>
          <w:lang w:val="en-GB"/>
        </w:rPr>
        <w:t>,</w:t>
      </w:r>
      <w:r w:rsidRPr="00512389">
        <w:rPr>
          <w:lang w:val="en-GB"/>
        </w:rPr>
        <w:t xml:space="preserve"> 2011; Bianchi </w:t>
      </w:r>
      <w:r>
        <w:rPr>
          <w:lang w:val="en-GB"/>
        </w:rPr>
        <w:t>and</w:t>
      </w:r>
      <w:r w:rsidRPr="00512389">
        <w:rPr>
          <w:lang w:val="en-GB"/>
        </w:rPr>
        <w:t xml:space="preserve"> </w:t>
      </w:r>
      <w:proofErr w:type="spellStart"/>
      <w:r w:rsidRPr="00512389">
        <w:rPr>
          <w:lang w:val="en-GB"/>
        </w:rPr>
        <w:t>Antunes</w:t>
      </w:r>
      <w:proofErr w:type="spellEnd"/>
      <w:r>
        <w:rPr>
          <w:lang w:val="en-GB"/>
        </w:rPr>
        <w:t>,</w:t>
      </w:r>
      <w:r w:rsidRPr="00512389">
        <w:rPr>
          <w:lang w:val="en-GB"/>
        </w:rPr>
        <w:t xml:space="preserve"> 1999; Angelo </w:t>
      </w:r>
      <w:r>
        <w:rPr>
          <w:lang w:val="en-GB"/>
        </w:rPr>
        <w:t>and</w:t>
      </w:r>
      <w:r w:rsidRPr="00512389">
        <w:rPr>
          <w:lang w:val="en-GB"/>
        </w:rPr>
        <w:t xml:space="preserve"> Jorge</w:t>
      </w:r>
      <w:r>
        <w:rPr>
          <w:lang w:val="en-GB"/>
        </w:rPr>
        <w:t>,</w:t>
      </w:r>
      <w:r w:rsidRPr="00512389">
        <w:rPr>
          <w:lang w:val="en-GB"/>
        </w:rPr>
        <w:t xml:space="preserve"> 2007).</w:t>
      </w:r>
      <w:r w:rsidR="00F7374C">
        <w:rPr>
          <w:lang w:val="en-GB"/>
        </w:rPr>
        <w:t xml:space="preserve"> These compounds present th</w:t>
      </w:r>
      <w:r w:rsidRPr="00512389">
        <w:rPr>
          <w:lang w:val="en-GB"/>
        </w:rPr>
        <w:t>e capacity to prevent oxidative processes i</w:t>
      </w:r>
      <w:r w:rsidR="00F7374C">
        <w:rPr>
          <w:lang w:val="en-GB"/>
        </w:rPr>
        <w:t xml:space="preserve">n foods and in living organisms, being </w:t>
      </w:r>
      <w:r w:rsidRPr="00512389">
        <w:rPr>
          <w:lang w:val="en-GB"/>
        </w:rPr>
        <w:t>also responsible for cellular aging and are closely linked to some chronic degenerative diseases, such as cancer, diabetes and Alzheimer. These disorders are caused by oxidative stress, as a result of the imbalance between the oxidative molecules (in greater number) and antioxidants (</w:t>
      </w:r>
      <w:proofErr w:type="spellStart"/>
      <w:r w:rsidRPr="00512389">
        <w:rPr>
          <w:lang w:val="en-GB"/>
        </w:rPr>
        <w:t>Degáspari</w:t>
      </w:r>
      <w:proofErr w:type="spellEnd"/>
      <w:r w:rsidRPr="00512389">
        <w:rPr>
          <w:lang w:val="en-GB"/>
        </w:rPr>
        <w:t xml:space="preserve"> </w:t>
      </w:r>
      <w:r>
        <w:rPr>
          <w:lang w:val="en-GB"/>
        </w:rPr>
        <w:t>and</w:t>
      </w:r>
      <w:r w:rsidRPr="00512389">
        <w:rPr>
          <w:lang w:val="en-GB"/>
        </w:rPr>
        <w:t xml:space="preserve"> </w:t>
      </w:r>
      <w:proofErr w:type="spellStart"/>
      <w:r w:rsidRPr="00512389">
        <w:rPr>
          <w:lang w:val="en-GB"/>
        </w:rPr>
        <w:t>Waszczynskyj</w:t>
      </w:r>
      <w:proofErr w:type="spellEnd"/>
      <w:r>
        <w:rPr>
          <w:lang w:val="en-GB"/>
        </w:rPr>
        <w:t>,</w:t>
      </w:r>
      <w:r w:rsidRPr="00512389">
        <w:rPr>
          <w:lang w:val="en-GB"/>
        </w:rPr>
        <w:t xml:space="preserve"> 2004).</w:t>
      </w:r>
    </w:p>
    <w:p w:rsidR="00E765B5" w:rsidRDefault="00512389" w:rsidP="00512389">
      <w:pPr>
        <w:pStyle w:val="CETBodytext"/>
        <w:rPr>
          <w:lang w:val="en-GB"/>
        </w:rPr>
      </w:pPr>
      <w:r w:rsidRPr="00512389">
        <w:rPr>
          <w:lang w:val="en-GB"/>
        </w:rPr>
        <w:t xml:space="preserve">In foods, these antioxidants also participate in reactions, especially lipid oxidation reactions. These reactions cause modifications in sensory characteristics, nutritional loss and the formation of undesirable substances, which may even be toxic, reducing the </w:t>
      </w:r>
      <w:r w:rsidR="00E765B5" w:rsidRPr="00512389">
        <w:rPr>
          <w:lang w:val="en-GB"/>
        </w:rPr>
        <w:t xml:space="preserve">product </w:t>
      </w:r>
      <w:r w:rsidRPr="00512389">
        <w:rPr>
          <w:lang w:val="en-GB"/>
        </w:rPr>
        <w:t>shelf life (</w:t>
      </w:r>
      <w:proofErr w:type="spellStart"/>
      <w:r w:rsidRPr="00512389">
        <w:rPr>
          <w:lang w:val="en-GB"/>
        </w:rPr>
        <w:t>Araújo</w:t>
      </w:r>
      <w:proofErr w:type="spellEnd"/>
      <w:r>
        <w:rPr>
          <w:lang w:val="en-GB"/>
        </w:rPr>
        <w:t>,</w:t>
      </w:r>
      <w:r w:rsidRPr="00512389">
        <w:rPr>
          <w:lang w:val="en-GB"/>
        </w:rPr>
        <w:t xml:space="preserve"> 2011; </w:t>
      </w:r>
      <w:proofErr w:type="spellStart"/>
      <w:r w:rsidRPr="00512389">
        <w:rPr>
          <w:lang w:val="en-GB"/>
        </w:rPr>
        <w:t>Barreiros</w:t>
      </w:r>
      <w:proofErr w:type="spellEnd"/>
      <w:r w:rsidRPr="00512389">
        <w:rPr>
          <w:lang w:val="en-GB"/>
        </w:rPr>
        <w:t xml:space="preserve"> et al.</w:t>
      </w:r>
      <w:r>
        <w:rPr>
          <w:lang w:val="en-GB"/>
        </w:rPr>
        <w:t>,</w:t>
      </w:r>
      <w:r w:rsidRPr="00512389">
        <w:rPr>
          <w:lang w:val="en-GB"/>
        </w:rPr>
        <w:t xml:space="preserve"> 2006). </w:t>
      </w:r>
    </w:p>
    <w:p w:rsidR="00512389" w:rsidRPr="00512389" w:rsidRDefault="00512389" w:rsidP="00512389">
      <w:pPr>
        <w:pStyle w:val="CETBodytext"/>
        <w:rPr>
          <w:lang w:val="en-GB"/>
        </w:rPr>
      </w:pPr>
      <w:r w:rsidRPr="00512389">
        <w:rPr>
          <w:lang w:val="en-GB"/>
        </w:rPr>
        <w:t xml:space="preserve">A decisive factor in the determination of phenolic compounds is the extraction of these compounds, and its yield and composition depend especially on the solvent used, and the method applied. These parameters may </w:t>
      </w:r>
      <w:r w:rsidR="00F7374C">
        <w:rPr>
          <w:lang w:val="en-GB"/>
        </w:rPr>
        <w:t>change</w:t>
      </w:r>
      <w:r w:rsidRPr="00512389">
        <w:rPr>
          <w:lang w:val="en-GB"/>
        </w:rPr>
        <w:t xml:space="preserve"> according to the polarity of the solvent used and its interaction with the sample, since the phenolic compounds have a wide structure variety and high polarity (</w:t>
      </w:r>
      <w:proofErr w:type="spellStart"/>
      <w:r w:rsidRPr="00512389">
        <w:rPr>
          <w:lang w:val="en-GB"/>
        </w:rPr>
        <w:t>Rockenbach</w:t>
      </w:r>
      <w:proofErr w:type="spellEnd"/>
      <w:r w:rsidRPr="00512389">
        <w:rPr>
          <w:lang w:val="en-GB"/>
        </w:rPr>
        <w:t xml:space="preserve"> et al.</w:t>
      </w:r>
      <w:r>
        <w:rPr>
          <w:lang w:val="en-GB"/>
        </w:rPr>
        <w:t>,</w:t>
      </w:r>
      <w:r w:rsidRPr="00512389">
        <w:rPr>
          <w:lang w:val="en-GB"/>
        </w:rPr>
        <w:t xml:space="preserve"> 2008). </w:t>
      </w:r>
    </w:p>
    <w:p w:rsidR="00512389" w:rsidRPr="00512389" w:rsidRDefault="00512389" w:rsidP="00512389">
      <w:pPr>
        <w:pStyle w:val="CETBodytext"/>
        <w:rPr>
          <w:lang w:val="en-GB"/>
        </w:rPr>
      </w:pPr>
      <w:proofErr w:type="spellStart"/>
      <w:r w:rsidRPr="00512389">
        <w:rPr>
          <w:lang w:val="en-GB"/>
        </w:rPr>
        <w:t>Pinhão</w:t>
      </w:r>
      <w:proofErr w:type="spellEnd"/>
      <w:r w:rsidRPr="00512389">
        <w:rPr>
          <w:lang w:val="en-GB"/>
        </w:rPr>
        <w:t xml:space="preserve"> </w:t>
      </w:r>
      <w:r w:rsidR="00F7374C">
        <w:rPr>
          <w:lang w:val="en-GB"/>
        </w:rPr>
        <w:t>presents</w:t>
      </w:r>
      <w:r w:rsidRPr="00512389">
        <w:rPr>
          <w:lang w:val="en-GB"/>
        </w:rPr>
        <w:t xml:space="preserve"> significant quantities of phenolic compounds, which are concentrated in the coat and move to the seeds after the cooking process. The main group of phenolic compounds in the coat of the </w:t>
      </w:r>
      <w:proofErr w:type="spellStart"/>
      <w:r w:rsidRPr="00512389">
        <w:rPr>
          <w:lang w:val="en-GB"/>
        </w:rPr>
        <w:t>pinhão</w:t>
      </w:r>
      <w:proofErr w:type="spellEnd"/>
      <w:r w:rsidRPr="00512389">
        <w:rPr>
          <w:lang w:val="en-GB"/>
        </w:rPr>
        <w:t xml:space="preserve"> are the condensed and </w:t>
      </w:r>
      <w:r w:rsidR="00F7374C" w:rsidRPr="00512389">
        <w:rPr>
          <w:lang w:val="en-GB"/>
        </w:rPr>
        <w:t>hydrolysable</w:t>
      </w:r>
      <w:r w:rsidRPr="00512389">
        <w:rPr>
          <w:lang w:val="en-GB"/>
        </w:rPr>
        <w:t xml:space="preserve"> tannins </w:t>
      </w:r>
      <w:r w:rsidR="00F7374C">
        <w:rPr>
          <w:lang w:val="en-GB"/>
        </w:rPr>
        <w:t>with</w:t>
      </w:r>
      <w:r w:rsidRPr="00512389">
        <w:rPr>
          <w:lang w:val="en-GB"/>
        </w:rPr>
        <w:t xml:space="preserve"> high molecular </w:t>
      </w:r>
      <w:r w:rsidR="00F7374C" w:rsidRPr="00512389">
        <w:rPr>
          <w:lang w:val="en-GB"/>
        </w:rPr>
        <w:t>weight;</w:t>
      </w:r>
      <w:r w:rsidRPr="00512389">
        <w:rPr>
          <w:lang w:val="en-GB"/>
        </w:rPr>
        <w:t xml:space="preserve"> these compounds </w:t>
      </w:r>
      <w:r w:rsidR="00F7374C">
        <w:rPr>
          <w:lang w:val="en-GB"/>
        </w:rPr>
        <w:t xml:space="preserve">demonstrate </w:t>
      </w:r>
      <w:r w:rsidRPr="00512389">
        <w:rPr>
          <w:lang w:val="en-GB"/>
        </w:rPr>
        <w:t>higher antioxidant activity when compared to simple phenolic compounds (</w:t>
      </w:r>
      <w:proofErr w:type="spellStart"/>
      <w:r w:rsidRPr="00512389">
        <w:rPr>
          <w:lang w:val="en-GB"/>
        </w:rPr>
        <w:t>Koehnlein</w:t>
      </w:r>
      <w:proofErr w:type="spellEnd"/>
      <w:r w:rsidRPr="00512389">
        <w:rPr>
          <w:lang w:val="en-GB"/>
        </w:rPr>
        <w:t xml:space="preserve"> et al. 2012; </w:t>
      </w:r>
      <w:proofErr w:type="spellStart"/>
      <w:r w:rsidRPr="00512389">
        <w:rPr>
          <w:lang w:val="en-GB"/>
        </w:rPr>
        <w:t>Thys</w:t>
      </w:r>
      <w:proofErr w:type="spellEnd"/>
      <w:r w:rsidRPr="00512389">
        <w:rPr>
          <w:lang w:val="en-GB"/>
        </w:rPr>
        <w:t xml:space="preserve"> </w:t>
      </w:r>
      <w:r>
        <w:rPr>
          <w:lang w:val="en-GB"/>
        </w:rPr>
        <w:t>and</w:t>
      </w:r>
      <w:r w:rsidRPr="00512389">
        <w:rPr>
          <w:lang w:val="en-GB"/>
        </w:rPr>
        <w:t xml:space="preserve"> Cunha</w:t>
      </w:r>
      <w:r>
        <w:rPr>
          <w:lang w:val="en-GB"/>
        </w:rPr>
        <w:t>,</w:t>
      </w:r>
      <w:r w:rsidRPr="00512389">
        <w:rPr>
          <w:lang w:val="en-GB"/>
        </w:rPr>
        <w:t xml:space="preserve"> 2015).</w:t>
      </w:r>
    </w:p>
    <w:p w:rsidR="00512389" w:rsidRPr="0041365F" w:rsidRDefault="00F7374C" w:rsidP="00512389">
      <w:pPr>
        <w:pStyle w:val="CETBodytext"/>
        <w:rPr>
          <w:szCs w:val="18"/>
          <w:lang w:val="en-GB"/>
        </w:rPr>
      </w:pPr>
      <w:r>
        <w:rPr>
          <w:lang w:val="en-GB"/>
        </w:rPr>
        <w:t xml:space="preserve">The aim of this </w:t>
      </w:r>
      <w:r w:rsidR="00512389" w:rsidRPr="00512389">
        <w:rPr>
          <w:lang w:val="en-GB"/>
        </w:rPr>
        <w:t>work</w:t>
      </w:r>
      <w:r>
        <w:rPr>
          <w:lang w:val="en-GB"/>
        </w:rPr>
        <w:t xml:space="preserve"> was to </w:t>
      </w:r>
      <w:r w:rsidR="00512389" w:rsidRPr="00512389">
        <w:rPr>
          <w:lang w:val="en-GB"/>
        </w:rPr>
        <w:t>evaluat</w:t>
      </w:r>
      <w:r>
        <w:rPr>
          <w:lang w:val="en-GB"/>
        </w:rPr>
        <w:t>e</w:t>
      </w:r>
      <w:r w:rsidR="00512389" w:rsidRPr="00512389">
        <w:rPr>
          <w:lang w:val="en-GB"/>
        </w:rPr>
        <w:t xml:space="preserve"> the centesimal composition of raw </w:t>
      </w:r>
      <w:proofErr w:type="spellStart"/>
      <w:r w:rsidR="00512389" w:rsidRPr="00512389">
        <w:rPr>
          <w:lang w:val="en-GB"/>
        </w:rPr>
        <w:t>pinhão</w:t>
      </w:r>
      <w:proofErr w:type="spellEnd"/>
      <w:r w:rsidR="00512389" w:rsidRPr="00512389">
        <w:rPr>
          <w:lang w:val="en-GB"/>
        </w:rPr>
        <w:t xml:space="preserve"> flour, cooked </w:t>
      </w:r>
      <w:proofErr w:type="spellStart"/>
      <w:r w:rsidR="00512389" w:rsidRPr="00512389">
        <w:rPr>
          <w:lang w:val="en-GB"/>
        </w:rPr>
        <w:t>pinhão</w:t>
      </w:r>
      <w:proofErr w:type="spellEnd"/>
      <w:r w:rsidR="00512389" w:rsidRPr="00512389">
        <w:rPr>
          <w:lang w:val="en-GB"/>
        </w:rPr>
        <w:t xml:space="preserve"> flour and </w:t>
      </w:r>
      <w:proofErr w:type="spellStart"/>
      <w:r w:rsidR="00512389" w:rsidRPr="00512389">
        <w:rPr>
          <w:lang w:val="en-GB"/>
        </w:rPr>
        <w:t>pinhão</w:t>
      </w:r>
      <w:proofErr w:type="spellEnd"/>
      <w:r w:rsidR="00512389" w:rsidRPr="00512389">
        <w:rPr>
          <w:lang w:val="en-GB"/>
        </w:rPr>
        <w:t xml:space="preserve"> grits, as well the presence of phenolic compounds and the antioxidant activity (DPPH) using </w:t>
      </w:r>
      <w:r w:rsidR="00873DD4">
        <w:rPr>
          <w:lang w:val="en-GB"/>
        </w:rPr>
        <w:t>different extractors</w:t>
      </w:r>
      <w:r w:rsidR="00512389" w:rsidRPr="00512389">
        <w:rPr>
          <w:lang w:val="en-GB"/>
        </w:rPr>
        <w:t xml:space="preserve"> solvents.</w:t>
      </w:r>
    </w:p>
    <w:p w:rsidR="000555CC" w:rsidRPr="0041365F" w:rsidRDefault="000555CC" w:rsidP="000555CC">
      <w:pPr>
        <w:pStyle w:val="CETHeading1"/>
        <w:tabs>
          <w:tab w:val="num" w:pos="360"/>
        </w:tabs>
        <w:rPr>
          <w:sz w:val="18"/>
          <w:szCs w:val="18"/>
          <w:lang w:val="en-GB"/>
        </w:rPr>
      </w:pPr>
      <w:r w:rsidRPr="0041365F">
        <w:rPr>
          <w:sz w:val="18"/>
          <w:szCs w:val="18"/>
          <w:lang w:val="en-GB"/>
        </w:rPr>
        <w:t xml:space="preserve">Material </w:t>
      </w:r>
      <w:r w:rsidR="00873DD4" w:rsidRPr="0041365F">
        <w:rPr>
          <w:sz w:val="18"/>
          <w:szCs w:val="18"/>
          <w:lang w:val="en-GB"/>
        </w:rPr>
        <w:t>a</w:t>
      </w:r>
      <w:r w:rsidRPr="0041365F">
        <w:rPr>
          <w:sz w:val="18"/>
          <w:szCs w:val="18"/>
          <w:lang w:val="en-GB"/>
        </w:rPr>
        <w:t>nd Methods</w:t>
      </w:r>
    </w:p>
    <w:p w:rsidR="000555CC" w:rsidRPr="0041365F" w:rsidRDefault="00873DD4" w:rsidP="000555CC">
      <w:pPr>
        <w:pStyle w:val="CETBodytext"/>
        <w:rPr>
          <w:szCs w:val="18"/>
          <w:lang w:val="en-GB"/>
        </w:rPr>
      </w:pPr>
      <w:r w:rsidRPr="0041365F">
        <w:rPr>
          <w:szCs w:val="18"/>
          <w:lang w:val="en-GB"/>
        </w:rPr>
        <w:t xml:space="preserve">Samples of </w:t>
      </w:r>
      <w:proofErr w:type="spellStart"/>
      <w:r w:rsidRPr="0041365F">
        <w:rPr>
          <w:szCs w:val="18"/>
          <w:lang w:val="en-GB"/>
        </w:rPr>
        <w:t>p</w:t>
      </w:r>
      <w:r w:rsidR="000555CC" w:rsidRPr="0041365F">
        <w:rPr>
          <w:szCs w:val="18"/>
          <w:lang w:val="en-GB"/>
        </w:rPr>
        <w:t>inhão</w:t>
      </w:r>
      <w:proofErr w:type="spellEnd"/>
      <w:r w:rsidR="000555CC" w:rsidRPr="0041365F">
        <w:rPr>
          <w:szCs w:val="18"/>
          <w:lang w:val="en-GB"/>
        </w:rPr>
        <w:t xml:space="preserve"> </w:t>
      </w:r>
      <w:r w:rsidRPr="0041365F">
        <w:rPr>
          <w:szCs w:val="18"/>
          <w:lang w:val="en-GB"/>
        </w:rPr>
        <w:t xml:space="preserve">were bought in </w:t>
      </w:r>
      <w:proofErr w:type="spellStart"/>
      <w:r w:rsidRPr="0041365F">
        <w:rPr>
          <w:szCs w:val="18"/>
          <w:lang w:val="en-GB"/>
        </w:rPr>
        <w:t>Lages</w:t>
      </w:r>
      <w:proofErr w:type="spellEnd"/>
      <w:r w:rsidRPr="0041365F">
        <w:rPr>
          <w:szCs w:val="18"/>
          <w:lang w:val="en-GB"/>
        </w:rPr>
        <w:t xml:space="preserve"> and </w:t>
      </w:r>
      <w:proofErr w:type="spellStart"/>
      <w:r w:rsidRPr="0041365F">
        <w:rPr>
          <w:szCs w:val="18"/>
          <w:lang w:val="en-GB"/>
        </w:rPr>
        <w:t>Urupema</w:t>
      </w:r>
      <w:proofErr w:type="spellEnd"/>
      <w:r w:rsidRPr="0041365F">
        <w:rPr>
          <w:szCs w:val="18"/>
          <w:lang w:val="en-GB"/>
        </w:rPr>
        <w:t xml:space="preserve"> City (Santa </w:t>
      </w:r>
      <w:proofErr w:type="spellStart"/>
      <w:r w:rsidRPr="0041365F">
        <w:rPr>
          <w:szCs w:val="18"/>
          <w:lang w:val="en-GB"/>
        </w:rPr>
        <w:t>Catarina</w:t>
      </w:r>
      <w:proofErr w:type="spellEnd"/>
      <w:r w:rsidRPr="0041365F">
        <w:rPr>
          <w:szCs w:val="18"/>
          <w:lang w:val="en-GB"/>
        </w:rPr>
        <w:t xml:space="preserve"> State, Brazil), </w:t>
      </w:r>
      <w:r w:rsidR="000555CC" w:rsidRPr="0041365F">
        <w:rPr>
          <w:szCs w:val="18"/>
          <w:lang w:val="en-GB"/>
        </w:rPr>
        <w:t>in 2014 and</w:t>
      </w:r>
      <w:r w:rsidRPr="0041365F">
        <w:rPr>
          <w:szCs w:val="18"/>
          <w:lang w:val="en-GB"/>
        </w:rPr>
        <w:t xml:space="preserve"> 2015</w:t>
      </w:r>
      <w:r w:rsidR="000555CC" w:rsidRPr="0041365F">
        <w:rPr>
          <w:szCs w:val="18"/>
          <w:lang w:val="en-GB"/>
        </w:rPr>
        <w:t xml:space="preserve">. </w:t>
      </w:r>
      <w:r w:rsidRPr="0041365F">
        <w:rPr>
          <w:szCs w:val="18"/>
          <w:lang w:val="en-GB"/>
        </w:rPr>
        <w:t>S</w:t>
      </w:r>
      <w:r w:rsidR="000555CC" w:rsidRPr="0041365F">
        <w:rPr>
          <w:szCs w:val="18"/>
          <w:lang w:val="en-GB"/>
        </w:rPr>
        <w:t xml:space="preserve">eeds were freeze-stored at -18°C for later use. </w:t>
      </w:r>
    </w:p>
    <w:p w:rsidR="000703B3" w:rsidRPr="0041365F" w:rsidRDefault="000703B3" w:rsidP="000555CC">
      <w:pPr>
        <w:pStyle w:val="CETBodytext"/>
        <w:rPr>
          <w:szCs w:val="18"/>
          <w:lang w:val="en-GB"/>
        </w:rPr>
      </w:pPr>
    </w:p>
    <w:p w:rsidR="000555CC" w:rsidRPr="0041365F" w:rsidRDefault="000703B3" w:rsidP="000555CC">
      <w:pPr>
        <w:pStyle w:val="CETBodytext"/>
        <w:rPr>
          <w:b/>
          <w:szCs w:val="18"/>
          <w:lang w:val="en-GB"/>
        </w:rPr>
      </w:pPr>
      <w:r w:rsidRPr="0041365F">
        <w:rPr>
          <w:b/>
          <w:szCs w:val="18"/>
          <w:lang w:val="en-GB"/>
        </w:rPr>
        <w:t xml:space="preserve">2.1 </w:t>
      </w:r>
      <w:r w:rsidR="000555CC" w:rsidRPr="0041365F">
        <w:rPr>
          <w:b/>
          <w:szCs w:val="18"/>
          <w:lang w:val="en-GB"/>
        </w:rPr>
        <w:t>Sample Preparation</w:t>
      </w:r>
    </w:p>
    <w:p w:rsidR="000555CC" w:rsidRPr="0041365F" w:rsidRDefault="007A2074" w:rsidP="000555CC">
      <w:pPr>
        <w:pStyle w:val="CETBodytext"/>
        <w:rPr>
          <w:szCs w:val="18"/>
          <w:lang w:val="en-GB"/>
        </w:rPr>
      </w:pPr>
      <w:r w:rsidRPr="0041365F">
        <w:rPr>
          <w:szCs w:val="18"/>
          <w:lang w:val="en-GB"/>
        </w:rPr>
        <w:t>Three</w:t>
      </w:r>
      <w:r w:rsidR="00873DD4" w:rsidRPr="0041365F">
        <w:rPr>
          <w:szCs w:val="18"/>
          <w:lang w:val="en-GB"/>
        </w:rPr>
        <w:t xml:space="preserve"> types of</w:t>
      </w:r>
      <w:r w:rsidRPr="0041365F">
        <w:rPr>
          <w:szCs w:val="18"/>
          <w:lang w:val="en-GB"/>
        </w:rPr>
        <w:t xml:space="preserve"> </w:t>
      </w:r>
      <w:proofErr w:type="spellStart"/>
      <w:r w:rsidR="00873DD4" w:rsidRPr="0041365F">
        <w:rPr>
          <w:szCs w:val="18"/>
          <w:lang w:val="en-GB"/>
        </w:rPr>
        <w:t>pinhão</w:t>
      </w:r>
      <w:proofErr w:type="spellEnd"/>
      <w:r w:rsidR="00873DD4" w:rsidRPr="0041365F">
        <w:rPr>
          <w:szCs w:val="18"/>
          <w:lang w:val="en-GB"/>
        </w:rPr>
        <w:t xml:space="preserve"> processing </w:t>
      </w:r>
      <w:r w:rsidRPr="0041365F">
        <w:rPr>
          <w:szCs w:val="18"/>
          <w:lang w:val="en-GB"/>
        </w:rPr>
        <w:t xml:space="preserve">were tested: raw </w:t>
      </w:r>
      <w:proofErr w:type="spellStart"/>
      <w:r w:rsidRPr="0041365F">
        <w:rPr>
          <w:szCs w:val="18"/>
          <w:lang w:val="en-GB"/>
        </w:rPr>
        <w:t>pinhão</w:t>
      </w:r>
      <w:proofErr w:type="spellEnd"/>
      <w:r w:rsidRPr="0041365F">
        <w:rPr>
          <w:szCs w:val="18"/>
          <w:lang w:val="en-GB"/>
        </w:rPr>
        <w:t xml:space="preserve"> flour; </w:t>
      </w:r>
      <w:proofErr w:type="spellStart"/>
      <w:r w:rsidRPr="0041365F">
        <w:rPr>
          <w:szCs w:val="18"/>
          <w:lang w:val="en-GB"/>
        </w:rPr>
        <w:t>pinhão</w:t>
      </w:r>
      <w:proofErr w:type="spellEnd"/>
      <w:r w:rsidRPr="0041365F">
        <w:rPr>
          <w:szCs w:val="18"/>
          <w:lang w:val="en-GB"/>
        </w:rPr>
        <w:t xml:space="preserve"> grits; </w:t>
      </w:r>
      <w:r w:rsidR="00873DD4" w:rsidRPr="0041365F">
        <w:rPr>
          <w:szCs w:val="18"/>
          <w:lang w:val="en-GB"/>
        </w:rPr>
        <w:t xml:space="preserve">and </w:t>
      </w:r>
      <w:r w:rsidRPr="0041365F">
        <w:rPr>
          <w:szCs w:val="18"/>
          <w:lang w:val="en-GB"/>
        </w:rPr>
        <w:t xml:space="preserve">cooked </w:t>
      </w:r>
      <w:proofErr w:type="spellStart"/>
      <w:r w:rsidRPr="0041365F">
        <w:rPr>
          <w:szCs w:val="18"/>
          <w:lang w:val="en-GB"/>
        </w:rPr>
        <w:t>pinhão</w:t>
      </w:r>
      <w:proofErr w:type="spellEnd"/>
      <w:r w:rsidRPr="0041365F">
        <w:rPr>
          <w:szCs w:val="18"/>
          <w:lang w:val="en-GB"/>
        </w:rPr>
        <w:t xml:space="preserve"> flour.</w:t>
      </w:r>
      <w:r w:rsidR="00873DD4" w:rsidRPr="0041365F">
        <w:rPr>
          <w:szCs w:val="18"/>
          <w:lang w:val="en-GB"/>
        </w:rPr>
        <w:t xml:space="preserve"> </w:t>
      </w:r>
      <w:r w:rsidR="000555CC" w:rsidRPr="0041365F">
        <w:rPr>
          <w:szCs w:val="18"/>
          <w:lang w:val="en-GB"/>
        </w:rPr>
        <w:t xml:space="preserve">The raw </w:t>
      </w:r>
      <w:proofErr w:type="spellStart"/>
      <w:r w:rsidR="000555CC" w:rsidRPr="0041365F">
        <w:rPr>
          <w:szCs w:val="18"/>
          <w:lang w:val="en-GB"/>
        </w:rPr>
        <w:t>pinhão</w:t>
      </w:r>
      <w:proofErr w:type="spellEnd"/>
      <w:r w:rsidR="000555CC" w:rsidRPr="0041365F">
        <w:rPr>
          <w:szCs w:val="18"/>
          <w:lang w:val="en-GB"/>
        </w:rPr>
        <w:t xml:space="preserve"> flour was obt</w:t>
      </w:r>
      <w:r w:rsidR="00873DD4" w:rsidRPr="0041365F">
        <w:rPr>
          <w:szCs w:val="18"/>
          <w:lang w:val="en-GB"/>
        </w:rPr>
        <w:t xml:space="preserve">ained after </w:t>
      </w:r>
      <w:proofErr w:type="spellStart"/>
      <w:r w:rsidR="00873DD4" w:rsidRPr="0041365F">
        <w:rPr>
          <w:szCs w:val="18"/>
          <w:lang w:val="en-GB"/>
        </w:rPr>
        <w:t>dehulling</w:t>
      </w:r>
      <w:proofErr w:type="spellEnd"/>
      <w:r w:rsidR="00873DD4" w:rsidRPr="0041365F">
        <w:rPr>
          <w:szCs w:val="18"/>
          <w:lang w:val="en-GB"/>
        </w:rPr>
        <w:t>, crushing,</w:t>
      </w:r>
      <w:r w:rsidR="000555CC" w:rsidRPr="0041365F">
        <w:rPr>
          <w:szCs w:val="18"/>
          <w:lang w:val="en-GB"/>
        </w:rPr>
        <w:t xml:space="preserve"> dehydration </w:t>
      </w:r>
      <w:r w:rsidR="00873DD4" w:rsidRPr="0041365F">
        <w:rPr>
          <w:szCs w:val="18"/>
          <w:lang w:val="en-GB"/>
        </w:rPr>
        <w:t>(</w:t>
      </w:r>
      <w:r w:rsidR="000555CC" w:rsidRPr="0041365F">
        <w:rPr>
          <w:szCs w:val="18"/>
          <w:lang w:val="en-GB"/>
        </w:rPr>
        <w:t>60</w:t>
      </w:r>
      <w:r w:rsidR="00873DD4" w:rsidRPr="0041365F">
        <w:rPr>
          <w:szCs w:val="18"/>
          <w:lang w:val="en-GB"/>
        </w:rPr>
        <w:t xml:space="preserve"> °</w:t>
      </w:r>
      <w:r w:rsidR="000555CC" w:rsidRPr="0041365F">
        <w:rPr>
          <w:szCs w:val="18"/>
          <w:lang w:val="en-GB"/>
        </w:rPr>
        <w:t>C,</w:t>
      </w:r>
      <w:r w:rsidR="00873DD4" w:rsidRPr="0041365F">
        <w:rPr>
          <w:szCs w:val="18"/>
          <w:lang w:val="en-GB"/>
        </w:rPr>
        <w:t xml:space="preserve"> </w:t>
      </w:r>
      <w:r w:rsidR="000555CC" w:rsidRPr="0041365F">
        <w:rPr>
          <w:szCs w:val="18"/>
          <w:lang w:val="en-GB"/>
        </w:rPr>
        <w:t>12 hours</w:t>
      </w:r>
      <w:r w:rsidR="00873DD4" w:rsidRPr="0041365F">
        <w:rPr>
          <w:szCs w:val="18"/>
          <w:lang w:val="en-GB"/>
        </w:rPr>
        <w:t>)</w:t>
      </w:r>
      <w:r w:rsidR="000555CC" w:rsidRPr="0041365F">
        <w:rPr>
          <w:szCs w:val="18"/>
          <w:lang w:val="en-GB"/>
        </w:rPr>
        <w:t xml:space="preserve"> and final milling, as described by </w:t>
      </w:r>
      <w:proofErr w:type="spellStart"/>
      <w:r w:rsidR="000555CC" w:rsidRPr="0041365F">
        <w:rPr>
          <w:szCs w:val="18"/>
          <w:lang w:val="en-GB"/>
        </w:rPr>
        <w:t>Capella</w:t>
      </w:r>
      <w:proofErr w:type="spellEnd"/>
      <w:r w:rsidR="000555CC" w:rsidRPr="0041365F">
        <w:rPr>
          <w:szCs w:val="18"/>
          <w:lang w:val="en-GB"/>
        </w:rPr>
        <w:t xml:space="preserve"> et al. (2009).</w:t>
      </w:r>
      <w:r w:rsidR="00873DD4" w:rsidRPr="0041365F">
        <w:rPr>
          <w:szCs w:val="18"/>
          <w:lang w:val="en-GB"/>
        </w:rPr>
        <w:t xml:space="preserve"> </w:t>
      </w:r>
      <w:r w:rsidR="000555CC" w:rsidRPr="0041365F">
        <w:rPr>
          <w:szCs w:val="18"/>
          <w:lang w:val="en-GB"/>
        </w:rPr>
        <w:t xml:space="preserve">The </w:t>
      </w:r>
      <w:proofErr w:type="spellStart"/>
      <w:r w:rsidR="000555CC" w:rsidRPr="0041365F">
        <w:rPr>
          <w:szCs w:val="18"/>
          <w:lang w:val="en-GB"/>
        </w:rPr>
        <w:t>pinhão</w:t>
      </w:r>
      <w:proofErr w:type="spellEnd"/>
      <w:r w:rsidR="000555CC" w:rsidRPr="0041365F">
        <w:rPr>
          <w:szCs w:val="18"/>
          <w:lang w:val="en-GB"/>
        </w:rPr>
        <w:t xml:space="preserve"> grits were made from cooked, </w:t>
      </w:r>
      <w:proofErr w:type="spellStart"/>
      <w:r w:rsidR="000555CC" w:rsidRPr="0041365F">
        <w:rPr>
          <w:szCs w:val="18"/>
          <w:lang w:val="en-GB"/>
        </w:rPr>
        <w:t>dehulled</w:t>
      </w:r>
      <w:proofErr w:type="spellEnd"/>
      <w:r w:rsidR="000555CC" w:rsidRPr="0041365F">
        <w:rPr>
          <w:szCs w:val="18"/>
          <w:lang w:val="en-GB"/>
        </w:rPr>
        <w:t xml:space="preserve"> and ground seeds (for obtaining particles smaller than 0.5</w:t>
      </w:r>
      <w:r w:rsidR="00873DD4" w:rsidRPr="0041365F">
        <w:rPr>
          <w:szCs w:val="18"/>
          <w:lang w:val="en-GB"/>
        </w:rPr>
        <w:t xml:space="preserve"> cm), and t</w:t>
      </w:r>
      <w:r w:rsidR="000555CC" w:rsidRPr="0041365F">
        <w:rPr>
          <w:szCs w:val="18"/>
          <w:lang w:val="en-GB"/>
        </w:rPr>
        <w:t>hen they were roasted at 115</w:t>
      </w:r>
      <w:r w:rsidR="00873DD4" w:rsidRPr="0041365F">
        <w:rPr>
          <w:szCs w:val="18"/>
          <w:lang w:val="en-GB"/>
        </w:rPr>
        <w:t xml:space="preserve"> </w:t>
      </w:r>
      <w:r w:rsidR="000555CC" w:rsidRPr="0041365F">
        <w:rPr>
          <w:szCs w:val="18"/>
          <w:lang w:val="en-GB"/>
        </w:rPr>
        <w:t>°C until constant weight, as de</w:t>
      </w:r>
      <w:r w:rsidR="00873DD4" w:rsidRPr="0041365F">
        <w:rPr>
          <w:szCs w:val="18"/>
          <w:lang w:val="en-GB"/>
        </w:rPr>
        <w:t xml:space="preserve">scribed by </w:t>
      </w:r>
      <w:proofErr w:type="spellStart"/>
      <w:r w:rsidR="00873DD4" w:rsidRPr="0041365F">
        <w:rPr>
          <w:szCs w:val="18"/>
          <w:lang w:val="en-GB"/>
        </w:rPr>
        <w:t>Conto</w:t>
      </w:r>
      <w:proofErr w:type="spellEnd"/>
      <w:r w:rsidR="00873DD4" w:rsidRPr="0041365F">
        <w:rPr>
          <w:szCs w:val="18"/>
          <w:lang w:val="en-GB"/>
        </w:rPr>
        <w:t xml:space="preserve"> et al. (2015). </w:t>
      </w:r>
      <w:r w:rsidR="000555CC" w:rsidRPr="0041365F">
        <w:rPr>
          <w:szCs w:val="18"/>
          <w:lang w:val="en-GB"/>
        </w:rPr>
        <w:t xml:space="preserve">The cooked </w:t>
      </w:r>
      <w:proofErr w:type="spellStart"/>
      <w:r w:rsidR="000555CC" w:rsidRPr="0041365F">
        <w:rPr>
          <w:szCs w:val="18"/>
          <w:lang w:val="en-GB"/>
        </w:rPr>
        <w:t>pinhão</w:t>
      </w:r>
      <w:proofErr w:type="spellEnd"/>
      <w:r w:rsidR="000555CC" w:rsidRPr="0041365F">
        <w:rPr>
          <w:szCs w:val="18"/>
          <w:lang w:val="en-GB"/>
        </w:rPr>
        <w:t xml:space="preserve"> flour was processed using cooked </w:t>
      </w:r>
      <w:proofErr w:type="spellStart"/>
      <w:r w:rsidR="000555CC" w:rsidRPr="0041365F">
        <w:rPr>
          <w:szCs w:val="18"/>
          <w:lang w:val="en-GB"/>
        </w:rPr>
        <w:t>pinhão</w:t>
      </w:r>
      <w:proofErr w:type="spellEnd"/>
      <w:r w:rsidR="000555CC" w:rsidRPr="0041365F">
        <w:rPr>
          <w:szCs w:val="18"/>
          <w:lang w:val="en-GB"/>
        </w:rPr>
        <w:t xml:space="preserve">, ground and sieved, after dehydration, as described by </w:t>
      </w:r>
      <w:proofErr w:type="spellStart"/>
      <w:r w:rsidR="000555CC" w:rsidRPr="0041365F">
        <w:rPr>
          <w:szCs w:val="18"/>
          <w:lang w:val="en-GB"/>
        </w:rPr>
        <w:t>Capella</w:t>
      </w:r>
      <w:proofErr w:type="spellEnd"/>
      <w:r w:rsidR="000555CC" w:rsidRPr="0041365F">
        <w:rPr>
          <w:szCs w:val="18"/>
          <w:lang w:val="en-GB"/>
        </w:rPr>
        <w:t xml:space="preserve"> et al. (2009).</w:t>
      </w:r>
    </w:p>
    <w:p w:rsidR="000703B3" w:rsidRPr="0041365F" w:rsidRDefault="000703B3" w:rsidP="000555CC">
      <w:pPr>
        <w:pStyle w:val="CETBodytext"/>
        <w:rPr>
          <w:b/>
          <w:szCs w:val="18"/>
          <w:lang w:val="en-GB"/>
        </w:rPr>
      </w:pPr>
    </w:p>
    <w:p w:rsidR="000555CC" w:rsidRPr="0041365F" w:rsidRDefault="000703B3" w:rsidP="000555CC">
      <w:pPr>
        <w:pStyle w:val="CETBodytext"/>
        <w:rPr>
          <w:b/>
          <w:szCs w:val="18"/>
          <w:lang w:val="en-GB"/>
        </w:rPr>
      </w:pPr>
      <w:r w:rsidRPr="0041365F">
        <w:rPr>
          <w:b/>
          <w:szCs w:val="18"/>
          <w:lang w:val="en-GB"/>
        </w:rPr>
        <w:t>2.</w:t>
      </w:r>
      <w:r w:rsidR="008A1920" w:rsidRPr="0041365F">
        <w:rPr>
          <w:b/>
          <w:szCs w:val="18"/>
          <w:lang w:val="en-GB"/>
        </w:rPr>
        <w:t>2</w:t>
      </w:r>
      <w:r w:rsidRPr="0041365F">
        <w:rPr>
          <w:b/>
          <w:szCs w:val="18"/>
          <w:lang w:val="en-GB"/>
        </w:rPr>
        <w:t xml:space="preserve"> </w:t>
      </w:r>
      <w:r w:rsidR="000555CC" w:rsidRPr="0041365F">
        <w:rPr>
          <w:b/>
          <w:szCs w:val="18"/>
          <w:lang w:val="en-GB"/>
        </w:rPr>
        <w:t xml:space="preserve">Determination of the </w:t>
      </w:r>
      <w:r w:rsidR="00873DD4" w:rsidRPr="0041365F">
        <w:rPr>
          <w:b/>
          <w:szCs w:val="18"/>
          <w:lang w:val="en-GB"/>
        </w:rPr>
        <w:t>C</w:t>
      </w:r>
      <w:r w:rsidR="000555CC" w:rsidRPr="0041365F">
        <w:rPr>
          <w:b/>
          <w:szCs w:val="18"/>
          <w:lang w:val="en-GB"/>
        </w:rPr>
        <w:t xml:space="preserve">entesimal </w:t>
      </w:r>
      <w:r w:rsidR="00873DD4" w:rsidRPr="0041365F">
        <w:rPr>
          <w:b/>
          <w:szCs w:val="18"/>
          <w:lang w:val="en-GB"/>
        </w:rPr>
        <w:t>C</w:t>
      </w:r>
      <w:r w:rsidR="000555CC" w:rsidRPr="0041365F">
        <w:rPr>
          <w:b/>
          <w:szCs w:val="18"/>
          <w:lang w:val="en-GB"/>
        </w:rPr>
        <w:t>omposition</w:t>
      </w:r>
    </w:p>
    <w:p w:rsidR="000555CC" w:rsidRPr="0041365F" w:rsidRDefault="000703B3" w:rsidP="000555CC">
      <w:pPr>
        <w:pStyle w:val="CETBodytext"/>
        <w:rPr>
          <w:szCs w:val="18"/>
          <w:lang w:val="en-GB"/>
        </w:rPr>
      </w:pPr>
      <w:r w:rsidRPr="0041365F">
        <w:rPr>
          <w:szCs w:val="18"/>
          <w:lang w:val="en-GB"/>
        </w:rPr>
        <w:t>T</w:t>
      </w:r>
      <w:r w:rsidR="000555CC" w:rsidRPr="0041365F">
        <w:rPr>
          <w:szCs w:val="18"/>
          <w:lang w:val="en-GB"/>
        </w:rPr>
        <w:t xml:space="preserve">he centesimal </w:t>
      </w:r>
      <w:r w:rsidRPr="0041365F">
        <w:rPr>
          <w:szCs w:val="18"/>
          <w:lang w:val="en-GB"/>
        </w:rPr>
        <w:t>composition was determinate by</w:t>
      </w:r>
      <w:r w:rsidR="00873DD4" w:rsidRPr="0041365F">
        <w:rPr>
          <w:szCs w:val="18"/>
          <w:lang w:val="en-GB"/>
        </w:rPr>
        <w:t xml:space="preserve"> the</w:t>
      </w:r>
      <w:r w:rsidRPr="0041365F">
        <w:rPr>
          <w:szCs w:val="18"/>
          <w:lang w:val="en-GB"/>
        </w:rPr>
        <w:t xml:space="preserve"> </w:t>
      </w:r>
      <w:r w:rsidR="00873DD4" w:rsidRPr="0041365F">
        <w:rPr>
          <w:szCs w:val="18"/>
          <w:lang w:val="en-GB"/>
        </w:rPr>
        <w:t>analyses of</w:t>
      </w:r>
      <w:r w:rsidRPr="0041365F">
        <w:rPr>
          <w:szCs w:val="18"/>
          <w:lang w:val="en-GB"/>
        </w:rPr>
        <w:t xml:space="preserve"> </w:t>
      </w:r>
      <w:r w:rsidR="000555CC" w:rsidRPr="0041365F">
        <w:rPr>
          <w:szCs w:val="18"/>
          <w:lang w:val="en-GB"/>
        </w:rPr>
        <w:t>moisture, ashes and proteins</w:t>
      </w:r>
      <w:r w:rsidR="00873DD4" w:rsidRPr="0041365F">
        <w:rPr>
          <w:szCs w:val="18"/>
          <w:lang w:val="en-GB"/>
        </w:rPr>
        <w:t xml:space="preserve"> (</w:t>
      </w:r>
      <w:r w:rsidR="000555CC" w:rsidRPr="0041365F">
        <w:rPr>
          <w:szCs w:val="18"/>
          <w:lang w:val="en-GB"/>
        </w:rPr>
        <w:t>AOAC</w:t>
      </w:r>
      <w:r w:rsidR="00873DD4" w:rsidRPr="0041365F">
        <w:rPr>
          <w:szCs w:val="18"/>
          <w:lang w:val="en-GB"/>
        </w:rPr>
        <w:t xml:space="preserve">, </w:t>
      </w:r>
      <w:r w:rsidR="000555CC" w:rsidRPr="0041365F">
        <w:rPr>
          <w:szCs w:val="18"/>
          <w:lang w:val="en-GB"/>
        </w:rPr>
        <w:t xml:space="preserve">2000). The determination of lipids followed the methodology proposed by Bligh and Dyer (1959). The </w:t>
      </w:r>
      <w:r w:rsidR="008A1920" w:rsidRPr="0041365F">
        <w:rPr>
          <w:szCs w:val="18"/>
          <w:lang w:val="en-GB"/>
        </w:rPr>
        <w:t>quantification</w:t>
      </w:r>
      <w:r w:rsidR="000555CC" w:rsidRPr="0041365F">
        <w:rPr>
          <w:szCs w:val="18"/>
          <w:lang w:val="en-GB"/>
        </w:rPr>
        <w:t xml:space="preserve"> of total carbo</w:t>
      </w:r>
      <w:r w:rsidR="00873DD4" w:rsidRPr="0041365F">
        <w:rPr>
          <w:szCs w:val="18"/>
          <w:lang w:val="en-GB"/>
        </w:rPr>
        <w:t>hydrates was done using the 'difference' method (carbohydrates = 100 – (moisture + ashes + proteins + lipids). All the results were expressed as g/100g.</w:t>
      </w:r>
    </w:p>
    <w:p w:rsidR="008A1920" w:rsidRPr="0041365F" w:rsidRDefault="008A1920" w:rsidP="008A1920">
      <w:pPr>
        <w:pStyle w:val="CETBodytext"/>
        <w:rPr>
          <w:b/>
          <w:szCs w:val="18"/>
          <w:lang w:val="en-GB"/>
        </w:rPr>
      </w:pPr>
    </w:p>
    <w:p w:rsidR="008A1920" w:rsidRPr="0041365F" w:rsidRDefault="008A1920" w:rsidP="008A1920">
      <w:pPr>
        <w:pStyle w:val="CETBodytext"/>
        <w:rPr>
          <w:b/>
          <w:szCs w:val="18"/>
          <w:lang w:val="en-GB"/>
        </w:rPr>
      </w:pPr>
      <w:r w:rsidRPr="0041365F">
        <w:rPr>
          <w:b/>
          <w:szCs w:val="18"/>
          <w:lang w:val="en-GB"/>
        </w:rPr>
        <w:t>2.3 Phenolic Extraction</w:t>
      </w:r>
    </w:p>
    <w:p w:rsidR="008A1920" w:rsidRPr="0041365F" w:rsidRDefault="008A1920" w:rsidP="008A1920">
      <w:pPr>
        <w:pStyle w:val="CETBodytext"/>
        <w:rPr>
          <w:szCs w:val="18"/>
          <w:lang w:val="en-GB"/>
        </w:rPr>
      </w:pPr>
      <w:r w:rsidRPr="0041365F">
        <w:rPr>
          <w:szCs w:val="18"/>
          <w:lang w:val="en-GB"/>
        </w:rPr>
        <w:t xml:space="preserve">Three extracts solutions were tested, described by </w:t>
      </w:r>
      <w:proofErr w:type="spellStart"/>
      <w:r w:rsidRPr="0041365F">
        <w:rPr>
          <w:szCs w:val="18"/>
          <w:lang w:val="en-GB"/>
        </w:rPr>
        <w:t>Koehnlein</w:t>
      </w:r>
      <w:proofErr w:type="spellEnd"/>
      <w:r w:rsidRPr="0041365F">
        <w:rPr>
          <w:szCs w:val="18"/>
          <w:lang w:val="en-GB"/>
        </w:rPr>
        <w:t xml:space="preserve"> et al. (2012)</w:t>
      </w:r>
      <w:r w:rsidR="00075943">
        <w:rPr>
          <w:szCs w:val="18"/>
          <w:lang w:val="en-GB"/>
        </w:rPr>
        <w:t xml:space="preserve"> and Sganzerla et al. (2018)</w:t>
      </w:r>
      <w:r w:rsidRPr="0041365F">
        <w:rPr>
          <w:szCs w:val="18"/>
          <w:lang w:val="en-GB"/>
        </w:rPr>
        <w:t>: hydroethanolic (70% ethanol and 30% water); aqueous (100% water); and ethanolic (100% ethanol). The extracts used in the analyses of bioactive compounds and antioxidant activity were prepared using 10 g of sample, dissolved in 100 mL of the respective solvent, centrifuged for 3 hours (140 rpm) and then filtered. The extracts were kept at -18 °C until the time of analysis.</w:t>
      </w:r>
    </w:p>
    <w:p w:rsidR="000703B3" w:rsidRPr="0041365F" w:rsidRDefault="000703B3" w:rsidP="000555CC">
      <w:pPr>
        <w:pStyle w:val="CETBodytext"/>
        <w:rPr>
          <w:szCs w:val="18"/>
          <w:lang w:val="en-GB"/>
        </w:rPr>
      </w:pPr>
    </w:p>
    <w:p w:rsidR="000555CC" w:rsidRPr="0041365F" w:rsidRDefault="000703B3" w:rsidP="000555CC">
      <w:pPr>
        <w:pStyle w:val="CETBodytext"/>
        <w:rPr>
          <w:b/>
          <w:szCs w:val="18"/>
          <w:lang w:val="en-GB"/>
        </w:rPr>
      </w:pPr>
      <w:r w:rsidRPr="0041365F">
        <w:rPr>
          <w:b/>
          <w:szCs w:val="18"/>
          <w:lang w:val="en-GB"/>
        </w:rPr>
        <w:t xml:space="preserve">2.4 </w:t>
      </w:r>
      <w:r w:rsidR="00873DD4" w:rsidRPr="0041365F">
        <w:rPr>
          <w:b/>
          <w:szCs w:val="18"/>
          <w:lang w:val="en-GB"/>
        </w:rPr>
        <w:t>Quantification of T</w:t>
      </w:r>
      <w:r w:rsidR="000555CC" w:rsidRPr="0041365F">
        <w:rPr>
          <w:b/>
          <w:szCs w:val="18"/>
          <w:lang w:val="en-GB"/>
        </w:rPr>
        <w:t xml:space="preserve">otal </w:t>
      </w:r>
      <w:r w:rsidR="00873DD4" w:rsidRPr="0041365F">
        <w:rPr>
          <w:b/>
          <w:szCs w:val="18"/>
          <w:lang w:val="en-GB"/>
        </w:rPr>
        <w:t>P</w:t>
      </w:r>
      <w:r w:rsidR="000555CC" w:rsidRPr="0041365F">
        <w:rPr>
          <w:b/>
          <w:szCs w:val="18"/>
          <w:lang w:val="en-GB"/>
        </w:rPr>
        <w:t>henolic</w:t>
      </w:r>
      <w:r w:rsidR="00416591" w:rsidRPr="0041365F">
        <w:rPr>
          <w:b/>
          <w:szCs w:val="18"/>
          <w:lang w:val="en-GB"/>
        </w:rPr>
        <w:t xml:space="preserve"> </w:t>
      </w:r>
      <w:r w:rsidR="00873DD4" w:rsidRPr="0041365F">
        <w:rPr>
          <w:b/>
          <w:szCs w:val="18"/>
          <w:lang w:val="en-GB"/>
        </w:rPr>
        <w:t>Content</w:t>
      </w:r>
    </w:p>
    <w:p w:rsidR="000555CC" w:rsidRPr="0041365F" w:rsidRDefault="000555CC" w:rsidP="000555CC">
      <w:pPr>
        <w:pStyle w:val="CETBodytext"/>
        <w:rPr>
          <w:szCs w:val="18"/>
          <w:lang w:val="en-GB"/>
        </w:rPr>
      </w:pPr>
      <w:r w:rsidRPr="0041365F">
        <w:rPr>
          <w:szCs w:val="18"/>
          <w:lang w:val="en-GB"/>
        </w:rPr>
        <w:t xml:space="preserve">The determination of total phenolic content followed the method proposed by </w:t>
      </w:r>
      <w:r w:rsidR="00416591" w:rsidRPr="0041365F">
        <w:rPr>
          <w:szCs w:val="18"/>
          <w:lang w:val="en-GB"/>
        </w:rPr>
        <w:t xml:space="preserve">Swain and </w:t>
      </w:r>
      <w:proofErr w:type="spellStart"/>
      <w:r w:rsidR="00416591" w:rsidRPr="0041365F">
        <w:rPr>
          <w:szCs w:val="18"/>
          <w:lang w:val="en-GB"/>
        </w:rPr>
        <w:t>Hillis</w:t>
      </w:r>
      <w:proofErr w:type="spellEnd"/>
      <w:r w:rsidR="00416591" w:rsidRPr="0041365F">
        <w:rPr>
          <w:szCs w:val="18"/>
          <w:lang w:val="en-GB"/>
        </w:rPr>
        <w:t xml:space="preserve"> </w:t>
      </w:r>
      <w:r w:rsidRPr="0041365F">
        <w:rPr>
          <w:szCs w:val="18"/>
          <w:lang w:val="en-GB"/>
        </w:rPr>
        <w:t>(1959), with some modifications. Aliquots of 140</w:t>
      </w:r>
      <w:r w:rsidR="00416591" w:rsidRPr="0041365F">
        <w:rPr>
          <w:szCs w:val="18"/>
          <w:lang w:val="en-GB"/>
        </w:rPr>
        <w:t xml:space="preserve"> </w:t>
      </w:r>
      <w:proofErr w:type="spellStart"/>
      <w:r w:rsidRPr="0041365F">
        <w:rPr>
          <w:szCs w:val="18"/>
          <w:lang w:val="en-GB"/>
        </w:rPr>
        <w:t>μL</w:t>
      </w:r>
      <w:proofErr w:type="spellEnd"/>
      <w:r w:rsidR="008A1920" w:rsidRPr="0041365F">
        <w:rPr>
          <w:szCs w:val="18"/>
          <w:lang w:val="en-GB"/>
        </w:rPr>
        <w:t xml:space="preserve"> of each extract were </w:t>
      </w:r>
      <w:r w:rsidRPr="0041365F">
        <w:rPr>
          <w:szCs w:val="18"/>
          <w:lang w:val="en-GB"/>
        </w:rPr>
        <w:t>mixed with 1667</w:t>
      </w:r>
      <w:r w:rsidR="00416591" w:rsidRPr="0041365F">
        <w:rPr>
          <w:szCs w:val="18"/>
          <w:lang w:val="en-GB"/>
        </w:rPr>
        <w:t xml:space="preserve"> </w:t>
      </w:r>
      <w:proofErr w:type="spellStart"/>
      <w:r w:rsidRPr="0041365F">
        <w:rPr>
          <w:szCs w:val="18"/>
          <w:lang w:val="en-GB"/>
        </w:rPr>
        <w:t>μL</w:t>
      </w:r>
      <w:proofErr w:type="spellEnd"/>
      <w:r w:rsidRPr="0041365F">
        <w:rPr>
          <w:szCs w:val="18"/>
          <w:lang w:val="en-GB"/>
        </w:rPr>
        <w:t xml:space="preserve"> of distilled water, and afterwards with 104</w:t>
      </w:r>
      <w:r w:rsidR="00416591" w:rsidRPr="0041365F">
        <w:rPr>
          <w:szCs w:val="18"/>
          <w:lang w:val="en-GB"/>
        </w:rPr>
        <w:t xml:space="preserve"> </w:t>
      </w:r>
      <w:r w:rsidRPr="0041365F">
        <w:rPr>
          <w:szCs w:val="18"/>
          <w:lang w:val="en-GB"/>
        </w:rPr>
        <w:t xml:space="preserve">µL of the reagent </w:t>
      </w:r>
      <w:proofErr w:type="spellStart"/>
      <w:r w:rsidRPr="0041365F">
        <w:rPr>
          <w:szCs w:val="18"/>
          <w:lang w:val="en-GB"/>
        </w:rPr>
        <w:t>Folin</w:t>
      </w:r>
      <w:proofErr w:type="spellEnd"/>
      <w:r w:rsidRPr="0041365F">
        <w:rPr>
          <w:szCs w:val="18"/>
          <w:lang w:val="en-GB"/>
        </w:rPr>
        <w:t>–</w:t>
      </w:r>
      <w:proofErr w:type="spellStart"/>
      <w:r w:rsidRPr="0041365F">
        <w:rPr>
          <w:szCs w:val="18"/>
          <w:lang w:val="en-GB"/>
        </w:rPr>
        <w:t>Ciocalteu</w:t>
      </w:r>
      <w:proofErr w:type="spellEnd"/>
      <w:r w:rsidR="00416591" w:rsidRPr="0041365F">
        <w:rPr>
          <w:szCs w:val="18"/>
          <w:lang w:val="en-GB"/>
        </w:rPr>
        <w:t xml:space="preserve"> (</w:t>
      </w:r>
      <w:r w:rsidRPr="0041365F">
        <w:rPr>
          <w:szCs w:val="18"/>
          <w:lang w:val="en-GB"/>
        </w:rPr>
        <w:t>0.25</w:t>
      </w:r>
      <w:r w:rsidR="00416591" w:rsidRPr="0041365F">
        <w:rPr>
          <w:szCs w:val="18"/>
          <w:lang w:val="en-GB"/>
        </w:rPr>
        <w:t xml:space="preserve"> </w:t>
      </w:r>
      <w:r w:rsidRPr="0041365F">
        <w:rPr>
          <w:szCs w:val="18"/>
          <w:lang w:val="en-GB"/>
        </w:rPr>
        <w:t>N</w:t>
      </w:r>
      <w:r w:rsidR="00416591" w:rsidRPr="0041365F">
        <w:rPr>
          <w:szCs w:val="18"/>
          <w:lang w:val="en-GB"/>
        </w:rPr>
        <w:t>)</w:t>
      </w:r>
      <w:r w:rsidRPr="0041365F">
        <w:rPr>
          <w:szCs w:val="18"/>
          <w:lang w:val="en-GB"/>
        </w:rPr>
        <w:t>. After 3 minutes of reaction, 208</w:t>
      </w:r>
      <w:r w:rsidR="00416591" w:rsidRPr="0041365F">
        <w:rPr>
          <w:szCs w:val="18"/>
          <w:lang w:val="en-GB"/>
        </w:rPr>
        <w:t xml:space="preserve"> </w:t>
      </w:r>
      <w:r w:rsidRPr="0041365F">
        <w:rPr>
          <w:szCs w:val="18"/>
          <w:lang w:val="en-GB"/>
        </w:rPr>
        <w:t>µL of Na</w:t>
      </w:r>
      <w:r w:rsidRPr="0041365F">
        <w:rPr>
          <w:szCs w:val="18"/>
          <w:vertAlign w:val="subscript"/>
          <w:lang w:val="en-GB"/>
        </w:rPr>
        <w:t>2</w:t>
      </w:r>
      <w:r w:rsidRPr="0041365F">
        <w:rPr>
          <w:szCs w:val="18"/>
          <w:lang w:val="en-GB"/>
        </w:rPr>
        <w:t>CO</w:t>
      </w:r>
      <w:r w:rsidRPr="0041365F">
        <w:rPr>
          <w:szCs w:val="18"/>
          <w:vertAlign w:val="subscript"/>
          <w:lang w:val="en-GB"/>
        </w:rPr>
        <w:t>3</w:t>
      </w:r>
      <w:r w:rsidRPr="0041365F">
        <w:rPr>
          <w:szCs w:val="18"/>
          <w:lang w:val="en-GB"/>
        </w:rPr>
        <w:t xml:space="preserve"> </w:t>
      </w:r>
      <w:r w:rsidRPr="0041365F">
        <w:rPr>
          <w:szCs w:val="18"/>
          <w:lang w:val="en-GB"/>
        </w:rPr>
        <w:lastRenderedPageBreak/>
        <w:t>1</w:t>
      </w:r>
      <w:r w:rsidR="00416591" w:rsidRPr="0041365F">
        <w:rPr>
          <w:szCs w:val="18"/>
          <w:lang w:val="en-GB"/>
        </w:rPr>
        <w:t xml:space="preserve"> </w:t>
      </w:r>
      <w:r w:rsidRPr="0041365F">
        <w:rPr>
          <w:szCs w:val="18"/>
          <w:lang w:val="en-GB"/>
        </w:rPr>
        <w:t>N was added, and the mixture was incubated for 2 hours at room temperature. A blank was prepared with 104</w:t>
      </w:r>
      <w:r w:rsidR="00416591" w:rsidRPr="0041365F">
        <w:rPr>
          <w:szCs w:val="18"/>
          <w:lang w:val="en-GB"/>
        </w:rPr>
        <w:t xml:space="preserve"> </w:t>
      </w:r>
      <w:r w:rsidRPr="0041365F">
        <w:rPr>
          <w:szCs w:val="18"/>
          <w:lang w:val="en-GB"/>
        </w:rPr>
        <w:t>µL of the solvent used for each extract. The absorbance of the solution was measured at 725</w:t>
      </w:r>
      <w:r w:rsidR="00416591" w:rsidRPr="0041365F">
        <w:rPr>
          <w:szCs w:val="18"/>
          <w:lang w:val="en-GB"/>
        </w:rPr>
        <w:t xml:space="preserve"> </w:t>
      </w:r>
      <w:r w:rsidRPr="0041365F">
        <w:rPr>
          <w:szCs w:val="18"/>
          <w:lang w:val="en-GB"/>
        </w:rPr>
        <w:t xml:space="preserve">nm and </w:t>
      </w:r>
      <w:proofErr w:type="spellStart"/>
      <w:r w:rsidRPr="0041365F">
        <w:rPr>
          <w:szCs w:val="18"/>
          <w:lang w:val="en-GB"/>
        </w:rPr>
        <w:t>chlorogenic</w:t>
      </w:r>
      <w:proofErr w:type="spellEnd"/>
      <w:r w:rsidRPr="0041365F">
        <w:rPr>
          <w:szCs w:val="18"/>
          <w:lang w:val="en-GB"/>
        </w:rPr>
        <w:t xml:space="preserve"> acid was used as standard. </w:t>
      </w:r>
    </w:p>
    <w:p w:rsidR="000703B3" w:rsidRPr="0041365F" w:rsidRDefault="000703B3" w:rsidP="000555CC">
      <w:pPr>
        <w:pStyle w:val="CETBodytext"/>
        <w:rPr>
          <w:b/>
          <w:szCs w:val="18"/>
          <w:lang w:val="en-GB"/>
        </w:rPr>
      </w:pPr>
    </w:p>
    <w:p w:rsidR="000555CC" w:rsidRPr="0041365F" w:rsidRDefault="000703B3" w:rsidP="000555CC">
      <w:pPr>
        <w:pStyle w:val="CETBodytext"/>
        <w:rPr>
          <w:b/>
          <w:szCs w:val="18"/>
          <w:lang w:val="en-GB"/>
        </w:rPr>
      </w:pPr>
      <w:r w:rsidRPr="0041365F">
        <w:rPr>
          <w:b/>
          <w:szCs w:val="18"/>
          <w:lang w:val="en-GB"/>
        </w:rPr>
        <w:t xml:space="preserve">2.5 </w:t>
      </w:r>
      <w:r w:rsidR="000555CC" w:rsidRPr="0041365F">
        <w:rPr>
          <w:b/>
          <w:szCs w:val="18"/>
          <w:lang w:val="en-GB"/>
        </w:rPr>
        <w:t xml:space="preserve">Determination of </w:t>
      </w:r>
      <w:r w:rsidR="00416591" w:rsidRPr="0041365F">
        <w:rPr>
          <w:b/>
          <w:szCs w:val="18"/>
          <w:lang w:val="en-GB"/>
        </w:rPr>
        <w:t>A</w:t>
      </w:r>
      <w:r w:rsidR="000555CC" w:rsidRPr="0041365F">
        <w:rPr>
          <w:b/>
          <w:szCs w:val="18"/>
          <w:lang w:val="en-GB"/>
        </w:rPr>
        <w:t xml:space="preserve">ntioxidant </w:t>
      </w:r>
      <w:r w:rsidR="00416591" w:rsidRPr="0041365F">
        <w:rPr>
          <w:b/>
          <w:szCs w:val="18"/>
          <w:lang w:val="en-GB"/>
        </w:rPr>
        <w:t>A</w:t>
      </w:r>
      <w:r w:rsidR="000555CC" w:rsidRPr="0041365F">
        <w:rPr>
          <w:b/>
          <w:szCs w:val="18"/>
          <w:lang w:val="en-GB"/>
        </w:rPr>
        <w:t>ctivity</w:t>
      </w:r>
    </w:p>
    <w:p w:rsidR="000555CC" w:rsidRDefault="000555CC" w:rsidP="004C5963">
      <w:pPr>
        <w:pStyle w:val="CETBodytext"/>
        <w:rPr>
          <w:szCs w:val="18"/>
          <w:lang w:val="en-GB"/>
        </w:rPr>
      </w:pPr>
      <w:r w:rsidRPr="0041365F">
        <w:rPr>
          <w:szCs w:val="18"/>
          <w:lang w:val="en-GB"/>
        </w:rPr>
        <w:t xml:space="preserve">The antioxidant activity was determined by </w:t>
      </w:r>
      <w:r w:rsidR="00416591" w:rsidRPr="0041365F">
        <w:rPr>
          <w:szCs w:val="18"/>
          <w:lang w:val="en-GB"/>
        </w:rPr>
        <w:t xml:space="preserve">removal of free radical </w:t>
      </w:r>
      <w:r w:rsidRPr="0041365F">
        <w:rPr>
          <w:szCs w:val="18"/>
          <w:lang w:val="en-GB"/>
        </w:rPr>
        <w:t xml:space="preserve">DPPH </w:t>
      </w:r>
      <w:r w:rsidR="00416591" w:rsidRPr="0041365F">
        <w:rPr>
          <w:szCs w:val="18"/>
          <w:lang w:val="en-GB"/>
        </w:rPr>
        <w:t xml:space="preserve">(2.2-diphenyl-1-picrylhydrazyl), </w:t>
      </w:r>
      <w:r w:rsidRPr="0041365F">
        <w:rPr>
          <w:szCs w:val="18"/>
          <w:lang w:val="en-GB"/>
        </w:rPr>
        <w:t xml:space="preserve">as described by </w:t>
      </w:r>
      <w:r w:rsidR="00416591" w:rsidRPr="0041365F">
        <w:rPr>
          <w:szCs w:val="18"/>
          <w:lang w:val="en-GB"/>
        </w:rPr>
        <w:t xml:space="preserve">Brand-Williams et al. (1995). The reaction was composed by 150 µL of extracts and 2850 µL of DPPH (1 </w:t>
      </w:r>
      <w:proofErr w:type="spellStart"/>
      <w:r w:rsidR="00416591" w:rsidRPr="0041365F">
        <w:rPr>
          <w:szCs w:val="18"/>
          <w:lang w:val="en-GB"/>
        </w:rPr>
        <w:t>mM</w:t>
      </w:r>
      <w:proofErr w:type="spellEnd"/>
      <w:r w:rsidR="00416591" w:rsidRPr="0041365F">
        <w:rPr>
          <w:szCs w:val="18"/>
          <w:lang w:val="en-GB"/>
        </w:rPr>
        <w:t xml:space="preserve">), and a blank was prepared with 150 µL of ethanol. After 24 hours </w:t>
      </w:r>
      <w:r w:rsidRPr="0041365F">
        <w:rPr>
          <w:szCs w:val="18"/>
          <w:lang w:val="en-GB"/>
        </w:rPr>
        <w:t>of incubation at 25</w:t>
      </w:r>
      <w:r w:rsidR="00416591" w:rsidRPr="0041365F">
        <w:rPr>
          <w:szCs w:val="18"/>
          <w:lang w:val="en-GB"/>
        </w:rPr>
        <w:t xml:space="preserve"> °C, the reaction was measured at 515 nm a</w:t>
      </w:r>
      <w:r w:rsidRPr="0041365F">
        <w:rPr>
          <w:szCs w:val="18"/>
          <w:lang w:val="en-GB"/>
        </w:rPr>
        <w:t xml:space="preserve">nd </w:t>
      </w:r>
      <w:proofErr w:type="spellStart"/>
      <w:r w:rsidRPr="0041365F">
        <w:rPr>
          <w:szCs w:val="18"/>
          <w:lang w:val="en-GB"/>
        </w:rPr>
        <w:t>Trolox</w:t>
      </w:r>
      <w:proofErr w:type="spellEnd"/>
      <w:r w:rsidRPr="0041365F">
        <w:rPr>
          <w:szCs w:val="18"/>
          <w:lang w:val="en-GB"/>
        </w:rPr>
        <w:t xml:space="preserve"> was used as the standard solution for the calibration curve.</w:t>
      </w:r>
      <w:r w:rsidR="00416591" w:rsidRPr="0041365F">
        <w:rPr>
          <w:szCs w:val="18"/>
          <w:lang w:val="en-GB"/>
        </w:rPr>
        <w:t xml:space="preserve"> </w:t>
      </w:r>
      <w:r w:rsidRPr="0041365F">
        <w:rPr>
          <w:szCs w:val="18"/>
          <w:lang w:val="en-GB"/>
        </w:rPr>
        <w:t xml:space="preserve">DPPH percentage of inhibition was calculated using the </w:t>
      </w:r>
      <w:r w:rsidR="00416591" w:rsidRPr="0041365F">
        <w:rPr>
          <w:szCs w:val="18"/>
          <w:lang w:val="en-GB"/>
        </w:rPr>
        <w:t>E</w:t>
      </w:r>
      <w:r w:rsidRPr="0041365F">
        <w:rPr>
          <w:szCs w:val="18"/>
          <w:lang w:val="en-GB"/>
        </w:rPr>
        <w:t>quation</w:t>
      </w:r>
      <w:r w:rsidR="00416591" w:rsidRPr="0041365F">
        <w:rPr>
          <w:szCs w:val="18"/>
          <w:lang w:val="en-GB"/>
        </w:rPr>
        <w:t xml:space="preserve"> 1</w:t>
      </w:r>
      <w:r w:rsidR="000E45B4" w:rsidRPr="0041365F">
        <w:rPr>
          <w:szCs w:val="18"/>
          <w:lang w:val="en-GB"/>
        </w:rPr>
        <w:t xml:space="preserve"> </w:t>
      </w:r>
      <w:r w:rsidR="004C5963" w:rsidRPr="0041365F">
        <w:rPr>
          <w:szCs w:val="18"/>
          <w:lang w:val="en-GB"/>
        </w:rPr>
        <w:t xml:space="preserve">described by </w:t>
      </w:r>
      <w:proofErr w:type="spellStart"/>
      <w:r w:rsidRPr="0041365F">
        <w:rPr>
          <w:szCs w:val="18"/>
          <w:lang w:val="en-GB"/>
        </w:rPr>
        <w:t>Koehnlein</w:t>
      </w:r>
      <w:proofErr w:type="spellEnd"/>
      <w:r w:rsidRPr="0041365F">
        <w:rPr>
          <w:szCs w:val="18"/>
          <w:lang w:val="en-GB"/>
        </w:rPr>
        <w:t xml:space="preserve"> et al.</w:t>
      </w:r>
      <w:r w:rsidR="004C5963" w:rsidRPr="0041365F">
        <w:rPr>
          <w:szCs w:val="18"/>
          <w:lang w:val="en-GB"/>
        </w:rPr>
        <w:t xml:space="preserve"> (</w:t>
      </w:r>
      <w:r w:rsidRPr="0041365F">
        <w:rPr>
          <w:szCs w:val="18"/>
          <w:lang w:val="en-GB"/>
        </w:rPr>
        <w:t>2012)</w:t>
      </w:r>
      <w:r w:rsidR="004C5963" w:rsidRPr="0041365F">
        <w:rPr>
          <w:szCs w:val="18"/>
          <w:lang w:val="en-GB"/>
        </w:rPr>
        <w:t>.</w:t>
      </w:r>
    </w:p>
    <w:p w:rsidR="00075943" w:rsidRPr="0041365F" w:rsidRDefault="00075943" w:rsidP="004C5963">
      <w:pPr>
        <w:pStyle w:val="CETBodytext"/>
        <w:rPr>
          <w:szCs w:val="18"/>
          <w:lang w:val="en-GB"/>
        </w:rPr>
      </w:pPr>
    </w:p>
    <w:p w:rsidR="004C5963" w:rsidRPr="0041365F" w:rsidRDefault="00416591" w:rsidP="004C5963">
      <w:pPr>
        <w:pStyle w:val="CETBodytext"/>
        <w:rPr>
          <w:color w:val="000000"/>
          <w:szCs w:val="18"/>
        </w:rPr>
      </w:pPr>
      <m:oMathPara>
        <m:oMath>
          <m:r>
            <m:rPr>
              <m:sty m:val="p"/>
            </m:rPr>
            <w:rPr>
              <w:rFonts w:ascii="Cambria Math" w:hAnsi="Cambria Math"/>
              <w:color w:val="000000"/>
              <w:szCs w:val="18"/>
            </w:rPr>
            <m:t xml:space="preserve">DPPH inhibition </m:t>
          </m:r>
          <m:d>
            <m:dPr>
              <m:ctrlPr>
                <w:rPr>
                  <w:rFonts w:ascii="Cambria Math" w:hAnsi="Cambria Math"/>
                  <w:color w:val="000000"/>
                  <w:szCs w:val="18"/>
                </w:rPr>
              </m:ctrlPr>
            </m:dPr>
            <m:e>
              <m:r>
                <m:rPr>
                  <m:sty m:val="p"/>
                </m:rPr>
                <w:rPr>
                  <w:rFonts w:ascii="Cambria Math" w:hAnsi="Cambria Math"/>
                  <w:color w:val="000000"/>
                  <w:szCs w:val="18"/>
                </w:rPr>
                <m:t>%</m:t>
              </m:r>
            </m:e>
          </m:d>
          <m:r>
            <m:rPr>
              <m:sty m:val="p"/>
            </m:rPr>
            <w:rPr>
              <w:rFonts w:ascii="Cambria Math" w:hAnsi="Cambria Math"/>
              <w:color w:val="000000"/>
              <w:szCs w:val="18"/>
            </w:rPr>
            <m:t>=</m:t>
          </m:r>
          <m:f>
            <m:fPr>
              <m:ctrlPr>
                <w:rPr>
                  <w:rFonts w:ascii="Cambria Math" w:hAnsi="Cambria Math"/>
                  <w:color w:val="000000"/>
                  <w:szCs w:val="18"/>
                </w:rPr>
              </m:ctrlPr>
            </m:fPr>
            <m:num>
              <m:sSub>
                <m:sSubPr>
                  <m:ctrlPr>
                    <w:rPr>
                      <w:rFonts w:ascii="Cambria Math" w:hAnsi="Cambria Math"/>
                      <w:color w:val="000000"/>
                      <w:szCs w:val="18"/>
                    </w:rPr>
                  </m:ctrlPr>
                </m:sSubPr>
                <m:e>
                  <m:r>
                    <m:rPr>
                      <m:sty m:val="p"/>
                    </m:rPr>
                    <w:rPr>
                      <w:rFonts w:ascii="Cambria Math" w:hAnsi="Cambria Math"/>
                      <w:color w:val="000000"/>
                      <w:szCs w:val="18"/>
                    </w:rPr>
                    <m:t>Abs</m:t>
                  </m:r>
                </m:e>
                <m:sub>
                  <m:r>
                    <m:rPr>
                      <m:sty m:val="p"/>
                    </m:rPr>
                    <w:rPr>
                      <w:rFonts w:ascii="Cambria Math" w:hAnsi="Cambria Math"/>
                      <w:color w:val="000000"/>
                      <w:szCs w:val="18"/>
                    </w:rPr>
                    <m:t>blank</m:t>
                  </m:r>
                </m:sub>
              </m:sSub>
              <m:r>
                <m:rPr>
                  <m:sty m:val="p"/>
                </m:rPr>
                <w:rPr>
                  <w:rFonts w:ascii="Cambria Math" w:hAnsi="Cambria Math"/>
                  <w:color w:val="000000"/>
                  <w:szCs w:val="18"/>
                </w:rPr>
                <m:t>-</m:t>
              </m:r>
              <m:sSub>
                <m:sSubPr>
                  <m:ctrlPr>
                    <w:rPr>
                      <w:rFonts w:ascii="Cambria Math" w:hAnsi="Cambria Math"/>
                      <w:color w:val="000000"/>
                      <w:szCs w:val="18"/>
                    </w:rPr>
                  </m:ctrlPr>
                </m:sSubPr>
                <m:e>
                  <m:r>
                    <m:rPr>
                      <m:sty m:val="p"/>
                    </m:rPr>
                    <w:rPr>
                      <w:rFonts w:ascii="Cambria Math" w:hAnsi="Cambria Math"/>
                      <w:color w:val="000000"/>
                      <w:szCs w:val="18"/>
                    </w:rPr>
                    <m:t>Abs</m:t>
                  </m:r>
                </m:e>
                <m:sub>
                  <m:r>
                    <m:rPr>
                      <m:sty m:val="p"/>
                    </m:rPr>
                    <w:rPr>
                      <w:rFonts w:ascii="Cambria Math" w:hAnsi="Cambria Math"/>
                      <w:color w:val="000000"/>
                      <w:szCs w:val="18"/>
                    </w:rPr>
                    <m:t>sample</m:t>
                  </m:r>
                </m:sub>
              </m:sSub>
            </m:num>
            <m:den>
              <m:sSub>
                <m:sSubPr>
                  <m:ctrlPr>
                    <w:rPr>
                      <w:rFonts w:ascii="Cambria Math" w:hAnsi="Cambria Math"/>
                      <w:color w:val="000000"/>
                      <w:szCs w:val="18"/>
                    </w:rPr>
                  </m:ctrlPr>
                </m:sSubPr>
                <m:e>
                  <m:r>
                    <m:rPr>
                      <m:sty m:val="p"/>
                    </m:rPr>
                    <w:rPr>
                      <w:rFonts w:ascii="Cambria Math" w:hAnsi="Cambria Math"/>
                      <w:color w:val="000000"/>
                      <w:szCs w:val="18"/>
                    </w:rPr>
                    <m:t>Abs</m:t>
                  </m:r>
                </m:e>
                <m:sub>
                  <m:r>
                    <m:rPr>
                      <m:sty m:val="p"/>
                    </m:rPr>
                    <w:rPr>
                      <w:rFonts w:ascii="Cambria Math" w:hAnsi="Cambria Math"/>
                      <w:color w:val="000000"/>
                      <w:szCs w:val="18"/>
                    </w:rPr>
                    <m:t>blank</m:t>
                  </m:r>
                </m:sub>
              </m:sSub>
            </m:den>
          </m:f>
          <m:r>
            <m:rPr>
              <m:sty m:val="p"/>
            </m:rPr>
            <w:rPr>
              <w:rFonts w:ascii="Cambria Math" w:hAnsi="Cambria Math"/>
              <w:color w:val="000000"/>
              <w:szCs w:val="18"/>
            </w:rPr>
            <m:t>×100 (1)</m:t>
          </m:r>
        </m:oMath>
      </m:oMathPara>
    </w:p>
    <w:p w:rsidR="008A1920" w:rsidRPr="0041365F" w:rsidRDefault="008A1920" w:rsidP="000555CC">
      <w:pPr>
        <w:pStyle w:val="CETBodytext"/>
        <w:rPr>
          <w:b/>
          <w:szCs w:val="18"/>
          <w:lang w:val="en-GB"/>
        </w:rPr>
      </w:pPr>
    </w:p>
    <w:p w:rsidR="000555CC" w:rsidRPr="0041365F" w:rsidRDefault="004C5963" w:rsidP="000555CC">
      <w:pPr>
        <w:pStyle w:val="CETBodytext"/>
        <w:rPr>
          <w:b/>
          <w:szCs w:val="18"/>
          <w:lang w:val="en-GB"/>
        </w:rPr>
      </w:pPr>
      <w:r w:rsidRPr="0041365F">
        <w:rPr>
          <w:b/>
          <w:szCs w:val="18"/>
          <w:lang w:val="en-GB"/>
        </w:rPr>
        <w:t>2.6</w:t>
      </w:r>
      <w:r w:rsidR="000703B3" w:rsidRPr="0041365F">
        <w:rPr>
          <w:b/>
          <w:szCs w:val="18"/>
          <w:lang w:val="en-GB"/>
        </w:rPr>
        <w:t xml:space="preserve"> </w:t>
      </w:r>
      <w:r w:rsidR="000555CC" w:rsidRPr="0041365F">
        <w:rPr>
          <w:b/>
          <w:szCs w:val="18"/>
          <w:lang w:val="en-GB"/>
        </w:rPr>
        <w:t xml:space="preserve">Statistical </w:t>
      </w:r>
      <w:r w:rsidR="00416591" w:rsidRPr="0041365F">
        <w:rPr>
          <w:b/>
          <w:szCs w:val="18"/>
          <w:lang w:val="en-GB"/>
        </w:rPr>
        <w:t>A</w:t>
      </w:r>
      <w:r w:rsidR="000555CC" w:rsidRPr="0041365F">
        <w:rPr>
          <w:b/>
          <w:szCs w:val="18"/>
          <w:lang w:val="en-GB"/>
        </w:rPr>
        <w:t>nalysis</w:t>
      </w:r>
    </w:p>
    <w:p w:rsidR="000555CC" w:rsidRPr="0041365F" w:rsidRDefault="000555CC" w:rsidP="000555CC">
      <w:pPr>
        <w:pStyle w:val="CETBodytext"/>
        <w:rPr>
          <w:szCs w:val="18"/>
          <w:lang w:val="en-GB"/>
        </w:rPr>
      </w:pPr>
      <w:r w:rsidRPr="0041365F">
        <w:rPr>
          <w:szCs w:val="18"/>
          <w:lang w:val="en-GB"/>
        </w:rPr>
        <w:t>All analyses were conducted in triplicate</w:t>
      </w:r>
      <w:r w:rsidR="00416591" w:rsidRPr="0041365F">
        <w:rPr>
          <w:szCs w:val="18"/>
          <w:lang w:val="en-GB"/>
        </w:rPr>
        <w:t xml:space="preserve"> (</w:t>
      </w:r>
      <w:r w:rsidR="00416591" w:rsidRPr="0041365F">
        <w:rPr>
          <w:i/>
          <w:szCs w:val="18"/>
          <w:lang w:val="en-GB"/>
        </w:rPr>
        <w:t>n</w:t>
      </w:r>
      <w:r w:rsidR="00416591" w:rsidRPr="0041365F">
        <w:rPr>
          <w:szCs w:val="18"/>
          <w:lang w:val="en-GB"/>
        </w:rPr>
        <w:t>=3), and the</w:t>
      </w:r>
      <w:r w:rsidR="004C5963" w:rsidRPr="0041365F">
        <w:rPr>
          <w:szCs w:val="18"/>
          <w:lang w:val="en-GB"/>
        </w:rPr>
        <w:t xml:space="preserve"> extracts were </w:t>
      </w:r>
      <w:r w:rsidR="00416591" w:rsidRPr="0041365F">
        <w:rPr>
          <w:szCs w:val="18"/>
          <w:lang w:val="en-GB"/>
        </w:rPr>
        <w:t>prepared i</w:t>
      </w:r>
      <w:r w:rsidR="004C5963" w:rsidRPr="0041365F">
        <w:rPr>
          <w:szCs w:val="18"/>
          <w:lang w:val="en-GB"/>
        </w:rPr>
        <w:t xml:space="preserve">n triplicate. </w:t>
      </w:r>
      <w:r w:rsidRPr="0041365F">
        <w:rPr>
          <w:szCs w:val="18"/>
          <w:lang w:val="en-GB"/>
        </w:rPr>
        <w:t xml:space="preserve">Data were subjected to </w:t>
      </w:r>
      <w:r w:rsidR="00416591" w:rsidRPr="0041365F">
        <w:rPr>
          <w:szCs w:val="18"/>
          <w:lang w:val="en-GB"/>
        </w:rPr>
        <w:t>A</w:t>
      </w:r>
      <w:r w:rsidRPr="0041365F">
        <w:rPr>
          <w:szCs w:val="18"/>
          <w:lang w:val="en-GB"/>
        </w:rPr>
        <w:t xml:space="preserve">nalysis of </w:t>
      </w:r>
      <w:r w:rsidR="00416591" w:rsidRPr="0041365F">
        <w:rPr>
          <w:szCs w:val="18"/>
          <w:lang w:val="en-GB"/>
        </w:rPr>
        <w:t>V</w:t>
      </w:r>
      <w:r w:rsidRPr="0041365F">
        <w:rPr>
          <w:szCs w:val="18"/>
          <w:lang w:val="en-GB"/>
        </w:rPr>
        <w:t>ariance (ANOVA) and treated statistically using the software STATISTICA 7.0 (</w:t>
      </w:r>
      <w:proofErr w:type="spellStart"/>
      <w:r w:rsidRPr="0041365F">
        <w:rPr>
          <w:szCs w:val="18"/>
          <w:lang w:val="en-GB"/>
        </w:rPr>
        <w:t>StatSoft</w:t>
      </w:r>
      <w:proofErr w:type="spellEnd"/>
      <w:r w:rsidRPr="0041365F">
        <w:rPr>
          <w:szCs w:val="18"/>
          <w:lang w:val="en-GB"/>
        </w:rPr>
        <w:t xml:space="preserve">, Inc., Tulsa, OK, EUA) along with the </w:t>
      </w:r>
      <w:proofErr w:type="spellStart"/>
      <w:r w:rsidRPr="0041365F">
        <w:rPr>
          <w:szCs w:val="18"/>
          <w:lang w:val="en-GB"/>
        </w:rPr>
        <w:t>Tukey</w:t>
      </w:r>
      <w:r w:rsidR="00416591" w:rsidRPr="0041365F">
        <w:rPr>
          <w:szCs w:val="18"/>
          <w:lang w:val="en-GB"/>
        </w:rPr>
        <w:t>’s</w:t>
      </w:r>
      <w:proofErr w:type="spellEnd"/>
      <w:r w:rsidRPr="0041365F">
        <w:rPr>
          <w:szCs w:val="18"/>
          <w:lang w:val="en-GB"/>
        </w:rPr>
        <w:t xml:space="preserve"> Test at 95% significance level (p</w:t>
      </w:r>
      <w:r w:rsidR="00416591" w:rsidRPr="0041365F">
        <w:rPr>
          <w:szCs w:val="18"/>
          <w:lang w:val="en-GB"/>
        </w:rPr>
        <w:t xml:space="preserve"> </w:t>
      </w:r>
      <w:r w:rsidRPr="0041365F">
        <w:rPr>
          <w:szCs w:val="18"/>
          <w:lang w:val="en-GB"/>
        </w:rPr>
        <w:t>≤</w:t>
      </w:r>
      <w:r w:rsidR="00416591" w:rsidRPr="0041365F">
        <w:rPr>
          <w:szCs w:val="18"/>
          <w:lang w:val="en-GB"/>
        </w:rPr>
        <w:t xml:space="preserve"> </w:t>
      </w:r>
      <w:r w:rsidRPr="0041365F">
        <w:rPr>
          <w:szCs w:val="18"/>
          <w:lang w:val="en-GB"/>
        </w:rPr>
        <w:t>0.05).</w:t>
      </w:r>
    </w:p>
    <w:p w:rsidR="000555CC" w:rsidRPr="0041365F" w:rsidRDefault="000555CC" w:rsidP="000555CC">
      <w:pPr>
        <w:pStyle w:val="CETHeading1"/>
        <w:tabs>
          <w:tab w:val="num" w:pos="360"/>
        </w:tabs>
        <w:rPr>
          <w:sz w:val="18"/>
          <w:szCs w:val="18"/>
          <w:lang w:val="en-GB"/>
        </w:rPr>
      </w:pPr>
      <w:r w:rsidRPr="0041365F">
        <w:rPr>
          <w:sz w:val="18"/>
          <w:szCs w:val="18"/>
          <w:lang w:val="en-GB"/>
        </w:rPr>
        <w:t xml:space="preserve">Results </w:t>
      </w:r>
      <w:r w:rsidR="00416591" w:rsidRPr="0041365F">
        <w:rPr>
          <w:sz w:val="18"/>
          <w:szCs w:val="18"/>
          <w:lang w:val="en-GB"/>
        </w:rPr>
        <w:t>a</w:t>
      </w:r>
      <w:r w:rsidRPr="0041365F">
        <w:rPr>
          <w:sz w:val="18"/>
          <w:szCs w:val="18"/>
          <w:lang w:val="en-GB"/>
        </w:rPr>
        <w:t>nd Discussion</w:t>
      </w:r>
    </w:p>
    <w:p w:rsidR="000555CC" w:rsidRDefault="000555CC" w:rsidP="000555CC">
      <w:pPr>
        <w:pStyle w:val="CETBodytext"/>
        <w:rPr>
          <w:lang w:val="en-GB"/>
        </w:rPr>
      </w:pPr>
      <w:r w:rsidRPr="0041365F">
        <w:rPr>
          <w:szCs w:val="18"/>
          <w:lang w:val="en-GB"/>
        </w:rPr>
        <w:t>Results for moisture content, ashes</w:t>
      </w:r>
      <w:r w:rsidRPr="000555CC">
        <w:rPr>
          <w:lang w:val="en-GB"/>
        </w:rPr>
        <w:t>, proteins, lipids and carbohydrates are shown in Table 1. In all parameters measured there were significant statistical differences depending on the processing method used, with the exception of proteins values.</w:t>
      </w:r>
    </w:p>
    <w:p w:rsidR="00075943" w:rsidRDefault="00075943" w:rsidP="0041365F">
      <w:pPr>
        <w:pStyle w:val="Text"/>
        <w:spacing w:line="240" w:lineRule="auto"/>
        <w:ind w:firstLine="0"/>
        <w:rPr>
          <w:rFonts w:ascii="Arial" w:hAnsi="Arial"/>
          <w:i/>
          <w:sz w:val="18"/>
          <w:lang w:val="en-GB" w:eastAsia="en-US"/>
        </w:rPr>
      </w:pPr>
    </w:p>
    <w:p w:rsidR="000E45B4" w:rsidRPr="000E45B4" w:rsidRDefault="000E45B4" w:rsidP="0041365F">
      <w:pPr>
        <w:pStyle w:val="Text"/>
        <w:spacing w:line="240" w:lineRule="auto"/>
        <w:ind w:firstLine="0"/>
        <w:rPr>
          <w:rFonts w:ascii="Arial" w:hAnsi="Arial"/>
          <w:i/>
          <w:sz w:val="18"/>
          <w:lang w:eastAsia="en-US"/>
        </w:rPr>
      </w:pPr>
      <w:r>
        <w:rPr>
          <w:rFonts w:ascii="Arial" w:hAnsi="Arial"/>
          <w:i/>
          <w:sz w:val="18"/>
          <w:lang w:val="en-GB" w:eastAsia="en-US"/>
        </w:rPr>
        <w:t>Table 1:</w:t>
      </w:r>
      <w:r w:rsidRPr="000E45B4">
        <w:rPr>
          <w:rFonts w:ascii="Arial" w:hAnsi="Arial"/>
          <w:i/>
          <w:sz w:val="18"/>
          <w:lang w:val="en-GB" w:eastAsia="en-US"/>
        </w:rPr>
        <w:t xml:space="preserve"> Centesimal composition</w:t>
      </w:r>
      <w:r w:rsidR="00064AE5">
        <w:rPr>
          <w:rFonts w:ascii="Arial" w:hAnsi="Arial"/>
          <w:i/>
          <w:sz w:val="18"/>
          <w:lang w:val="en-GB" w:eastAsia="en-US"/>
        </w:rPr>
        <w:t xml:space="preserve"> (%)</w:t>
      </w:r>
      <w:r w:rsidRPr="000E45B4">
        <w:rPr>
          <w:rFonts w:ascii="Arial" w:hAnsi="Arial"/>
          <w:i/>
          <w:sz w:val="18"/>
          <w:lang w:val="en-GB" w:eastAsia="en-US"/>
        </w:rPr>
        <w:t xml:space="preserve"> of raw </w:t>
      </w:r>
      <w:proofErr w:type="spellStart"/>
      <w:r w:rsidRPr="000E45B4">
        <w:rPr>
          <w:rFonts w:ascii="Arial" w:hAnsi="Arial"/>
          <w:i/>
          <w:sz w:val="18"/>
          <w:lang w:val="en-GB" w:eastAsia="en-US"/>
        </w:rPr>
        <w:t>pinhão</w:t>
      </w:r>
      <w:proofErr w:type="spellEnd"/>
      <w:r w:rsidRPr="000E45B4">
        <w:rPr>
          <w:rFonts w:ascii="Arial" w:hAnsi="Arial"/>
          <w:i/>
          <w:sz w:val="18"/>
          <w:lang w:val="en-GB" w:eastAsia="en-US"/>
        </w:rPr>
        <w:t xml:space="preserve"> flour, cooked</w:t>
      </w:r>
      <w:r w:rsidRPr="000E45B4">
        <w:rPr>
          <w:rFonts w:ascii="Arial" w:hAnsi="Arial"/>
          <w:i/>
          <w:sz w:val="18"/>
          <w:lang w:eastAsia="en-US"/>
        </w:rPr>
        <w:t xml:space="preserve"> </w:t>
      </w:r>
      <w:proofErr w:type="spellStart"/>
      <w:r w:rsidRPr="000E45B4">
        <w:rPr>
          <w:rFonts w:ascii="Arial" w:hAnsi="Arial"/>
          <w:i/>
          <w:sz w:val="18"/>
          <w:lang w:eastAsia="en-US"/>
        </w:rPr>
        <w:t>pinhão</w:t>
      </w:r>
      <w:proofErr w:type="spellEnd"/>
      <w:r w:rsidRPr="000E45B4">
        <w:rPr>
          <w:rFonts w:ascii="Arial" w:hAnsi="Arial"/>
          <w:i/>
          <w:sz w:val="18"/>
          <w:lang w:eastAsia="en-US"/>
        </w:rPr>
        <w:t xml:space="preserve"> flour and </w:t>
      </w:r>
      <w:proofErr w:type="spellStart"/>
      <w:r w:rsidRPr="000E45B4">
        <w:rPr>
          <w:rFonts w:ascii="Arial" w:hAnsi="Arial"/>
          <w:i/>
          <w:sz w:val="18"/>
          <w:lang w:eastAsia="en-US"/>
        </w:rPr>
        <w:t>pinhão</w:t>
      </w:r>
      <w:proofErr w:type="spellEnd"/>
      <w:r w:rsidRPr="000E45B4">
        <w:rPr>
          <w:rFonts w:ascii="Arial" w:hAnsi="Arial"/>
          <w:i/>
          <w:sz w:val="18"/>
          <w:lang w:eastAsia="en-US"/>
        </w:rPr>
        <w:t xml:space="preserve"> grits.</w:t>
      </w:r>
    </w:p>
    <w:tbl>
      <w:tblPr>
        <w:tblW w:w="8592" w:type="dxa"/>
        <w:tblInd w:w="108" w:type="dxa"/>
        <w:tblLayout w:type="fixed"/>
        <w:tblLook w:val="0000" w:firstRow="0" w:lastRow="0" w:firstColumn="0" w:lastColumn="0" w:noHBand="0" w:noVBand="0"/>
      </w:tblPr>
      <w:tblGrid>
        <w:gridCol w:w="1843"/>
        <w:gridCol w:w="1283"/>
        <w:gridCol w:w="1283"/>
        <w:gridCol w:w="1283"/>
        <w:gridCol w:w="1283"/>
        <w:gridCol w:w="1617"/>
      </w:tblGrid>
      <w:tr w:rsidR="000E45B4" w:rsidTr="00064AE5">
        <w:trPr>
          <w:trHeight w:val="251"/>
        </w:trPr>
        <w:tc>
          <w:tcPr>
            <w:tcW w:w="1843" w:type="dxa"/>
            <w:tcBorders>
              <w:top w:val="single" w:sz="12" w:space="0" w:color="00B050"/>
              <w:bottom w:val="single" w:sz="8" w:space="0" w:color="00B050"/>
            </w:tcBorders>
            <w:shd w:val="clear" w:color="auto" w:fill="auto"/>
            <w:vAlign w:val="center"/>
          </w:tcPr>
          <w:p w:rsidR="000E45B4" w:rsidRPr="000E45B4" w:rsidRDefault="000E45B4" w:rsidP="000E45B4">
            <w:pPr>
              <w:pStyle w:val="CETBodytext"/>
              <w:rPr>
                <w:lang w:val="en-GB"/>
              </w:rPr>
            </w:pPr>
            <w:r w:rsidRPr="000E45B4">
              <w:rPr>
                <w:lang w:val="en-GB"/>
              </w:rPr>
              <w:t>Sample</w:t>
            </w:r>
          </w:p>
        </w:tc>
        <w:tc>
          <w:tcPr>
            <w:tcW w:w="1283" w:type="dxa"/>
            <w:tcBorders>
              <w:top w:val="single" w:sz="12" w:space="0" w:color="00B050"/>
              <w:bottom w:val="single" w:sz="8" w:space="0" w:color="00B050"/>
            </w:tcBorders>
            <w:shd w:val="clear" w:color="auto" w:fill="auto"/>
            <w:vAlign w:val="center"/>
          </w:tcPr>
          <w:p w:rsidR="000E45B4" w:rsidRPr="000E45B4" w:rsidRDefault="000E45B4" w:rsidP="00064AE5">
            <w:pPr>
              <w:pStyle w:val="CETBodytext"/>
              <w:rPr>
                <w:lang w:val="en-GB"/>
              </w:rPr>
            </w:pPr>
            <w:r w:rsidRPr="000E45B4">
              <w:rPr>
                <w:lang w:val="en-GB"/>
              </w:rPr>
              <w:t>Moisture</w:t>
            </w:r>
            <w:r w:rsidR="00B168D9">
              <w:rPr>
                <w:lang w:val="en-GB"/>
              </w:rPr>
              <w:t>*</w:t>
            </w:r>
          </w:p>
        </w:tc>
        <w:tc>
          <w:tcPr>
            <w:tcW w:w="1283" w:type="dxa"/>
            <w:tcBorders>
              <w:top w:val="single" w:sz="12" w:space="0" w:color="00B050"/>
              <w:bottom w:val="single" w:sz="8" w:space="0" w:color="00B050"/>
            </w:tcBorders>
            <w:shd w:val="clear" w:color="auto" w:fill="auto"/>
            <w:vAlign w:val="center"/>
          </w:tcPr>
          <w:p w:rsidR="000E45B4" w:rsidRPr="000E45B4" w:rsidRDefault="000E45B4" w:rsidP="00064AE5">
            <w:pPr>
              <w:pStyle w:val="CETBodytext"/>
              <w:rPr>
                <w:lang w:val="en-GB"/>
              </w:rPr>
            </w:pPr>
            <w:r w:rsidRPr="000E45B4">
              <w:rPr>
                <w:lang w:val="en-GB"/>
              </w:rPr>
              <w:t>Ashes*</w:t>
            </w:r>
            <w:r w:rsidR="00064AE5">
              <w:rPr>
                <w:lang w:val="en-GB"/>
              </w:rPr>
              <w:t xml:space="preserve"> </w:t>
            </w:r>
          </w:p>
        </w:tc>
        <w:tc>
          <w:tcPr>
            <w:tcW w:w="1283" w:type="dxa"/>
            <w:tcBorders>
              <w:top w:val="single" w:sz="12" w:space="0" w:color="00B050"/>
              <w:bottom w:val="single" w:sz="8" w:space="0" w:color="00B050"/>
            </w:tcBorders>
            <w:shd w:val="clear" w:color="auto" w:fill="auto"/>
            <w:vAlign w:val="center"/>
          </w:tcPr>
          <w:p w:rsidR="000E45B4" w:rsidRPr="000E45B4" w:rsidRDefault="000E45B4" w:rsidP="00064AE5">
            <w:pPr>
              <w:pStyle w:val="CETBodytext"/>
              <w:rPr>
                <w:lang w:val="en-GB"/>
              </w:rPr>
            </w:pPr>
            <w:r w:rsidRPr="000E45B4">
              <w:rPr>
                <w:lang w:val="en-GB"/>
              </w:rPr>
              <w:t>Proteins*</w:t>
            </w:r>
            <w:r w:rsidR="00064AE5">
              <w:rPr>
                <w:lang w:val="en-GB"/>
              </w:rPr>
              <w:t xml:space="preserve"> </w:t>
            </w:r>
          </w:p>
        </w:tc>
        <w:tc>
          <w:tcPr>
            <w:tcW w:w="1283" w:type="dxa"/>
            <w:tcBorders>
              <w:top w:val="single" w:sz="12" w:space="0" w:color="00B050"/>
              <w:bottom w:val="single" w:sz="8" w:space="0" w:color="00B050"/>
            </w:tcBorders>
            <w:shd w:val="clear" w:color="auto" w:fill="auto"/>
            <w:vAlign w:val="center"/>
          </w:tcPr>
          <w:p w:rsidR="000E45B4" w:rsidRPr="000E45B4" w:rsidRDefault="000E45B4" w:rsidP="00064AE5">
            <w:pPr>
              <w:pStyle w:val="CETBodytext"/>
              <w:rPr>
                <w:lang w:val="en-GB"/>
              </w:rPr>
            </w:pPr>
            <w:r w:rsidRPr="000E45B4">
              <w:rPr>
                <w:lang w:val="en-GB"/>
              </w:rPr>
              <w:t>Lipids*</w:t>
            </w:r>
            <w:r w:rsidR="00064AE5">
              <w:rPr>
                <w:lang w:val="en-GB"/>
              </w:rPr>
              <w:t xml:space="preserve"> </w:t>
            </w:r>
          </w:p>
        </w:tc>
        <w:tc>
          <w:tcPr>
            <w:tcW w:w="1617" w:type="dxa"/>
            <w:tcBorders>
              <w:top w:val="single" w:sz="12" w:space="0" w:color="00B050"/>
              <w:bottom w:val="single" w:sz="8" w:space="0" w:color="00B050"/>
            </w:tcBorders>
            <w:shd w:val="clear" w:color="auto" w:fill="auto"/>
            <w:vAlign w:val="center"/>
          </w:tcPr>
          <w:p w:rsidR="000E45B4" w:rsidRPr="000E45B4" w:rsidRDefault="000E45B4" w:rsidP="00064AE5">
            <w:pPr>
              <w:pStyle w:val="CETBodytext"/>
              <w:rPr>
                <w:lang w:val="en-GB"/>
              </w:rPr>
            </w:pPr>
            <w:r w:rsidRPr="000E45B4">
              <w:rPr>
                <w:lang w:val="en-GB"/>
              </w:rPr>
              <w:t xml:space="preserve">Carbohydrates* </w:t>
            </w:r>
          </w:p>
        </w:tc>
      </w:tr>
      <w:tr w:rsidR="000E45B4" w:rsidTr="00064AE5">
        <w:trPr>
          <w:trHeight w:val="198"/>
        </w:trPr>
        <w:tc>
          <w:tcPr>
            <w:tcW w:w="1843" w:type="dxa"/>
            <w:tcBorders>
              <w:top w:val="single" w:sz="8" w:space="0" w:color="00B050"/>
            </w:tcBorders>
            <w:shd w:val="clear" w:color="auto" w:fill="auto"/>
            <w:vAlign w:val="center"/>
          </w:tcPr>
          <w:p w:rsidR="000E45B4" w:rsidRPr="000E45B4" w:rsidRDefault="000E45B4" w:rsidP="000E45B4">
            <w:pPr>
              <w:pStyle w:val="CETBodytext"/>
              <w:rPr>
                <w:lang w:val="en-GB"/>
              </w:rPr>
            </w:pPr>
            <w:r w:rsidRPr="000E45B4">
              <w:rPr>
                <w:lang w:val="en-GB"/>
              </w:rPr>
              <w:t xml:space="preserve">Raw </w:t>
            </w:r>
            <w:proofErr w:type="spellStart"/>
            <w:r w:rsidRPr="000E45B4">
              <w:rPr>
                <w:lang w:val="en-GB"/>
              </w:rPr>
              <w:t>pinhão</w:t>
            </w:r>
            <w:proofErr w:type="spellEnd"/>
            <w:r w:rsidRPr="000E45B4">
              <w:rPr>
                <w:lang w:val="en-GB"/>
              </w:rPr>
              <w:t xml:space="preserve"> flour</w:t>
            </w:r>
          </w:p>
        </w:tc>
        <w:tc>
          <w:tcPr>
            <w:tcW w:w="1283" w:type="dxa"/>
            <w:tcBorders>
              <w:top w:val="single" w:sz="8" w:space="0" w:color="00B050"/>
            </w:tcBorders>
            <w:shd w:val="clear" w:color="auto" w:fill="auto"/>
            <w:vAlign w:val="center"/>
          </w:tcPr>
          <w:p w:rsidR="000E45B4" w:rsidRPr="000E45B4" w:rsidRDefault="000E45B4" w:rsidP="000E45B4">
            <w:pPr>
              <w:pStyle w:val="CETBodytext"/>
              <w:rPr>
                <w:lang w:val="en-GB"/>
              </w:rPr>
            </w:pPr>
            <w:r w:rsidRPr="000E45B4">
              <w:rPr>
                <w:lang w:val="en-GB"/>
              </w:rPr>
              <w:t>5.87 ± 0.09</w:t>
            </w:r>
            <w:r w:rsidRPr="00B168D9">
              <w:rPr>
                <w:vertAlign w:val="superscript"/>
                <w:lang w:val="en-GB"/>
              </w:rPr>
              <w:t>b</w:t>
            </w:r>
          </w:p>
        </w:tc>
        <w:tc>
          <w:tcPr>
            <w:tcW w:w="1283" w:type="dxa"/>
            <w:tcBorders>
              <w:top w:val="single" w:sz="8" w:space="0" w:color="00B050"/>
            </w:tcBorders>
            <w:shd w:val="clear" w:color="auto" w:fill="auto"/>
            <w:vAlign w:val="center"/>
          </w:tcPr>
          <w:p w:rsidR="000E45B4" w:rsidRPr="000E45B4" w:rsidRDefault="000E45B4" w:rsidP="000E45B4">
            <w:pPr>
              <w:pStyle w:val="CETBodytext"/>
              <w:rPr>
                <w:lang w:val="en-GB"/>
              </w:rPr>
            </w:pPr>
            <w:r w:rsidRPr="000E45B4">
              <w:rPr>
                <w:lang w:val="en-GB"/>
              </w:rPr>
              <w:t>3.22 ± 0.03</w:t>
            </w:r>
            <w:r w:rsidRPr="00B168D9">
              <w:rPr>
                <w:vertAlign w:val="superscript"/>
                <w:lang w:val="en-GB"/>
              </w:rPr>
              <w:t>a</w:t>
            </w:r>
          </w:p>
        </w:tc>
        <w:tc>
          <w:tcPr>
            <w:tcW w:w="1283" w:type="dxa"/>
            <w:tcBorders>
              <w:top w:val="single" w:sz="8" w:space="0" w:color="00B050"/>
            </w:tcBorders>
            <w:shd w:val="clear" w:color="auto" w:fill="auto"/>
            <w:vAlign w:val="center"/>
          </w:tcPr>
          <w:p w:rsidR="000E45B4" w:rsidRPr="000E45B4" w:rsidRDefault="000E45B4" w:rsidP="000E45B4">
            <w:pPr>
              <w:pStyle w:val="CETBodytext"/>
              <w:rPr>
                <w:lang w:val="en-GB"/>
              </w:rPr>
            </w:pPr>
            <w:r w:rsidRPr="000E45B4">
              <w:rPr>
                <w:lang w:val="en-GB"/>
              </w:rPr>
              <w:t>5.09 ± 0.04</w:t>
            </w:r>
            <w:r w:rsidRPr="00B168D9">
              <w:rPr>
                <w:vertAlign w:val="superscript"/>
                <w:lang w:val="en-GB"/>
              </w:rPr>
              <w:t>a</w:t>
            </w:r>
          </w:p>
        </w:tc>
        <w:tc>
          <w:tcPr>
            <w:tcW w:w="1283" w:type="dxa"/>
            <w:tcBorders>
              <w:top w:val="single" w:sz="8" w:space="0" w:color="00B050"/>
            </w:tcBorders>
            <w:shd w:val="clear" w:color="auto" w:fill="auto"/>
            <w:vAlign w:val="center"/>
          </w:tcPr>
          <w:p w:rsidR="000E45B4" w:rsidRPr="000E45B4" w:rsidRDefault="000E45B4" w:rsidP="000E45B4">
            <w:pPr>
              <w:pStyle w:val="CETBodytext"/>
              <w:rPr>
                <w:lang w:val="en-GB"/>
              </w:rPr>
            </w:pPr>
            <w:r w:rsidRPr="000E45B4">
              <w:rPr>
                <w:lang w:val="en-GB"/>
              </w:rPr>
              <w:t>1.70 ± 0.30</w:t>
            </w:r>
            <w:r w:rsidRPr="00B168D9">
              <w:rPr>
                <w:vertAlign w:val="superscript"/>
                <w:lang w:val="en-GB"/>
              </w:rPr>
              <w:t>b</w:t>
            </w:r>
          </w:p>
        </w:tc>
        <w:tc>
          <w:tcPr>
            <w:tcW w:w="1617" w:type="dxa"/>
            <w:tcBorders>
              <w:top w:val="single" w:sz="8" w:space="0" w:color="00B050"/>
            </w:tcBorders>
            <w:shd w:val="clear" w:color="auto" w:fill="auto"/>
            <w:vAlign w:val="center"/>
          </w:tcPr>
          <w:p w:rsidR="000E45B4" w:rsidRPr="000E45B4" w:rsidRDefault="000E45B4" w:rsidP="00B168D9">
            <w:pPr>
              <w:pStyle w:val="CETBodytext"/>
              <w:rPr>
                <w:lang w:val="en-GB"/>
              </w:rPr>
            </w:pPr>
            <w:r w:rsidRPr="000E45B4">
              <w:rPr>
                <w:lang w:val="en-GB"/>
              </w:rPr>
              <w:t>89.98 ± 0.35</w:t>
            </w:r>
            <w:r w:rsidRPr="00B168D9">
              <w:rPr>
                <w:vertAlign w:val="superscript"/>
                <w:lang w:val="en-GB"/>
              </w:rPr>
              <w:t>ab</w:t>
            </w:r>
          </w:p>
        </w:tc>
      </w:tr>
      <w:tr w:rsidR="000E45B4" w:rsidTr="00064AE5">
        <w:trPr>
          <w:trHeight w:val="224"/>
        </w:trPr>
        <w:tc>
          <w:tcPr>
            <w:tcW w:w="1843" w:type="dxa"/>
            <w:shd w:val="clear" w:color="auto" w:fill="auto"/>
            <w:vAlign w:val="center"/>
          </w:tcPr>
          <w:p w:rsidR="000E45B4" w:rsidRPr="000E45B4" w:rsidRDefault="000E45B4" w:rsidP="000E45B4">
            <w:pPr>
              <w:pStyle w:val="CETBodytext"/>
              <w:rPr>
                <w:lang w:val="en-GB"/>
              </w:rPr>
            </w:pPr>
            <w:r w:rsidRPr="000E45B4">
              <w:rPr>
                <w:lang w:val="en-GB"/>
              </w:rPr>
              <w:t xml:space="preserve">Cooked </w:t>
            </w:r>
            <w:proofErr w:type="spellStart"/>
            <w:r w:rsidRPr="000E45B4">
              <w:rPr>
                <w:lang w:val="en-GB"/>
              </w:rPr>
              <w:t>pinhão</w:t>
            </w:r>
            <w:proofErr w:type="spellEnd"/>
            <w:r w:rsidRPr="000E45B4">
              <w:rPr>
                <w:lang w:val="en-GB"/>
              </w:rPr>
              <w:t xml:space="preserve"> flour</w:t>
            </w:r>
          </w:p>
        </w:tc>
        <w:tc>
          <w:tcPr>
            <w:tcW w:w="1283" w:type="dxa"/>
            <w:shd w:val="clear" w:color="auto" w:fill="auto"/>
            <w:vAlign w:val="center"/>
          </w:tcPr>
          <w:p w:rsidR="000E45B4" w:rsidRPr="000E45B4" w:rsidRDefault="000E45B4" w:rsidP="000E45B4">
            <w:pPr>
              <w:pStyle w:val="CETBodytext"/>
              <w:rPr>
                <w:lang w:val="en-GB"/>
              </w:rPr>
            </w:pPr>
            <w:r w:rsidRPr="000E45B4">
              <w:rPr>
                <w:lang w:val="en-GB"/>
              </w:rPr>
              <w:t>7.17 ± 0.35</w:t>
            </w:r>
            <w:r w:rsidRPr="00B168D9">
              <w:rPr>
                <w:vertAlign w:val="superscript"/>
                <w:lang w:val="en-GB"/>
              </w:rPr>
              <w:t>a</w:t>
            </w:r>
          </w:p>
        </w:tc>
        <w:tc>
          <w:tcPr>
            <w:tcW w:w="1283" w:type="dxa"/>
            <w:shd w:val="clear" w:color="auto" w:fill="auto"/>
            <w:vAlign w:val="center"/>
          </w:tcPr>
          <w:p w:rsidR="000E45B4" w:rsidRPr="000E45B4" w:rsidRDefault="000E45B4" w:rsidP="000E45B4">
            <w:pPr>
              <w:pStyle w:val="CETBodytext"/>
              <w:rPr>
                <w:lang w:val="en-GB"/>
              </w:rPr>
            </w:pPr>
            <w:r w:rsidRPr="000E45B4">
              <w:rPr>
                <w:lang w:val="en-GB"/>
              </w:rPr>
              <w:t>2.55 ± 0.02</w:t>
            </w:r>
            <w:r w:rsidRPr="00B168D9">
              <w:rPr>
                <w:vertAlign w:val="superscript"/>
                <w:lang w:val="en-GB"/>
              </w:rPr>
              <w:t>b</w:t>
            </w:r>
          </w:p>
        </w:tc>
        <w:tc>
          <w:tcPr>
            <w:tcW w:w="1283" w:type="dxa"/>
            <w:shd w:val="clear" w:color="auto" w:fill="auto"/>
            <w:vAlign w:val="center"/>
          </w:tcPr>
          <w:p w:rsidR="000E45B4" w:rsidRPr="000E45B4" w:rsidRDefault="000E45B4" w:rsidP="000E45B4">
            <w:pPr>
              <w:pStyle w:val="CETBodytext"/>
              <w:rPr>
                <w:lang w:val="en-GB"/>
              </w:rPr>
            </w:pPr>
            <w:r w:rsidRPr="000E45B4">
              <w:rPr>
                <w:lang w:val="en-GB"/>
              </w:rPr>
              <w:t>5.74 ± 0.13</w:t>
            </w:r>
            <w:r w:rsidRPr="00B168D9">
              <w:rPr>
                <w:vertAlign w:val="superscript"/>
                <w:lang w:val="en-GB"/>
              </w:rPr>
              <w:t>a</w:t>
            </w:r>
          </w:p>
        </w:tc>
        <w:tc>
          <w:tcPr>
            <w:tcW w:w="1283" w:type="dxa"/>
            <w:shd w:val="clear" w:color="auto" w:fill="auto"/>
            <w:vAlign w:val="center"/>
          </w:tcPr>
          <w:p w:rsidR="000E45B4" w:rsidRPr="000E45B4" w:rsidRDefault="000E45B4" w:rsidP="000E45B4">
            <w:pPr>
              <w:pStyle w:val="CETBodytext"/>
              <w:rPr>
                <w:lang w:val="en-GB"/>
              </w:rPr>
            </w:pPr>
            <w:r w:rsidRPr="000E45B4">
              <w:rPr>
                <w:lang w:val="en-GB"/>
              </w:rPr>
              <w:t>3.06 ± 0.27</w:t>
            </w:r>
            <w:r w:rsidRPr="00B168D9">
              <w:rPr>
                <w:vertAlign w:val="superscript"/>
                <w:lang w:val="en-GB"/>
              </w:rPr>
              <w:t>a</w:t>
            </w:r>
          </w:p>
        </w:tc>
        <w:tc>
          <w:tcPr>
            <w:tcW w:w="1617" w:type="dxa"/>
            <w:shd w:val="clear" w:color="auto" w:fill="auto"/>
            <w:vAlign w:val="center"/>
          </w:tcPr>
          <w:p w:rsidR="000E45B4" w:rsidRPr="000E45B4" w:rsidRDefault="000E45B4" w:rsidP="000E45B4">
            <w:pPr>
              <w:pStyle w:val="CETBodytext"/>
              <w:rPr>
                <w:lang w:val="en-GB"/>
              </w:rPr>
            </w:pPr>
            <w:r w:rsidRPr="000E45B4">
              <w:rPr>
                <w:lang w:val="en-GB"/>
              </w:rPr>
              <w:t>88.64 ± 0.30</w:t>
            </w:r>
            <w:r w:rsidRPr="00B168D9">
              <w:rPr>
                <w:vertAlign w:val="superscript"/>
                <w:lang w:val="en-GB"/>
              </w:rPr>
              <w:t>b</w:t>
            </w:r>
          </w:p>
        </w:tc>
      </w:tr>
      <w:tr w:rsidR="000E45B4" w:rsidTr="00064AE5">
        <w:trPr>
          <w:trHeight w:val="250"/>
        </w:trPr>
        <w:tc>
          <w:tcPr>
            <w:tcW w:w="1843" w:type="dxa"/>
            <w:tcBorders>
              <w:bottom w:val="single" w:sz="12" w:space="0" w:color="00B050"/>
            </w:tcBorders>
            <w:shd w:val="clear" w:color="auto" w:fill="auto"/>
            <w:vAlign w:val="center"/>
          </w:tcPr>
          <w:p w:rsidR="000E45B4" w:rsidRPr="000E45B4" w:rsidRDefault="000E45B4" w:rsidP="000E45B4">
            <w:pPr>
              <w:pStyle w:val="CETBodytext"/>
              <w:rPr>
                <w:lang w:val="en-GB"/>
              </w:rPr>
            </w:pPr>
            <w:proofErr w:type="spellStart"/>
            <w:r w:rsidRPr="000E45B4">
              <w:rPr>
                <w:lang w:val="en-GB"/>
              </w:rPr>
              <w:t>Pinhão</w:t>
            </w:r>
            <w:proofErr w:type="spellEnd"/>
            <w:r w:rsidRPr="000E45B4">
              <w:rPr>
                <w:lang w:val="en-GB"/>
              </w:rPr>
              <w:t xml:space="preserve"> grits</w:t>
            </w:r>
          </w:p>
        </w:tc>
        <w:tc>
          <w:tcPr>
            <w:tcW w:w="1283" w:type="dxa"/>
            <w:tcBorders>
              <w:bottom w:val="single" w:sz="12" w:space="0" w:color="00B050"/>
            </w:tcBorders>
            <w:shd w:val="clear" w:color="auto" w:fill="auto"/>
            <w:vAlign w:val="center"/>
          </w:tcPr>
          <w:p w:rsidR="000E45B4" w:rsidRPr="000E45B4" w:rsidRDefault="000E45B4" w:rsidP="000E45B4">
            <w:pPr>
              <w:pStyle w:val="CETBodytext"/>
              <w:rPr>
                <w:lang w:val="en-GB"/>
              </w:rPr>
            </w:pPr>
            <w:r w:rsidRPr="000E45B4">
              <w:rPr>
                <w:lang w:val="en-GB"/>
              </w:rPr>
              <w:t>2.30 ± 0.21</w:t>
            </w:r>
            <w:r w:rsidRPr="00B168D9">
              <w:rPr>
                <w:vertAlign w:val="superscript"/>
                <w:lang w:val="en-GB"/>
              </w:rPr>
              <w:t>c</w:t>
            </w:r>
          </w:p>
        </w:tc>
        <w:tc>
          <w:tcPr>
            <w:tcW w:w="1283" w:type="dxa"/>
            <w:tcBorders>
              <w:bottom w:val="single" w:sz="12" w:space="0" w:color="00B050"/>
            </w:tcBorders>
            <w:shd w:val="clear" w:color="auto" w:fill="auto"/>
            <w:vAlign w:val="center"/>
          </w:tcPr>
          <w:p w:rsidR="000E45B4" w:rsidRPr="000E45B4" w:rsidRDefault="000E45B4" w:rsidP="000E45B4">
            <w:pPr>
              <w:pStyle w:val="CETBodytext"/>
              <w:rPr>
                <w:lang w:val="en-GB"/>
              </w:rPr>
            </w:pPr>
            <w:r w:rsidRPr="000E45B4">
              <w:rPr>
                <w:lang w:val="en-GB"/>
              </w:rPr>
              <w:t>2.35 ± 0.13</w:t>
            </w:r>
            <w:r w:rsidRPr="00B168D9">
              <w:rPr>
                <w:vertAlign w:val="superscript"/>
                <w:lang w:val="en-GB"/>
              </w:rPr>
              <w:t>c</w:t>
            </w:r>
          </w:p>
        </w:tc>
        <w:tc>
          <w:tcPr>
            <w:tcW w:w="1283" w:type="dxa"/>
            <w:tcBorders>
              <w:bottom w:val="single" w:sz="12" w:space="0" w:color="00B050"/>
            </w:tcBorders>
            <w:shd w:val="clear" w:color="auto" w:fill="auto"/>
            <w:vAlign w:val="center"/>
          </w:tcPr>
          <w:p w:rsidR="000E45B4" w:rsidRPr="000E45B4" w:rsidRDefault="000E45B4" w:rsidP="000E45B4">
            <w:pPr>
              <w:pStyle w:val="CETBodytext"/>
              <w:rPr>
                <w:lang w:val="en-GB"/>
              </w:rPr>
            </w:pPr>
            <w:r w:rsidRPr="000E45B4">
              <w:rPr>
                <w:lang w:val="en-GB"/>
              </w:rPr>
              <w:t>5.50 ± 0.61</w:t>
            </w:r>
            <w:r w:rsidRPr="00B168D9">
              <w:rPr>
                <w:vertAlign w:val="superscript"/>
                <w:lang w:val="en-GB"/>
              </w:rPr>
              <w:t>a</w:t>
            </w:r>
          </w:p>
        </w:tc>
        <w:tc>
          <w:tcPr>
            <w:tcW w:w="1283" w:type="dxa"/>
            <w:tcBorders>
              <w:bottom w:val="single" w:sz="12" w:space="0" w:color="00B050"/>
            </w:tcBorders>
            <w:shd w:val="clear" w:color="auto" w:fill="auto"/>
            <w:vAlign w:val="center"/>
          </w:tcPr>
          <w:p w:rsidR="000E45B4" w:rsidRPr="000E45B4" w:rsidRDefault="000E45B4" w:rsidP="000E45B4">
            <w:pPr>
              <w:pStyle w:val="CETBodytext"/>
              <w:rPr>
                <w:lang w:val="en-GB"/>
              </w:rPr>
            </w:pPr>
            <w:r w:rsidRPr="000E45B4">
              <w:rPr>
                <w:lang w:val="en-GB"/>
              </w:rPr>
              <w:t>1.73 ± 0.34</w:t>
            </w:r>
            <w:r w:rsidRPr="00B168D9">
              <w:rPr>
                <w:vertAlign w:val="superscript"/>
                <w:lang w:val="en-GB"/>
              </w:rPr>
              <w:t>b</w:t>
            </w:r>
          </w:p>
        </w:tc>
        <w:tc>
          <w:tcPr>
            <w:tcW w:w="1617" w:type="dxa"/>
            <w:tcBorders>
              <w:bottom w:val="single" w:sz="12" w:space="0" w:color="00B050"/>
            </w:tcBorders>
            <w:shd w:val="clear" w:color="auto" w:fill="auto"/>
            <w:vAlign w:val="center"/>
          </w:tcPr>
          <w:p w:rsidR="000E45B4" w:rsidRPr="000E45B4" w:rsidRDefault="000E45B4" w:rsidP="000E45B4">
            <w:pPr>
              <w:pStyle w:val="CETBodytext"/>
              <w:rPr>
                <w:lang w:val="en-GB"/>
              </w:rPr>
            </w:pPr>
            <w:r w:rsidRPr="000E45B4">
              <w:rPr>
                <w:lang w:val="en-GB"/>
              </w:rPr>
              <w:t>90.75 ± 0.95</w:t>
            </w:r>
            <w:r w:rsidRPr="00B168D9">
              <w:rPr>
                <w:vertAlign w:val="superscript"/>
                <w:lang w:val="en-GB"/>
              </w:rPr>
              <w:t>a</w:t>
            </w:r>
          </w:p>
        </w:tc>
      </w:tr>
    </w:tbl>
    <w:p w:rsidR="00274F4A" w:rsidRPr="0041365F" w:rsidRDefault="000E45B4" w:rsidP="00274F4A">
      <w:pPr>
        <w:tabs>
          <w:tab w:val="clear" w:pos="7100"/>
        </w:tabs>
        <w:autoSpaceDE w:val="0"/>
        <w:autoSpaceDN w:val="0"/>
        <w:adjustRightInd w:val="0"/>
        <w:spacing w:line="240" w:lineRule="auto"/>
        <w:jc w:val="left"/>
        <w:rPr>
          <w:rFonts w:eastAsia="Symbol"/>
          <w:b/>
          <w:bCs/>
          <w:sz w:val="16"/>
          <w:szCs w:val="16"/>
        </w:rPr>
      </w:pPr>
      <w:r w:rsidRPr="0041365F">
        <w:rPr>
          <w:sz w:val="16"/>
          <w:szCs w:val="16"/>
        </w:rPr>
        <w:t>*</w:t>
      </w:r>
      <w:r w:rsidR="00274F4A" w:rsidRPr="0041365F">
        <w:rPr>
          <w:sz w:val="16"/>
          <w:szCs w:val="16"/>
        </w:rPr>
        <w:t xml:space="preserve"> The results represent the averages of three determinations. Samples followed by the same letters in the same column do not differ significantly (p &gt; 0.05).</w:t>
      </w:r>
    </w:p>
    <w:p w:rsidR="000E45B4" w:rsidRPr="000555CC" w:rsidRDefault="000E45B4" w:rsidP="00274F4A">
      <w:pPr>
        <w:spacing w:line="240" w:lineRule="auto"/>
      </w:pPr>
    </w:p>
    <w:p w:rsidR="000555CC" w:rsidRPr="000555CC" w:rsidRDefault="000555CC" w:rsidP="000555CC">
      <w:pPr>
        <w:pStyle w:val="CETBodytext"/>
        <w:rPr>
          <w:lang w:val="en-GB"/>
        </w:rPr>
      </w:pPr>
      <w:r w:rsidRPr="000555CC">
        <w:rPr>
          <w:lang w:val="en-GB"/>
        </w:rPr>
        <w:t xml:space="preserve">Cooked </w:t>
      </w:r>
      <w:proofErr w:type="spellStart"/>
      <w:r w:rsidRPr="000555CC">
        <w:rPr>
          <w:lang w:val="en-GB"/>
        </w:rPr>
        <w:t>pinhão</w:t>
      </w:r>
      <w:proofErr w:type="spellEnd"/>
      <w:r w:rsidRPr="000555CC">
        <w:rPr>
          <w:lang w:val="en-GB"/>
        </w:rPr>
        <w:t xml:space="preserve"> flour presented the highest moisture content, followed by the raw </w:t>
      </w:r>
      <w:proofErr w:type="spellStart"/>
      <w:r w:rsidRPr="000555CC">
        <w:rPr>
          <w:lang w:val="en-GB"/>
        </w:rPr>
        <w:t>pinhão</w:t>
      </w:r>
      <w:proofErr w:type="spellEnd"/>
      <w:r w:rsidRPr="000555CC">
        <w:rPr>
          <w:lang w:val="en-GB"/>
        </w:rPr>
        <w:t xml:space="preserve"> flour and </w:t>
      </w:r>
      <w:proofErr w:type="spellStart"/>
      <w:r w:rsidRPr="000555CC">
        <w:rPr>
          <w:lang w:val="en-GB"/>
        </w:rPr>
        <w:t>pinhão</w:t>
      </w:r>
      <w:proofErr w:type="spellEnd"/>
      <w:r w:rsidRPr="000555CC">
        <w:rPr>
          <w:lang w:val="en-GB"/>
        </w:rPr>
        <w:t xml:space="preserve"> grits. The results obtained reflect the processes utilized in each sample. Moisture content was lower than the result obtained by </w:t>
      </w:r>
      <w:proofErr w:type="spellStart"/>
      <w:r w:rsidRPr="000555CC">
        <w:rPr>
          <w:lang w:val="en-GB"/>
        </w:rPr>
        <w:t>Capella</w:t>
      </w:r>
      <w:proofErr w:type="spellEnd"/>
      <w:r w:rsidRPr="000555CC">
        <w:rPr>
          <w:lang w:val="en-GB"/>
        </w:rPr>
        <w:t xml:space="preserve"> et al. (2009) for raw </w:t>
      </w:r>
      <w:proofErr w:type="spellStart"/>
      <w:r w:rsidRPr="000555CC">
        <w:rPr>
          <w:lang w:val="en-GB"/>
        </w:rPr>
        <w:t>pinhã</w:t>
      </w:r>
      <w:r w:rsidR="00064AE5">
        <w:rPr>
          <w:lang w:val="en-GB"/>
        </w:rPr>
        <w:t>o</w:t>
      </w:r>
      <w:proofErr w:type="spellEnd"/>
      <w:r w:rsidR="00064AE5">
        <w:rPr>
          <w:lang w:val="en-GB"/>
        </w:rPr>
        <w:t xml:space="preserve"> flour and cooked </w:t>
      </w:r>
      <w:proofErr w:type="spellStart"/>
      <w:r w:rsidR="00064AE5">
        <w:rPr>
          <w:lang w:val="en-GB"/>
        </w:rPr>
        <w:t>pinhão</w:t>
      </w:r>
      <w:proofErr w:type="spellEnd"/>
      <w:r w:rsidR="00064AE5">
        <w:rPr>
          <w:lang w:val="en-GB"/>
        </w:rPr>
        <w:t xml:space="preserve"> flour (</w:t>
      </w:r>
      <w:r w:rsidR="00274F4A" w:rsidRPr="000555CC">
        <w:rPr>
          <w:lang w:val="en-GB"/>
        </w:rPr>
        <w:t xml:space="preserve">8.29% and 13.88% </w:t>
      </w:r>
      <w:r w:rsidR="00064AE5">
        <w:rPr>
          <w:lang w:val="en-GB"/>
        </w:rPr>
        <w:t>respectively).</w:t>
      </w:r>
    </w:p>
    <w:p w:rsidR="000555CC" w:rsidRPr="000555CC" w:rsidRDefault="000555CC" w:rsidP="000555CC">
      <w:pPr>
        <w:pStyle w:val="CETBodytext"/>
        <w:rPr>
          <w:lang w:val="en-GB"/>
        </w:rPr>
      </w:pPr>
      <w:r w:rsidRPr="000555CC">
        <w:rPr>
          <w:lang w:val="en-GB"/>
        </w:rPr>
        <w:t xml:space="preserve">The high level of moisture presented by non-processed </w:t>
      </w:r>
      <w:proofErr w:type="spellStart"/>
      <w:r w:rsidRPr="000555CC">
        <w:rPr>
          <w:lang w:val="en-GB"/>
        </w:rPr>
        <w:t>pinhão</w:t>
      </w:r>
      <w:proofErr w:type="spellEnd"/>
      <w:r w:rsidRPr="000555CC">
        <w:rPr>
          <w:lang w:val="en-GB"/>
        </w:rPr>
        <w:t>, approximately 50%, makes it highly susceptible to deterioration. Such a condition is ideal for the germination and action of microorganisms, making it very difficult to sell the seeds all year round (</w:t>
      </w:r>
      <w:proofErr w:type="spellStart"/>
      <w:r w:rsidRPr="000555CC">
        <w:rPr>
          <w:lang w:val="en-GB"/>
        </w:rPr>
        <w:t>Schveitzer</w:t>
      </w:r>
      <w:proofErr w:type="spellEnd"/>
      <w:r w:rsidRPr="000555CC">
        <w:rPr>
          <w:lang w:val="en-GB"/>
        </w:rPr>
        <w:t xml:space="preserve"> et al. 2014).  </w:t>
      </w:r>
      <w:r w:rsidR="00064AE5">
        <w:rPr>
          <w:lang w:val="en-GB"/>
        </w:rPr>
        <w:t>In t</w:t>
      </w:r>
      <w:r w:rsidRPr="000555CC">
        <w:rPr>
          <w:lang w:val="en-GB"/>
        </w:rPr>
        <w:t xml:space="preserve">his way, the flour and grits are good alternatives for the commercialization of the </w:t>
      </w:r>
      <w:proofErr w:type="spellStart"/>
      <w:r w:rsidRPr="000555CC">
        <w:rPr>
          <w:lang w:val="en-GB"/>
        </w:rPr>
        <w:t>pinhão</w:t>
      </w:r>
      <w:proofErr w:type="spellEnd"/>
      <w:r w:rsidRPr="000555CC">
        <w:rPr>
          <w:lang w:val="en-GB"/>
        </w:rPr>
        <w:t>. The flours produced for this study met the specific requirement concerning the maximum m</w:t>
      </w:r>
      <w:r w:rsidR="008572BC">
        <w:rPr>
          <w:lang w:val="en-GB"/>
        </w:rPr>
        <w:t>oisture content permitted, 15%</w:t>
      </w:r>
      <w:r w:rsidRPr="000555CC">
        <w:rPr>
          <w:lang w:val="en-GB"/>
        </w:rPr>
        <w:t xml:space="preserve"> according to the Directors' Collegiate Resolution (RDC) nº 263, from September 22</w:t>
      </w:r>
      <w:r w:rsidRPr="00064AE5">
        <w:rPr>
          <w:vertAlign w:val="superscript"/>
          <w:lang w:val="en-GB"/>
        </w:rPr>
        <w:t>nd</w:t>
      </w:r>
      <w:r w:rsidRPr="000555CC">
        <w:rPr>
          <w:lang w:val="en-GB"/>
        </w:rPr>
        <w:t xml:space="preserve"> 2005 (</w:t>
      </w:r>
      <w:proofErr w:type="spellStart"/>
      <w:r w:rsidRPr="000555CC">
        <w:rPr>
          <w:lang w:val="en-GB"/>
        </w:rPr>
        <w:t>Brasil</w:t>
      </w:r>
      <w:proofErr w:type="spellEnd"/>
      <w:r w:rsidRPr="000555CC">
        <w:rPr>
          <w:lang w:val="en-GB"/>
        </w:rPr>
        <w:t>, 2005).</w:t>
      </w:r>
    </w:p>
    <w:p w:rsidR="000555CC" w:rsidRPr="000555CC" w:rsidRDefault="000555CC" w:rsidP="000555CC">
      <w:pPr>
        <w:pStyle w:val="CETBodytext"/>
        <w:rPr>
          <w:lang w:val="en-GB"/>
        </w:rPr>
      </w:pPr>
      <w:r w:rsidRPr="000555CC">
        <w:rPr>
          <w:lang w:val="en-GB"/>
        </w:rPr>
        <w:t>Ash contents were statistically different (p &lt; 0.05)</w:t>
      </w:r>
      <w:r w:rsidR="008A1920">
        <w:rPr>
          <w:lang w:val="en-GB"/>
        </w:rPr>
        <w:t xml:space="preserve"> and</w:t>
      </w:r>
      <w:r w:rsidRPr="000555CC">
        <w:rPr>
          <w:lang w:val="en-GB"/>
        </w:rPr>
        <w:t xml:space="preserve"> the highest content of minerals was found in the raw flour, followed by the cooked flour and grits. Similar results were also obtained by Gama (2006) for raw (3.15%) and cooked (2.14%) </w:t>
      </w:r>
      <w:proofErr w:type="spellStart"/>
      <w:r w:rsidRPr="000555CC">
        <w:rPr>
          <w:lang w:val="en-GB"/>
        </w:rPr>
        <w:t>pinhão</w:t>
      </w:r>
      <w:proofErr w:type="spellEnd"/>
      <w:r w:rsidRPr="000555CC">
        <w:rPr>
          <w:lang w:val="en-GB"/>
        </w:rPr>
        <w:t xml:space="preserve">. </w:t>
      </w:r>
      <w:proofErr w:type="spellStart"/>
      <w:r w:rsidRPr="000555CC">
        <w:rPr>
          <w:lang w:val="en-GB"/>
        </w:rPr>
        <w:t>Cap</w:t>
      </w:r>
      <w:r w:rsidR="008572BC">
        <w:rPr>
          <w:lang w:val="en-GB"/>
        </w:rPr>
        <w:t>ella</w:t>
      </w:r>
      <w:proofErr w:type="spellEnd"/>
      <w:r w:rsidR="008572BC">
        <w:rPr>
          <w:lang w:val="en-GB"/>
        </w:rPr>
        <w:t xml:space="preserve"> et al. (2009)</w:t>
      </w:r>
      <w:r w:rsidRPr="000555CC">
        <w:rPr>
          <w:lang w:val="en-GB"/>
        </w:rPr>
        <w:t xml:space="preserve"> obtained average ash contents of 2.53% for the raw </w:t>
      </w:r>
      <w:proofErr w:type="spellStart"/>
      <w:r w:rsidRPr="000555CC">
        <w:rPr>
          <w:lang w:val="en-GB"/>
        </w:rPr>
        <w:t>pinhão</w:t>
      </w:r>
      <w:proofErr w:type="spellEnd"/>
      <w:r w:rsidRPr="000555CC">
        <w:rPr>
          <w:lang w:val="en-GB"/>
        </w:rPr>
        <w:t xml:space="preserve"> flour and 3.</w:t>
      </w:r>
      <w:r w:rsidR="008572BC">
        <w:rPr>
          <w:lang w:val="en-GB"/>
        </w:rPr>
        <w:t xml:space="preserve">01% for the cooked </w:t>
      </w:r>
      <w:proofErr w:type="spellStart"/>
      <w:r w:rsidR="008572BC">
        <w:rPr>
          <w:lang w:val="en-GB"/>
        </w:rPr>
        <w:t>pinhão</w:t>
      </w:r>
      <w:proofErr w:type="spellEnd"/>
      <w:r w:rsidR="008572BC">
        <w:rPr>
          <w:lang w:val="en-GB"/>
        </w:rPr>
        <w:t xml:space="preserve"> flour, </w:t>
      </w:r>
      <w:r w:rsidR="008572BC">
        <w:rPr>
          <w:rStyle w:val="alt-edited"/>
        </w:rPr>
        <w:t xml:space="preserve">indicating the effect of processing on the </w:t>
      </w:r>
      <w:proofErr w:type="spellStart"/>
      <w:r w:rsidR="008572BC">
        <w:rPr>
          <w:rStyle w:val="alt-edited"/>
        </w:rPr>
        <w:t>pinhão</w:t>
      </w:r>
      <w:proofErr w:type="spellEnd"/>
      <w:r w:rsidR="008572BC">
        <w:rPr>
          <w:rStyle w:val="alt-edited"/>
        </w:rPr>
        <w:t xml:space="preserve"> mineral content.</w:t>
      </w:r>
    </w:p>
    <w:p w:rsidR="000555CC" w:rsidRPr="000555CC" w:rsidRDefault="000555CC" w:rsidP="000555CC">
      <w:pPr>
        <w:pStyle w:val="CETBodytext"/>
        <w:rPr>
          <w:lang w:val="en-GB"/>
        </w:rPr>
      </w:pPr>
      <w:r w:rsidRPr="000555CC">
        <w:rPr>
          <w:lang w:val="en-GB"/>
        </w:rPr>
        <w:t xml:space="preserve">Proteins values were similar in all three samples evaluated. Similar results were also obtained by </w:t>
      </w:r>
      <w:proofErr w:type="spellStart"/>
      <w:r w:rsidRPr="000555CC">
        <w:rPr>
          <w:lang w:val="en-GB"/>
        </w:rPr>
        <w:t>Thys</w:t>
      </w:r>
      <w:proofErr w:type="spellEnd"/>
      <w:r w:rsidRPr="000555CC">
        <w:rPr>
          <w:lang w:val="en-GB"/>
        </w:rPr>
        <w:t xml:space="preserve"> and Cunha (2015) for raw (4.29%), cooked (4.22%) and roasted (4.49%) </w:t>
      </w:r>
      <w:proofErr w:type="spellStart"/>
      <w:r w:rsidRPr="000555CC">
        <w:rPr>
          <w:lang w:val="en-GB"/>
        </w:rPr>
        <w:t>pinhão</w:t>
      </w:r>
      <w:proofErr w:type="spellEnd"/>
      <w:r w:rsidRPr="000555CC">
        <w:rPr>
          <w:lang w:val="en-GB"/>
        </w:rPr>
        <w:t xml:space="preserve"> flour. </w:t>
      </w:r>
    </w:p>
    <w:p w:rsidR="000555CC" w:rsidRPr="000555CC" w:rsidRDefault="000555CC" w:rsidP="000555CC">
      <w:pPr>
        <w:pStyle w:val="CETBodytext"/>
        <w:rPr>
          <w:lang w:val="en-GB"/>
        </w:rPr>
      </w:pPr>
      <w:r w:rsidRPr="000555CC">
        <w:rPr>
          <w:lang w:val="en-GB"/>
        </w:rPr>
        <w:t xml:space="preserve">Cooked </w:t>
      </w:r>
      <w:proofErr w:type="spellStart"/>
      <w:r w:rsidRPr="000555CC">
        <w:rPr>
          <w:lang w:val="en-GB"/>
        </w:rPr>
        <w:t>pinhão</w:t>
      </w:r>
      <w:proofErr w:type="spellEnd"/>
      <w:r w:rsidRPr="000555CC">
        <w:rPr>
          <w:lang w:val="en-GB"/>
        </w:rPr>
        <w:t xml:space="preserve"> flour presented the highest lipids content, being statistically different from the other samples (p &lt; 0.05). However, the raw flour and grits had similar values for lipids. </w:t>
      </w:r>
      <w:proofErr w:type="spellStart"/>
      <w:r w:rsidRPr="000555CC">
        <w:rPr>
          <w:lang w:val="en-GB"/>
        </w:rPr>
        <w:t>Thys</w:t>
      </w:r>
      <w:proofErr w:type="spellEnd"/>
      <w:r w:rsidRPr="000555CC">
        <w:rPr>
          <w:lang w:val="en-GB"/>
        </w:rPr>
        <w:t xml:space="preserve"> and Cunha (2015) </w:t>
      </w:r>
      <w:r w:rsidR="008572BC">
        <w:rPr>
          <w:lang w:val="en-GB"/>
        </w:rPr>
        <w:t>found</w:t>
      </w:r>
      <w:r w:rsidRPr="000555CC">
        <w:rPr>
          <w:lang w:val="en-GB"/>
        </w:rPr>
        <w:t xml:space="preserve"> different </w:t>
      </w:r>
      <w:r w:rsidR="008572BC">
        <w:rPr>
          <w:lang w:val="en-GB"/>
        </w:rPr>
        <w:t xml:space="preserve">values of </w:t>
      </w:r>
      <w:r w:rsidRPr="000555CC">
        <w:rPr>
          <w:lang w:val="en-GB"/>
        </w:rPr>
        <w:t>lipid contents than the values found</w:t>
      </w:r>
      <w:r w:rsidR="008572BC">
        <w:rPr>
          <w:lang w:val="en-GB"/>
        </w:rPr>
        <w:t xml:space="preserve"> in this work</w:t>
      </w:r>
      <w:r w:rsidRPr="000555CC">
        <w:rPr>
          <w:lang w:val="en-GB"/>
        </w:rPr>
        <w:t xml:space="preserve">, 2.19% for raw </w:t>
      </w:r>
      <w:proofErr w:type="spellStart"/>
      <w:r w:rsidRPr="000555CC">
        <w:rPr>
          <w:lang w:val="en-GB"/>
        </w:rPr>
        <w:t>pinhão</w:t>
      </w:r>
      <w:proofErr w:type="spellEnd"/>
      <w:r w:rsidRPr="000555CC">
        <w:rPr>
          <w:lang w:val="en-GB"/>
        </w:rPr>
        <w:t xml:space="preserve"> flour and 1.73% for cooked </w:t>
      </w:r>
      <w:proofErr w:type="spellStart"/>
      <w:r w:rsidRPr="000555CC">
        <w:rPr>
          <w:lang w:val="en-GB"/>
        </w:rPr>
        <w:t>pinhão</w:t>
      </w:r>
      <w:proofErr w:type="spellEnd"/>
      <w:r w:rsidRPr="000555CC">
        <w:rPr>
          <w:lang w:val="en-GB"/>
        </w:rPr>
        <w:t xml:space="preserve"> flour.</w:t>
      </w:r>
      <w:r w:rsidR="001A51FE">
        <w:rPr>
          <w:lang w:val="en-GB"/>
        </w:rPr>
        <w:t xml:space="preserve"> </w:t>
      </w:r>
      <w:r w:rsidR="001A51FE">
        <w:rPr>
          <w:rStyle w:val="tlid-translation"/>
        </w:rPr>
        <w:t xml:space="preserve">The difference in the lipid values found can be justified by the method of </w:t>
      </w:r>
      <w:proofErr w:type="spellStart"/>
      <w:r w:rsidR="001A51FE">
        <w:rPr>
          <w:rStyle w:val="tlid-translation"/>
        </w:rPr>
        <w:t>pinhão</w:t>
      </w:r>
      <w:proofErr w:type="spellEnd"/>
      <w:r w:rsidR="001A51FE">
        <w:rPr>
          <w:rStyle w:val="tlid-translation"/>
        </w:rPr>
        <w:t xml:space="preserve"> preparation, since when passing by high temperatures processing (as in the grits case) the lipids can create bonds with starch, main constituent of this product, being counted in the fraction of carbohydrates; or even lost in the bakery process.</w:t>
      </w:r>
      <w:r w:rsidR="001A51FE">
        <w:rPr>
          <w:lang w:val="en-GB"/>
        </w:rPr>
        <w:t xml:space="preserve"> </w:t>
      </w:r>
      <w:r w:rsidRPr="000555CC">
        <w:rPr>
          <w:lang w:val="en-GB"/>
        </w:rPr>
        <w:t>Statistical differences were found in carbohydrates contents between the grits and the cooked flour; on the other hand, in the raw flour the results were similar in both samples. Carbohydrate content (on a dry basis) was similar to the content ob</w:t>
      </w:r>
      <w:r w:rsidR="001A51FE">
        <w:rPr>
          <w:lang w:val="en-GB"/>
        </w:rPr>
        <w:t xml:space="preserve">tained by </w:t>
      </w:r>
      <w:proofErr w:type="spellStart"/>
      <w:r w:rsidR="001A51FE">
        <w:rPr>
          <w:lang w:val="en-GB"/>
        </w:rPr>
        <w:t>Capella</w:t>
      </w:r>
      <w:proofErr w:type="spellEnd"/>
      <w:r w:rsidR="001A51FE">
        <w:rPr>
          <w:lang w:val="en-GB"/>
        </w:rPr>
        <w:t xml:space="preserve"> et al. (2009)</w:t>
      </w:r>
      <w:r w:rsidRPr="000555CC">
        <w:rPr>
          <w:lang w:val="en-GB"/>
        </w:rPr>
        <w:t xml:space="preserve"> for the raw </w:t>
      </w:r>
      <w:proofErr w:type="spellStart"/>
      <w:r w:rsidRPr="000555CC">
        <w:rPr>
          <w:lang w:val="en-GB"/>
        </w:rPr>
        <w:t>pinhão</w:t>
      </w:r>
      <w:proofErr w:type="spellEnd"/>
      <w:r w:rsidRPr="000555CC">
        <w:rPr>
          <w:lang w:val="en-GB"/>
        </w:rPr>
        <w:t xml:space="preserve"> flour and cooked </w:t>
      </w:r>
      <w:proofErr w:type="spellStart"/>
      <w:r w:rsidRPr="000555CC">
        <w:rPr>
          <w:lang w:val="en-GB"/>
        </w:rPr>
        <w:lastRenderedPageBreak/>
        <w:t>pinhão</w:t>
      </w:r>
      <w:proofErr w:type="spellEnd"/>
      <w:r w:rsidRPr="000555CC">
        <w:rPr>
          <w:lang w:val="en-GB"/>
        </w:rPr>
        <w:t xml:space="preserve"> flour</w:t>
      </w:r>
      <w:r w:rsidR="001A51FE">
        <w:rPr>
          <w:lang w:val="en-GB"/>
        </w:rPr>
        <w:t xml:space="preserve"> (</w:t>
      </w:r>
      <w:r w:rsidR="001A51FE" w:rsidRPr="000555CC">
        <w:rPr>
          <w:lang w:val="en-GB"/>
        </w:rPr>
        <w:t>88.01%</w:t>
      </w:r>
      <w:r w:rsidR="001A51FE">
        <w:rPr>
          <w:lang w:val="en-GB"/>
        </w:rPr>
        <w:t xml:space="preserve"> and 88.49%, respectively)</w:t>
      </w:r>
      <w:r w:rsidRPr="000555CC">
        <w:rPr>
          <w:lang w:val="en-GB"/>
        </w:rPr>
        <w:t>. Gama (2006)</w:t>
      </w:r>
      <w:r w:rsidR="001A51FE">
        <w:rPr>
          <w:lang w:val="en-GB"/>
        </w:rPr>
        <w:t xml:space="preserve"> obtained results of carbohydrate (</w:t>
      </w:r>
      <w:r w:rsidRPr="000555CC">
        <w:rPr>
          <w:lang w:val="en-GB"/>
        </w:rPr>
        <w:t xml:space="preserve">87.26%, 87.17% and 85.25%, for the raw, cooked and roasted </w:t>
      </w:r>
      <w:proofErr w:type="spellStart"/>
      <w:r w:rsidRPr="000555CC">
        <w:rPr>
          <w:lang w:val="en-GB"/>
        </w:rPr>
        <w:t>pinhão</w:t>
      </w:r>
      <w:proofErr w:type="spellEnd"/>
      <w:r w:rsidRPr="000555CC">
        <w:rPr>
          <w:lang w:val="en-GB"/>
        </w:rPr>
        <w:t>, respectively</w:t>
      </w:r>
      <w:r w:rsidR="001A51FE">
        <w:rPr>
          <w:lang w:val="en-GB"/>
        </w:rPr>
        <w:t>),</w:t>
      </w:r>
      <w:r w:rsidRPr="000555CC">
        <w:rPr>
          <w:lang w:val="en-GB"/>
        </w:rPr>
        <w:t xml:space="preserve"> </w:t>
      </w:r>
      <w:r w:rsidR="001A51FE" w:rsidRPr="000555CC">
        <w:rPr>
          <w:lang w:val="en-GB"/>
        </w:rPr>
        <w:t xml:space="preserve">dietary </w:t>
      </w:r>
      <w:proofErr w:type="spellStart"/>
      <w:r w:rsidR="001A51FE" w:rsidRPr="000555CC">
        <w:rPr>
          <w:lang w:val="en-GB"/>
        </w:rPr>
        <w:t>fibers</w:t>
      </w:r>
      <w:proofErr w:type="spellEnd"/>
      <w:r w:rsidR="001A51FE" w:rsidRPr="000555CC">
        <w:rPr>
          <w:lang w:val="en-GB"/>
        </w:rPr>
        <w:t xml:space="preserve"> </w:t>
      </w:r>
      <w:r w:rsidR="001A51FE">
        <w:rPr>
          <w:lang w:val="en-GB"/>
        </w:rPr>
        <w:t>(</w:t>
      </w:r>
      <w:r w:rsidRPr="000555CC">
        <w:rPr>
          <w:lang w:val="en-GB"/>
        </w:rPr>
        <w:t>15.70%, 17.34% and 15.09%, respectively</w:t>
      </w:r>
      <w:r w:rsidR="001A51FE">
        <w:rPr>
          <w:lang w:val="en-GB"/>
        </w:rPr>
        <w:t>)</w:t>
      </w:r>
      <w:r w:rsidRPr="000555CC">
        <w:rPr>
          <w:lang w:val="en-GB"/>
        </w:rPr>
        <w:t xml:space="preserve"> and </w:t>
      </w:r>
      <w:r w:rsidR="001A51FE">
        <w:rPr>
          <w:lang w:val="en-GB"/>
        </w:rPr>
        <w:t>starch (</w:t>
      </w:r>
      <w:r w:rsidRPr="000555CC">
        <w:rPr>
          <w:lang w:val="en-GB"/>
        </w:rPr>
        <w:t>32.72%, 33.80% and 32.17%, respectively</w:t>
      </w:r>
      <w:r w:rsidR="001A51FE">
        <w:rPr>
          <w:lang w:val="en-GB"/>
        </w:rPr>
        <w:t>)</w:t>
      </w:r>
      <w:r w:rsidR="002001B8">
        <w:rPr>
          <w:lang w:val="en-GB"/>
        </w:rPr>
        <w:t>. A</w:t>
      </w:r>
      <w:r w:rsidRPr="000555CC">
        <w:rPr>
          <w:lang w:val="en-GB"/>
        </w:rPr>
        <w:t xml:space="preserve">mong the carbohydrates of the </w:t>
      </w:r>
      <w:proofErr w:type="spellStart"/>
      <w:r w:rsidRPr="000555CC">
        <w:rPr>
          <w:lang w:val="en-GB"/>
        </w:rPr>
        <w:t>pinhão</w:t>
      </w:r>
      <w:proofErr w:type="spellEnd"/>
      <w:r w:rsidRPr="000555CC">
        <w:rPr>
          <w:lang w:val="en-GB"/>
        </w:rPr>
        <w:t xml:space="preserve">, there is a predominance of starch and dietary </w:t>
      </w:r>
      <w:proofErr w:type="spellStart"/>
      <w:r w:rsidRPr="000555CC">
        <w:rPr>
          <w:lang w:val="en-GB"/>
        </w:rPr>
        <w:t>fibers</w:t>
      </w:r>
      <w:proofErr w:type="spellEnd"/>
      <w:r w:rsidRPr="000555CC">
        <w:rPr>
          <w:lang w:val="en-GB"/>
        </w:rPr>
        <w:t>.</w:t>
      </w:r>
    </w:p>
    <w:p w:rsidR="000555CC" w:rsidRPr="000555CC" w:rsidRDefault="000555CC" w:rsidP="000555CC">
      <w:pPr>
        <w:pStyle w:val="CETBodytext"/>
        <w:rPr>
          <w:lang w:val="en-GB"/>
        </w:rPr>
      </w:pPr>
      <w:r w:rsidRPr="000555CC">
        <w:rPr>
          <w:lang w:val="en-GB"/>
        </w:rPr>
        <w:t xml:space="preserve">The consumption of foods with high starch content contributes to increase the sense of satiety, resulting in lower blood sugar levels after meals (Gama, 2006). The </w:t>
      </w:r>
      <w:proofErr w:type="spellStart"/>
      <w:r w:rsidRPr="000555CC">
        <w:rPr>
          <w:lang w:val="en-GB"/>
        </w:rPr>
        <w:t>fiber</w:t>
      </w:r>
      <w:proofErr w:type="spellEnd"/>
      <w:r w:rsidRPr="000555CC">
        <w:rPr>
          <w:lang w:val="en-GB"/>
        </w:rPr>
        <w:t xml:space="preserve"> </w:t>
      </w:r>
      <w:r w:rsidR="008A1920">
        <w:rPr>
          <w:lang w:val="en-GB"/>
        </w:rPr>
        <w:t>consumption presents</w:t>
      </w:r>
      <w:r w:rsidRPr="000555CC">
        <w:rPr>
          <w:lang w:val="en-GB"/>
        </w:rPr>
        <w:t xml:space="preserve"> an important role in the functioning of the human gastrointestinal system, and they are also associated with the reduction of cholesterol and glucose control, and consequently of diabetes (Gama</w:t>
      </w:r>
      <w:r>
        <w:rPr>
          <w:lang w:val="en-GB"/>
        </w:rPr>
        <w:t>,</w:t>
      </w:r>
      <w:r w:rsidRPr="000555CC">
        <w:rPr>
          <w:lang w:val="en-GB"/>
        </w:rPr>
        <w:t xml:space="preserve"> 2006; </w:t>
      </w:r>
      <w:proofErr w:type="spellStart"/>
      <w:r w:rsidRPr="000555CC">
        <w:rPr>
          <w:lang w:val="en-GB"/>
        </w:rPr>
        <w:t>Pereda</w:t>
      </w:r>
      <w:proofErr w:type="spellEnd"/>
      <w:r>
        <w:rPr>
          <w:lang w:val="en-GB"/>
        </w:rPr>
        <w:t>,</w:t>
      </w:r>
      <w:r w:rsidRPr="000555CC">
        <w:rPr>
          <w:lang w:val="en-GB"/>
        </w:rPr>
        <w:t xml:space="preserve"> 2005). The differences in the results were alre</w:t>
      </w:r>
      <w:r w:rsidR="002001B8">
        <w:rPr>
          <w:lang w:val="en-GB"/>
        </w:rPr>
        <w:t xml:space="preserve">ady expected, </w:t>
      </w:r>
      <w:r w:rsidRPr="000555CC">
        <w:rPr>
          <w:lang w:val="en-GB"/>
        </w:rPr>
        <w:t>were in different maturation stages, there were from different varieties and origins, and also due to experimental differences and environmental conditions.</w:t>
      </w:r>
    </w:p>
    <w:p w:rsidR="000555CC" w:rsidRDefault="000555CC" w:rsidP="008A1920">
      <w:pPr>
        <w:pStyle w:val="CETBodytext"/>
        <w:spacing w:line="276" w:lineRule="auto"/>
        <w:rPr>
          <w:lang w:val="en-GB"/>
        </w:rPr>
      </w:pPr>
      <w:r w:rsidRPr="000555CC">
        <w:rPr>
          <w:lang w:val="en-GB"/>
        </w:rPr>
        <w:t xml:space="preserve">Table 2 shows the results for the determination of total phenolic compounds and antioxidant activity (DPPH) of the samples of raw and cooked </w:t>
      </w:r>
      <w:proofErr w:type="spellStart"/>
      <w:r w:rsidRPr="000555CC">
        <w:rPr>
          <w:lang w:val="en-GB"/>
        </w:rPr>
        <w:t>pinhão</w:t>
      </w:r>
      <w:proofErr w:type="spellEnd"/>
      <w:r w:rsidRPr="000555CC">
        <w:rPr>
          <w:lang w:val="en-GB"/>
        </w:rPr>
        <w:t xml:space="preserve"> flour and </w:t>
      </w:r>
      <w:proofErr w:type="spellStart"/>
      <w:r w:rsidRPr="000555CC">
        <w:rPr>
          <w:lang w:val="en-GB"/>
        </w:rPr>
        <w:t>pinhão</w:t>
      </w:r>
      <w:proofErr w:type="spellEnd"/>
      <w:r w:rsidRPr="000555CC">
        <w:rPr>
          <w:lang w:val="en-GB"/>
        </w:rPr>
        <w:t xml:space="preserve"> grits, according to each type of extract.</w:t>
      </w:r>
    </w:p>
    <w:p w:rsidR="00B168D9" w:rsidRDefault="00B168D9" w:rsidP="008A1920">
      <w:pPr>
        <w:pStyle w:val="CETBodytext"/>
        <w:spacing w:line="276" w:lineRule="auto"/>
        <w:rPr>
          <w:lang w:val="en-GB"/>
        </w:rPr>
      </w:pPr>
    </w:p>
    <w:p w:rsidR="00B168D9" w:rsidRPr="00DE0011" w:rsidRDefault="00B168D9" w:rsidP="008A1920">
      <w:pPr>
        <w:pStyle w:val="Ttulo2"/>
        <w:spacing w:before="0" w:line="240" w:lineRule="auto"/>
        <w:rPr>
          <w:rFonts w:eastAsia="Symbol"/>
          <w:sz w:val="24"/>
          <w:szCs w:val="24"/>
        </w:rPr>
      </w:pPr>
      <w:r>
        <w:rPr>
          <w:rFonts w:ascii="Arial" w:eastAsia="Times New Roman" w:hAnsi="Arial" w:cs="Times New Roman"/>
          <w:b w:val="0"/>
          <w:bCs w:val="0"/>
          <w:i/>
          <w:color w:val="auto"/>
          <w:sz w:val="18"/>
          <w:szCs w:val="20"/>
        </w:rPr>
        <w:t>Table 2:</w:t>
      </w:r>
      <w:r w:rsidRPr="00B168D9">
        <w:rPr>
          <w:rFonts w:ascii="Arial" w:eastAsia="Times New Roman" w:hAnsi="Arial" w:cs="Times New Roman"/>
          <w:b w:val="0"/>
          <w:bCs w:val="0"/>
          <w:i/>
          <w:color w:val="auto"/>
          <w:sz w:val="18"/>
          <w:szCs w:val="20"/>
        </w:rPr>
        <w:t xml:space="preserve"> Determination of total phenolic compounds and antioxidant activity (DPPH) of the </w:t>
      </w:r>
      <w:r w:rsidR="008A1920" w:rsidRPr="008A1920">
        <w:rPr>
          <w:rFonts w:ascii="Arial" w:eastAsia="Times New Roman" w:hAnsi="Arial" w:cs="Times New Roman"/>
          <w:b w:val="0"/>
          <w:bCs w:val="0"/>
          <w:i/>
          <w:color w:val="auto"/>
          <w:sz w:val="18"/>
          <w:szCs w:val="20"/>
        </w:rPr>
        <w:t xml:space="preserve">raw </w:t>
      </w:r>
      <w:proofErr w:type="spellStart"/>
      <w:r w:rsidR="008A1920" w:rsidRPr="008A1920">
        <w:rPr>
          <w:rFonts w:ascii="Arial" w:eastAsia="Times New Roman" w:hAnsi="Arial" w:cs="Times New Roman"/>
          <w:b w:val="0"/>
          <w:bCs w:val="0"/>
          <w:i/>
          <w:color w:val="auto"/>
          <w:sz w:val="18"/>
          <w:szCs w:val="20"/>
        </w:rPr>
        <w:t>pinhão</w:t>
      </w:r>
      <w:proofErr w:type="spellEnd"/>
      <w:r w:rsidR="008A1920" w:rsidRPr="008A1920">
        <w:rPr>
          <w:rFonts w:ascii="Arial" w:eastAsia="Times New Roman" w:hAnsi="Arial" w:cs="Times New Roman"/>
          <w:b w:val="0"/>
          <w:bCs w:val="0"/>
          <w:i/>
          <w:color w:val="auto"/>
          <w:sz w:val="18"/>
          <w:szCs w:val="20"/>
        </w:rPr>
        <w:t xml:space="preserve"> flour, cooked </w:t>
      </w:r>
      <w:proofErr w:type="spellStart"/>
      <w:r w:rsidR="008A1920" w:rsidRPr="008A1920">
        <w:rPr>
          <w:rFonts w:ascii="Arial" w:eastAsia="Times New Roman" w:hAnsi="Arial" w:cs="Times New Roman"/>
          <w:b w:val="0"/>
          <w:bCs w:val="0"/>
          <w:i/>
          <w:color w:val="auto"/>
          <w:sz w:val="18"/>
          <w:szCs w:val="20"/>
        </w:rPr>
        <w:t>pinhão</w:t>
      </w:r>
      <w:proofErr w:type="spellEnd"/>
      <w:r w:rsidR="008A1920" w:rsidRPr="008A1920">
        <w:rPr>
          <w:rFonts w:ascii="Arial" w:eastAsia="Times New Roman" w:hAnsi="Arial" w:cs="Times New Roman"/>
          <w:b w:val="0"/>
          <w:bCs w:val="0"/>
          <w:i/>
          <w:color w:val="auto"/>
          <w:sz w:val="18"/>
          <w:szCs w:val="20"/>
        </w:rPr>
        <w:t xml:space="preserve"> flour and </w:t>
      </w:r>
      <w:proofErr w:type="spellStart"/>
      <w:r w:rsidR="008A1920" w:rsidRPr="008A1920">
        <w:rPr>
          <w:rFonts w:ascii="Arial" w:eastAsia="Times New Roman" w:hAnsi="Arial" w:cs="Times New Roman"/>
          <w:b w:val="0"/>
          <w:bCs w:val="0"/>
          <w:i/>
          <w:color w:val="auto"/>
          <w:sz w:val="18"/>
          <w:szCs w:val="20"/>
        </w:rPr>
        <w:t>pinhão</w:t>
      </w:r>
      <w:proofErr w:type="spellEnd"/>
      <w:r w:rsidR="008A1920" w:rsidRPr="008A1920">
        <w:rPr>
          <w:rFonts w:ascii="Arial" w:eastAsia="Times New Roman" w:hAnsi="Arial" w:cs="Times New Roman"/>
          <w:b w:val="0"/>
          <w:bCs w:val="0"/>
          <w:i/>
          <w:color w:val="auto"/>
          <w:sz w:val="18"/>
          <w:szCs w:val="20"/>
        </w:rPr>
        <w:t xml:space="preserve"> grits</w:t>
      </w:r>
      <w:r w:rsidRPr="00DE0011">
        <w:rPr>
          <w:rFonts w:eastAsia="Symbol"/>
          <w:i/>
          <w:sz w:val="24"/>
          <w:szCs w:val="24"/>
        </w:rPr>
        <w:t xml:space="preserve">. </w:t>
      </w:r>
    </w:p>
    <w:tbl>
      <w:tblPr>
        <w:tblW w:w="8760" w:type="dxa"/>
        <w:tblInd w:w="108" w:type="dxa"/>
        <w:tblLayout w:type="fixed"/>
        <w:tblLook w:val="0000" w:firstRow="0" w:lastRow="0" w:firstColumn="0" w:lastColumn="0" w:noHBand="0" w:noVBand="0"/>
      </w:tblPr>
      <w:tblGrid>
        <w:gridCol w:w="851"/>
        <w:gridCol w:w="1539"/>
        <w:gridCol w:w="1733"/>
        <w:gridCol w:w="1630"/>
        <w:gridCol w:w="1461"/>
        <w:gridCol w:w="1546"/>
      </w:tblGrid>
      <w:tr w:rsidR="00B168D9" w:rsidRPr="00A70C71" w:rsidTr="00064AE5">
        <w:trPr>
          <w:trHeight w:val="680"/>
        </w:trPr>
        <w:tc>
          <w:tcPr>
            <w:tcW w:w="851" w:type="dxa"/>
            <w:tcBorders>
              <w:top w:val="single" w:sz="12" w:space="0" w:color="00B050"/>
              <w:bottom w:val="single" w:sz="12" w:space="0" w:color="00B050"/>
            </w:tcBorders>
            <w:shd w:val="clear" w:color="auto" w:fill="auto"/>
            <w:vAlign w:val="center"/>
          </w:tcPr>
          <w:p w:rsidR="00B168D9" w:rsidRPr="00B168D9" w:rsidRDefault="00B168D9" w:rsidP="00B168D9">
            <w:pPr>
              <w:spacing w:line="240" w:lineRule="auto"/>
              <w:jc w:val="center"/>
            </w:pPr>
            <w:proofErr w:type="spellStart"/>
            <w:r w:rsidRPr="00B168D9">
              <w:rPr>
                <w:rFonts w:eastAsia="Symbol"/>
                <w:lang w:val="pt-BR"/>
              </w:rPr>
              <w:t>Sample</w:t>
            </w:r>
            <w:proofErr w:type="spellEnd"/>
          </w:p>
        </w:tc>
        <w:tc>
          <w:tcPr>
            <w:tcW w:w="1539" w:type="dxa"/>
            <w:tcBorders>
              <w:top w:val="single" w:sz="12" w:space="0" w:color="00B050"/>
              <w:bottom w:val="single" w:sz="12" w:space="0" w:color="00B050"/>
            </w:tcBorders>
            <w:shd w:val="clear" w:color="auto" w:fill="auto"/>
            <w:vAlign w:val="center"/>
          </w:tcPr>
          <w:p w:rsidR="00B168D9" w:rsidRPr="00B168D9" w:rsidRDefault="00B168D9" w:rsidP="003E1360">
            <w:pPr>
              <w:spacing w:line="240" w:lineRule="auto"/>
              <w:jc w:val="center"/>
            </w:pPr>
            <w:proofErr w:type="spellStart"/>
            <w:r w:rsidRPr="00B168D9">
              <w:rPr>
                <w:rFonts w:eastAsia="Symbol"/>
                <w:lang w:val="pt-BR"/>
              </w:rPr>
              <w:t>Extract</w:t>
            </w:r>
            <w:proofErr w:type="spellEnd"/>
          </w:p>
        </w:tc>
        <w:tc>
          <w:tcPr>
            <w:tcW w:w="1733" w:type="dxa"/>
            <w:tcBorders>
              <w:top w:val="single" w:sz="12" w:space="0" w:color="00B050"/>
              <w:bottom w:val="single" w:sz="12" w:space="0" w:color="00B050"/>
            </w:tcBorders>
            <w:shd w:val="clear" w:color="auto" w:fill="auto"/>
            <w:vAlign w:val="center"/>
          </w:tcPr>
          <w:p w:rsidR="00B168D9" w:rsidRPr="00B168D9" w:rsidRDefault="00B168D9" w:rsidP="00B168D9">
            <w:pPr>
              <w:spacing w:line="240" w:lineRule="auto"/>
              <w:jc w:val="center"/>
              <w:rPr>
                <w:rFonts w:eastAsia="Symbol"/>
              </w:rPr>
            </w:pPr>
            <w:r w:rsidRPr="00B168D9">
              <w:rPr>
                <w:rFonts w:eastAsia="Symbol"/>
              </w:rPr>
              <w:t xml:space="preserve">Total </w:t>
            </w:r>
            <w:proofErr w:type="spellStart"/>
            <w:r w:rsidRPr="00B168D9">
              <w:rPr>
                <w:rFonts w:eastAsia="Symbol"/>
              </w:rPr>
              <w:t>phenolics</w:t>
            </w:r>
            <w:proofErr w:type="spellEnd"/>
            <w:r w:rsidRPr="00B168D9">
              <w:rPr>
                <w:rFonts w:eastAsia="Symbol"/>
              </w:rPr>
              <w:t xml:space="preserve"> </w:t>
            </w:r>
          </w:p>
          <w:p w:rsidR="00B168D9" w:rsidRPr="00B168D9" w:rsidRDefault="00B168D9" w:rsidP="00B168D9">
            <w:pPr>
              <w:spacing w:line="240" w:lineRule="auto"/>
              <w:jc w:val="center"/>
            </w:pPr>
            <w:r w:rsidRPr="00B168D9">
              <w:rPr>
                <w:rFonts w:eastAsia="Symbol"/>
              </w:rPr>
              <w:t xml:space="preserve">(g eq. </w:t>
            </w:r>
            <w:proofErr w:type="spellStart"/>
            <w:r w:rsidRPr="00B168D9">
              <w:rPr>
                <w:rFonts w:eastAsia="Symbol"/>
              </w:rPr>
              <w:t>chlorogenic</w:t>
            </w:r>
            <w:proofErr w:type="spellEnd"/>
            <w:r w:rsidRPr="00B168D9">
              <w:rPr>
                <w:rFonts w:eastAsia="Symbol"/>
              </w:rPr>
              <w:t xml:space="preserve"> acid /100mL extract)</w:t>
            </w:r>
          </w:p>
        </w:tc>
        <w:tc>
          <w:tcPr>
            <w:tcW w:w="1630" w:type="dxa"/>
            <w:tcBorders>
              <w:top w:val="single" w:sz="12" w:space="0" w:color="00B050"/>
              <w:bottom w:val="single" w:sz="12" w:space="0" w:color="00B050"/>
            </w:tcBorders>
            <w:shd w:val="clear" w:color="auto" w:fill="auto"/>
            <w:vAlign w:val="center"/>
          </w:tcPr>
          <w:p w:rsidR="00B168D9" w:rsidRPr="00B168D9" w:rsidRDefault="00B168D9" w:rsidP="00B168D9">
            <w:pPr>
              <w:spacing w:line="240" w:lineRule="auto"/>
              <w:jc w:val="center"/>
              <w:rPr>
                <w:rFonts w:eastAsia="Symbol"/>
              </w:rPr>
            </w:pPr>
            <w:r w:rsidRPr="00B168D9">
              <w:rPr>
                <w:rFonts w:eastAsia="Symbol"/>
              </w:rPr>
              <w:t xml:space="preserve">Total </w:t>
            </w:r>
            <w:proofErr w:type="spellStart"/>
            <w:r w:rsidRPr="00B168D9">
              <w:rPr>
                <w:rFonts w:eastAsia="Symbol"/>
              </w:rPr>
              <w:t>phenolics</w:t>
            </w:r>
            <w:proofErr w:type="spellEnd"/>
            <w:r w:rsidRPr="00B168D9">
              <w:rPr>
                <w:rFonts w:eastAsia="Symbol"/>
              </w:rPr>
              <w:t xml:space="preserve"> </w:t>
            </w:r>
          </w:p>
          <w:p w:rsidR="00B168D9" w:rsidRPr="00B168D9" w:rsidRDefault="00B168D9" w:rsidP="00B168D9">
            <w:pPr>
              <w:spacing w:line="240" w:lineRule="auto"/>
              <w:jc w:val="center"/>
            </w:pPr>
            <w:r w:rsidRPr="00B168D9">
              <w:rPr>
                <w:rFonts w:eastAsia="Symbol"/>
              </w:rPr>
              <w:t xml:space="preserve">(g eq. </w:t>
            </w:r>
            <w:proofErr w:type="spellStart"/>
            <w:r w:rsidRPr="00B168D9">
              <w:rPr>
                <w:rFonts w:eastAsia="Symbol"/>
              </w:rPr>
              <w:t>chlorogenic</w:t>
            </w:r>
            <w:proofErr w:type="spellEnd"/>
            <w:r w:rsidRPr="00B168D9">
              <w:rPr>
                <w:rFonts w:eastAsia="Symbol"/>
              </w:rPr>
              <w:t xml:space="preserve"> acid /100g sample)</w:t>
            </w:r>
          </w:p>
        </w:tc>
        <w:tc>
          <w:tcPr>
            <w:tcW w:w="1461" w:type="dxa"/>
            <w:tcBorders>
              <w:top w:val="single" w:sz="12" w:space="0" w:color="00B050"/>
              <w:bottom w:val="single" w:sz="12" w:space="0" w:color="00B050"/>
            </w:tcBorders>
            <w:shd w:val="clear" w:color="auto" w:fill="auto"/>
            <w:vAlign w:val="center"/>
          </w:tcPr>
          <w:p w:rsidR="00B168D9" w:rsidRPr="00B168D9" w:rsidRDefault="00B168D9" w:rsidP="00B168D9">
            <w:pPr>
              <w:spacing w:line="240" w:lineRule="auto"/>
              <w:jc w:val="center"/>
              <w:rPr>
                <w:rFonts w:eastAsia="Symbol"/>
              </w:rPr>
            </w:pPr>
            <w:r w:rsidRPr="00B168D9">
              <w:rPr>
                <w:rFonts w:eastAsia="Symbol"/>
              </w:rPr>
              <w:t>DPPH</w:t>
            </w:r>
          </w:p>
          <w:p w:rsidR="00B168D9" w:rsidRPr="00B168D9" w:rsidRDefault="00B168D9" w:rsidP="00B168D9">
            <w:pPr>
              <w:spacing w:line="240" w:lineRule="auto"/>
              <w:jc w:val="center"/>
            </w:pPr>
            <w:r w:rsidRPr="00B168D9">
              <w:rPr>
                <w:rFonts w:eastAsia="Symbol"/>
              </w:rPr>
              <w:t xml:space="preserve">µg </w:t>
            </w:r>
            <w:proofErr w:type="spellStart"/>
            <w:r w:rsidRPr="00B168D9">
              <w:rPr>
                <w:rFonts w:eastAsia="Symbol"/>
              </w:rPr>
              <w:t>Trolox</w:t>
            </w:r>
            <w:proofErr w:type="spellEnd"/>
            <w:r w:rsidRPr="00B168D9">
              <w:rPr>
                <w:rFonts w:eastAsia="Symbol"/>
              </w:rPr>
              <w:t xml:space="preserve"> equivalent/100mL extract</w:t>
            </w:r>
          </w:p>
        </w:tc>
        <w:tc>
          <w:tcPr>
            <w:tcW w:w="1546" w:type="dxa"/>
            <w:tcBorders>
              <w:top w:val="single" w:sz="12" w:space="0" w:color="00B050"/>
              <w:bottom w:val="single" w:sz="12" w:space="0" w:color="00B050"/>
            </w:tcBorders>
            <w:shd w:val="clear" w:color="auto" w:fill="auto"/>
            <w:vAlign w:val="center"/>
          </w:tcPr>
          <w:p w:rsidR="00B168D9" w:rsidRPr="00B168D9" w:rsidRDefault="00B168D9" w:rsidP="00B168D9">
            <w:pPr>
              <w:spacing w:line="240" w:lineRule="auto"/>
              <w:jc w:val="center"/>
              <w:rPr>
                <w:rFonts w:eastAsia="Symbol"/>
                <w:lang w:val="pt-BR"/>
              </w:rPr>
            </w:pPr>
            <w:r w:rsidRPr="00B168D9">
              <w:rPr>
                <w:rFonts w:eastAsia="Symbol"/>
                <w:lang w:val="pt-BR"/>
              </w:rPr>
              <w:t xml:space="preserve">DPPH </w:t>
            </w:r>
          </w:p>
          <w:p w:rsidR="00B168D9" w:rsidRPr="00B168D9" w:rsidRDefault="00B168D9" w:rsidP="00B168D9">
            <w:pPr>
              <w:spacing w:line="240" w:lineRule="auto"/>
              <w:jc w:val="center"/>
            </w:pPr>
            <w:r w:rsidRPr="00B168D9">
              <w:rPr>
                <w:rFonts w:eastAsia="Symbol"/>
                <w:lang w:val="pt-BR"/>
              </w:rPr>
              <w:t xml:space="preserve">% </w:t>
            </w:r>
            <w:r w:rsidRPr="00B168D9">
              <w:t>inhibition</w:t>
            </w:r>
          </w:p>
        </w:tc>
      </w:tr>
      <w:tr w:rsidR="00B168D9" w:rsidRPr="00A70C71" w:rsidTr="00064AE5">
        <w:trPr>
          <w:cantSplit/>
          <w:trHeight w:val="198"/>
        </w:trPr>
        <w:tc>
          <w:tcPr>
            <w:tcW w:w="851" w:type="dxa"/>
            <w:vMerge w:val="restart"/>
            <w:tcBorders>
              <w:top w:val="single" w:sz="12" w:space="0" w:color="00B050"/>
            </w:tcBorders>
            <w:shd w:val="clear" w:color="auto" w:fill="auto"/>
            <w:vAlign w:val="center"/>
          </w:tcPr>
          <w:p w:rsidR="00B168D9" w:rsidRPr="00B168D9" w:rsidRDefault="00B168D9" w:rsidP="00B168D9">
            <w:pPr>
              <w:spacing w:line="240" w:lineRule="auto"/>
              <w:jc w:val="center"/>
            </w:pPr>
            <w:proofErr w:type="spellStart"/>
            <w:r w:rsidRPr="00B168D9">
              <w:rPr>
                <w:rFonts w:eastAsia="Symbol"/>
                <w:lang w:val="pt-BR"/>
              </w:rPr>
              <w:t>Raw</w:t>
            </w:r>
            <w:proofErr w:type="spellEnd"/>
            <w:r w:rsidRPr="00B168D9">
              <w:rPr>
                <w:rFonts w:eastAsia="Symbol"/>
                <w:lang w:val="pt-BR"/>
              </w:rPr>
              <w:t xml:space="preserve"> pinhão </w:t>
            </w:r>
            <w:proofErr w:type="spellStart"/>
            <w:r w:rsidRPr="00B168D9">
              <w:rPr>
                <w:rFonts w:eastAsia="Symbol"/>
                <w:lang w:val="pt-BR"/>
              </w:rPr>
              <w:t>flour</w:t>
            </w:r>
            <w:proofErr w:type="spellEnd"/>
          </w:p>
        </w:tc>
        <w:tc>
          <w:tcPr>
            <w:tcW w:w="1539" w:type="dxa"/>
            <w:tcBorders>
              <w:top w:val="single" w:sz="12" w:space="0" w:color="00B050"/>
            </w:tcBorders>
            <w:shd w:val="clear" w:color="auto" w:fill="auto"/>
          </w:tcPr>
          <w:p w:rsidR="00B168D9" w:rsidRPr="00B168D9" w:rsidRDefault="00B168D9" w:rsidP="00B168D9">
            <w:pPr>
              <w:spacing w:line="240" w:lineRule="auto"/>
              <w:jc w:val="center"/>
            </w:pPr>
            <w:proofErr w:type="spellStart"/>
            <w:r w:rsidRPr="00B168D9">
              <w:rPr>
                <w:rFonts w:eastAsia="Symbol"/>
                <w:lang w:val="pt-BR"/>
              </w:rPr>
              <w:t>Aqueous</w:t>
            </w:r>
            <w:proofErr w:type="spellEnd"/>
          </w:p>
        </w:tc>
        <w:tc>
          <w:tcPr>
            <w:tcW w:w="1733" w:type="dxa"/>
            <w:tcBorders>
              <w:top w:val="single" w:sz="12" w:space="0" w:color="00B050"/>
            </w:tcBorders>
            <w:shd w:val="clear" w:color="auto" w:fill="auto"/>
          </w:tcPr>
          <w:p w:rsidR="00B168D9" w:rsidRPr="00B168D9" w:rsidRDefault="00B168D9" w:rsidP="00B168D9">
            <w:pPr>
              <w:spacing w:line="240" w:lineRule="auto"/>
              <w:jc w:val="center"/>
            </w:pPr>
            <w:r w:rsidRPr="00B168D9">
              <w:rPr>
                <w:rFonts w:eastAsia="Symbol"/>
                <w:lang w:val="pt-BR"/>
              </w:rPr>
              <w:t>0.17 ± 0.01</w:t>
            </w:r>
            <w:r w:rsidRPr="00B168D9">
              <w:rPr>
                <w:rFonts w:eastAsia="Symbol"/>
                <w:vertAlign w:val="superscript"/>
                <w:lang w:val="pt-BR"/>
              </w:rPr>
              <w:t>c</w:t>
            </w:r>
          </w:p>
        </w:tc>
        <w:tc>
          <w:tcPr>
            <w:tcW w:w="1630" w:type="dxa"/>
            <w:tcBorders>
              <w:top w:val="single" w:sz="12" w:space="0" w:color="00B050"/>
            </w:tcBorders>
            <w:shd w:val="clear" w:color="auto" w:fill="auto"/>
          </w:tcPr>
          <w:p w:rsidR="00B168D9" w:rsidRPr="00B168D9" w:rsidRDefault="00B168D9" w:rsidP="00B168D9">
            <w:pPr>
              <w:spacing w:line="240" w:lineRule="auto"/>
              <w:jc w:val="center"/>
            </w:pPr>
            <w:r w:rsidRPr="00B168D9">
              <w:rPr>
                <w:lang w:val="pt-BR"/>
              </w:rPr>
              <w:t xml:space="preserve"> 1.71 ± 0.08</w:t>
            </w:r>
            <w:r w:rsidRPr="00B168D9">
              <w:rPr>
                <w:vertAlign w:val="superscript"/>
                <w:lang w:val="pt-BR"/>
              </w:rPr>
              <w:t>c</w:t>
            </w:r>
          </w:p>
        </w:tc>
        <w:tc>
          <w:tcPr>
            <w:tcW w:w="1461" w:type="dxa"/>
            <w:tcBorders>
              <w:top w:val="single" w:sz="12" w:space="0" w:color="00B050"/>
            </w:tcBorders>
            <w:shd w:val="clear" w:color="auto" w:fill="auto"/>
          </w:tcPr>
          <w:p w:rsidR="00B168D9" w:rsidRPr="00B168D9" w:rsidRDefault="00B168D9" w:rsidP="00B168D9">
            <w:pPr>
              <w:spacing w:line="240" w:lineRule="auto"/>
              <w:jc w:val="center"/>
            </w:pPr>
            <w:r w:rsidRPr="00B168D9">
              <w:rPr>
                <w:lang w:val="pt-BR"/>
              </w:rPr>
              <w:t>8.35 ± 0.08</w:t>
            </w:r>
            <w:r w:rsidRPr="00B168D9">
              <w:rPr>
                <w:vertAlign w:val="superscript"/>
                <w:lang w:val="pt-BR"/>
              </w:rPr>
              <w:t>d</w:t>
            </w:r>
          </w:p>
        </w:tc>
        <w:tc>
          <w:tcPr>
            <w:tcW w:w="1546" w:type="dxa"/>
            <w:tcBorders>
              <w:top w:val="single" w:sz="12" w:space="0" w:color="00B050"/>
            </w:tcBorders>
            <w:shd w:val="clear" w:color="auto" w:fill="auto"/>
          </w:tcPr>
          <w:p w:rsidR="00B168D9" w:rsidRPr="00B168D9" w:rsidRDefault="00B168D9" w:rsidP="00B168D9">
            <w:pPr>
              <w:spacing w:line="240" w:lineRule="auto"/>
              <w:jc w:val="center"/>
            </w:pPr>
            <w:r w:rsidRPr="00B168D9">
              <w:rPr>
                <w:lang w:val="pt-BR"/>
              </w:rPr>
              <w:t>41.12 ± 0.39</w:t>
            </w:r>
            <w:r w:rsidRPr="00B168D9">
              <w:rPr>
                <w:vertAlign w:val="superscript"/>
                <w:lang w:val="pt-BR"/>
              </w:rPr>
              <w:t>b</w:t>
            </w:r>
          </w:p>
        </w:tc>
      </w:tr>
      <w:tr w:rsidR="00B168D9" w:rsidRPr="00A70C71" w:rsidTr="00064AE5">
        <w:trPr>
          <w:cantSplit/>
          <w:trHeight w:val="227"/>
        </w:trPr>
        <w:tc>
          <w:tcPr>
            <w:tcW w:w="851" w:type="dxa"/>
            <w:vMerge/>
            <w:shd w:val="clear" w:color="auto" w:fill="auto"/>
            <w:vAlign w:val="center"/>
          </w:tcPr>
          <w:p w:rsidR="00B168D9" w:rsidRPr="00B168D9" w:rsidRDefault="00B168D9" w:rsidP="00B168D9">
            <w:pPr>
              <w:snapToGrid w:val="0"/>
              <w:spacing w:line="240" w:lineRule="auto"/>
              <w:jc w:val="center"/>
            </w:pPr>
          </w:p>
        </w:tc>
        <w:tc>
          <w:tcPr>
            <w:tcW w:w="1539" w:type="dxa"/>
            <w:shd w:val="clear" w:color="auto" w:fill="auto"/>
          </w:tcPr>
          <w:p w:rsidR="00B168D9" w:rsidRPr="00B168D9" w:rsidRDefault="00064AE5" w:rsidP="00B168D9">
            <w:pPr>
              <w:spacing w:line="240" w:lineRule="auto"/>
              <w:jc w:val="center"/>
            </w:pPr>
            <w:r>
              <w:rPr>
                <w:rFonts w:eastAsia="Symbol"/>
              </w:rPr>
              <w:t>Hydro</w:t>
            </w:r>
            <w:r w:rsidR="00B168D9" w:rsidRPr="00B168D9">
              <w:rPr>
                <w:rFonts w:eastAsia="Symbol"/>
              </w:rPr>
              <w:t>ethanolic</w:t>
            </w:r>
          </w:p>
        </w:tc>
        <w:tc>
          <w:tcPr>
            <w:tcW w:w="1733" w:type="dxa"/>
            <w:shd w:val="clear" w:color="auto" w:fill="auto"/>
            <w:vAlign w:val="center"/>
          </w:tcPr>
          <w:p w:rsidR="00B168D9" w:rsidRPr="00B168D9" w:rsidRDefault="00B168D9" w:rsidP="00B168D9">
            <w:pPr>
              <w:spacing w:line="240" w:lineRule="auto"/>
              <w:jc w:val="center"/>
            </w:pPr>
            <w:r w:rsidRPr="00B168D9">
              <w:rPr>
                <w:lang w:val="pt-BR"/>
              </w:rPr>
              <w:t>0.09 ± 0.00</w:t>
            </w:r>
            <w:r w:rsidRPr="00B168D9">
              <w:rPr>
                <w:vertAlign w:val="superscript"/>
                <w:lang w:val="pt-BR"/>
              </w:rPr>
              <w:t>e</w:t>
            </w:r>
          </w:p>
        </w:tc>
        <w:tc>
          <w:tcPr>
            <w:tcW w:w="1630" w:type="dxa"/>
            <w:shd w:val="clear" w:color="auto" w:fill="auto"/>
            <w:vAlign w:val="center"/>
          </w:tcPr>
          <w:p w:rsidR="00B168D9" w:rsidRPr="00B168D9" w:rsidRDefault="00B168D9" w:rsidP="00B168D9">
            <w:pPr>
              <w:spacing w:line="240" w:lineRule="auto"/>
              <w:jc w:val="center"/>
            </w:pPr>
            <w:r w:rsidRPr="00B168D9">
              <w:rPr>
                <w:lang w:val="pt-BR"/>
              </w:rPr>
              <w:t>0.89 ± 0.02</w:t>
            </w:r>
            <w:r w:rsidRPr="00B168D9">
              <w:rPr>
                <w:vertAlign w:val="superscript"/>
                <w:lang w:val="pt-BR"/>
              </w:rPr>
              <w:t>e</w:t>
            </w:r>
          </w:p>
        </w:tc>
        <w:tc>
          <w:tcPr>
            <w:tcW w:w="1461" w:type="dxa"/>
            <w:shd w:val="clear" w:color="auto" w:fill="auto"/>
            <w:vAlign w:val="center"/>
          </w:tcPr>
          <w:p w:rsidR="00B168D9" w:rsidRPr="00B168D9" w:rsidRDefault="00B168D9" w:rsidP="00B168D9">
            <w:pPr>
              <w:spacing w:line="240" w:lineRule="auto"/>
              <w:jc w:val="center"/>
            </w:pPr>
            <w:r w:rsidRPr="00B168D9">
              <w:rPr>
                <w:lang w:val="pt-BR"/>
              </w:rPr>
              <w:t>2.43 ± 0.12</w:t>
            </w:r>
            <w:r w:rsidRPr="00B168D9">
              <w:rPr>
                <w:vertAlign w:val="superscript"/>
                <w:lang w:val="pt-BR"/>
              </w:rPr>
              <w:t>f</w:t>
            </w:r>
          </w:p>
        </w:tc>
        <w:tc>
          <w:tcPr>
            <w:tcW w:w="1546" w:type="dxa"/>
            <w:shd w:val="clear" w:color="auto" w:fill="auto"/>
            <w:vAlign w:val="center"/>
          </w:tcPr>
          <w:p w:rsidR="00B168D9" w:rsidRPr="00B168D9" w:rsidRDefault="00B168D9" w:rsidP="00B168D9">
            <w:pPr>
              <w:spacing w:line="240" w:lineRule="auto"/>
              <w:jc w:val="center"/>
            </w:pPr>
            <w:r w:rsidRPr="00B168D9">
              <w:rPr>
                <w:lang w:val="pt-BR"/>
              </w:rPr>
              <w:t>16.82 ± 0.46</w:t>
            </w:r>
            <w:r w:rsidRPr="00B168D9">
              <w:rPr>
                <w:vertAlign w:val="superscript"/>
                <w:lang w:val="pt-BR"/>
              </w:rPr>
              <w:t>e</w:t>
            </w:r>
          </w:p>
        </w:tc>
      </w:tr>
      <w:tr w:rsidR="00B168D9" w:rsidRPr="00A70C71" w:rsidTr="00064AE5">
        <w:trPr>
          <w:cantSplit/>
          <w:trHeight w:val="46"/>
        </w:trPr>
        <w:tc>
          <w:tcPr>
            <w:tcW w:w="851" w:type="dxa"/>
            <w:vMerge/>
            <w:tcBorders>
              <w:bottom w:val="single" w:sz="6" w:space="0" w:color="00B050"/>
            </w:tcBorders>
            <w:shd w:val="clear" w:color="auto" w:fill="auto"/>
            <w:vAlign w:val="center"/>
          </w:tcPr>
          <w:p w:rsidR="00B168D9" w:rsidRPr="00B168D9" w:rsidRDefault="00B168D9" w:rsidP="00B168D9">
            <w:pPr>
              <w:snapToGrid w:val="0"/>
              <w:spacing w:line="240" w:lineRule="auto"/>
              <w:jc w:val="center"/>
            </w:pPr>
          </w:p>
        </w:tc>
        <w:tc>
          <w:tcPr>
            <w:tcW w:w="1539" w:type="dxa"/>
            <w:tcBorders>
              <w:bottom w:val="single" w:sz="6" w:space="0" w:color="00B050"/>
            </w:tcBorders>
            <w:shd w:val="clear" w:color="auto" w:fill="auto"/>
          </w:tcPr>
          <w:p w:rsidR="00B168D9" w:rsidRPr="00B168D9" w:rsidRDefault="00B168D9" w:rsidP="00B168D9">
            <w:pPr>
              <w:spacing w:line="240" w:lineRule="auto"/>
              <w:jc w:val="center"/>
            </w:pPr>
            <w:r w:rsidRPr="00B168D9">
              <w:rPr>
                <w:rFonts w:eastAsia="Symbol"/>
              </w:rPr>
              <w:t>Ethanolic</w:t>
            </w:r>
          </w:p>
        </w:tc>
        <w:tc>
          <w:tcPr>
            <w:tcW w:w="1733" w:type="dxa"/>
            <w:tcBorders>
              <w:bottom w:val="single" w:sz="6" w:space="0" w:color="00B050"/>
            </w:tcBorders>
            <w:shd w:val="clear" w:color="auto" w:fill="auto"/>
          </w:tcPr>
          <w:p w:rsidR="00B168D9" w:rsidRPr="00B168D9" w:rsidRDefault="00B168D9" w:rsidP="00B168D9">
            <w:pPr>
              <w:spacing w:line="240" w:lineRule="auto"/>
              <w:jc w:val="center"/>
            </w:pPr>
            <w:r w:rsidRPr="00B168D9">
              <w:rPr>
                <w:lang w:val="pt-BR"/>
              </w:rPr>
              <w:t>0.04 ± 0.00</w:t>
            </w:r>
            <w:r w:rsidRPr="00B168D9">
              <w:rPr>
                <w:vertAlign w:val="superscript"/>
                <w:lang w:val="pt-BR"/>
              </w:rPr>
              <w:t>g</w:t>
            </w:r>
          </w:p>
        </w:tc>
        <w:tc>
          <w:tcPr>
            <w:tcW w:w="1630" w:type="dxa"/>
            <w:tcBorders>
              <w:bottom w:val="single" w:sz="6" w:space="0" w:color="00B050"/>
            </w:tcBorders>
            <w:shd w:val="clear" w:color="auto" w:fill="auto"/>
          </w:tcPr>
          <w:p w:rsidR="00B168D9" w:rsidRPr="00B168D9" w:rsidRDefault="00B168D9" w:rsidP="00B168D9">
            <w:pPr>
              <w:spacing w:line="240" w:lineRule="auto"/>
              <w:jc w:val="center"/>
            </w:pPr>
            <w:r w:rsidRPr="00B168D9">
              <w:rPr>
                <w:lang w:val="pt-BR"/>
              </w:rPr>
              <w:t>0.35 ± 0.03</w:t>
            </w:r>
            <w:r w:rsidRPr="00B168D9">
              <w:rPr>
                <w:vertAlign w:val="superscript"/>
                <w:lang w:val="pt-BR"/>
              </w:rPr>
              <w:t>g</w:t>
            </w:r>
          </w:p>
        </w:tc>
        <w:tc>
          <w:tcPr>
            <w:tcW w:w="1461" w:type="dxa"/>
            <w:tcBorders>
              <w:bottom w:val="single" w:sz="6" w:space="0" w:color="00B050"/>
            </w:tcBorders>
            <w:shd w:val="clear" w:color="auto" w:fill="auto"/>
          </w:tcPr>
          <w:p w:rsidR="00B168D9" w:rsidRPr="00B168D9" w:rsidRDefault="00B168D9" w:rsidP="00B168D9">
            <w:pPr>
              <w:spacing w:line="240" w:lineRule="auto"/>
              <w:jc w:val="center"/>
            </w:pPr>
            <w:r w:rsidRPr="00B168D9">
              <w:rPr>
                <w:lang w:val="pt-BR"/>
              </w:rPr>
              <w:t>1.22 ± 0.05</w:t>
            </w:r>
            <w:r w:rsidRPr="00B168D9">
              <w:rPr>
                <w:vertAlign w:val="superscript"/>
                <w:lang w:val="pt-BR"/>
              </w:rPr>
              <w:t>g</w:t>
            </w:r>
          </w:p>
        </w:tc>
        <w:tc>
          <w:tcPr>
            <w:tcW w:w="1546" w:type="dxa"/>
            <w:tcBorders>
              <w:bottom w:val="single" w:sz="6" w:space="0" w:color="00B050"/>
            </w:tcBorders>
            <w:shd w:val="clear" w:color="auto" w:fill="auto"/>
          </w:tcPr>
          <w:p w:rsidR="00B168D9" w:rsidRPr="00B168D9" w:rsidRDefault="00B168D9" w:rsidP="00B168D9">
            <w:pPr>
              <w:spacing w:line="240" w:lineRule="auto"/>
              <w:jc w:val="center"/>
            </w:pPr>
            <w:r w:rsidRPr="00B168D9">
              <w:rPr>
                <w:lang w:val="pt-BR"/>
              </w:rPr>
              <w:t>4.88 ± 0.22</w:t>
            </w:r>
            <w:r w:rsidRPr="00B168D9">
              <w:rPr>
                <w:vertAlign w:val="superscript"/>
                <w:lang w:val="pt-BR"/>
              </w:rPr>
              <w:t>f</w:t>
            </w:r>
          </w:p>
        </w:tc>
      </w:tr>
      <w:tr w:rsidR="00B168D9" w:rsidRPr="00A70C71" w:rsidTr="00064AE5">
        <w:trPr>
          <w:cantSplit/>
          <w:trHeight w:val="213"/>
        </w:trPr>
        <w:tc>
          <w:tcPr>
            <w:tcW w:w="851" w:type="dxa"/>
            <w:vMerge w:val="restart"/>
            <w:tcBorders>
              <w:top w:val="single" w:sz="6" w:space="0" w:color="00B050"/>
            </w:tcBorders>
            <w:shd w:val="clear" w:color="auto" w:fill="auto"/>
            <w:vAlign w:val="center"/>
          </w:tcPr>
          <w:p w:rsidR="00B168D9" w:rsidRPr="00B168D9" w:rsidRDefault="00B168D9" w:rsidP="00B168D9">
            <w:pPr>
              <w:spacing w:line="240" w:lineRule="auto"/>
              <w:jc w:val="center"/>
            </w:pPr>
            <w:proofErr w:type="spellStart"/>
            <w:r w:rsidRPr="00B168D9">
              <w:rPr>
                <w:lang w:val="pt-BR"/>
              </w:rPr>
              <w:t>Cooked</w:t>
            </w:r>
            <w:proofErr w:type="spellEnd"/>
            <w:r w:rsidRPr="00B168D9">
              <w:rPr>
                <w:lang w:val="pt-BR"/>
              </w:rPr>
              <w:t xml:space="preserve"> pinhão </w:t>
            </w:r>
            <w:proofErr w:type="spellStart"/>
            <w:r w:rsidRPr="00B168D9">
              <w:rPr>
                <w:lang w:val="pt-BR"/>
              </w:rPr>
              <w:t>flour</w:t>
            </w:r>
            <w:proofErr w:type="spellEnd"/>
          </w:p>
        </w:tc>
        <w:tc>
          <w:tcPr>
            <w:tcW w:w="1539" w:type="dxa"/>
            <w:tcBorders>
              <w:top w:val="single" w:sz="6" w:space="0" w:color="00B050"/>
            </w:tcBorders>
            <w:shd w:val="clear" w:color="auto" w:fill="auto"/>
          </w:tcPr>
          <w:p w:rsidR="00B168D9" w:rsidRPr="00B168D9" w:rsidRDefault="00B168D9" w:rsidP="00B168D9">
            <w:pPr>
              <w:spacing w:line="240" w:lineRule="auto"/>
              <w:jc w:val="center"/>
            </w:pPr>
            <w:proofErr w:type="spellStart"/>
            <w:r w:rsidRPr="00B168D9">
              <w:rPr>
                <w:rFonts w:eastAsia="Symbol"/>
                <w:lang w:val="pt-BR"/>
              </w:rPr>
              <w:t>Aqueous</w:t>
            </w:r>
            <w:proofErr w:type="spellEnd"/>
          </w:p>
        </w:tc>
        <w:tc>
          <w:tcPr>
            <w:tcW w:w="1733" w:type="dxa"/>
            <w:tcBorders>
              <w:top w:val="single" w:sz="6" w:space="0" w:color="00B050"/>
            </w:tcBorders>
            <w:shd w:val="clear" w:color="auto" w:fill="auto"/>
          </w:tcPr>
          <w:p w:rsidR="00B168D9" w:rsidRPr="00B168D9" w:rsidRDefault="00B168D9" w:rsidP="00B168D9">
            <w:pPr>
              <w:spacing w:line="240" w:lineRule="auto"/>
              <w:jc w:val="center"/>
            </w:pPr>
            <w:r w:rsidRPr="00B168D9">
              <w:rPr>
                <w:color w:val="000000"/>
                <w:lang w:val="pt-BR"/>
              </w:rPr>
              <w:t>0.24 ± 0.01</w:t>
            </w:r>
            <w:r w:rsidRPr="00B168D9">
              <w:rPr>
                <w:color w:val="000000"/>
                <w:vertAlign w:val="superscript"/>
                <w:lang w:val="pt-BR"/>
              </w:rPr>
              <w:t>b</w:t>
            </w:r>
          </w:p>
        </w:tc>
        <w:tc>
          <w:tcPr>
            <w:tcW w:w="1630" w:type="dxa"/>
            <w:tcBorders>
              <w:top w:val="single" w:sz="6" w:space="0" w:color="00B050"/>
            </w:tcBorders>
            <w:shd w:val="clear" w:color="auto" w:fill="auto"/>
          </w:tcPr>
          <w:p w:rsidR="00B168D9" w:rsidRPr="00B168D9" w:rsidRDefault="00B168D9" w:rsidP="00B168D9">
            <w:pPr>
              <w:spacing w:line="240" w:lineRule="auto"/>
              <w:jc w:val="center"/>
            </w:pPr>
            <w:r w:rsidRPr="00B168D9">
              <w:rPr>
                <w:color w:val="000000"/>
                <w:lang w:val="pt-BR"/>
              </w:rPr>
              <w:t>2.43 ± 0.06</w:t>
            </w:r>
            <w:r w:rsidRPr="00B168D9">
              <w:rPr>
                <w:color w:val="000000"/>
                <w:vertAlign w:val="superscript"/>
                <w:lang w:val="pt-BR"/>
              </w:rPr>
              <w:t>b</w:t>
            </w:r>
          </w:p>
        </w:tc>
        <w:tc>
          <w:tcPr>
            <w:tcW w:w="1461" w:type="dxa"/>
            <w:tcBorders>
              <w:top w:val="single" w:sz="6" w:space="0" w:color="00B050"/>
            </w:tcBorders>
            <w:shd w:val="clear" w:color="auto" w:fill="auto"/>
          </w:tcPr>
          <w:p w:rsidR="00B168D9" w:rsidRPr="00B168D9" w:rsidRDefault="00B168D9" w:rsidP="00B168D9">
            <w:pPr>
              <w:spacing w:line="240" w:lineRule="auto"/>
              <w:jc w:val="center"/>
            </w:pPr>
            <w:r w:rsidRPr="00B168D9">
              <w:rPr>
                <w:color w:val="000000"/>
                <w:lang w:val="pt-BR"/>
              </w:rPr>
              <w:t>16.18 ± 0.05</w:t>
            </w:r>
            <w:r w:rsidRPr="00B168D9">
              <w:rPr>
                <w:color w:val="000000"/>
                <w:vertAlign w:val="superscript"/>
                <w:lang w:val="pt-BR"/>
              </w:rPr>
              <w:t>b</w:t>
            </w:r>
          </w:p>
        </w:tc>
        <w:tc>
          <w:tcPr>
            <w:tcW w:w="1546" w:type="dxa"/>
            <w:tcBorders>
              <w:top w:val="single" w:sz="6" w:space="0" w:color="00B050"/>
            </w:tcBorders>
            <w:shd w:val="clear" w:color="auto" w:fill="auto"/>
          </w:tcPr>
          <w:p w:rsidR="00B168D9" w:rsidRPr="00B168D9" w:rsidRDefault="00B168D9" w:rsidP="00B168D9">
            <w:pPr>
              <w:spacing w:line="240" w:lineRule="auto"/>
              <w:jc w:val="center"/>
            </w:pPr>
            <w:r w:rsidRPr="00B168D9">
              <w:rPr>
                <w:color w:val="000000"/>
                <w:lang w:val="pt-BR"/>
              </w:rPr>
              <w:t>79.72 ± 0.25</w:t>
            </w:r>
            <w:r w:rsidRPr="00B168D9">
              <w:rPr>
                <w:color w:val="000000"/>
                <w:vertAlign w:val="superscript"/>
                <w:lang w:val="pt-BR"/>
              </w:rPr>
              <w:t>a</w:t>
            </w:r>
          </w:p>
        </w:tc>
      </w:tr>
      <w:tr w:rsidR="00B168D9" w:rsidRPr="00A70C71" w:rsidTr="00064AE5">
        <w:trPr>
          <w:cantSplit/>
          <w:trHeight w:val="188"/>
        </w:trPr>
        <w:tc>
          <w:tcPr>
            <w:tcW w:w="851" w:type="dxa"/>
            <w:vMerge/>
            <w:shd w:val="clear" w:color="auto" w:fill="auto"/>
            <w:vAlign w:val="center"/>
          </w:tcPr>
          <w:p w:rsidR="00B168D9" w:rsidRPr="00B168D9" w:rsidRDefault="00B168D9" w:rsidP="00B168D9">
            <w:pPr>
              <w:snapToGrid w:val="0"/>
              <w:spacing w:line="240" w:lineRule="auto"/>
              <w:jc w:val="center"/>
            </w:pPr>
          </w:p>
        </w:tc>
        <w:tc>
          <w:tcPr>
            <w:tcW w:w="1539" w:type="dxa"/>
            <w:shd w:val="clear" w:color="auto" w:fill="auto"/>
          </w:tcPr>
          <w:p w:rsidR="00B168D9" w:rsidRPr="00B168D9" w:rsidRDefault="00064AE5" w:rsidP="00B168D9">
            <w:pPr>
              <w:spacing w:line="240" w:lineRule="auto"/>
              <w:jc w:val="center"/>
            </w:pPr>
            <w:r>
              <w:rPr>
                <w:rFonts w:eastAsia="Symbol"/>
              </w:rPr>
              <w:t>Hydro</w:t>
            </w:r>
            <w:r w:rsidR="00B168D9" w:rsidRPr="00B168D9">
              <w:rPr>
                <w:rFonts w:eastAsia="Symbol"/>
              </w:rPr>
              <w:t>ethanolic</w:t>
            </w:r>
          </w:p>
        </w:tc>
        <w:tc>
          <w:tcPr>
            <w:tcW w:w="1733" w:type="dxa"/>
            <w:shd w:val="clear" w:color="auto" w:fill="auto"/>
            <w:vAlign w:val="center"/>
          </w:tcPr>
          <w:p w:rsidR="00B168D9" w:rsidRPr="00B168D9" w:rsidRDefault="00B168D9" w:rsidP="00B168D9">
            <w:pPr>
              <w:spacing w:line="240" w:lineRule="auto"/>
              <w:jc w:val="center"/>
            </w:pPr>
            <w:r w:rsidRPr="00B168D9">
              <w:rPr>
                <w:color w:val="000000"/>
                <w:lang w:val="pt-BR"/>
              </w:rPr>
              <w:t>0.27 ± 0.01</w:t>
            </w:r>
            <w:r w:rsidRPr="00B168D9">
              <w:rPr>
                <w:color w:val="000000"/>
                <w:vertAlign w:val="superscript"/>
                <w:lang w:val="pt-BR"/>
              </w:rPr>
              <w:t>a</w:t>
            </w:r>
          </w:p>
        </w:tc>
        <w:tc>
          <w:tcPr>
            <w:tcW w:w="1630" w:type="dxa"/>
            <w:shd w:val="clear" w:color="auto" w:fill="auto"/>
            <w:vAlign w:val="center"/>
          </w:tcPr>
          <w:p w:rsidR="00B168D9" w:rsidRPr="00B168D9" w:rsidRDefault="00B168D9" w:rsidP="00B168D9">
            <w:pPr>
              <w:spacing w:line="240" w:lineRule="auto"/>
              <w:jc w:val="center"/>
            </w:pPr>
            <w:r w:rsidRPr="00B168D9">
              <w:rPr>
                <w:color w:val="000000"/>
                <w:lang w:val="pt-BR"/>
              </w:rPr>
              <w:t>2.72 ± 0.08</w:t>
            </w:r>
            <w:r w:rsidRPr="00B168D9">
              <w:rPr>
                <w:color w:val="000000"/>
                <w:vertAlign w:val="superscript"/>
                <w:lang w:val="pt-BR"/>
              </w:rPr>
              <w:t>a</w:t>
            </w:r>
          </w:p>
        </w:tc>
        <w:tc>
          <w:tcPr>
            <w:tcW w:w="1461" w:type="dxa"/>
            <w:shd w:val="clear" w:color="auto" w:fill="auto"/>
            <w:vAlign w:val="center"/>
          </w:tcPr>
          <w:p w:rsidR="00B168D9" w:rsidRPr="00B168D9" w:rsidRDefault="00B168D9" w:rsidP="00B168D9">
            <w:pPr>
              <w:spacing w:line="240" w:lineRule="auto"/>
              <w:jc w:val="center"/>
            </w:pPr>
            <w:r w:rsidRPr="00B168D9">
              <w:rPr>
                <w:color w:val="000000"/>
                <w:lang w:val="pt-BR"/>
              </w:rPr>
              <w:t>20.13 ± 0.19</w:t>
            </w:r>
            <w:r w:rsidRPr="00B168D9">
              <w:rPr>
                <w:color w:val="000000"/>
                <w:vertAlign w:val="superscript"/>
                <w:lang w:val="pt-BR"/>
              </w:rPr>
              <w:t>a</w:t>
            </w:r>
          </w:p>
        </w:tc>
        <w:tc>
          <w:tcPr>
            <w:tcW w:w="1546" w:type="dxa"/>
            <w:shd w:val="clear" w:color="auto" w:fill="auto"/>
            <w:vAlign w:val="center"/>
          </w:tcPr>
          <w:p w:rsidR="00B168D9" w:rsidRPr="00B168D9" w:rsidRDefault="00B168D9" w:rsidP="00B168D9">
            <w:pPr>
              <w:spacing w:line="240" w:lineRule="auto"/>
              <w:jc w:val="center"/>
            </w:pPr>
            <w:r w:rsidRPr="00B168D9">
              <w:rPr>
                <w:color w:val="000000"/>
                <w:lang w:val="pt-BR"/>
              </w:rPr>
              <w:t>82.14 ± 0.78</w:t>
            </w:r>
            <w:r w:rsidRPr="00B168D9">
              <w:rPr>
                <w:color w:val="000000"/>
                <w:vertAlign w:val="superscript"/>
                <w:lang w:val="pt-BR"/>
              </w:rPr>
              <w:t>a</w:t>
            </w:r>
          </w:p>
        </w:tc>
      </w:tr>
      <w:tr w:rsidR="00B168D9" w:rsidRPr="00A70C71" w:rsidTr="00064AE5">
        <w:trPr>
          <w:cantSplit/>
          <w:trHeight w:val="176"/>
        </w:trPr>
        <w:tc>
          <w:tcPr>
            <w:tcW w:w="851" w:type="dxa"/>
            <w:vMerge/>
            <w:tcBorders>
              <w:bottom w:val="single" w:sz="6" w:space="0" w:color="00B050"/>
            </w:tcBorders>
            <w:shd w:val="clear" w:color="auto" w:fill="auto"/>
            <w:vAlign w:val="center"/>
          </w:tcPr>
          <w:p w:rsidR="00B168D9" w:rsidRPr="00B168D9" w:rsidRDefault="00B168D9" w:rsidP="00B168D9">
            <w:pPr>
              <w:snapToGrid w:val="0"/>
              <w:spacing w:line="240" w:lineRule="auto"/>
              <w:jc w:val="center"/>
            </w:pPr>
          </w:p>
        </w:tc>
        <w:tc>
          <w:tcPr>
            <w:tcW w:w="1539" w:type="dxa"/>
            <w:tcBorders>
              <w:bottom w:val="single" w:sz="6" w:space="0" w:color="00B050"/>
            </w:tcBorders>
            <w:shd w:val="clear" w:color="auto" w:fill="auto"/>
          </w:tcPr>
          <w:p w:rsidR="00B168D9" w:rsidRPr="00B168D9" w:rsidRDefault="00B168D9" w:rsidP="00B168D9">
            <w:pPr>
              <w:spacing w:line="240" w:lineRule="auto"/>
              <w:jc w:val="center"/>
            </w:pPr>
            <w:r w:rsidRPr="00B168D9">
              <w:rPr>
                <w:rFonts w:eastAsia="Symbol"/>
              </w:rPr>
              <w:t>Ethanolic</w:t>
            </w:r>
          </w:p>
        </w:tc>
        <w:tc>
          <w:tcPr>
            <w:tcW w:w="1733" w:type="dxa"/>
            <w:tcBorders>
              <w:bottom w:val="single" w:sz="6" w:space="0" w:color="00B050"/>
            </w:tcBorders>
            <w:shd w:val="clear" w:color="auto" w:fill="auto"/>
          </w:tcPr>
          <w:p w:rsidR="00B168D9" w:rsidRPr="00B168D9" w:rsidRDefault="00B168D9" w:rsidP="00B168D9">
            <w:pPr>
              <w:spacing w:line="240" w:lineRule="auto"/>
              <w:jc w:val="center"/>
            </w:pPr>
            <w:r w:rsidRPr="00B168D9">
              <w:rPr>
                <w:color w:val="000000"/>
                <w:lang w:val="pt-BR"/>
              </w:rPr>
              <w:t>0.06 ± 0.00</w:t>
            </w:r>
            <w:r w:rsidRPr="00B168D9">
              <w:rPr>
                <w:color w:val="000000"/>
                <w:vertAlign w:val="superscript"/>
                <w:lang w:val="pt-BR"/>
              </w:rPr>
              <w:t>f</w:t>
            </w:r>
          </w:p>
        </w:tc>
        <w:tc>
          <w:tcPr>
            <w:tcW w:w="1630" w:type="dxa"/>
            <w:tcBorders>
              <w:bottom w:val="single" w:sz="6" w:space="0" w:color="00B050"/>
            </w:tcBorders>
            <w:shd w:val="clear" w:color="auto" w:fill="auto"/>
          </w:tcPr>
          <w:p w:rsidR="00B168D9" w:rsidRPr="00B168D9" w:rsidRDefault="00B168D9" w:rsidP="00B168D9">
            <w:pPr>
              <w:spacing w:line="240" w:lineRule="auto"/>
              <w:jc w:val="center"/>
            </w:pPr>
            <w:r w:rsidRPr="00B168D9">
              <w:rPr>
                <w:color w:val="000000"/>
                <w:lang w:val="pt-BR"/>
              </w:rPr>
              <w:t>0.61 ± 0.02</w:t>
            </w:r>
            <w:r w:rsidRPr="00B168D9">
              <w:rPr>
                <w:color w:val="000000"/>
                <w:vertAlign w:val="superscript"/>
                <w:lang w:val="pt-BR"/>
              </w:rPr>
              <w:t>f</w:t>
            </w:r>
          </w:p>
        </w:tc>
        <w:tc>
          <w:tcPr>
            <w:tcW w:w="1461" w:type="dxa"/>
            <w:tcBorders>
              <w:bottom w:val="single" w:sz="6" w:space="0" w:color="00B050"/>
            </w:tcBorders>
            <w:shd w:val="clear" w:color="auto" w:fill="auto"/>
          </w:tcPr>
          <w:p w:rsidR="00B168D9" w:rsidRPr="00B168D9" w:rsidRDefault="00B168D9" w:rsidP="00B168D9">
            <w:pPr>
              <w:spacing w:line="240" w:lineRule="auto"/>
              <w:jc w:val="center"/>
            </w:pPr>
            <w:r w:rsidRPr="00B168D9">
              <w:rPr>
                <w:color w:val="000000"/>
                <w:lang w:val="pt-BR"/>
              </w:rPr>
              <w:t>1.62 ± 0.09</w:t>
            </w:r>
            <w:r w:rsidRPr="00B168D9">
              <w:rPr>
                <w:color w:val="000000"/>
                <w:vertAlign w:val="superscript"/>
                <w:lang w:val="pt-BR"/>
              </w:rPr>
              <w:t>g</w:t>
            </w:r>
          </w:p>
        </w:tc>
        <w:tc>
          <w:tcPr>
            <w:tcW w:w="1546" w:type="dxa"/>
            <w:tcBorders>
              <w:bottom w:val="single" w:sz="6" w:space="0" w:color="00B050"/>
            </w:tcBorders>
            <w:shd w:val="clear" w:color="auto" w:fill="auto"/>
          </w:tcPr>
          <w:p w:rsidR="00B168D9" w:rsidRPr="00B168D9" w:rsidRDefault="00B168D9" w:rsidP="00B168D9">
            <w:pPr>
              <w:spacing w:line="240" w:lineRule="auto"/>
              <w:jc w:val="center"/>
            </w:pPr>
            <w:r w:rsidRPr="00B168D9">
              <w:rPr>
                <w:color w:val="000000"/>
                <w:lang w:val="pt-BR"/>
              </w:rPr>
              <w:t>6.49 ± 0.34</w:t>
            </w:r>
            <w:r w:rsidRPr="00B168D9">
              <w:rPr>
                <w:color w:val="000000"/>
                <w:vertAlign w:val="superscript"/>
                <w:lang w:val="pt-BR"/>
              </w:rPr>
              <w:t>f</w:t>
            </w:r>
          </w:p>
        </w:tc>
      </w:tr>
      <w:tr w:rsidR="00B168D9" w:rsidRPr="00A70C71" w:rsidTr="00064AE5">
        <w:trPr>
          <w:cantSplit/>
          <w:trHeight w:val="213"/>
        </w:trPr>
        <w:tc>
          <w:tcPr>
            <w:tcW w:w="851" w:type="dxa"/>
            <w:vMerge w:val="restart"/>
            <w:tcBorders>
              <w:top w:val="single" w:sz="6" w:space="0" w:color="00B050"/>
            </w:tcBorders>
            <w:shd w:val="clear" w:color="auto" w:fill="auto"/>
            <w:vAlign w:val="center"/>
          </w:tcPr>
          <w:p w:rsidR="00B168D9" w:rsidRPr="00B168D9" w:rsidRDefault="00B168D9" w:rsidP="00B168D9">
            <w:pPr>
              <w:tabs>
                <w:tab w:val="center" w:pos="1114"/>
                <w:tab w:val="right" w:pos="2228"/>
              </w:tabs>
              <w:spacing w:line="240" w:lineRule="auto"/>
              <w:jc w:val="center"/>
            </w:pPr>
            <w:r w:rsidRPr="00B168D9">
              <w:rPr>
                <w:lang w:val="pt-BR"/>
              </w:rPr>
              <w:t xml:space="preserve">Pinhão </w:t>
            </w:r>
            <w:proofErr w:type="spellStart"/>
            <w:r w:rsidRPr="00B168D9">
              <w:rPr>
                <w:lang w:val="pt-BR"/>
              </w:rPr>
              <w:t>grits</w:t>
            </w:r>
            <w:proofErr w:type="spellEnd"/>
          </w:p>
        </w:tc>
        <w:tc>
          <w:tcPr>
            <w:tcW w:w="1539" w:type="dxa"/>
            <w:tcBorders>
              <w:top w:val="single" w:sz="6" w:space="0" w:color="00B050"/>
            </w:tcBorders>
            <w:shd w:val="clear" w:color="auto" w:fill="auto"/>
          </w:tcPr>
          <w:p w:rsidR="00B168D9" w:rsidRPr="00B168D9" w:rsidRDefault="00B168D9" w:rsidP="00B168D9">
            <w:pPr>
              <w:spacing w:line="240" w:lineRule="auto"/>
              <w:jc w:val="center"/>
            </w:pPr>
            <w:proofErr w:type="spellStart"/>
            <w:r w:rsidRPr="00B168D9">
              <w:rPr>
                <w:rFonts w:eastAsia="Symbol"/>
                <w:lang w:val="pt-BR"/>
              </w:rPr>
              <w:t>Aqueous</w:t>
            </w:r>
            <w:proofErr w:type="spellEnd"/>
            <w:r w:rsidRPr="00B168D9">
              <w:rPr>
                <w:lang w:val="pt-BR"/>
              </w:rPr>
              <w:t xml:space="preserve"> </w:t>
            </w:r>
          </w:p>
        </w:tc>
        <w:tc>
          <w:tcPr>
            <w:tcW w:w="1733" w:type="dxa"/>
            <w:tcBorders>
              <w:top w:val="single" w:sz="6" w:space="0" w:color="00B050"/>
            </w:tcBorders>
            <w:shd w:val="clear" w:color="auto" w:fill="auto"/>
          </w:tcPr>
          <w:p w:rsidR="00B168D9" w:rsidRPr="00B168D9" w:rsidRDefault="00B168D9" w:rsidP="00B168D9">
            <w:pPr>
              <w:spacing w:line="240" w:lineRule="auto"/>
              <w:jc w:val="center"/>
            </w:pPr>
            <w:r w:rsidRPr="00B168D9">
              <w:rPr>
                <w:color w:val="000000"/>
                <w:lang w:val="pt-BR"/>
              </w:rPr>
              <w:t>0.15 ± 0.00</w:t>
            </w:r>
            <w:r w:rsidRPr="00B168D9">
              <w:rPr>
                <w:color w:val="000000"/>
                <w:vertAlign w:val="superscript"/>
                <w:lang w:val="pt-BR"/>
              </w:rPr>
              <w:t>d</w:t>
            </w:r>
          </w:p>
        </w:tc>
        <w:tc>
          <w:tcPr>
            <w:tcW w:w="1630" w:type="dxa"/>
            <w:tcBorders>
              <w:top w:val="single" w:sz="6" w:space="0" w:color="00B050"/>
            </w:tcBorders>
            <w:shd w:val="clear" w:color="auto" w:fill="auto"/>
          </w:tcPr>
          <w:p w:rsidR="00B168D9" w:rsidRPr="00B168D9" w:rsidRDefault="00B168D9" w:rsidP="00B168D9">
            <w:pPr>
              <w:spacing w:line="240" w:lineRule="auto"/>
              <w:jc w:val="center"/>
            </w:pPr>
            <w:r w:rsidRPr="00B168D9">
              <w:rPr>
                <w:color w:val="000000"/>
                <w:lang w:val="pt-BR"/>
              </w:rPr>
              <w:t>1.46 ± 0.04</w:t>
            </w:r>
            <w:r w:rsidRPr="00B168D9">
              <w:rPr>
                <w:color w:val="000000"/>
                <w:vertAlign w:val="superscript"/>
                <w:lang w:val="pt-BR"/>
              </w:rPr>
              <w:t>d</w:t>
            </w:r>
          </w:p>
        </w:tc>
        <w:tc>
          <w:tcPr>
            <w:tcW w:w="1461" w:type="dxa"/>
            <w:tcBorders>
              <w:top w:val="single" w:sz="6" w:space="0" w:color="00B050"/>
            </w:tcBorders>
            <w:shd w:val="clear" w:color="auto" w:fill="auto"/>
          </w:tcPr>
          <w:p w:rsidR="00B168D9" w:rsidRPr="00B168D9" w:rsidRDefault="00B168D9" w:rsidP="00B168D9">
            <w:pPr>
              <w:spacing w:line="240" w:lineRule="auto"/>
              <w:jc w:val="center"/>
            </w:pPr>
            <w:r w:rsidRPr="00B168D9">
              <w:rPr>
                <w:color w:val="000000"/>
                <w:lang w:val="pt-BR"/>
              </w:rPr>
              <w:t>5.89 ± 0.31</w:t>
            </w:r>
            <w:r w:rsidRPr="00B168D9">
              <w:rPr>
                <w:color w:val="000000"/>
                <w:vertAlign w:val="superscript"/>
                <w:lang w:val="pt-BR"/>
              </w:rPr>
              <w:t>e</w:t>
            </w:r>
          </w:p>
        </w:tc>
        <w:tc>
          <w:tcPr>
            <w:tcW w:w="1546" w:type="dxa"/>
            <w:tcBorders>
              <w:top w:val="single" w:sz="6" w:space="0" w:color="00B050"/>
            </w:tcBorders>
            <w:shd w:val="clear" w:color="auto" w:fill="auto"/>
          </w:tcPr>
          <w:p w:rsidR="00B168D9" w:rsidRPr="00B168D9" w:rsidRDefault="00B168D9" w:rsidP="00B168D9">
            <w:pPr>
              <w:spacing w:line="240" w:lineRule="auto"/>
              <w:jc w:val="center"/>
            </w:pPr>
            <w:r w:rsidRPr="00B168D9">
              <w:rPr>
                <w:color w:val="000000"/>
                <w:lang w:val="pt-BR"/>
              </w:rPr>
              <w:t>29.04 ± 1.53</w:t>
            </w:r>
            <w:r w:rsidRPr="00B168D9">
              <w:rPr>
                <w:color w:val="000000"/>
                <w:vertAlign w:val="superscript"/>
                <w:lang w:val="pt-BR"/>
              </w:rPr>
              <w:t>d</w:t>
            </w:r>
          </w:p>
        </w:tc>
      </w:tr>
      <w:tr w:rsidR="00B168D9" w:rsidRPr="00A70C71" w:rsidTr="00064AE5">
        <w:trPr>
          <w:cantSplit/>
          <w:trHeight w:val="170"/>
        </w:trPr>
        <w:tc>
          <w:tcPr>
            <w:tcW w:w="851" w:type="dxa"/>
            <w:vMerge/>
            <w:shd w:val="clear" w:color="auto" w:fill="auto"/>
          </w:tcPr>
          <w:p w:rsidR="00B168D9" w:rsidRPr="00B168D9" w:rsidRDefault="00B168D9" w:rsidP="00B168D9">
            <w:pPr>
              <w:tabs>
                <w:tab w:val="center" w:pos="1114"/>
                <w:tab w:val="right" w:pos="2228"/>
              </w:tabs>
              <w:snapToGrid w:val="0"/>
              <w:spacing w:line="240" w:lineRule="auto"/>
            </w:pPr>
          </w:p>
        </w:tc>
        <w:tc>
          <w:tcPr>
            <w:tcW w:w="1539" w:type="dxa"/>
            <w:shd w:val="clear" w:color="auto" w:fill="auto"/>
          </w:tcPr>
          <w:p w:rsidR="00B168D9" w:rsidRPr="00B168D9" w:rsidRDefault="00B168D9" w:rsidP="00064AE5">
            <w:pPr>
              <w:spacing w:line="240" w:lineRule="auto"/>
              <w:jc w:val="center"/>
            </w:pPr>
            <w:r w:rsidRPr="00B168D9">
              <w:rPr>
                <w:rFonts w:eastAsia="Symbol"/>
              </w:rPr>
              <w:t>Hydroethanolic</w:t>
            </w:r>
            <w:r w:rsidRPr="00B168D9">
              <w:rPr>
                <w:lang w:val="pt-BR"/>
              </w:rPr>
              <w:t xml:space="preserve"> </w:t>
            </w:r>
          </w:p>
        </w:tc>
        <w:tc>
          <w:tcPr>
            <w:tcW w:w="1733" w:type="dxa"/>
            <w:shd w:val="clear" w:color="auto" w:fill="auto"/>
            <w:vAlign w:val="center"/>
          </w:tcPr>
          <w:p w:rsidR="00B168D9" w:rsidRPr="00B168D9" w:rsidRDefault="00B168D9" w:rsidP="00B168D9">
            <w:pPr>
              <w:spacing w:line="240" w:lineRule="auto"/>
              <w:jc w:val="center"/>
            </w:pPr>
            <w:r w:rsidRPr="00B168D9">
              <w:rPr>
                <w:color w:val="000000"/>
                <w:lang w:val="pt-BR"/>
              </w:rPr>
              <w:t>0.08 ± 0.00</w:t>
            </w:r>
            <w:r w:rsidRPr="00B168D9">
              <w:rPr>
                <w:color w:val="000000"/>
                <w:vertAlign w:val="superscript"/>
                <w:lang w:val="pt-BR"/>
              </w:rPr>
              <w:t>e</w:t>
            </w:r>
          </w:p>
        </w:tc>
        <w:tc>
          <w:tcPr>
            <w:tcW w:w="1630" w:type="dxa"/>
            <w:shd w:val="clear" w:color="auto" w:fill="auto"/>
            <w:vAlign w:val="center"/>
          </w:tcPr>
          <w:p w:rsidR="00B168D9" w:rsidRPr="00B168D9" w:rsidRDefault="00B168D9" w:rsidP="00B168D9">
            <w:pPr>
              <w:spacing w:line="240" w:lineRule="auto"/>
              <w:jc w:val="center"/>
            </w:pPr>
            <w:r w:rsidRPr="00B168D9">
              <w:rPr>
                <w:color w:val="000000"/>
                <w:lang w:val="pt-BR"/>
              </w:rPr>
              <w:t>0.85 ± 0.04</w:t>
            </w:r>
            <w:r w:rsidRPr="00B168D9">
              <w:rPr>
                <w:color w:val="000000"/>
                <w:vertAlign w:val="superscript"/>
                <w:lang w:val="pt-BR"/>
              </w:rPr>
              <w:t>e</w:t>
            </w:r>
          </w:p>
        </w:tc>
        <w:tc>
          <w:tcPr>
            <w:tcW w:w="1461" w:type="dxa"/>
            <w:shd w:val="clear" w:color="auto" w:fill="auto"/>
            <w:vAlign w:val="center"/>
          </w:tcPr>
          <w:p w:rsidR="00B168D9" w:rsidRPr="00B168D9" w:rsidRDefault="00B168D9" w:rsidP="00B168D9">
            <w:pPr>
              <w:spacing w:line="240" w:lineRule="auto"/>
              <w:jc w:val="center"/>
            </w:pPr>
            <w:r w:rsidRPr="00B168D9">
              <w:rPr>
                <w:color w:val="000000"/>
                <w:lang w:val="pt-BR"/>
              </w:rPr>
              <w:t>9.00 ± 0.47</w:t>
            </w:r>
            <w:r w:rsidRPr="00B168D9">
              <w:rPr>
                <w:color w:val="000000"/>
                <w:vertAlign w:val="superscript"/>
                <w:lang w:val="pt-BR"/>
              </w:rPr>
              <w:t>c</w:t>
            </w:r>
          </w:p>
        </w:tc>
        <w:tc>
          <w:tcPr>
            <w:tcW w:w="1546" w:type="dxa"/>
            <w:shd w:val="clear" w:color="auto" w:fill="auto"/>
            <w:vAlign w:val="center"/>
          </w:tcPr>
          <w:p w:rsidR="00B168D9" w:rsidRPr="00B168D9" w:rsidRDefault="00B168D9" w:rsidP="00B168D9">
            <w:pPr>
              <w:spacing w:line="240" w:lineRule="auto"/>
              <w:jc w:val="center"/>
            </w:pPr>
            <w:r w:rsidRPr="00B168D9">
              <w:rPr>
                <w:color w:val="000000"/>
                <w:lang w:val="pt-BR"/>
              </w:rPr>
              <w:t>36.73 ± 1.90</w:t>
            </w:r>
            <w:r w:rsidRPr="00B168D9">
              <w:rPr>
                <w:color w:val="000000"/>
                <w:vertAlign w:val="superscript"/>
                <w:lang w:val="pt-BR"/>
              </w:rPr>
              <w:t>c</w:t>
            </w:r>
          </w:p>
        </w:tc>
      </w:tr>
      <w:tr w:rsidR="00B168D9" w:rsidRPr="00A70C71" w:rsidTr="00064AE5">
        <w:trPr>
          <w:cantSplit/>
          <w:trHeight w:val="226"/>
        </w:trPr>
        <w:tc>
          <w:tcPr>
            <w:tcW w:w="851" w:type="dxa"/>
            <w:vMerge/>
            <w:tcBorders>
              <w:bottom w:val="single" w:sz="12" w:space="0" w:color="00B050"/>
            </w:tcBorders>
            <w:shd w:val="clear" w:color="auto" w:fill="auto"/>
          </w:tcPr>
          <w:p w:rsidR="00B168D9" w:rsidRPr="00B168D9" w:rsidRDefault="00B168D9" w:rsidP="00B168D9">
            <w:pPr>
              <w:tabs>
                <w:tab w:val="center" w:pos="1114"/>
                <w:tab w:val="right" w:pos="2228"/>
              </w:tabs>
              <w:snapToGrid w:val="0"/>
              <w:spacing w:line="240" w:lineRule="auto"/>
            </w:pPr>
          </w:p>
        </w:tc>
        <w:tc>
          <w:tcPr>
            <w:tcW w:w="1539" w:type="dxa"/>
            <w:tcBorders>
              <w:bottom w:val="single" w:sz="12" w:space="0" w:color="00B050"/>
            </w:tcBorders>
            <w:shd w:val="clear" w:color="auto" w:fill="auto"/>
          </w:tcPr>
          <w:p w:rsidR="00B168D9" w:rsidRPr="00B168D9" w:rsidRDefault="00B168D9" w:rsidP="00B168D9">
            <w:pPr>
              <w:spacing w:line="240" w:lineRule="auto"/>
              <w:jc w:val="center"/>
            </w:pPr>
            <w:r w:rsidRPr="00B168D9">
              <w:rPr>
                <w:rFonts w:eastAsia="Symbol"/>
              </w:rPr>
              <w:t>Ethanolic</w:t>
            </w:r>
          </w:p>
        </w:tc>
        <w:tc>
          <w:tcPr>
            <w:tcW w:w="1733" w:type="dxa"/>
            <w:tcBorders>
              <w:bottom w:val="single" w:sz="12" w:space="0" w:color="00B050"/>
            </w:tcBorders>
            <w:shd w:val="clear" w:color="auto" w:fill="auto"/>
          </w:tcPr>
          <w:p w:rsidR="00B168D9" w:rsidRPr="00B168D9" w:rsidRDefault="00B168D9" w:rsidP="00B168D9">
            <w:pPr>
              <w:spacing w:line="240" w:lineRule="auto"/>
              <w:jc w:val="center"/>
            </w:pPr>
            <w:r w:rsidRPr="00B168D9">
              <w:rPr>
                <w:color w:val="000000"/>
                <w:lang w:val="pt-BR"/>
              </w:rPr>
              <w:t>0.00 ± 0.00</w:t>
            </w:r>
            <w:r w:rsidRPr="00B168D9">
              <w:rPr>
                <w:color w:val="000000"/>
                <w:vertAlign w:val="superscript"/>
                <w:lang w:val="pt-BR"/>
              </w:rPr>
              <w:t>h</w:t>
            </w:r>
          </w:p>
        </w:tc>
        <w:tc>
          <w:tcPr>
            <w:tcW w:w="1630" w:type="dxa"/>
            <w:tcBorders>
              <w:bottom w:val="single" w:sz="12" w:space="0" w:color="00B050"/>
            </w:tcBorders>
            <w:shd w:val="clear" w:color="auto" w:fill="auto"/>
          </w:tcPr>
          <w:p w:rsidR="00B168D9" w:rsidRPr="00B168D9" w:rsidRDefault="00B168D9" w:rsidP="00B168D9">
            <w:pPr>
              <w:spacing w:line="240" w:lineRule="auto"/>
              <w:jc w:val="center"/>
            </w:pPr>
            <w:r w:rsidRPr="00B168D9">
              <w:rPr>
                <w:color w:val="000000"/>
                <w:lang w:val="pt-BR"/>
              </w:rPr>
              <w:t>0.04 ± 0.05</w:t>
            </w:r>
            <w:r w:rsidRPr="00B168D9">
              <w:rPr>
                <w:color w:val="000000"/>
                <w:vertAlign w:val="superscript"/>
                <w:lang w:val="pt-BR"/>
              </w:rPr>
              <w:t>h</w:t>
            </w:r>
          </w:p>
        </w:tc>
        <w:tc>
          <w:tcPr>
            <w:tcW w:w="1461" w:type="dxa"/>
            <w:tcBorders>
              <w:bottom w:val="single" w:sz="12" w:space="0" w:color="00B050"/>
            </w:tcBorders>
            <w:shd w:val="clear" w:color="auto" w:fill="auto"/>
          </w:tcPr>
          <w:p w:rsidR="00B168D9" w:rsidRPr="00B168D9" w:rsidRDefault="00B168D9" w:rsidP="00B168D9">
            <w:pPr>
              <w:spacing w:line="240" w:lineRule="auto"/>
              <w:jc w:val="center"/>
            </w:pPr>
            <w:r w:rsidRPr="00B168D9">
              <w:rPr>
                <w:color w:val="000000"/>
                <w:lang w:val="pt-BR"/>
              </w:rPr>
              <w:t>0.12 ± 0.02</w:t>
            </w:r>
            <w:r w:rsidRPr="00B168D9">
              <w:rPr>
                <w:color w:val="000000"/>
                <w:vertAlign w:val="superscript"/>
                <w:lang w:val="pt-BR"/>
              </w:rPr>
              <w:t>h</w:t>
            </w:r>
          </w:p>
        </w:tc>
        <w:tc>
          <w:tcPr>
            <w:tcW w:w="1546" w:type="dxa"/>
            <w:tcBorders>
              <w:bottom w:val="single" w:sz="12" w:space="0" w:color="00B050"/>
            </w:tcBorders>
            <w:shd w:val="clear" w:color="auto" w:fill="auto"/>
          </w:tcPr>
          <w:p w:rsidR="00B168D9" w:rsidRPr="00B168D9" w:rsidRDefault="00B168D9" w:rsidP="00B168D9">
            <w:pPr>
              <w:spacing w:line="240" w:lineRule="auto"/>
              <w:jc w:val="center"/>
            </w:pPr>
            <w:r w:rsidRPr="00B168D9">
              <w:rPr>
                <w:color w:val="000000"/>
                <w:lang w:val="pt-BR"/>
              </w:rPr>
              <w:t>0.54 ± 0.01</w:t>
            </w:r>
            <w:r w:rsidRPr="00B168D9">
              <w:rPr>
                <w:color w:val="000000"/>
                <w:vertAlign w:val="superscript"/>
                <w:lang w:val="pt-BR"/>
              </w:rPr>
              <w:t>g</w:t>
            </w:r>
          </w:p>
        </w:tc>
      </w:tr>
    </w:tbl>
    <w:p w:rsidR="00B168D9" w:rsidRPr="0041365F" w:rsidRDefault="00274F4A" w:rsidP="00274F4A">
      <w:pPr>
        <w:tabs>
          <w:tab w:val="clear" w:pos="7100"/>
        </w:tabs>
        <w:autoSpaceDE w:val="0"/>
        <w:autoSpaceDN w:val="0"/>
        <w:adjustRightInd w:val="0"/>
        <w:spacing w:line="240" w:lineRule="auto"/>
        <w:jc w:val="left"/>
        <w:rPr>
          <w:rFonts w:eastAsia="Symbol"/>
          <w:b/>
          <w:bCs/>
          <w:sz w:val="16"/>
          <w:szCs w:val="16"/>
        </w:rPr>
      </w:pPr>
      <w:r w:rsidRPr="0041365F">
        <w:rPr>
          <w:sz w:val="16"/>
          <w:szCs w:val="16"/>
        </w:rPr>
        <w:t xml:space="preserve">The results represent the averages of three determinations. Samples followed by the same letters in the same column do not differ significantly </w:t>
      </w:r>
      <w:r w:rsidR="00B168D9" w:rsidRPr="0041365F">
        <w:rPr>
          <w:sz w:val="16"/>
          <w:szCs w:val="16"/>
        </w:rPr>
        <w:t>(p &gt; 0</w:t>
      </w:r>
      <w:r w:rsidRPr="0041365F">
        <w:rPr>
          <w:sz w:val="16"/>
          <w:szCs w:val="16"/>
        </w:rPr>
        <w:t>.05).</w:t>
      </w:r>
    </w:p>
    <w:p w:rsidR="00B168D9" w:rsidRPr="000555CC" w:rsidRDefault="00B168D9" w:rsidP="000555CC">
      <w:pPr>
        <w:pStyle w:val="CETBodytext"/>
        <w:rPr>
          <w:lang w:val="en-GB"/>
        </w:rPr>
      </w:pPr>
    </w:p>
    <w:p w:rsidR="003E1360" w:rsidRDefault="000555CC" w:rsidP="000555CC">
      <w:pPr>
        <w:pStyle w:val="CETBodytext"/>
        <w:rPr>
          <w:lang w:val="en-GB"/>
        </w:rPr>
      </w:pPr>
      <w:r w:rsidRPr="000555CC">
        <w:rPr>
          <w:lang w:val="en-GB"/>
        </w:rPr>
        <w:t xml:space="preserve">Analysis of variance (ANOVA) revealed that the cooked </w:t>
      </w:r>
      <w:proofErr w:type="spellStart"/>
      <w:r w:rsidRPr="000555CC">
        <w:rPr>
          <w:lang w:val="en-GB"/>
        </w:rPr>
        <w:t>pinhão</w:t>
      </w:r>
      <w:proofErr w:type="spellEnd"/>
      <w:r w:rsidRPr="000555CC">
        <w:rPr>
          <w:lang w:val="en-GB"/>
        </w:rPr>
        <w:t xml:space="preserve"> flour yielded the best results, </w:t>
      </w:r>
      <w:r w:rsidR="00026DDB">
        <w:rPr>
          <w:lang w:val="en-GB"/>
        </w:rPr>
        <w:t>as well for</w:t>
      </w:r>
      <w:r w:rsidR="00E87041">
        <w:rPr>
          <w:lang w:val="en-GB"/>
        </w:rPr>
        <w:t xml:space="preserve"> total phenolic compounds</w:t>
      </w:r>
      <w:r w:rsidRPr="000555CC">
        <w:rPr>
          <w:lang w:val="en-GB"/>
        </w:rPr>
        <w:t xml:space="preserve"> </w:t>
      </w:r>
      <w:r w:rsidR="00026DDB">
        <w:rPr>
          <w:lang w:val="en-GB"/>
        </w:rPr>
        <w:t>as for</w:t>
      </w:r>
      <w:r w:rsidRPr="000555CC">
        <w:rPr>
          <w:lang w:val="en-GB"/>
        </w:rPr>
        <w:t xml:space="preserve"> DPPH, when the m</w:t>
      </w:r>
      <w:r w:rsidR="00E87041">
        <w:rPr>
          <w:lang w:val="en-GB"/>
        </w:rPr>
        <w:t>ixture of ethanol and water (70:</w:t>
      </w:r>
      <w:r w:rsidRPr="000555CC">
        <w:rPr>
          <w:lang w:val="en-GB"/>
        </w:rPr>
        <w:t xml:space="preserve">30 ratio by weight) was used, followed by water. </w:t>
      </w:r>
      <w:r w:rsidR="00026DDB">
        <w:rPr>
          <w:lang w:val="en-GB"/>
        </w:rPr>
        <w:t>It can be explained by</w:t>
      </w:r>
      <w:r w:rsidRPr="000555CC">
        <w:rPr>
          <w:lang w:val="en-GB"/>
        </w:rPr>
        <w:t xml:space="preserve"> the migration of the bioactive compounds from the coat to the seeds during the cooking process. </w:t>
      </w:r>
      <w:r w:rsidR="003E1360">
        <w:rPr>
          <w:lang w:val="en-GB"/>
        </w:rPr>
        <w:t>This fact was also</w:t>
      </w:r>
      <w:r w:rsidRPr="000555CC">
        <w:rPr>
          <w:lang w:val="en-GB"/>
        </w:rPr>
        <w:t xml:space="preserve"> demonstrated in</w:t>
      </w:r>
      <w:r w:rsidR="00E87041">
        <w:rPr>
          <w:lang w:val="en-GB"/>
        </w:rPr>
        <w:t xml:space="preserve"> the study about total phenolic</w:t>
      </w:r>
      <w:r w:rsidRPr="000555CC">
        <w:rPr>
          <w:lang w:val="en-GB"/>
        </w:rPr>
        <w:t xml:space="preserve"> conducted by </w:t>
      </w:r>
      <w:proofErr w:type="spellStart"/>
      <w:r w:rsidR="000E45B4" w:rsidRPr="000555CC">
        <w:rPr>
          <w:lang w:val="en-GB"/>
        </w:rPr>
        <w:t>Darolt</w:t>
      </w:r>
      <w:proofErr w:type="spellEnd"/>
      <w:r w:rsidR="000E45B4" w:rsidRPr="000555CC">
        <w:rPr>
          <w:lang w:val="en-GB"/>
        </w:rPr>
        <w:t xml:space="preserve"> </w:t>
      </w:r>
      <w:r w:rsidR="000E45B4">
        <w:rPr>
          <w:lang w:val="en-GB"/>
        </w:rPr>
        <w:t>and</w:t>
      </w:r>
      <w:r w:rsidRPr="000555CC">
        <w:rPr>
          <w:lang w:val="en-GB"/>
        </w:rPr>
        <w:t xml:space="preserve"> </w:t>
      </w:r>
      <w:r w:rsidR="000E45B4" w:rsidRPr="000555CC">
        <w:rPr>
          <w:lang w:val="en-GB"/>
        </w:rPr>
        <w:t xml:space="preserve">Helm </w:t>
      </w:r>
      <w:r w:rsidRPr="000555CC">
        <w:rPr>
          <w:lang w:val="en-GB"/>
        </w:rPr>
        <w:t xml:space="preserve">(2012), where the fresh coat had 4198.75 mg eq. </w:t>
      </w:r>
      <w:proofErr w:type="spellStart"/>
      <w:r w:rsidRPr="000555CC">
        <w:rPr>
          <w:lang w:val="en-GB"/>
        </w:rPr>
        <w:t>chlorogenic</w:t>
      </w:r>
      <w:proofErr w:type="spellEnd"/>
      <w:r w:rsidRPr="000555CC">
        <w:rPr>
          <w:lang w:val="en-GB"/>
        </w:rPr>
        <w:t xml:space="preserve"> acid</w:t>
      </w:r>
      <w:r w:rsidR="006F0841">
        <w:rPr>
          <w:lang w:val="en-GB"/>
        </w:rPr>
        <w:t xml:space="preserve"> / 100 g sample</w:t>
      </w:r>
      <w:r w:rsidRPr="000555CC">
        <w:rPr>
          <w:lang w:val="en-GB"/>
        </w:rPr>
        <w:t xml:space="preserve">, and after the cooking process only 1215.82 mg eq. </w:t>
      </w:r>
      <w:proofErr w:type="spellStart"/>
      <w:r w:rsidR="006F0841" w:rsidRPr="000555CC">
        <w:rPr>
          <w:lang w:val="en-GB"/>
        </w:rPr>
        <w:t>chlorogenic</w:t>
      </w:r>
      <w:proofErr w:type="spellEnd"/>
      <w:r w:rsidR="006F0841" w:rsidRPr="000555CC">
        <w:rPr>
          <w:lang w:val="en-GB"/>
        </w:rPr>
        <w:t xml:space="preserve"> acid</w:t>
      </w:r>
      <w:r w:rsidR="006F0841">
        <w:rPr>
          <w:lang w:val="en-GB"/>
        </w:rPr>
        <w:t xml:space="preserve"> / 100 g sample</w:t>
      </w:r>
      <w:r w:rsidR="006F0841" w:rsidRPr="000555CC">
        <w:rPr>
          <w:lang w:val="en-GB"/>
        </w:rPr>
        <w:t xml:space="preserve"> </w:t>
      </w:r>
      <w:r w:rsidR="006F0841">
        <w:rPr>
          <w:lang w:val="en-GB"/>
        </w:rPr>
        <w:t>remained</w:t>
      </w:r>
      <w:r w:rsidRPr="000555CC">
        <w:rPr>
          <w:lang w:val="en-GB"/>
        </w:rPr>
        <w:t xml:space="preserve"> in the seed coat. </w:t>
      </w:r>
    </w:p>
    <w:p w:rsidR="000555CC" w:rsidRPr="000555CC" w:rsidRDefault="000555CC" w:rsidP="000555CC">
      <w:pPr>
        <w:pStyle w:val="CETBodytext"/>
        <w:rPr>
          <w:lang w:val="en-GB"/>
        </w:rPr>
      </w:pPr>
      <w:r w:rsidRPr="000555CC">
        <w:rPr>
          <w:lang w:val="en-GB"/>
        </w:rPr>
        <w:t>The higher total phenolic content observed in the cooked seed</w:t>
      </w:r>
      <w:r w:rsidR="00C868D7">
        <w:rPr>
          <w:lang w:val="en-GB"/>
        </w:rPr>
        <w:t>s</w:t>
      </w:r>
      <w:r w:rsidRPr="000555CC">
        <w:rPr>
          <w:lang w:val="en-GB"/>
        </w:rPr>
        <w:t xml:space="preserve"> is explained by the fact that the cooking process opens the membranes of the cell wall of the seed coat, facilitating the migration of these compounds into the seeds (</w:t>
      </w:r>
      <w:proofErr w:type="spellStart"/>
      <w:r w:rsidR="000E45B4" w:rsidRPr="000555CC">
        <w:rPr>
          <w:lang w:val="en-GB"/>
        </w:rPr>
        <w:t>Thys</w:t>
      </w:r>
      <w:proofErr w:type="spellEnd"/>
      <w:r w:rsidR="000E45B4" w:rsidRPr="000555CC">
        <w:rPr>
          <w:lang w:val="en-GB"/>
        </w:rPr>
        <w:t xml:space="preserve"> </w:t>
      </w:r>
      <w:r w:rsidR="000E45B4">
        <w:rPr>
          <w:lang w:val="en-GB"/>
        </w:rPr>
        <w:t>and</w:t>
      </w:r>
      <w:r w:rsidRPr="000555CC">
        <w:rPr>
          <w:lang w:val="en-GB"/>
        </w:rPr>
        <w:t xml:space="preserve"> </w:t>
      </w:r>
      <w:r w:rsidR="000E45B4" w:rsidRPr="000555CC">
        <w:rPr>
          <w:lang w:val="en-GB"/>
        </w:rPr>
        <w:t>Cunha</w:t>
      </w:r>
      <w:r w:rsidR="000E45B4">
        <w:rPr>
          <w:lang w:val="en-GB"/>
        </w:rPr>
        <w:t>,</w:t>
      </w:r>
      <w:r w:rsidR="000E45B4" w:rsidRPr="000555CC">
        <w:rPr>
          <w:lang w:val="en-GB"/>
        </w:rPr>
        <w:t xml:space="preserve"> </w:t>
      </w:r>
      <w:r w:rsidRPr="000555CC">
        <w:rPr>
          <w:lang w:val="en-GB"/>
        </w:rPr>
        <w:t>2015). The partial hydrolysis of the tannins present in the seed coa</w:t>
      </w:r>
      <w:r w:rsidR="00C868D7">
        <w:rPr>
          <w:lang w:val="en-GB"/>
        </w:rPr>
        <w:t xml:space="preserve">t can also occur, </w:t>
      </w:r>
      <w:r w:rsidRPr="000555CC">
        <w:rPr>
          <w:lang w:val="en-GB"/>
        </w:rPr>
        <w:t>producing simple phenolic that migrate to the seed more easily (</w:t>
      </w:r>
      <w:proofErr w:type="spellStart"/>
      <w:r w:rsidR="000E45B4" w:rsidRPr="000555CC">
        <w:rPr>
          <w:lang w:val="en-GB"/>
        </w:rPr>
        <w:t>Koehnlein</w:t>
      </w:r>
      <w:proofErr w:type="spellEnd"/>
      <w:r w:rsidR="000E45B4" w:rsidRPr="000555CC">
        <w:rPr>
          <w:lang w:val="en-GB"/>
        </w:rPr>
        <w:t xml:space="preserve"> </w:t>
      </w:r>
      <w:r w:rsidRPr="000555CC">
        <w:rPr>
          <w:lang w:val="en-GB"/>
        </w:rPr>
        <w:t>et al.</w:t>
      </w:r>
      <w:r w:rsidR="000E45B4">
        <w:rPr>
          <w:lang w:val="en-GB"/>
        </w:rPr>
        <w:t>,</w:t>
      </w:r>
      <w:r w:rsidRPr="000555CC">
        <w:rPr>
          <w:lang w:val="en-GB"/>
        </w:rPr>
        <w:t xml:space="preserve"> 2012). </w:t>
      </w:r>
      <w:proofErr w:type="spellStart"/>
      <w:r w:rsidR="000E45B4" w:rsidRPr="000555CC">
        <w:rPr>
          <w:lang w:val="en-GB"/>
        </w:rPr>
        <w:t>Thys</w:t>
      </w:r>
      <w:proofErr w:type="spellEnd"/>
      <w:r w:rsidR="000E45B4" w:rsidRPr="000555CC">
        <w:rPr>
          <w:lang w:val="en-GB"/>
        </w:rPr>
        <w:t xml:space="preserve"> </w:t>
      </w:r>
      <w:r w:rsidR="000E45B4">
        <w:rPr>
          <w:lang w:val="en-GB"/>
        </w:rPr>
        <w:t>and</w:t>
      </w:r>
      <w:r w:rsidRPr="000555CC">
        <w:rPr>
          <w:lang w:val="en-GB"/>
        </w:rPr>
        <w:t xml:space="preserve"> </w:t>
      </w:r>
      <w:r w:rsidR="000E45B4" w:rsidRPr="000555CC">
        <w:rPr>
          <w:lang w:val="en-GB"/>
        </w:rPr>
        <w:t xml:space="preserve">Cunha </w:t>
      </w:r>
      <w:r w:rsidRPr="000555CC">
        <w:rPr>
          <w:lang w:val="en-GB"/>
        </w:rPr>
        <w:t>(2015), when determining the total phenolic compounds obtained the highest contents (22.09 mg GAE/100</w:t>
      </w:r>
      <w:r w:rsidR="00C868D7">
        <w:rPr>
          <w:lang w:val="en-GB"/>
        </w:rPr>
        <w:t xml:space="preserve"> </w:t>
      </w:r>
      <w:r w:rsidRPr="000555CC">
        <w:rPr>
          <w:lang w:val="en-GB"/>
        </w:rPr>
        <w:t>g of sample) for the cooked flour, when compared to the raw flour (5.75 mg GAE/100</w:t>
      </w:r>
      <w:r w:rsidR="00C868D7">
        <w:rPr>
          <w:lang w:val="en-GB"/>
        </w:rPr>
        <w:t xml:space="preserve"> </w:t>
      </w:r>
      <w:r w:rsidRPr="000555CC">
        <w:rPr>
          <w:lang w:val="en-GB"/>
        </w:rPr>
        <w:t xml:space="preserve">g of sample).  </w:t>
      </w:r>
    </w:p>
    <w:p w:rsidR="000555CC" w:rsidRPr="000555CC" w:rsidRDefault="000555CC" w:rsidP="000555CC">
      <w:pPr>
        <w:pStyle w:val="CETBodytext"/>
        <w:rPr>
          <w:lang w:val="en-GB"/>
        </w:rPr>
      </w:pPr>
      <w:r w:rsidRPr="000555CC">
        <w:rPr>
          <w:lang w:val="en-GB"/>
        </w:rPr>
        <w:t xml:space="preserve">Several methods and solvent systems are being studied for the extraction of bioactive compounds, making it possible its quantification and the determination of the antioxidant capacity. The polarity of the solvent is the most important factor, considering that phenolic compounds have different polarities (varying from simple to highly </w:t>
      </w:r>
      <w:proofErr w:type="gramStart"/>
      <w:r w:rsidRPr="000555CC">
        <w:rPr>
          <w:lang w:val="en-GB"/>
        </w:rPr>
        <w:t>polarized</w:t>
      </w:r>
      <w:proofErr w:type="gramEnd"/>
      <w:r w:rsidRPr="000555CC">
        <w:rPr>
          <w:lang w:val="en-GB"/>
        </w:rPr>
        <w:t xml:space="preserve">). That being the case, solubility in a given solvent is a distinctive characteristic of the compound. Due to this fact, there isn't any specific extraction system that would be satisfactory to </w:t>
      </w:r>
      <w:r w:rsidR="00E87041" w:rsidRPr="000555CC">
        <w:rPr>
          <w:lang w:val="en-GB"/>
        </w:rPr>
        <w:t>analyse</w:t>
      </w:r>
      <w:r w:rsidRPr="000555CC">
        <w:rPr>
          <w:lang w:val="en-GB"/>
        </w:rPr>
        <w:t xml:space="preserve"> the varied group of compounds due to the diversity of the chemical structures and the variations of the sensitivity of the compounds according to the extraction conditions and the environment (</w:t>
      </w:r>
      <w:proofErr w:type="spellStart"/>
      <w:r w:rsidR="000E45B4" w:rsidRPr="000555CC">
        <w:rPr>
          <w:lang w:val="en-GB"/>
        </w:rPr>
        <w:t>Rockenbach</w:t>
      </w:r>
      <w:proofErr w:type="spellEnd"/>
      <w:r w:rsidR="000E45B4" w:rsidRPr="000555CC">
        <w:rPr>
          <w:lang w:val="en-GB"/>
        </w:rPr>
        <w:t xml:space="preserve"> </w:t>
      </w:r>
      <w:r w:rsidRPr="000555CC">
        <w:rPr>
          <w:lang w:val="en-GB"/>
        </w:rPr>
        <w:t>et al.</w:t>
      </w:r>
      <w:r w:rsidR="000E45B4">
        <w:rPr>
          <w:lang w:val="en-GB"/>
        </w:rPr>
        <w:t>,</w:t>
      </w:r>
      <w:r w:rsidRPr="000555CC">
        <w:rPr>
          <w:lang w:val="en-GB"/>
        </w:rPr>
        <w:t xml:space="preserve"> 2008). </w:t>
      </w:r>
    </w:p>
    <w:p w:rsidR="000555CC" w:rsidRPr="000555CC" w:rsidRDefault="000555CC" w:rsidP="000555CC">
      <w:pPr>
        <w:pStyle w:val="CETBodytext"/>
        <w:rPr>
          <w:lang w:val="en-GB"/>
        </w:rPr>
      </w:pPr>
      <w:r w:rsidRPr="000555CC">
        <w:rPr>
          <w:lang w:val="en-GB"/>
        </w:rPr>
        <w:t xml:space="preserve">After all samples </w:t>
      </w:r>
      <w:r w:rsidR="00E87041" w:rsidRPr="000555CC">
        <w:rPr>
          <w:lang w:val="en-GB"/>
        </w:rPr>
        <w:t>analysed</w:t>
      </w:r>
      <w:r w:rsidRPr="000555CC">
        <w:rPr>
          <w:lang w:val="en-GB"/>
        </w:rPr>
        <w:t xml:space="preserve"> were compared, it was found that when the seeds were processed as grits they presented a lower content of bioactive compounds and lower antioxidant activity when the solvent ethanol was used. To obtain grits, the </w:t>
      </w:r>
      <w:proofErr w:type="spellStart"/>
      <w:r w:rsidRPr="000555CC">
        <w:rPr>
          <w:lang w:val="en-GB"/>
        </w:rPr>
        <w:t>pinhã</w:t>
      </w:r>
      <w:r w:rsidR="00E87041">
        <w:rPr>
          <w:lang w:val="en-GB"/>
        </w:rPr>
        <w:t>o</w:t>
      </w:r>
      <w:proofErr w:type="spellEnd"/>
      <w:r w:rsidR="00E87041">
        <w:rPr>
          <w:lang w:val="en-GB"/>
        </w:rPr>
        <w:t xml:space="preserve"> are cooked and roasted at 115 °</w:t>
      </w:r>
      <w:r w:rsidRPr="000555CC">
        <w:rPr>
          <w:lang w:val="en-GB"/>
        </w:rPr>
        <w:t xml:space="preserve">C, which </w:t>
      </w:r>
      <w:r w:rsidR="00E87041">
        <w:rPr>
          <w:lang w:val="en-GB"/>
        </w:rPr>
        <w:t>was</w:t>
      </w:r>
      <w:r w:rsidRPr="000555CC">
        <w:rPr>
          <w:lang w:val="en-GB"/>
        </w:rPr>
        <w:t xml:space="preserve"> possibly the cause for the degradation of the phenolic compounds. Furthermore, it should be taken into consideration that the ethanol, by virtue of its polarity, may not have extracted effectively all compounds present in the seeds.  </w:t>
      </w:r>
    </w:p>
    <w:p w:rsidR="000555CC" w:rsidRPr="000555CC" w:rsidRDefault="000555CC" w:rsidP="000555CC">
      <w:pPr>
        <w:pStyle w:val="CETBodytext"/>
        <w:rPr>
          <w:lang w:val="en-GB"/>
        </w:rPr>
      </w:pPr>
      <w:r w:rsidRPr="000555CC">
        <w:rPr>
          <w:lang w:val="en-GB"/>
        </w:rPr>
        <w:t xml:space="preserve">In the case of the raw </w:t>
      </w:r>
      <w:proofErr w:type="spellStart"/>
      <w:r w:rsidRPr="000555CC">
        <w:rPr>
          <w:lang w:val="en-GB"/>
        </w:rPr>
        <w:t>pinhão</w:t>
      </w:r>
      <w:proofErr w:type="spellEnd"/>
      <w:r w:rsidRPr="000555CC">
        <w:rPr>
          <w:lang w:val="en-GB"/>
        </w:rPr>
        <w:t xml:space="preserve"> flour, the aqueous extract was the most efficient in the extraction of the phenolic compounds, followed by the hydroethanolic and ethanolic extracts, showing a </w:t>
      </w:r>
      <w:r w:rsidR="00C868D7" w:rsidRPr="000555CC">
        <w:rPr>
          <w:lang w:val="en-GB"/>
        </w:rPr>
        <w:t xml:space="preserve">similar </w:t>
      </w:r>
      <w:r w:rsidRPr="000555CC">
        <w:rPr>
          <w:lang w:val="en-GB"/>
        </w:rPr>
        <w:t xml:space="preserve">behaviour </w:t>
      </w:r>
      <w:r w:rsidR="00C868D7">
        <w:rPr>
          <w:lang w:val="en-GB"/>
        </w:rPr>
        <w:t>to the grits. W</w:t>
      </w:r>
      <w:r w:rsidRPr="000555CC">
        <w:rPr>
          <w:lang w:val="en-GB"/>
        </w:rPr>
        <w:t xml:space="preserve">hen the antioxidant activity was measured, the same order of effectiveness of the solvents in the raw flour </w:t>
      </w:r>
      <w:r w:rsidRPr="000555CC">
        <w:rPr>
          <w:lang w:val="en-GB"/>
        </w:rPr>
        <w:lastRenderedPageBreak/>
        <w:t>was observ</w:t>
      </w:r>
      <w:r w:rsidR="00E87041">
        <w:rPr>
          <w:lang w:val="en-GB"/>
        </w:rPr>
        <w:t>ed. However, in grits the hydro</w:t>
      </w:r>
      <w:r w:rsidRPr="000555CC">
        <w:rPr>
          <w:lang w:val="en-GB"/>
        </w:rPr>
        <w:t xml:space="preserve">ethanolic extract exhibited the highest scavenging capacity of the DPPH radical. </w:t>
      </w:r>
    </w:p>
    <w:p w:rsidR="000555CC" w:rsidRPr="000555CC" w:rsidRDefault="000555CC" w:rsidP="000555CC">
      <w:pPr>
        <w:pStyle w:val="CETBodytext"/>
        <w:rPr>
          <w:lang w:val="en-GB"/>
        </w:rPr>
      </w:pPr>
      <w:r w:rsidRPr="000555CC">
        <w:rPr>
          <w:lang w:val="en-GB"/>
        </w:rPr>
        <w:t xml:space="preserve">The content of total phenolic compounds obtained was higher than the one obtained by </w:t>
      </w:r>
      <w:proofErr w:type="spellStart"/>
      <w:r w:rsidR="000E45B4" w:rsidRPr="000555CC">
        <w:rPr>
          <w:lang w:val="en-GB"/>
        </w:rPr>
        <w:t>Koehnlein</w:t>
      </w:r>
      <w:proofErr w:type="spellEnd"/>
      <w:r w:rsidR="000E45B4" w:rsidRPr="000555CC">
        <w:rPr>
          <w:lang w:val="en-GB"/>
        </w:rPr>
        <w:t xml:space="preserve"> </w:t>
      </w:r>
      <w:r w:rsidRPr="000555CC">
        <w:rPr>
          <w:lang w:val="en-GB"/>
        </w:rPr>
        <w:t>et al. (2012) 0.29 and 1.20</w:t>
      </w:r>
      <w:r w:rsidR="00A96621">
        <w:rPr>
          <w:lang w:val="en-GB"/>
        </w:rPr>
        <w:t xml:space="preserve"> </w:t>
      </w:r>
      <w:r w:rsidRPr="000555CC">
        <w:rPr>
          <w:lang w:val="en-GB"/>
        </w:rPr>
        <w:t xml:space="preserve">g eq.  </w:t>
      </w:r>
      <w:proofErr w:type="spellStart"/>
      <w:proofErr w:type="gramStart"/>
      <w:r w:rsidRPr="000555CC">
        <w:rPr>
          <w:lang w:val="en-GB"/>
        </w:rPr>
        <w:t>gallic</w:t>
      </w:r>
      <w:proofErr w:type="spellEnd"/>
      <w:proofErr w:type="gramEnd"/>
      <w:r w:rsidRPr="000555CC">
        <w:rPr>
          <w:lang w:val="en-GB"/>
        </w:rPr>
        <w:t xml:space="preserve"> acid/100</w:t>
      </w:r>
      <w:r w:rsidR="00A96621">
        <w:rPr>
          <w:lang w:val="en-GB"/>
        </w:rPr>
        <w:t xml:space="preserve"> </w:t>
      </w:r>
      <w:r w:rsidRPr="000555CC">
        <w:rPr>
          <w:lang w:val="en-GB"/>
        </w:rPr>
        <w:t xml:space="preserve">g for raw and cooked seeds, respectively, using ethanol 70% for the extraction. While the DPPH inhibition percentage obtained was lower than the ones obtained by </w:t>
      </w:r>
      <w:proofErr w:type="spellStart"/>
      <w:r w:rsidR="000E45B4" w:rsidRPr="000555CC">
        <w:rPr>
          <w:lang w:val="en-GB"/>
        </w:rPr>
        <w:t>Thys</w:t>
      </w:r>
      <w:proofErr w:type="spellEnd"/>
      <w:r w:rsidR="000E45B4" w:rsidRPr="000555CC">
        <w:rPr>
          <w:lang w:val="en-GB"/>
        </w:rPr>
        <w:t xml:space="preserve"> </w:t>
      </w:r>
      <w:r w:rsidRPr="000555CC">
        <w:rPr>
          <w:lang w:val="en-GB"/>
        </w:rPr>
        <w:t xml:space="preserve">and </w:t>
      </w:r>
      <w:r w:rsidR="000E45B4" w:rsidRPr="000555CC">
        <w:rPr>
          <w:lang w:val="en-GB"/>
        </w:rPr>
        <w:t xml:space="preserve">Cunha </w:t>
      </w:r>
      <w:r w:rsidRPr="000555CC">
        <w:rPr>
          <w:lang w:val="en-GB"/>
        </w:rPr>
        <w:t xml:space="preserve">(2015) with raw (72.71%), cooked (141.04%) and roasted (67.33%) seeds flour, but it should be taken into consideration that methanol and acetone 70% were used for the extraction of the compounds. </w:t>
      </w:r>
    </w:p>
    <w:p w:rsidR="000555CC" w:rsidRPr="000555CC" w:rsidRDefault="00C868D7" w:rsidP="000555CC">
      <w:pPr>
        <w:pStyle w:val="CETBodytext"/>
        <w:rPr>
          <w:lang w:val="en-GB"/>
        </w:rPr>
      </w:pPr>
      <w:proofErr w:type="spellStart"/>
      <w:r w:rsidRPr="000555CC">
        <w:rPr>
          <w:lang w:val="en-GB"/>
        </w:rPr>
        <w:t>Rockenbach</w:t>
      </w:r>
      <w:proofErr w:type="spellEnd"/>
      <w:r w:rsidRPr="000555CC">
        <w:rPr>
          <w:lang w:val="en-GB"/>
        </w:rPr>
        <w:t xml:space="preserve"> </w:t>
      </w:r>
      <w:r w:rsidR="000555CC" w:rsidRPr="000555CC">
        <w:rPr>
          <w:lang w:val="en-GB"/>
        </w:rPr>
        <w:t xml:space="preserve">et al. (2008), </w:t>
      </w:r>
      <w:r w:rsidR="00E87041" w:rsidRPr="000555CC">
        <w:rPr>
          <w:lang w:val="en-GB"/>
        </w:rPr>
        <w:t>analysing</w:t>
      </w:r>
      <w:r w:rsidR="000555CC" w:rsidRPr="000555CC">
        <w:rPr>
          <w:lang w:val="en-GB"/>
        </w:rPr>
        <w:t xml:space="preserve"> total phenolic compounds in grape </w:t>
      </w:r>
      <w:proofErr w:type="spellStart"/>
      <w:r w:rsidR="000555CC" w:rsidRPr="000555CC">
        <w:rPr>
          <w:lang w:val="en-GB"/>
        </w:rPr>
        <w:t>pomace</w:t>
      </w:r>
      <w:proofErr w:type="spellEnd"/>
      <w:r w:rsidR="000555CC" w:rsidRPr="000555CC">
        <w:rPr>
          <w:lang w:val="en-GB"/>
        </w:rPr>
        <w:t xml:space="preserve"> with different extraction solvents, obtained the highest concentration by </w:t>
      </w:r>
      <w:proofErr w:type="gramStart"/>
      <w:r w:rsidR="000555CC" w:rsidRPr="000555CC">
        <w:rPr>
          <w:lang w:val="en-GB"/>
        </w:rPr>
        <w:t>using  ethanol</w:t>
      </w:r>
      <w:proofErr w:type="gramEnd"/>
      <w:r w:rsidR="000555CC" w:rsidRPr="000555CC">
        <w:rPr>
          <w:lang w:val="en-GB"/>
        </w:rPr>
        <w:t xml:space="preserve"> 50% (7.32</w:t>
      </w:r>
      <w:r w:rsidR="00A96621">
        <w:rPr>
          <w:lang w:val="en-GB"/>
        </w:rPr>
        <w:t xml:space="preserve"> </w:t>
      </w:r>
      <w:r w:rsidR="000555CC" w:rsidRPr="000555CC">
        <w:rPr>
          <w:lang w:val="en-GB"/>
        </w:rPr>
        <w:t>g GAE/100</w:t>
      </w:r>
      <w:r w:rsidR="00A96621">
        <w:rPr>
          <w:lang w:val="en-GB"/>
        </w:rPr>
        <w:t xml:space="preserve"> </w:t>
      </w:r>
      <w:r w:rsidR="000555CC" w:rsidRPr="000555CC">
        <w:rPr>
          <w:lang w:val="en-GB"/>
        </w:rPr>
        <w:t>g of dry weight), followed by ethanol 70% (5.86</w:t>
      </w:r>
      <w:r w:rsidR="00A96621">
        <w:rPr>
          <w:lang w:val="en-GB"/>
        </w:rPr>
        <w:t xml:space="preserve"> </w:t>
      </w:r>
      <w:r w:rsidR="000555CC" w:rsidRPr="000555CC">
        <w:rPr>
          <w:lang w:val="en-GB"/>
        </w:rPr>
        <w:t>g GAE/100</w:t>
      </w:r>
      <w:r w:rsidR="00A96621">
        <w:rPr>
          <w:lang w:val="en-GB"/>
        </w:rPr>
        <w:t xml:space="preserve"> </w:t>
      </w:r>
      <w:r w:rsidR="000555CC" w:rsidRPr="000555CC">
        <w:rPr>
          <w:lang w:val="en-GB"/>
        </w:rPr>
        <w:t>g of dry weight ), ethanol 100% (2.73</w:t>
      </w:r>
      <w:r w:rsidR="00A96621">
        <w:rPr>
          <w:lang w:val="en-GB"/>
        </w:rPr>
        <w:t xml:space="preserve"> </w:t>
      </w:r>
      <w:r w:rsidR="000555CC" w:rsidRPr="000555CC">
        <w:rPr>
          <w:lang w:val="en-GB"/>
        </w:rPr>
        <w:t>g GAE/100</w:t>
      </w:r>
      <w:r w:rsidR="00A96621">
        <w:rPr>
          <w:lang w:val="en-GB"/>
        </w:rPr>
        <w:t xml:space="preserve"> </w:t>
      </w:r>
      <w:r w:rsidR="000555CC" w:rsidRPr="000555CC">
        <w:rPr>
          <w:lang w:val="en-GB"/>
        </w:rPr>
        <w:t>g of dry weight ), and water (1.48</w:t>
      </w:r>
      <w:r w:rsidR="00A96621">
        <w:rPr>
          <w:lang w:val="en-GB"/>
        </w:rPr>
        <w:t xml:space="preserve"> </w:t>
      </w:r>
      <w:r w:rsidR="000555CC" w:rsidRPr="000555CC">
        <w:rPr>
          <w:lang w:val="en-GB"/>
        </w:rPr>
        <w:t>g GAE/100</w:t>
      </w:r>
      <w:r w:rsidR="00A96621">
        <w:rPr>
          <w:lang w:val="en-GB"/>
        </w:rPr>
        <w:t xml:space="preserve"> </w:t>
      </w:r>
      <w:r w:rsidR="000555CC" w:rsidRPr="000555CC">
        <w:rPr>
          <w:lang w:val="en-GB"/>
        </w:rPr>
        <w:t xml:space="preserve">g of dry weight ). </w:t>
      </w:r>
      <w:r w:rsidR="000E45B4" w:rsidRPr="000555CC">
        <w:rPr>
          <w:lang w:val="en-GB"/>
        </w:rPr>
        <w:t xml:space="preserve">Vieira </w:t>
      </w:r>
      <w:r w:rsidR="000555CC" w:rsidRPr="000555CC">
        <w:rPr>
          <w:lang w:val="en-GB"/>
        </w:rPr>
        <w:t>et al. (2009) studied the total phenolic content in residues from the indus</w:t>
      </w:r>
      <w:r w:rsidR="00A96621">
        <w:rPr>
          <w:lang w:val="en-GB"/>
        </w:rPr>
        <w:t>trialization of</w:t>
      </w:r>
      <w:r w:rsidR="000555CC" w:rsidRPr="000555CC">
        <w:rPr>
          <w:lang w:val="en-GB"/>
        </w:rPr>
        <w:t xml:space="preserve"> </w:t>
      </w:r>
      <w:r w:rsidR="000555CC" w:rsidRPr="00A96621">
        <w:rPr>
          <w:i/>
          <w:lang w:val="en-GB"/>
        </w:rPr>
        <w:t xml:space="preserve">Ilex </w:t>
      </w:r>
      <w:proofErr w:type="spellStart"/>
      <w:r w:rsidR="000555CC" w:rsidRPr="00A96621">
        <w:rPr>
          <w:i/>
          <w:lang w:val="en-GB"/>
        </w:rPr>
        <w:t>par</w:t>
      </w:r>
      <w:r w:rsidR="00A96621" w:rsidRPr="00A96621">
        <w:rPr>
          <w:i/>
          <w:lang w:val="en-GB"/>
        </w:rPr>
        <w:t>aguariensis</w:t>
      </w:r>
      <w:proofErr w:type="spellEnd"/>
      <w:r w:rsidR="00A96621">
        <w:rPr>
          <w:lang w:val="en-GB"/>
        </w:rPr>
        <w:t>, by</w:t>
      </w:r>
      <w:r w:rsidR="000555CC" w:rsidRPr="000555CC">
        <w:rPr>
          <w:lang w:val="en-GB"/>
        </w:rPr>
        <w:t xml:space="preserve"> </w:t>
      </w:r>
      <w:r w:rsidR="00A96621" w:rsidRPr="000555CC">
        <w:rPr>
          <w:lang w:val="en-GB"/>
        </w:rPr>
        <w:t xml:space="preserve">different solvents </w:t>
      </w:r>
      <w:r w:rsidR="000555CC" w:rsidRPr="000555CC">
        <w:rPr>
          <w:lang w:val="en-GB"/>
        </w:rPr>
        <w:t xml:space="preserve">extracts. </w:t>
      </w:r>
      <w:r w:rsidR="00A96621">
        <w:rPr>
          <w:lang w:val="en-GB"/>
        </w:rPr>
        <w:t>They observed t</w:t>
      </w:r>
      <w:r w:rsidR="000555CC" w:rsidRPr="000555CC">
        <w:rPr>
          <w:lang w:val="en-GB"/>
        </w:rPr>
        <w:t xml:space="preserve">he </w:t>
      </w:r>
      <w:proofErr w:type="spellStart"/>
      <w:r w:rsidR="00A96621" w:rsidRPr="000555CC">
        <w:rPr>
          <w:lang w:val="en-GB"/>
        </w:rPr>
        <w:t>methanol</w:t>
      </w:r>
      <w:r w:rsidR="00A96621">
        <w:rPr>
          <w:lang w:val="en-GB"/>
        </w:rPr>
        <w:t>ic</w:t>
      </w:r>
      <w:proofErr w:type="spellEnd"/>
      <w:r w:rsidR="00A96621" w:rsidRPr="000555CC">
        <w:rPr>
          <w:lang w:val="en-GB"/>
        </w:rPr>
        <w:t xml:space="preserve"> </w:t>
      </w:r>
      <w:r w:rsidR="000555CC" w:rsidRPr="000555CC">
        <w:rPr>
          <w:lang w:val="en-GB"/>
        </w:rPr>
        <w:t xml:space="preserve">extract </w:t>
      </w:r>
      <w:r w:rsidR="00A96621">
        <w:rPr>
          <w:lang w:val="en-GB"/>
        </w:rPr>
        <w:t>(</w:t>
      </w:r>
      <w:r w:rsidR="000555CC" w:rsidRPr="000555CC">
        <w:rPr>
          <w:lang w:val="en-GB"/>
        </w:rPr>
        <w:t>80%</w:t>
      </w:r>
      <w:r w:rsidR="00A96621">
        <w:rPr>
          <w:lang w:val="en-GB"/>
        </w:rPr>
        <w:t>)</w:t>
      </w:r>
      <w:r w:rsidR="000555CC" w:rsidRPr="000555CC">
        <w:rPr>
          <w:lang w:val="en-GB"/>
        </w:rPr>
        <w:t xml:space="preserve"> exhibited the highest content of total phenolic compounds</w:t>
      </w:r>
      <w:r w:rsidR="00A96621">
        <w:rPr>
          <w:lang w:val="en-GB"/>
        </w:rPr>
        <w:t xml:space="preserve"> </w:t>
      </w:r>
      <w:r w:rsidR="00A96621" w:rsidRPr="000555CC">
        <w:rPr>
          <w:lang w:val="en-GB"/>
        </w:rPr>
        <w:t>(11.51</w:t>
      </w:r>
      <w:r w:rsidR="00A96621">
        <w:rPr>
          <w:lang w:val="en-GB"/>
        </w:rPr>
        <w:t xml:space="preserve"> </w:t>
      </w:r>
      <w:r w:rsidR="00A96621" w:rsidRPr="000555CC">
        <w:rPr>
          <w:lang w:val="en-GB"/>
        </w:rPr>
        <w:t>g GAE/100</w:t>
      </w:r>
      <w:r w:rsidR="00A96621">
        <w:rPr>
          <w:lang w:val="en-GB"/>
        </w:rPr>
        <w:t xml:space="preserve"> </w:t>
      </w:r>
      <w:r w:rsidR="00A96621" w:rsidRPr="000555CC">
        <w:rPr>
          <w:lang w:val="en-GB"/>
        </w:rPr>
        <w:t>g)</w:t>
      </w:r>
      <w:r w:rsidR="00A96621">
        <w:rPr>
          <w:lang w:val="en-GB"/>
        </w:rPr>
        <w:t>, followed by the</w:t>
      </w:r>
      <w:r w:rsidR="000555CC" w:rsidRPr="000555CC">
        <w:rPr>
          <w:lang w:val="en-GB"/>
        </w:rPr>
        <w:t xml:space="preserve"> ethanol</w:t>
      </w:r>
      <w:r w:rsidR="00A96621">
        <w:rPr>
          <w:lang w:val="en-GB"/>
        </w:rPr>
        <w:t>ic</w:t>
      </w:r>
      <w:r w:rsidR="000555CC" w:rsidRPr="000555CC">
        <w:rPr>
          <w:lang w:val="en-GB"/>
        </w:rPr>
        <w:t xml:space="preserve"> </w:t>
      </w:r>
      <w:r w:rsidR="00A96621" w:rsidRPr="000555CC">
        <w:rPr>
          <w:lang w:val="en-GB"/>
        </w:rPr>
        <w:t xml:space="preserve">extract </w:t>
      </w:r>
      <w:r w:rsidR="00A96621">
        <w:rPr>
          <w:lang w:val="en-GB"/>
        </w:rPr>
        <w:t>(</w:t>
      </w:r>
      <w:r w:rsidR="000555CC" w:rsidRPr="000555CC">
        <w:rPr>
          <w:lang w:val="en-GB"/>
        </w:rPr>
        <w:t>80%</w:t>
      </w:r>
      <w:r w:rsidR="00A96621">
        <w:rPr>
          <w:lang w:val="en-GB"/>
        </w:rPr>
        <w:t xml:space="preserve"> - </w:t>
      </w:r>
      <w:r w:rsidR="000555CC" w:rsidRPr="000555CC">
        <w:rPr>
          <w:lang w:val="en-GB"/>
        </w:rPr>
        <w:t>2.8</w:t>
      </w:r>
      <w:r w:rsidR="00A96621">
        <w:rPr>
          <w:lang w:val="en-GB"/>
        </w:rPr>
        <w:t xml:space="preserve"> </w:t>
      </w:r>
      <w:r w:rsidR="000555CC" w:rsidRPr="000555CC">
        <w:rPr>
          <w:lang w:val="en-GB"/>
        </w:rPr>
        <w:t>g GAE/100</w:t>
      </w:r>
      <w:r w:rsidR="00A96621">
        <w:rPr>
          <w:lang w:val="en-GB"/>
        </w:rPr>
        <w:t xml:space="preserve"> </w:t>
      </w:r>
      <w:r w:rsidR="000555CC" w:rsidRPr="000555CC">
        <w:rPr>
          <w:lang w:val="en-GB"/>
        </w:rPr>
        <w:t>g) and water</w:t>
      </w:r>
      <w:r w:rsidR="00A96621">
        <w:rPr>
          <w:lang w:val="en-GB"/>
        </w:rPr>
        <w:t xml:space="preserve"> </w:t>
      </w:r>
      <w:r w:rsidR="00A96621" w:rsidRPr="000555CC">
        <w:rPr>
          <w:lang w:val="en-GB"/>
        </w:rPr>
        <w:t>extract</w:t>
      </w:r>
      <w:r w:rsidR="000555CC" w:rsidRPr="000555CC">
        <w:rPr>
          <w:lang w:val="en-GB"/>
        </w:rPr>
        <w:t xml:space="preserve"> (1.23</w:t>
      </w:r>
      <w:r w:rsidR="00A96621">
        <w:rPr>
          <w:lang w:val="en-GB"/>
        </w:rPr>
        <w:t xml:space="preserve"> </w:t>
      </w:r>
      <w:r w:rsidR="000555CC" w:rsidRPr="000555CC">
        <w:rPr>
          <w:lang w:val="en-GB"/>
        </w:rPr>
        <w:t>g GAE/100</w:t>
      </w:r>
      <w:r w:rsidR="00A96621">
        <w:rPr>
          <w:lang w:val="en-GB"/>
        </w:rPr>
        <w:t xml:space="preserve"> </w:t>
      </w:r>
      <w:r w:rsidR="000555CC" w:rsidRPr="000555CC">
        <w:rPr>
          <w:lang w:val="en-GB"/>
        </w:rPr>
        <w:t xml:space="preserve">g).  </w:t>
      </w:r>
    </w:p>
    <w:p w:rsidR="000555CC" w:rsidRPr="0041365F" w:rsidRDefault="00E87041" w:rsidP="000555CC">
      <w:pPr>
        <w:pStyle w:val="CETBodytext"/>
        <w:rPr>
          <w:szCs w:val="18"/>
          <w:lang w:val="en-GB"/>
        </w:rPr>
      </w:pPr>
      <w:r>
        <w:rPr>
          <w:lang w:val="en-GB"/>
        </w:rPr>
        <w:t>In t</w:t>
      </w:r>
      <w:r w:rsidR="000555CC" w:rsidRPr="000555CC">
        <w:rPr>
          <w:lang w:val="en-GB"/>
        </w:rPr>
        <w:t>his way, the best solvent for extraction is the one that shares the most physical and ch</w:t>
      </w:r>
      <w:r w:rsidR="00A96621">
        <w:rPr>
          <w:lang w:val="en-GB"/>
        </w:rPr>
        <w:t>emical characteristics with</w:t>
      </w:r>
      <w:r w:rsidR="000555CC" w:rsidRPr="000555CC">
        <w:rPr>
          <w:lang w:val="en-GB"/>
        </w:rPr>
        <w:t xml:space="preserve"> phenolic compounds present in the different samples evaluated. In addition to that, foods have a complex matrix of different components, which can establish among themselves and with the solvents, a wide </w:t>
      </w:r>
      <w:r w:rsidR="000555CC" w:rsidRPr="0041365F">
        <w:rPr>
          <w:szCs w:val="18"/>
          <w:lang w:val="en-GB"/>
        </w:rPr>
        <w:t>range of different forms of interactions (</w:t>
      </w:r>
      <w:proofErr w:type="spellStart"/>
      <w:r w:rsidR="000E45B4" w:rsidRPr="0041365F">
        <w:rPr>
          <w:szCs w:val="18"/>
          <w:lang w:val="en-GB"/>
        </w:rPr>
        <w:t>Rockenbach</w:t>
      </w:r>
      <w:proofErr w:type="spellEnd"/>
      <w:r w:rsidR="000E45B4" w:rsidRPr="0041365F">
        <w:rPr>
          <w:szCs w:val="18"/>
          <w:lang w:val="en-GB"/>
        </w:rPr>
        <w:t xml:space="preserve"> </w:t>
      </w:r>
      <w:r w:rsidR="000555CC" w:rsidRPr="0041365F">
        <w:rPr>
          <w:szCs w:val="18"/>
          <w:lang w:val="en-GB"/>
        </w:rPr>
        <w:t xml:space="preserve">et al. 2008). </w:t>
      </w:r>
    </w:p>
    <w:p w:rsidR="000555CC" w:rsidRPr="0041365F" w:rsidRDefault="00E87041" w:rsidP="000E45B4">
      <w:pPr>
        <w:pStyle w:val="CETHeading1"/>
        <w:rPr>
          <w:sz w:val="18"/>
          <w:szCs w:val="18"/>
          <w:lang w:val="en-GB"/>
        </w:rPr>
      </w:pPr>
      <w:r w:rsidRPr="0041365F">
        <w:rPr>
          <w:sz w:val="18"/>
          <w:szCs w:val="18"/>
          <w:lang w:val="en-GB"/>
        </w:rPr>
        <w:t>Conclusion</w:t>
      </w:r>
    </w:p>
    <w:p w:rsidR="000555CC" w:rsidRPr="000555CC" w:rsidRDefault="00B356E5" w:rsidP="000555CC">
      <w:pPr>
        <w:pStyle w:val="CETBodytext"/>
        <w:rPr>
          <w:lang w:val="en-GB"/>
        </w:rPr>
      </w:pPr>
      <w:r w:rsidRPr="0041365F">
        <w:rPr>
          <w:rStyle w:val="tlid-translation"/>
          <w:szCs w:val="18"/>
        </w:rPr>
        <w:t>With a view to preserving</w:t>
      </w:r>
      <w:r>
        <w:rPr>
          <w:rStyle w:val="tlid-translation"/>
        </w:rPr>
        <w:t xml:space="preserve"> the </w:t>
      </w:r>
      <w:r w:rsidRPr="00B356E5">
        <w:rPr>
          <w:rStyle w:val="tlid-translation"/>
          <w:i/>
        </w:rPr>
        <w:t>Araucaria</w:t>
      </w:r>
      <w:r>
        <w:rPr>
          <w:rStyle w:val="tlid-translation"/>
        </w:rPr>
        <w:t xml:space="preserve"> </w:t>
      </w:r>
      <w:proofErr w:type="spellStart"/>
      <w:r w:rsidRPr="00B356E5">
        <w:rPr>
          <w:rStyle w:val="tlid-translation"/>
          <w:i/>
        </w:rPr>
        <w:t>angustifolia</w:t>
      </w:r>
      <w:proofErr w:type="spellEnd"/>
      <w:r>
        <w:rPr>
          <w:rStyle w:val="tlid-translation"/>
        </w:rPr>
        <w:t xml:space="preserve"> and raising the shelf life of </w:t>
      </w:r>
      <w:proofErr w:type="spellStart"/>
      <w:r>
        <w:rPr>
          <w:rStyle w:val="tlid-translation"/>
        </w:rPr>
        <w:t>pinhão</w:t>
      </w:r>
      <w:proofErr w:type="spellEnd"/>
      <w:r w:rsidR="00E87041">
        <w:rPr>
          <w:rStyle w:val="tlid-translation"/>
        </w:rPr>
        <w:t>,</w:t>
      </w:r>
      <w:r>
        <w:rPr>
          <w:rStyle w:val="tlid-translation"/>
        </w:rPr>
        <w:t xml:space="preserve"> the effect of processing could be observed,</w:t>
      </w:r>
      <w:r w:rsidR="000555CC" w:rsidRPr="000555CC">
        <w:rPr>
          <w:lang w:val="en-GB"/>
        </w:rPr>
        <w:t xml:space="preserve"> </w:t>
      </w:r>
      <w:r w:rsidR="00E87041">
        <w:rPr>
          <w:lang w:val="en-GB"/>
        </w:rPr>
        <w:t xml:space="preserve">and </w:t>
      </w:r>
      <w:r w:rsidR="000555CC" w:rsidRPr="000555CC">
        <w:rPr>
          <w:lang w:val="en-GB"/>
        </w:rPr>
        <w:t xml:space="preserve">it is possible to conclude that the </w:t>
      </w:r>
      <w:r>
        <w:rPr>
          <w:lang w:val="en-GB"/>
        </w:rPr>
        <w:t xml:space="preserve">processing of the </w:t>
      </w:r>
      <w:proofErr w:type="spellStart"/>
      <w:r>
        <w:rPr>
          <w:lang w:val="en-GB"/>
        </w:rPr>
        <w:t>pinhão</w:t>
      </w:r>
      <w:proofErr w:type="spellEnd"/>
      <w:r w:rsidR="000555CC" w:rsidRPr="000555CC">
        <w:rPr>
          <w:lang w:val="en-GB"/>
        </w:rPr>
        <w:t xml:space="preserve"> influence</w:t>
      </w:r>
      <w:r>
        <w:rPr>
          <w:lang w:val="en-GB"/>
        </w:rPr>
        <w:t>s its</w:t>
      </w:r>
      <w:r w:rsidR="000555CC" w:rsidRPr="000555CC">
        <w:rPr>
          <w:lang w:val="en-GB"/>
        </w:rPr>
        <w:t xml:space="preserve"> </w:t>
      </w:r>
      <w:r>
        <w:rPr>
          <w:lang w:val="en-GB"/>
        </w:rPr>
        <w:t xml:space="preserve">composition, maintaining the </w:t>
      </w:r>
      <w:r w:rsidR="000555CC" w:rsidRPr="000555CC">
        <w:rPr>
          <w:lang w:val="en-GB"/>
        </w:rPr>
        <w:t>protein content. However, ash content was h</w:t>
      </w:r>
      <w:r w:rsidR="00E87041">
        <w:rPr>
          <w:lang w:val="en-GB"/>
        </w:rPr>
        <w:t xml:space="preserve">igher in raw flour; </w:t>
      </w:r>
      <w:r w:rsidR="000555CC" w:rsidRPr="000555CC">
        <w:rPr>
          <w:lang w:val="en-GB"/>
        </w:rPr>
        <w:t>the cooked flour revealed the highest content</w:t>
      </w:r>
      <w:r w:rsidR="00E87041">
        <w:rPr>
          <w:lang w:val="en-GB"/>
        </w:rPr>
        <w:t xml:space="preserve"> of moisture and lipids;</w:t>
      </w:r>
      <w:r w:rsidR="000555CC" w:rsidRPr="000555CC">
        <w:rPr>
          <w:lang w:val="en-GB"/>
        </w:rPr>
        <w:t xml:space="preserve"> and the highest carbohydrate content was found in grits and raw flour. With regard to the bioactive compounds, cooked </w:t>
      </w:r>
      <w:proofErr w:type="spellStart"/>
      <w:r w:rsidR="000555CC" w:rsidRPr="000555CC">
        <w:rPr>
          <w:lang w:val="en-GB"/>
        </w:rPr>
        <w:t>pinhão</w:t>
      </w:r>
      <w:proofErr w:type="spellEnd"/>
      <w:r w:rsidR="000555CC" w:rsidRPr="000555CC">
        <w:rPr>
          <w:lang w:val="en-GB"/>
        </w:rPr>
        <w:t xml:space="preserve"> flour had the highest concentration of phenolic compounds and consequently the highest antioxidant activity, probably caused by the migration of these compounds from the coat to the se</w:t>
      </w:r>
      <w:r w:rsidR="00B168D9">
        <w:rPr>
          <w:lang w:val="en-GB"/>
        </w:rPr>
        <w:t xml:space="preserve">ed during the cooking process. </w:t>
      </w:r>
      <w:r w:rsidR="000555CC" w:rsidRPr="000555CC">
        <w:rPr>
          <w:lang w:val="en-GB"/>
        </w:rPr>
        <w:t>As f</w:t>
      </w:r>
      <w:r w:rsidR="00E87041">
        <w:rPr>
          <w:lang w:val="en-GB"/>
        </w:rPr>
        <w:t>or the solvents used, the hydro</w:t>
      </w:r>
      <w:r w:rsidR="000555CC" w:rsidRPr="000555CC">
        <w:rPr>
          <w:lang w:val="en-GB"/>
        </w:rPr>
        <w:t xml:space="preserve">ethanolic and aqueous extracts were the most efficient in the extraction of the bioactive compounds from the </w:t>
      </w:r>
      <w:proofErr w:type="spellStart"/>
      <w:r w:rsidR="000555CC" w:rsidRPr="000555CC">
        <w:rPr>
          <w:lang w:val="en-GB"/>
        </w:rPr>
        <w:t>pinhão</w:t>
      </w:r>
      <w:proofErr w:type="spellEnd"/>
      <w:r w:rsidR="000555CC" w:rsidRPr="000555CC">
        <w:rPr>
          <w:lang w:val="en-GB"/>
        </w:rPr>
        <w:t>.</w:t>
      </w:r>
      <w:r w:rsidR="00B168D9">
        <w:rPr>
          <w:lang w:val="en-GB"/>
        </w:rPr>
        <w:t xml:space="preserve"> </w:t>
      </w:r>
      <w:r>
        <w:rPr>
          <w:lang w:val="en-GB"/>
        </w:rPr>
        <w:t>It</w:t>
      </w:r>
      <w:r w:rsidR="000555CC" w:rsidRPr="000555CC">
        <w:rPr>
          <w:lang w:val="en-GB"/>
        </w:rPr>
        <w:t xml:space="preserve"> is due possibly to the polarity of the compounds and their interaction with the solvent.</w:t>
      </w:r>
      <w:r w:rsidR="00E87041">
        <w:rPr>
          <w:lang w:val="en-GB"/>
        </w:rPr>
        <w:t xml:space="preserve"> Based on these facts, t</w:t>
      </w:r>
      <w:r w:rsidR="000555CC" w:rsidRPr="000555CC">
        <w:rPr>
          <w:lang w:val="en-GB"/>
        </w:rPr>
        <w:t xml:space="preserve">he </w:t>
      </w:r>
      <w:proofErr w:type="spellStart"/>
      <w:r w:rsidR="00E87041" w:rsidRPr="000555CC">
        <w:rPr>
          <w:lang w:val="en-GB"/>
        </w:rPr>
        <w:t>pinhão</w:t>
      </w:r>
      <w:proofErr w:type="spellEnd"/>
      <w:r w:rsidR="00E87041" w:rsidRPr="000555CC">
        <w:rPr>
          <w:lang w:val="en-GB"/>
        </w:rPr>
        <w:t xml:space="preserve"> </w:t>
      </w:r>
      <w:r w:rsidR="000555CC" w:rsidRPr="000555CC">
        <w:rPr>
          <w:lang w:val="en-GB"/>
        </w:rPr>
        <w:t>processing is an interesting technological alternative, since they have nutritional and antioxidant properties, in addition to being a way of adding value to the seeds.</w:t>
      </w:r>
    </w:p>
    <w:p w:rsidR="00600535" w:rsidRPr="00B57B36" w:rsidRDefault="00600535" w:rsidP="00600535">
      <w:pPr>
        <w:pStyle w:val="CETAcknowledgementstitle"/>
      </w:pPr>
      <w:r w:rsidRPr="00B57B36">
        <w:t>Acknowledgments</w:t>
      </w:r>
    </w:p>
    <w:p w:rsidR="00805F9F" w:rsidRPr="00805F9F" w:rsidRDefault="00805F9F" w:rsidP="00805F9F">
      <w:pPr>
        <w:spacing w:line="480" w:lineRule="auto"/>
      </w:pPr>
      <w:r w:rsidRPr="00805F9F">
        <w:t xml:space="preserve">The author thanks the Federal Institute of Santa </w:t>
      </w:r>
      <w:proofErr w:type="spellStart"/>
      <w:r w:rsidRPr="00805F9F">
        <w:t>Catarina</w:t>
      </w:r>
      <w:proofErr w:type="spellEnd"/>
      <w:r w:rsidRPr="00805F9F">
        <w:t xml:space="preserve"> (IFSC) for funding part of the research conducted.</w:t>
      </w:r>
    </w:p>
    <w:p w:rsidR="00600535" w:rsidRPr="00DB40BF" w:rsidRDefault="00600535" w:rsidP="00600535">
      <w:pPr>
        <w:pStyle w:val="CETReference"/>
        <w:rPr>
          <w:lang w:val="pt-BR"/>
        </w:rPr>
      </w:pPr>
      <w:proofErr w:type="spellStart"/>
      <w:r w:rsidRPr="00DB40BF">
        <w:rPr>
          <w:lang w:val="pt-BR"/>
        </w:rPr>
        <w:t>References</w:t>
      </w:r>
      <w:proofErr w:type="spellEnd"/>
    </w:p>
    <w:p w:rsidR="00DB40BF" w:rsidRPr="00DB40BF" w:rsidRDefault="00DB40BF" w:rsidP="00075943">
      <w:pPr>
        <w:pStyle w:val="CETReferencetext"/>
        <w:spacing w:line="240" w:lineRule="auto"/>
        <w:rPr>
          <w:lang w:val="pt-BR"/>
        </w:rPr>
      </w:pPr>
      <w:r w:rsidRPr="00DB40BF">
        <w:rPr>
          <w:lang w:val="pt-BR"/>
        </w:rPr>
        <w:t>Alves C.Q.</w:t>
      </w:r>
      <w:r>
        <w:rPr>
          <w:lang w:val="pt-BR"/>
        </w:rPr>
        <w:t>,</w:t>
      </w:r>
      <w:r w:rsidRPr="00DB40BF">
        <w:rPr>
          <w:lang w:val="pt-BR"/>
        </w:rPr>
        <w:t xml:space="preserve"> David J.M.</w:t>
      </w:r>
      <w:r>
        <w:rPr>
          <w:lang w:val="pt-BR"/>
        </w:rPr>
        <w:t xml:space="preserve">, </w:t>
      </w:r>
      <w:r w:rsidRPr="00DB40BF">
        <w:rPr>
          <w:lang w:val="pt-BR"/>
        </w:rPr>
        <w:t>2010</w:t>
      </w:r>
      <w:r>
        <w:rPr>
          <w:lang w:val="pt-BR"/>
        </w:rPr>
        <w:t>,</w:t>
      </w:r>
      <w:r w:rsidRPr="00DB40BF">
        <w:rPr>
          <w:lang w:val="pt-BR"/>
        </w:rPr>
        <w:t xml:space="preserve"> Métodos para determinação da atividade antioxidante in vitro </w:t>
      </w:r>
      <w:r>
        <w:rPr>
          <w:lang w:val="pt-BR"/>
        </w:rPr>
        <w:t>em substratos orgânicos,</w:t>
      </w:r>
      <w:r w:rsidRPr="00DB40BF">
        <w:rPr>
          <w:lang w:val="pt-BR"/>
        </w:rPr>
        <w:t xml:space="preserve"> Química Nova, 33,</w:t>
      </w:r>
      <w:r>
        <w:rPr>
          <w:lang w:val="pt-BR"/>
        </w:rPr>
        <w:t xml:space="preserve"> 202-210</w:t>
      </w:r>
      <w:r w:rsidRPr="00DB40BF">
        <w:rPr>
          <w:lang w:val="pt-BR"/>
        </w:rPr>
        <w:t>.</w:t>
      </w:r>
    </w:p>
    <w:p w:rsidR="00DB40BF" w:rsidRPr="00DB40BF" w:rsidRDefault="00DB40BF" w:rsidP="00075943">
      <w:pPr>
        <w:pStyle w:val="CETReferencetext"/>
        <w:spacing w:line="240" w:lineRule="auto"/>
      </w:pPr>
      <w:proofErr w:type="spellStart"/>
      <w:r w:rsidRPr="00DB40BF">
        <w:rPr>
          <w:lang w:val="pt-BR"/>
        </w:rPr>
        <w:t>Angelo</w:t>
      </w:r>
      <w:proofErr w:type="spellEnd"/>
      <w:r w:rsidRPr="00DB40BF">
        <w:rPr>
          <w:lang w:val="pt-BR"/>
        </w:rPr>
        <w:t xml:space="preserve"> P.M., Jorge N.,</w:t>
      </w:r>
      <w:r>
        <w:rPr>
          <w:lang w:val="pt-BR"/>
        </w:rPr>
        <w:t xml:space="preserve"> 2007,</w:t>
      </w:r>
      <w:r w:rsidRPr="00DB40BF">
        <w:rPr>
          <w:lang w:val="pt-BR"/>
        </w:rPr>
        <w:t xml:space="preserve"> Compostos fenólicos em alimentos - uma breve revisão. </w:t>
      </w:r>
      <w:proofErr w:type="spellStart"/>
      <w:r w:rsidRPr="00DB40BF">
        <w:t>Revista</w:t>
      </w:r>
      <w:proofErr w:type="spellEnd"/>
      <w:r w:rsidRPr="00DB40BF">
        <w:t xml:space="preserve"> do </w:t>
      </w:r>
      <w:proofErr w:type="spellStart"/>
      <w:r w:rsidRPr="00DB40BF">
        <w:t>Instituto</w:t>
      </w:r>
      <w:proofErr w:type="spellEnd"/>
      <w:r w:rsidRPr="00DB40BF">
        <w:t xml:space="preserve"> Adolfo Lutz, </w:t>
      </w:r>
      <w:r>
        <w:t xml:space="preserve">66, </w:t>
      </w:r>
      <w:r w:rsidRPr="00DB40BF">
        <w:t>01-09.</w:t>
      </w:r>
    </w:p>
    <w:p w:rsidR="00DB40BF" w:rsidRPr="003727A1" w:rsidRDefault="00DB40BF" w:rsidP="00075943">
      <w:pPr>
        <w:pStyle w:val="CETReferencetext"/>
        <w:spacing w:line="240" w:lineRule="auto"/>
        <w:rPr>
          <w:lang w:val="pt-BR"/>
        </w:rPr>
      </w:pPr>
      <w:proofErr w:type="gramStart"/>
      <w:r w:rsidRPr="00DB40BF">
        <w:t>A</w:t>
      </w:r>
      <w:r>
        <w:t>OAC, 2000,</w:t>
      </w:r>
      <w:r w:rsidRPr="00DB40BF">
        <w:t xml:space="preserve"> Official Methods of Analysis.</w:t>
      </w:r>
      <w:proofErr w:type="gramEnd"/>
      <w:r w:rsidRPr="00DB40BF">
        <w:t xml:space="preserve"> </w:t>
      </w:r>
      <w:r w:rsidRPr="003727A1">
        <w:rPr>
          <w:lang w:val="pt-BR"/>
        </w:rPr>
        <w:t>Arlington</w:t>
      </w:r>
      <w:proofErr w:type="gramStart"/>
      <w:r w:rsidRPr="003727A1">
        <w:rPr>
          <w:lang w:val="pt-BR"/>
        </w:rPr>
        <w:t>, USA</w:t>
      </w:r>
      <w:proofErr w:type="gramEnd"/>
      <w:r w:rsidRPr="003727A1">
        <w:rPr>
          <w:lang w:val="pt-BR"/>
        </w:rPr>
        <w:t>.</w:t>
      </w:r>
    </w:p>
    <w:p w:rsidR="00DB40BF" w:rsidRPr="00DB40BF" w:rsidRDefault="00DB40BF" w:rsidP="00075943">
      <w:pPr>
        <w:pStyle w:val="CETReferencetext"/>
        <w:spacing w:line="240" w:lineRule="auto"/>
        <w:rPr>
          <w:lang w:val="pt-BR"/>
        </w:rPr>
      </w:pPr>
      <w:r w:rsidRPr="00DB40BF">
        <w:rPr>
          <w:lang w:val="pt-BR"/>
        </w:rPr>
        <w:t>Araújo J.M.A.</w:t>
      </w:r>
      <w:r>
        <w:rPr>
          <w:lang w:val="pt-BR"/>
        </w:rPr>
        <w:t xml:space="preserve"> (Ed), 2011,</w:t>
      </w:r>
      <w:r w:rsidRPr="00DB40BF">
        <w:rPr>
          <w:lang w:val="pt-BR"/>
        </w:rPr>
        <w:t xml:space="preserve"> Química de alimentos: teoria e prática. Editora UFV, Viçosa.</w:t>
      </w:r>
    </w:p>
    <w:p w:rsidR="00DB40BF" w:rsidRPr="00DB40BF" w:rsidRDefault="00DB40BF" w:rsidP="00075943">
      <w:pPr>
        <w:pStyle w:val="CETReferencetext"/>
        <w:spacing w:line="240" w:lineRule="auto"/>
        <w:rPr>
          <w:lang w:val="pt-BR"/>
        </w:rPr>
      </w:pPr>
      <w:r w:rsidRPr="00DB40BF">
        <w:rPr>
          <w:lang w:val="pt-BR"/>
        </w:rPr>
        <w:t xml:space="preserve">Barreiros A. </w:t>
      </w:r>
      <w:proofErr w:type="gramStart"/>
      <w:r w:rsidRPr="00DB40BF">
        <w:rPr>
          <w:lang w:val="pt-BR"/>
        </w:rPr>
        <w:t>et</w:t>
      </w:r>
      <w:proofErr w:type="gramEnd"/>
      <w:r w:rsidRPr="00DB40BF">
        <w:rPr>
          <w:lang w:val="pt-BR"/>
        </w:rPr>
        <w:t xml:space="preserve"> al.</w:t>
      </w:r>
      <w:r>
        <w:rPr>
          <w:lang w:val="pt-BR"/>
        </w:rPr>
        <w:t>, 2006,</w:t>
      </w:r>
      <w:r w:rsidRPr="00DB40BF">
        <w:rPr>
          <w:lang w:val="pt-BR"/>
        </w:rPr>
        <w:t xml:space="preserve"> Estresse </w:t>
      </w:r>
      <w:proofErr w:type="spellStart"/>
      <w:r w:rsidRPr="00DB40BF">
        <w:rPr>
          <w:lang w:val="pt-BR"/>
        </w:rPr>
        <w:t>oxidativo</w:t>
      </w:r>
      <w:proofErr w:type="spellEnd"/>
      <w:r w:rsidRPr="00DB40BF">
        <w:rPr>
          <w:lang w:val="pt-BR"/>
        </w:rPr>
        <w:t>: relação entre geração e espécies reativas e defesa</w:t>
      </w:r>
      <w:r>
        <w:rPr>
          <w:lang w:val="pt-BR"/>
        </w:rPr>
        <w:t xml:space="preserve"> do organismo,</w:t>
      </w:r>
      <w:r w:rsidRPr="00DB40BF">
        <w:rPr>
          <w:lang w:val="pt-BR"/>
        </w:rPr>
        <w:t xml:space="preserve"> Química nova, 29, 113-120.  </w:t>
      </w:r>
    </w:p>
    <w:p w:rsidR="00DB40BF" w:rsidRPr="00DB40BF" w:rsidRDefault="00DB40BF" w:rsidP="00075943">
      <w:pPr>
        <w:pStyle w:val="CETReferencetext"/>
        <w:spacing w:line="240" w:lineRule="auto"/>
        <w:rPr>
          <w:lang w:val="pt-BR"/>
        </w:rPr>
      </w:pPr>
      <w:r w:rsidRPr="00DB40BF">
        <w:rPr>
          <w:lang w:val="pt-BR"/>
        </w:rPr>
        <w:t>Baumgarten C.E.F.,</w:t>
      </w:r>
      <w:r>
        <w:rPr>
          <w:lang w:val="pt-BR"/>
        </w:rPr>
        <w:t xml:space="preserve"> 2009,</w:t>
      </w:r>
      <w:r w:rsidRPr="00DB40BF">
        <w:rPr>
          <w:lang w:val="pt-BR"/>
        </w:rPr>
        <w:t xml:space="preserve"> Araucária sobrevivente e testemunha: em defesa da vida. HB editora, Blumenau.</w:t>
      </w:r>
    </w:p>
    <w:p w:rsidR="00DB40BF" w:rsidRPr="00DB40BF" w:rsidRDefault="00DB40BF" w:rsidP="00075943">
      <w:pPr>
        <w:pStyle w:val="CETReferencetext"/>
        <w:spacing w:line="240" w:lineRule="auto"/>
        <w:rPr>
          <w:lang w:val="pt-BR"/>
        </w:rPr>
      </w:pPr>
      <w:r w:rsidRPr="00DB40BF">
        <w:rPr>
          <w:lang w:val="pt-BR"/>
        </w:rPr>
        <w:t>Bianchi M.D.L.P., Antunes L.M.G.</w:t>
      </w:r>
      <w:r>
        <w:rPr>
          <w:lang w:val="pt-BR"/>
        </w:rPr>
        <w:t>, 1999,</w:t>
      </w:r>
      <w:r w:rsidRPr="00DB40BF">
        <w:rPr>
          <w:lang w:val="pt-BR"/>
        </w:rPr>
        <w:t xml:space="preserve"> Radicais livres e os principais antioxidantes da dieta</w:t>
      </w:r>
      <w:r>
        <w:rPr>
          <w:lang w:val="pt-BR"/>
        </w:rPr>
        <w:t>,</w:t>
      </w:r>
      <w:r w:rsidRPr="00DB40BF">
        <w:rPr>
          <w:lang w:val="pt-BR"/>
        </w:rPr>
        <w:t xml:space="preserve"> Revista Nutrição,</w:t>
      </w:r>
      <w:r>
        <w:rPr>
          <w:lang w:val="pt-BR"/>
        </w:rPr>
        <w:t xml:space="preserve"> 12, 123-130.</w:t>
      </w:r>
    </w:p>
    <w:p w:rsidR="00DB40BF" w:rsidRPr="00DB40BF" w:rsidRDefault="00DB40BF" w:rsidP="00075943">
      <w:pPr>
        <w:pStyle w:val="CETReferencetext"/>
        <w:spacing w:line="240" w:lineRule="auto"/>
      </w:pPr>
      <w:r w:rsidRPr="00DB40BF">
        <w:t>Bligh E.G.</w:t>
      </w:r>
      <w:r>
        <w:t>,</w:t>
      </w:r>
      <w:r w:rsidRPr="00DB40BF">
        <w:t xml:space="preserve"> Dyer W.J.A.</w:t>
      </w:r>
      <w:r>
        <w:t>, 1959,</w:t>
      </w:r>
      <w:r w:rsidRPr="00DB40BF">
        <w:t xml:space="preserve"> Rapid method of total lipid extraction and purification</w:t>
      </w:r>
      <w:r>
        <w:t>,</w:t>
      </w:r>
      <w:r w:rsidRPr="00DB40BF">
        <w:t xml:space="preserve"> Canadian Journal of Biochemistry and Physiology</w:t>
      </w:r>
      <w:proofErr w:type="gramStart"/>
      <w:r w:rsidRPr="00DB40BF">
        <w:t>,.</w:t>
      </w:r>
      <w:proofErr w:type="gramEnd"/>
      <w:r w:rsidRPr="00DB40BF">
        <w:t>37,</w:t>
      </w:r>
      <w:r>
        <w:t xml:space="preserve"> </w:t>
      </w:r>
      <w:r w:rsidRPr="00DB40BF">
        <w:t>911-917.</w:t>
      </w:r>
    </w:p>
    <w:p w:rsidR="00DB40BF" w:rsidRPr="00DB40BF" w:rsidRDefault="00DB40BF" w:rsidP="00075943">
      <w:pPr>
        <w:pStyle w:val="CETReferencetext"/>
        <w:spacing w:line="240" w:lineRule="auto"/>
      </w:pPr>
      <w:r w:rsidRPr="00DB40BF">
        <w:t>Brand-Williams W. et al.</w:t>
      </w:r>
      <w:r>
        <w:t>, 1995,</w:t>
      </w:r>
      <w:r w:rsidRPr="00DB40BF">
        <w:t xml:space="preserve"> Use of a free radical method to </w:t>
      </w:r>
      <w:r>
        <w:t xml:space="preserve">evaluated </w:t>
      </w:r>
      <w:proofErr w:type="spellStart"/>
      <w:r>
        <w:t>antioxidante</w:t>
      </w:r>
      <w:proofErr w:type="spellEnd"/>
      <w:r>
        <w:t xml:space="preserve"> activity,</w:t>
      </w:r>
      <w:r w:rsidRPr="00DB40BF">
        <w:t xml:space="preserve"> LWT – Food Science and Technology</w:t>
      </w:r>
      <w:r>
        <w:t xml:space="preserve">, </w:t>
      </w:r>
      <w:r w:rsidRPr="00DB40BF">
        <w:t>28,</w:t>
      </w:r>
      <w:r>
        <w:t xml:space="preserve"> </w:t>
      </w:r>
      <w:r w:rsidRPr="00DB40BF">
        <w:t>25-30.</w:t>
      </w:r>
    </w:p>
    <w:p w:rsidR="00DB40BF" w:rsidRPr="00DB40BF" w:rsidRDefault="00DB40BF" w:rsidP="00075943">
      <w:pPr>
        <w:pStyle w:val="CETReferencetext"/>
        <w:spacing w:line="240" w:lineRule="auto"/>
        <w:rPr>
          <w:lang w:val="pt-BR"/>
        </w:rPr>
      </w:pPr>
      <w:r w:rsidRPr="00DB40BF">
        <w:rPr>
          <w:lang w:val="pt-BR"/>
        </w:rPr>
        <w:t>Brasil 2005, Agência Nacional De Vigilância Sanitária. Resolução RDC n.º 263, de 22 de setembro de 2005, Regulamento Técnico para Produtos de Cereais, Amidos, Farinhas e Farelos.</w:t>
      </w:r>
    </w:p>
    <w:p w:rsidR="00DB40BF" w:rsidRPr="00DB40BF" w:rsidRDefault="00DB40BF" w:rsidP="00075943">
      <w:pPr>
        <w:pStyle w:val="CETReferencetext"/>
        <w:spacing w:line="240" w:lineRule="auto"/>
        <w:rPr>
          <w:lang w:val="pt-BR"/>
        </w:rPr>
      </w:pPr>
      <w:proofErr w:type="spellStart"/>
      <w:r w:rsidRPr="00DB40BF">
        <w:rPr>
          <w:lang w:val="pt-BR"/>
        </w:rPr>
        <w:t>Capella</w:t>
      </w:r>
      <w:proofErr w:type="spellEnd"/>
      <w:r w:rsidRPr="00DB40BF">
        <w:rPr>
          <w:lang w:val="pt-BR"/>
        </w:rPr>
        <w:t xml:space="preserve"> A.C.V. </w:t>
      </w:r>
      <w:proofErr w:type="gramStart"/>
      <w:r w:rsidRPr="00DB40BF">
        <w:rPr>
          <w:lang w:val="pt-BR"/>
        </w:rPr>
        <w:t>et</w:t>
      </w:r>
      <w:proofErr w:type="gramEnd"/>
      <w:r w:rsidRPr="00DB40BF">
        <w:rPr>
          <w:lang w:val="pt-BR"/>
        </w:rPr>
        <w:t xml:space="preserve"> al.,</w:t>
      </w:r>
      <w:r>
        <w:rPr>
          <w:lang w:val="pt-BR"/>
        </w:rPr>
        <w:t xml:space="preserve"> 2009,</w:t>
      </w:r>
      <w:r w:rsidRPr="00DB40BF">
        <w:rPr>
          <w:lang w:val="pt-BR"/>
        </w:rPr>
        <w:t xml:space="preserve"> Semente de </w:t>
      </w:r>
      <w:proofErr w:type="spellStart"/>
      <w:r w:rsidRPr="00DB40BF">
        <w:rPr>
          <w:lang w:val="pt-BR"/>
        </w:rPr>
        <w:t>Araucaria</w:t>
      </w:r>
      <w:proofErr w:type="spellEnd"/>
      <w:r w:rsidRPr="00DB40BF">
        <w:rPr>
          <w:lang w:val="pt-BR"/>
        </w:rPr>
        <w:t xml:space="preserve"> </w:t>
      </w:r>
      <w:proofErr w:type="spellStart"/>
      <w:r w:rsidRPr="00DB40BF">
        <w:rPr>
          <w:lang w:val="pt-BR"/>
        </w:rPr>
        <w:t>angustifolia</w:t>
      </w:r>
      <w:proofErr w:type="spellEnd"/>
      <w:r w:rsidRPr="00DB40BF">
        <w:rPr>
          <w:lang w:val="pt-BR"/>
        </w:rPr>
        <w:t>: aspectos morfológicos e composição química da farinha</w:t>
      </w:r>
      <w:r>
        <w:rPr>
          <w:lang w:val="pt-BR"/>
        </w:rPr>
        <w:t>,</w:t>
      </w:r>
      <w:r w:rsidRPr="00DB40BF">
        <w:rPr>
          <w:lang w:val="pt-BR"/>
        </w:rPr>
        <w:t xml:space="preserve"> Boletim Centro de Pesquisa de Processamento de Alimentos,</w:t>
      </w:r>
      <w:r>
        <w:rPr>
          <w:lang w:val="pt-BR"/>
        </w:rPr>
        <w:t xml:space="preserve"> 2</w:t>
      </w:r>
      <w:r w:rsidRPr="00DB40BF">
        <w:rPr>
          <w:lang w:val="pt-BR"/>
        </w:rPr>
        <w:t>7, 135-142.</w:t>
      </w:r>
    </w:p>
    <w:p w:rsidR="00DB40BF" w:rsidRPr="00DB40BF" w:rsidRDefault="00DB40BF" w:rsidP="00075943">
      <w:pPr>
        <w:pStyle w:val="CETReferencetext"/>
        <w:spacing w:line="240" w:lineRule="auto"/>
      </w:pPr>
      <w:r w:rsidRPr="00DB40BF">
        <w:rPr>
          <w:lang w:val="pt-BR"/>
        </w:rPr>
        <w:t>Carvalho M.M.X.D.</w:t>
      </w:r>
      <w:r>
        <w:rPr>
          <w:lang w:val="pt-BR"/>
        </w:rPr>
        <w:t>, 2010,</w:t>
      </w:r>
      <w:r w:rsidRPr="00DB40BF">
        <w:rPr>
          <w:lang w:val="pt-BR"/>
        </w:rPr>
        <w:t xml:space="preserve"> Uma grande empresa em meio à floresta: a história da devastação da floresta com araucária e a Southern </w:t>
      </w:r>
      <w:proofErr w:type="spellStart"/>
      <w:r w:rsidRPr="00DB40BF">
        <w:rPr>
          <w:lang w:val="pt-BR"/>
        </w:rPr>
        <w:t>Brazil</w:t>
      </w:r>
      <w:proofErr w:type="spellEnd"/>
      <w:r w:rsidRPr="00DB40BF">
        <w:rPr>
          <w:lang w:val="pt-BR"/>
        </w:rPr>
        <w:t xml:space="preserve"> </w:t>
      </w:r>
      <w:proofErr w:type="spellStart"/>
      <w:r w:rsidRPr="00DB40BF">
        <w:rPr>
          <w:lang w:val="pt-BR"/>
        </w:rPr>
        <w:t>Lumber</w:t>
      </w:r>
      <w:proofErr w:type="spellEnd"/>
      <w:r w:rsidRPr="00DB40BF">
        <w:rPr>
          <w:lang w:val="pt-BR"/>
        </w:rPr>
        <w:t xml:space="preserve"> </w:t>
      </w:r>
      <w:proofErr w:type="spellStart"/>
      <w:r w:rsidRPr="00DB40BF">
        <w:rPr>
          <w:lang w:val="pt-BR"/>
        </w:rPr>
        <w:t>and</w:t>
      </w:r>
      <w:proofErr w:type="spellEnd"/>
      <w:r w:rsidRPr="00DB40BF">
        <w:rPr>
          <w:lang w:val="pt-BR"/>
        </w:rPr>
        <w:t xml:space="preserve"> </w:t>
      </w:r>
      <w:proofErr w:type="spellStart"/>
      <w:r w:rsidRPr="00DB40BF">
        <w:rPr>
          <w:lang w:val="pt-BR"/>
        </w:rPr>
        <w:t>Colonization</w:t>
      </w:r>
      <w:proofErr w:type="spellEnd"/>
      <w:r w:rsidRPr="00DB40BF">
        <w:rPr>
          <w:lang w:val="pt-BR"/>
        </w:rPr>
        <w:t xml:space="preserve"> (1870-1970). </w:t>
      </w:r>
      <w:proofErr w:type="gramStart"/>
      <w:r w:rsidR="00C10397" w:rsidRPr="006B4888">
        <w:t>PhD Thesis</w:t>
      </w:r>
      <w:r w:rsidRPr="00DB40BF">
        <w:t>.</w:t>
      </w:r>
      <w:proofErr w:type="gramEnd"/>
      <w:r w:rsidRPr="00DB40BF">
        <w:t xml:space="preserve"> </w:t>
      </w:r>
      <w:proofErr w:type="spellStart"/>
      <w:r w:rsidRPr="00DB40BF">
        <w:t>Universidade</w:t>
      </w:r>
      <w:proofErr w:type="spellEnd"/>
      <w:r w:rsidRPr="00DB40BF">
        <w:t xml:space="preserve"> Federal de Santa </w:t>
      </w:r>
      <w:proofErr w:type="spellStart"/>
      <w:r w:rsidRPr="00DB40BF">
        <w:t>Catarina</w:t>
      </w:r>
      <w:proofErr w:type="spellEnd"/>
      <w:r w:rsidRPr="00DB40BF">
        <w:t xml:space="preserve">. </w:t>
      </w:r>
      <w:proofErr w:type="spellStart"/>
      <w:r w:rsidRPr="00DB40BF">
        <w:t>Florianópolis</w:t>
      </w:r>
      <w:proofErr w:type="spellEnd"/>
      <w:r w:rsidR="00C10397">
        <w:t>, BR</w:t>
      </w:r>
      <w:r w:rsidRPr="00DB40BF">
        <w:t>.</w:t>
      </w:r>
    </w:p>
    <w:p w:rsidR="00DB40BF" w:rsidRPr="00DB40BF" w:rsidRDefault="00C10397" w:rsidP="00075943">
      <w:pPr>
        <w:pStyle w:val="CETReferencetext"/>
        <w:spacing w:line="240" w:lineRule="auto"/>
      </w:pPr>
      <w:proofErr w:type="spellStart"/>
      <w:r w:rsidRPr="00DB40BF">
        <w:lastRenderedPageBreak/>
        <w:t>Conto</w:t>
      </w:r>
      <w:proofErr w:type="spellEnd"/>
      <w:r w:rsidR="00DB40BF" w:rsidRPr="00DB40BF">
        <w:t xml:space="preserve"> L.C. et al.</w:t>
      </w:r>
      <w:r>
        <w:t>, 2015,</w:t>
      </w:r>
      <w:r w:rsidR="00DB40BF" w:rsidRPr="00DB40BF">
        <w:t xml:space="preserve"> Sensory properties evaluation of pine nut (Araucaria </w:t>
      </w:r>
      <w:proofErr w:type="spellStart"/>
      <w:r w:rsidR="00DB40BF" w:rsidRPr="00DB40BF">
        <w:t>angustifolia</w:t>
      </w:r>
      <w:proofErr w:type="spellEnd"/>
      <w:r w:rsidR="00DB40BF" w:rsidRPr="00DB40BF">
        <w:t>) cereal bars using response surface methodology</w:t>
      </w:r>
      <w:r>
        <w:t>,</w:t>
      </w:r>
      <w:r w:rsidR="00DB40BF" w:rsidRPr="00DB40BF">
        <w:t xml:space="preserve"> Chemical Engineering Transactions, 44, 15-120.</w:t>
      </w:r>
    </w:p>
    <w:p w:rsidR="00DB40BF" w:rsidRPr="00C10397" w:rsidRDefault="00C10397" w:rsidP="00075943">
      <w:pPr>
        <w:pStyle w:val="CETReferencetext"/>
        <w:spacing w:line="240" w:lineRule="auto"/>
        <w:rPr>
          <w:lang w:val="pt-BR"/>
        </w:rPr>
      </w:pPr>
      <w:r w:rsidRPr="00C10397">
        <w:rPr>
          <w:lang w:val="pt-BR"/>
        </w:rPr>
        <w:t>Costa</w:t>
      </w:r>
      <w:r w:rsidR="00DB40BF" w:rsidRPr="00C10397">
        <w:rPr>
          <w:lang w:val="pt-BR"/>
        </w:rPr>
        <w:t xml:space="preserve"> F.J.O.G.D.</w:t>
      </w:r>
      <w:r w:rsidRPr="00C10397">
        <w:rPr>
          <w:lang w:val="pt-BR"/>
        </w:rPr>
        <w:t>, 2014,</w:t>
      </w:r>
      <w:r w:rsidR="00DB40BF" w:rsidRPr="00C10397">
        <w:rPr>
          <w:lang w:val="pt-BR"/>
        </w:rPr>
        <w:t xml:space="preserve"> Caraterização de pinhão (sementes de </w:t>
      </w:r>
      <w:proofErr w:type="spellStart"/>
      <w:r w:rsidR="00DB40BF" w:rsidRPr="00C10397">
        <w:rPr>
          <w:lang w:val="pt-BR"/>
        </w:rPr>
        <w:t>Araucaria</w:t>
      </w:r>
      <w:proofErr w:type="spellEnd"/>
      <w:r w:rsidR="00DB40BF" w:rsidRPr="00C10397">
        <w:rPr>
          <w:lang w:val="pt-BR"/>
        </w:rPr>
        <w:t xml:space="preserve"> </w:t>
      </w:r>
      <w:proofErr w:type="spellStart"/>
      <w:r w:rsidR="00DB40BF" w:rsidRPr="00C10397">
        <w:rPr>
          <w:lang w:val="pt-BR"/>
        </w:rPr>
        <w:t>angustifolia</w:t>
      </w:r>
      <w:proofErr w:type="spellEnd"/>
      <w:r w:rsidR="00DB40BF" w:rsidRPr="00C10397">
        <w:rPr>
          <w:lang w:val="pt-BR"/>
        </w:rPr>
        <w:t xml:space="preserve">) nativas do estado do Paraná e seu uso em um produto alimentício. </w:t>
      </w:r>
      <w:r w:rsidRPr="00C10397">
        <w:rPr>
          <w:lang w:val="pt-BR"/>
        </w:rPr>
        <w:t xml:space="preserve">PhD </w:t>
      </w:r>
      <w:proofErr w:type="spellStart"/>
      <w:r w:rsidRPr="00C10397">
        <w:rPr>
          <w:lang w:val="pt-BR"/>
        </w:rPr>
        <w:t>Thesis</w:t>
      </w:r>
      <w:proofErr w:type="spellEnd"/>
      <w:r w:rsidRPr="00C10397">
        <w:rPr>
          <w:lang w:val="pt-BR"/>
        </w:rPr>
        <w:t xml:space="preserve"> </w:t>
      </w:r>
      <w:r w:rsidR="00DB40BF" w:rsidRPr="00C10397">
        <w:rPr>
          <w:lang w:val="pt-BR"/>
        </w:rPr>
        <w:t>Universidade Federal do Paraná</w:t>
      </w:r>
      <w:r w:rsidRPr="00C10397">
        <w:rPr>
          <w:lang w:val="pt-BR"/>
        </w:rPr>
        <w:t>, BR.</w:t>
      </w:r>
    </w:p>
    <w:p w:rsidR="00DB40BF" w:rsidRPr="00C10397" w:rsidRDefault="00C10397" w:rsidP="00075943">
      <w:pPr>
        <w:pStyle w:val="CETReferencetext"/>
        <w:spacing w:line="240" w:lineRule="auto"/>
        <w:rPr>
          <w:lang w:val="pt-BR"/>
        </w:rPr>
      </w:pPr>
      <w:proofErr w:type="spellStart"/>
      <w:r w:rsidRPr="00C10397">
        <w:rPr>
          <w:lang w:val="pt-BR"/>
        </w:rPr>
        <w:t>Darolt</w:t>
      </w:r>
      <w:proofErr w:type="spellEnd"/>
      <w:r w:rsidR="00DB40BF" w:rsidRPr="00C10397">
        <w:rPr>
          <w:lang w:val="pt-BR"/>
        </w:rPr>
        <w:t xml:space="preserve"> L.M</w:t>
      </w:r>
      <w:r>
        <w:rPr>
          <w:lang w:val="pt-BR"/>
        </w:rPr>
        <w:t>.,</w:t>
      </w:r>
      <w:r w:rsidR="00DB40BF" w:rsidRPr="00C10397">
        <w:rPr>
          <w:lang w:val="pt-BR"/>
        </w:rPr>
        <w:t xml:space="preserve"> </w:t>
      </w:r>
      <w:proofErr w:type="spellStart"/>
      <w:r w:rsidRPr="00C10397">
        <w:rPr>
          <w:lang w:val="pt-BR"/>
        </w:rPr>
        <w:t>Helm</w:t>
      </w:r>
      <w:proofErr w:type="spellEnd"/>
      <w:r w:rsidR="00DB40BF" w:rsidRPr="00C10397">
        <w:rPr>
          <w:lang w:val="pt-BR"/>
        </w:rPr>
        <w:t xml:space="preserve"> C.V.</w:t>
      </w:r>
      <w:r>
        <w:rPr>
          <w:lang w:val="pt-BR"/>
        </w:rPr>
        <w:t>, 2012,</w:t>
      </w:r>
      <w:r w:rsidR="00DB40BF" w:rsidRPr="00C10397">
        <w:rPr>
          <w:lang w:val="pt-BR"/>
        </w:rPr>
        <w:t xml:space="preserve"> Caracterização da composição química e compostos fenólicos do pinhão. </w:t>
      </w:r>
      <w:r w:rsidR="00DB40BF" w:rsidRPr="007A2074">
        <w:rPr>
          <w:lang w:val="pt-BR"/>
        </w:rPr>
        <w:t xml:space="preserve">Anais... </w:t>
      </w:r>
      <w:r w:rsidR="00DB40BF" w:rsidRPr="00C10397">
        <w:rPr>
          <w:lang w:val="pt-BR"/>
        </w:rPr>
        <w:t xml:space="preserve">Evento de Iniciação </w:t>
      </w:r>
      <w:r w:rsidRPr="00C10397">
        <w:rPr>
          <w:lang w:val="pt-BR"/>
        </w:rPr>
        <w:t>Científica da Embrapa Florestas</w:t>
      </w:r>
      <w:r w:rsidR="00DB40BF" w:rsidRPr="00C10397">
        <w:rPr>
          <w:lang w:val="pt-BR"/>
        </w:rPr>
        <w:t>.</w:t>
      </w:r>
    </w:p>
    <w:p w:rsidR="00DB40BF" w:rsidRPr="00C10397" w:rsidRDefault="00C10397" w:rsidP="00075943">
      <w:pPr>
        <w:pStyle w:val="CETReferencetext"/>
        <w:spacing w:line="240" w:lineRule="auto"/>
        <w:rPr>
          <w:lang w:val="pt-BR"/>
        </w:rPr>
      </w:pPr>
      <w:proofErr w:type="spellStart"/>
      <w:r w:rsidRPr="00C10397">
        <w:rPr>
          <w:lang w:val="pt-BR"/>
        </w:rPr>
        <w:t>Degáspari</w:t>
      </w:r>
      <w:proofErr w:type="spellEnd"/>
      <w:proofErr w:type="gramStart"/>
      <w:r w:rsidRPr="00C10397">
        <w:rPr>
          <w:lang w:val="pt-BR"/>
        </w:rPr>
        <w:t xml:space="preserve"> </w:t>
      </w:r>
      <w:r w:rsidR="00DB40BF" w:rsidRPr="00C10397">
        <w:rPr>
          <w:lang w:val="pt-BR"/>
        </w:rPr>
        <w:t xml:space="preserve"> </w:t>
      </w:r>
      <w:proofErr w:type="gramEnd"/>
      <w:r w:rsidR="00DB40BF" w:rsidRPr="00C10397">
        <w:rPr>
          <w:lang w:val="pt-BR"/>
        </w:rPr>
        <w:t>C.H.</w:t>
      </w:r>
      <w:r w:rsidRPr="00C10397">
        <w:rPr>
          <w:lang w:val="pt-BR"/>
        </w:rPr>
        <w:t>,</w:t>
      </w:r>
      <w:r w:rsidR="00DB40BF" w:rsidRPr="00C10397">
        <w:rPr>
          <w:lang w:val="pt-BR"/>
        </w:rPr>
        <w:t xml:space="preserve"> </w:t>
      </w:r>
      <w:proofErr w:type="spellStart"/>
      <w:r w:rsidRPr="00C10397">
        <w:rPr>
          <w:lang w:val="pt-BR"/>
        </w:rPr>
        <w:t>Waszczynskyj</w:t>
      </w:r>
      <w:proofErr w:type="spellEnd"/>
      <w:r w:rsidR="00DB40BF" w:rsidRPr="00C10397">
        <w:rPr>
          <w:lang w:val="pt-BR"/>
        </w:rPr>
        <w:t xml:space="preserve"> N.</w:t>
      </w:r>
      <w:r w:rsidRPr="00C10397">
        <w:rPr>
          <w:lang w:val="pt-BR"/>
        </w:rPr>
        <w:t>,</w:t>
      </w:r>
      <w:r>
        <w:rPr>
          <w:lang w:val="pt-BR"/>
        </w:rPr>
        <w:t xml:space="preserve"> 2004,</w:t>
      </w:r>
      <w:r w:rsidR="00DB40BF" w:rsidRPr="00C10397">
        <w:rPr>
          <w:lang w:val="pt-BR"/>
        </w:rPr>
        <w:t xml:space="preserve"> Propriedades antioxidantes de compostos fenó</w:t>
      </w:r>
      <w:r>
        <w:rPr>
          <w:lang w:val="pt-BR"/>
        </w:rPr>
        <w:t>licos,</w:t>
      </w:r>
      <w:r w:rsidR="00DB40BF" w:rsidRPr="00C10397">
        <w:rPr>
          <w:lang w:val="pt-BR"/>
        </w:rPr>
        <w:t xml:space="preserve"> Visão acadêmica</w:t>
      </w:r>
      <w:r w:rsidRPr="00C10397">
        <w:rPr>
          <w:lang w:val="pt-BR"/>
        </w:rPr>
        <w:t>, 5, 33-40</w:t>
      </w:r>
      <w:r w:rsidR="00DB40BF" w:rsidRPr="00C10397">
        <w:rPr>
          <w:lang w:val="pt-BR"/>
        </w:rPr>
        <w:t xml:space="preserve">. </w:t>
      </w:r>
    </w:p>
    <w:p w:rsidR="00DB40BF" w:rsidRPr="00DB40BF" w:rsidRDefault="00C10397" w:rsidP="00075943">
      <w:pPr>
        <w:pStyle w:val="CETReferencetext"/>
        <w:spacing w:line="240" w:lineRule="auto"/>
      </w:pPr>
      <w:r w:rsidRPr="00C10397">
        <w:rPr>
          <w:lang w:val="pt-BR"/>
        </w:rPr>
        <w:t>Gama</w:t>
      </w:r>
      <w:r w:rsidR="00DB40BF" w:rsidRPr="00C10397">
        <w:rPr>
          <w:lang w:val="pt-BR"/>
        </w:rPr>
        <w:t xml:space="preserve"> T.M.M.T.B.</w:t>
      </w:r>
      <w:r>
        <w:rPr>
          <w:lang w:val="pt-BR"/>
        </w:rPr>
        <w:t>, 2006,</w:t>
      </w:r>
      <w:r w:rsidR="00DB40BF" w:rsidRPr="00C10397">
        <w:rPr>
          <w:lang w:val="pt-BR"/>
        </w:rPr>
        <w:t xml:space="preserve"> Estudo comparativo dos aspectos físico-químicos do pinhão nativo e do pinhão proveniente de processos de polinização controlada de </w:t>
      </w:r>
      <w:proofErr w:type="spellStart"/>
      <w:r w:rsidR="00DB40BF" w:rsidRPr="00C10397">
        <w:rPr>
          <w:lang w:val="pt-BR"/>
        </w:rPr>
        <w:t>Araucaria</w:t>
      </w:r>
      <w:proofErr w:type="spellEnd"/>
      <w:r w:rsidR="00DB40BF" w:rsidRPr="00C10397">
        <w:rPr>
          <w:lang w:val="pt-BR"/>
        </w:rPr>
        <w:t xml:space="preserve"> </w:t>
      </w:r>
      <w:proofErr w:type="spellStart"/>
      <w:r w:rsidR="00DB40BF" w:rsidRPr="00C10397">
        <w:rPr>
          <w:lang w:val="pt-BR"/>
        </w:rPr>
        <w:t>angustifolia</w:t>
      </w:r>
      <w:proofErr w:type="spellEnd"/>
      <w:r w:rsidR="00DB40BF" w:rsidRPr="00C10397">
        <w:rPr>
          <w:lang w:val="pt-BR"/>
        </w:rPr>
        <w:t xml:space="preserve"> e da influência do tratamento térmico. </w:t>
      </w:r>
      <w:r w:rsidRPr="007A2074">
        <w:rPr>
          <w:lang w:val="en-US"/>
        </w:rPr>
        <w:t xml:space="preserve">MSc </w:t>
      </w:r>
      <w:proofErr w:type="spellStart"/>
      <w:r w:rsidRPr="007A2074">
        <w:rPr>
          <w:lang w:val="en-US"/>
        </w:rPr>
        <w:t>Thessis</w:t>
      </w:r>
      <w:proofErr w:type="spellEnd"/>
      <w:r w:rsidRPr="007A2074">
        <w:rPr>
          <w:lang w:val="en-US"/>
        </w:rPr>
        <w:t xml:space="preserve">, </w:t>
      </w:r>
      <w:proofErr w:type="spellStart"/>
      <w:r w:rsidR="00DB40BF" w:rsidRPr="007A2074">
        <w:rPr>
          <w:lang w:val="en-US"/>
        </w:rPr>
        <w:t>Universidade</w:t>
      </w:r>
      <w:proofErr w:type="spellEnd"/>
      <w:r w:rsidR="00DB40BF" w:rsidRPr="007A2074">
        <w:rPr>
          <w:lang w:val="en-US"/>
        </w:rPr>
        <w:t xml:space="preserve"> Federal do Paraná. </w:t>
      </w:r>
      <w:r>
        <w:t>Curitiba, BR</w:t>
      </w:r>
      <w:r w:rsidR="00DB40BF" w:rsidRPr="00DB40BF">
        <w:t>.</w:t>
      </w:r>
    </w:p>
    <w:p w:rsidR="00DB40BF" w:rsidRPr="00DB40BF" w:rsidRDefault="00C10397" w:rsidP="00075943">
      <w:pPr>
        <w:pStyle w:val="CETReferencetext"/>
        <w:spacing w:line="240" w:lineRule="auto"/>
      </w:pPr>
      <w:proofErr w:type="spellStart"/>
      <w:r w:rsidRPr="00DB40BF">
        <w:t>Koehnlein</w:t>
      </w:r>
      <w:proofErr w:type="spellEnd"/>
      <w:r w:rsidR="00DB40BF" w:rsidRPr="00DB40BF">
        <w:t xml:space="preserve"> E.A. et al.</w:t>
      </w:r>
      <w:r>
        <w:t>, 2012,</w:t>
      </w:r>
      <w:r w:rsidR="00DB40BF" w:rsidRPr="00DB40BF">
        <w:t xml:space="preserve"> Antioxidant activities and phenolic compounds of raw and cooked </w:t>
      </w:r>
      <w:proofErr w:type="spellStart"/>
      <w:proofErr w:type="gramStart"/>
      <w:r w:rsidR="00DB40BF" w:rsidRPr="00DB40BF">
        <w:t>brazilian</w:t>
      </w:r>
      <w:proofErr w:type="spellEnd"/>
      <w:proofErr w:type="gramEnd"/>
      <w:r w:rsidR="00DB40BF" w:rsidRPr="00DB40BF">
        <w:t xml:space="preserve"> </w:t>
      </w:r>
      <w:proofErr w:type="spellStart"/>
      <w:r w:rsidR="00DB40BF" w:rsidRPr="00DB40BF">
        <w:t>pinhão</w:t>
      </w:r>
      <w:proofErr w:type="spellEnd"/>
      <w:r w:rsidR="00DB40BF" w:rsidRPr="00DB40BF">
        <w:t xml:space="preserve"> (Araucaria </w:t>
      </w:r>
      <w:proofErr w:type="spellStart"/>
      <w:r w:rsidR="00DB40BF" w:rsidRPr="00DB40BF">
        <w:t>angustifolia</w:t>
      </w:r>
      <w:proofErr w:type="spellEnd"/>
      <w:r w:rsidR="00DB40BF" w:rsidRPr="00DB40BF">
        <w:t>) seeds</w:t>
      </w:r>
      <w:r>
        <w:t>,</w:t>
      </w:r>
      <w:r w:rsidR="00DB40BF" w:rsidRPr="00DB40BF">
        <w:t xml:space="preserve"> African Journal of Food Science</w:t>
      </w:r>
      <w:r>
        <w:t xml:space="preserve">, </w:t>
      </w:r>
      <w:r w:rsidR="00DB40BF" w:rsidRPr="00DB40BF">
        <w:t>6, 512-518.</w:t>
      </w:r>
    </w:p>
    <w:p w:rsidR="00DB40BF" w:rsidRPr="00DB40BF" w:rsidRDefault="00C10397" w:rsidP="00075943">
      <w:pPr>
        <w:pStyle w:val="CETReferencetext"/>
        <w:spacing w:line="240" w:lineRule="auto"/>
      </w:pPr>
      <w:proofErr w:type="spellStart"/>
      <w:r w:rsidRPr="00DB40BF">
        <w:t>Lushchak</w:t>
      </w:r>
      <w:proofErr w:type="spellEnd"/>
      <w:r w:rsidR="00DB40BF" w:rsidRPr="00DB40BF">
        <w:t xml:space="preserve"> V.I.</w:t>
      </w:r>
      <w:r>
        <w:t>, 2011,</w:t>
      </w:r>
      <w:r w:rsidR="00DB40BF" w:rsidRPr="00DB40BF">
        <w:t xml:space="preserve"> Environmentally induced oxidative stress in aquatic animals</w:t>
      </w:r>
      <w:r>
        <w:t>,</w:t>
      </w:r>
      <w:r w:rsidR="00DB40BF" w:rsidRPr="00DB40BF">
        <w:t xml:space="preserve"> Aquatic Toxicology, 101</w:t>
      </w:r>
      <w:proofErr w:type="gramStart"/>
      <w:r w:rsidR="00DB40BF" w:rsidRPr="00DB40BF">
        <w:t>,13</w:t>
      </w:r>
      <w:proofErr w:type="gramEnd"/>
      <w:r w:rsidR="00DB40BF" w:rsidRPr="00DB40BF">
        <w:t xml:space="preserve">-30. </w:t>
      </w:r>
    </w:p>
    <w:p w:rsidR="00DB40BF" w:rsidRPr="00391879" w:rsidRDefault="00C10397" w:rsidP="00075943">
      <w:pPr>
        <w:pStyle w:val="CETReferencetext"/>
        <w:spacing w:line="240" w:lineRule="auto"/>
        <w:rPr>
          <w:lang w:val="en-US"/>
        </w:rPr>
      </w:pPr>
      <w:proofErr w:type="spellStart"/>
      <w:r w:rsidRPr="00C10397">
        <w:rPr>
          <w:lang w:val="pt-BR"/>
        </w:rPr>
        <w:t>Pereda</w:t>
      </w:r>
      <w:proofErr w:type="spellEnd"/>
      <w:r w:rsidR="00DB40BF" w:rsidRPr="00C10397">
        <w:rPr>
          <w:lang w:val="pt-BR"/>
        </w:rPr>
        <w:t xml:space="preserve"> J.A.O.</w:t>
      </w:r>
      <w:r>
        <w:rPr>
          <w:lang w:val="pt-BR"/>
        </w:rPr>
        <w:t xml:space="preserve"> (E</w:t>
      </w:r>
      <w:r w:rsidRPr="00C10397">
        <w:rPr>
          <w:lang w:val="pt-BR"/>
        </w:rPr>
        <w:t>d)</w:t>
      </w:r>
      <w:r>
        <w:rPr>
          <w:lang w:val="pt-BR"/>
        </w:rPr>
        <w:t>, 2005,</w:t>
      </w:r>
      <w:r w:rsidR="00DB40BF" w:rsidRPr="00C10397">
        <w:rPr>
          <w:lang w:val="pt-BR"/>
        </w:rPr>
        <w:t xml:space="preserve"> Tecnologia de alimentos – componentes dos alimentos e processos. </w:t>
      </w:r>
      <w:proofErr w:type="spellStart"/>
      <w:r w:rsidRPr="00391879">
        <w:rPr>
          <w:lang w:val="en-US"/>
        </w:rPr>
        <w:t>Artmed</w:t>
      </w:r>
      <w:proofErr w:type="spellEnd"/>
      <w:r w:rsidRPr="00391879">
        <w:rPr>
          <w:lang w:val="en-US"/>
        </w:rPr>
        <w:t xml:space="preserve">, Porto </w:t>
      </w:r>
      <w:proofErr w:type="spellStart"/>
      <w:r w:rsidRPr="00391879">
        <w:rPr>
          <w:lang w:val="en-US"/>
        </w:rPr>
        <w:t>Alegre</w:t>
      </w:r>
      <w:proofErr w:type="spellEnd"/>
      <w:r w:rsidR="00DB40BF" w:rsidRPr="00391879">
        <w:rPr>
          <w:lang w:val="en-US"/>
        </w:rPr>
        <w:t>.</w:t>
      </w:r>
    </w:p>
    <w:p w:rsidR="00DB40BF" w:rsidRPr="00C10397" w:rsidRDefault="00C10397" w:rsidP="00075943">
      <w:pPr>
        <w:pStyle w:val="CETReferencetext"/>
        <w:spacing w:line="240" w:lineRule="auto"/>
        <w:rPr>
          <w:lang w:val="en-US"/>
        </w:rPr>
      </w:pPr>
      <w:proofErr w:type="spellStart"/>
      <w:r w:rsidRPr="00C10397">
        <w:rPr>
          <w:lang w:val="en-US"/>
        </w:rPr>
        <w:t>Ramalho</w:t>
      </w:r>
      <w:proofErr w:type="spellEnd"/>
      <w:r w:rsidR="00DB40BF" w:rsidRPr="00C10397">
        <w:rPr>
          <w:lang w:val="en-US"/>
        </w:rPr>
        <w:t xml:space="preserve"> V.C.</w:t>
      </w:r>
      <w:r w:rsidRPr="00C10397">
        <w:rPr>
          <w:lang w:val="en-US"/>
        </w:rPr>
        <w:t>,</w:t>
      </w:r>
      <w:r w:rsidR="00DB40BF" w:rsidRPr="00C10397">
        <w:rPr>
          <w:lang w:val="en-US"/>
        </w:rPr>
        <w:t xml:space="preserve"> </w:t>
      </w:r>
      <w:r w:rsidRPr="00C10397">
        <w:rPr>
          <w:lang w:val="en-US"/>
        </w:rPr>
        <w:t>Jorge</w:t>
      </w:r>
      <w:r w:rsidR="00DB40BF" w:rsidRPr="00C10397">
        <w:rPr>
          <w:lang w:val="en-US"/>
        </w:rPr>
        <w:t xml:space="preserve"> N.</w:t>
      </w:r>
      <w:r w:rsidRPr="00C10397">
        <w:rPr>
          <w:lang w:val="en-US"/>
        </w:rPr>
        <w:t>, 2006,</w:t>
      </w:r>
      <w:r w:rsidR="00DB40BF" w:rsidRPr="00C10397">
        <w:rPr>
          <w:lang w:val="en-US"/>
        </w:rPr>
        <w:t xml:space="preserve"> Antioxidants used in oils, fats and fatty foods</w:t>
      </w:r>
      <w:r w:rsidRPr="00C10397">
        <w:rPr>
          <w:lang w:val="en-US"/>
        </w:rPr>
        <w:t>,</w:t>
      </w:r>
      <w:r w:rsidR="00DB40BF" w:rsidRPr="00C10397">
        <w:rPr>
          <w:lang w:val="en-US"/>
        </w:rPr>
        <w:t> </w:t>
      </w:r>
      <w:proofErr w:type="spellStart"/>
      <w:r w:rsidR="00DB40BF" w:rsidRPr="00C10397">
        <w:rPr>
          <w:lang w:val="en-US"/>
        </w:rPr>
        <w:t>Química</w:t>
      </w:r>
      <w:proofErr w:type="spellEnd"/>
      <w:r w:rsidR="00DB40BF" w:rsidRPr="00C10397">
        <w:rPr>
          <w:lang w:val="en-US"/>
        </w:rPr>
        <w:t xml:space="preserve"> Nova, 29,755-760. </w:t>
      </w:r>
    </w:p>
    <w:p w:rsidR="00DB40BF" w:rsidRPr="00C10397" w:rsidRDefault="00C10397" w:rsidP="00075943">
      <w:pPr>
        <w:pStyle w:val="CETReferencetext"/>
        <w:spacing w:line="240" w:lineRule="auto"/>
        <w:rPr>
          <w:lang w:val="pt-BR"/>
        </w:rPr>
      </w:pPr>
      <w:proofErr w:type="spellStart"/>
      <w:r w:rsidRPr="00C10397">
        <w:rPr>
          <w:lang w:val="pt-BR"/>
        </w:rPr>
        <w:t>Rockenbach</w:t>
      </w:r>
      <w:proofErr w:type="spellEnd"/>
      <w:r w:rsidR="00DB40BF" w:rsidRPr="00C10397">
        <w:rPr>
          <w:lang w:val="pt-BR"/>
        </w:rPr>
        <w:t xml:space="preserve"> I.I. </w:t>
      </w:r>
      <w:proofErr w:type="gramStart"/>
      <w:r w:rsidR="00DB40BF" w:rsidRPr="00C10397">
        <w:rPr>
          <w:lang w:val="pt-BR"/>
        </w:rPr>
        <w:t>et</w:t>
      </w:r>
      <w:proofErr w:type="gramEnd"/>
      <w:r w:rsidR="00DB40BF" w:rsidRPr="00C10397">
        <w:rPr>
          <w:lang w:val="pt-BR"/>
        </w:rPr>
        <w:t xml:space="preserve"> al.</w:t>
      </w:r>
      <w:r w:rsidRPr="00C10397">
        <w:rPr>
          <w:lang w:val="pt-BR"/>
        </w:rPr>
        <w:t>,</w:t>
      </w:r>
      <w:r>
        <w:rPr>
          <w:lang w:val="pt-BR"/>
        </w:rPr>
        <w:t xml:space="preserve"> 2008,</w:t>
      </w:r>
      <w:r w:rsidR="00DB40BF" w:rsidRPr="00C10397">
        <w:rPr>
          <w:lang w:val="pt-BR"/>
        </w:rPr>
        <w:t xml:space="preserve"> Influência do solvente no conteúdo total de </w:t>
      </w:r>
      <w:proofErr w:type="spellStart"/>
      <w:r w:rsidR="00DB40BF" w:rsidRPr="00C10397">
        <w:rPr>
          <w:lang w:val="pt-BR"/>
        </w:rPr>
        <w:t>polifenóis</w:t>
      </w:r>
      <w:proofErr w:type="spellEnd"/>
      <w:r w:rsidR="00DB40BF" w:rsidRPr="00C10397">
        <w:rPr>
          <w:lang w:val="pt-BR"/>
        </w:rPr>
        <w:t>, antocianinas e atividade antioxidante de extratos de bagaço de uva (</w:t>
      </w:r>
      <w:proofErr w:type="spellStart"/>
      <w:r w:rsidR="00DB40BF" w:rsidRPr="00C10397">
        <w:rPr>
          <w:lang w:val="pt-BR"/>
        </w:rPr>
        <w:t>Vitis</w:t>
      </w:r>
      <w:proofErr w:type="spellEnd"/>
      <w:r w:rsidR="00DB40BF" w:rsidRPr="00C10397">
        <w:rPr>
          <w:lang w:val="pt-BR"/>
        </w:rPr>
        <w:t xml:space="preserve"> </w:t>
      </w:r>
      <w:proofErr w:type="spellStart"/>
      <w:r w:rsidR="00DB40BF" w:rsidRPr="00C10397">
        <w:rPr>
          <w:lang w:val="pt-BR"/>
        </w:rPr>
        <w:t>vinifera</w:t>
      </w:r>
      <w:proofErr w:type="spellEnd"/>
      <w:r>
        <w:rPr>
          <w:lang w:val="pt-BR"/>
        </w:rPr>
        <w:t xml:space="preserve">) variedades </w:t>
      </w:r>
      <w:proofErr w:type="spellStart"/>
      <w:r>
        <w:rPr>
          <w:lang w:val="pt-BR"/>
        </w:rPr>
        <w:t>tannat</w:t>
      </w:r>
      <w:proofErr w:type="spellEnd"/>
      <w:r>
        <w:rPr>
          <w:lang w:val="pt-BR"/>
        </w:rPr>
        <w:t xml:space="preserve"> e </w:t>
      </w:r>
      <w:proofErr w:type="spellStart"/>
      <w:r>
        <w:rPr>
          <w:lang w:val="pt-BR"/>
        </w:rPr>
        <w:t>ancelota</w:t>
      </w:r>
      <w:proofErr w:type="spellEnd"/>
      <w:r>
        <w:rPr>
          <w:lang w:val="pt-BR"/>
        </w:rPr>
        <w:t>,</w:t>
      </w:r>
      <w:r w:rsidR="00DB40BF" w:rsidRPr="00C10397">
        <w:rPr>
          <w:lang w:val="pt-BR"/>
        </w:rPr>
        <w:t> Ciência e Tecnologia de Alimentos, 28, 238-244.</w:t>
      </w:r>
    </w:p>
    <w:p w:rsidR="00DB40BF" w:rsidRPr="00C10397" w:rsidRDefault="00C10397" w:rsidP="00075943">
      <w:pPr>
        <w:pStyle w:val="CETReferencetext"/>
        <w:spacing w:line="240" w:lineRule="auto"/>
        <w:rPr>
          <w:lang w:val="pt-BR"/>
        </w:rPr>
      </w:pPr>
      <w:r w:rsidRPr="00C10397">
        <w:rPr>
          <w:lang w:val="pt-BR"/>
        </w:rPr>
        <w:t>Santos</w:t>
      </w:r>
      <w:r w:rsidR="00DB40BF" w:rsidRPr="00C10397">
        <w:rPr>
          <w:lang w:val="pt-BR"/>
        </w:rPr>
        <w:t xml:space="preserve"> A.J. </w:t>
      </w:r>
      <w:proofErr w:type="gramStart"/>
      <w:r w:rsidR="00DB40BF" w:rsidRPr="00C10397">
        <w:rPr>
          <w:lang w:val="pt-BR"/>
        </w:rPr>
        <w:t>et</w:t>
      </w:r>
      <w:proofErr w:type="gramEnd"/>
      <w:r w:rsidR="00DB40BF" w:rsidRPr="00C10397">
        <w:rPr>
          <w:lang w:val="pt-BR"/>
        </w:rPr>
        <w:t xml:space="preserve"> al.</w:t>
      </w:r>
      <w:r w:rsidRPr="00C10397">
        <w:rPr>
          <w:lang w:val="pt-BR"/>
        </w:rPr>
        <w:t>,</w:t>
      </w:r>
      <w:r>
        <w:rPr>
          <w:lang w:val="pt-BR"/>
        </w:rPr>
        <w:t xml:space="preserve"> 2002,</w:t>
      </w:r>
      <w:r w:rsidR="00DB40BF" w:rsidRPr="00C10397">
        <w:rPr>
          <w:lang w:val="pt-BR"/>
        </w:rPr>
        <w:t xml:space="preserve"> Aspectos produtivos e comerciais do pinhão no estado do </w:t>
      </w:r>
      <w:r>
        <w:rPr>
          <w:lang w:val="pt-BR"/>
        </w:rPr>
        <w:t>Paraná,</w:t>
      </w:r>
      <w:r w:rsidR="00DB40BF" w:rsidRPr="00C10397">
        <w:rPr>
          <w:lang w:val="pt-BR"/>
        </w:rPr>
        <w:t xml:space="preserve"> Revista Floresta, 2,163-169.</w:t>
      </w:r>
    </w:p>
    <w:p w:rsidR="00DB40BF" w:rsidRDefault="00C10397" w:rsidP="00075943">
      <w:pPr>
        <w:pStyle w:val="CETReferencetext"/>
        <w:spacing w:line="240" w:lineRule="auto"/>
        <w:rPr>
          <w:lang w:val="pt-BR"/>
        </w:rPr>
      </w:pPr>
      <w:proofErr w:type="spellStart"/>
      <w:r w:rsidRPr="00C10397">
        <w:rPr>
          <w:lang w:val="pt-BR"/>
        </w:rPr>
        <w:t>Schveitzer</w:t>
      </w:r>
      <w:proofErr w:type="spellEnd"/>
      <w:r w:rsidR="00DB40BF" w:rsidRPr="00C10397">
        <w:rPr>
          <w:lang w:val="pt-BR"/>
        </w:rPr>
        <w:t xml:space="preserve"> B. </w:t>
      </w:r>
      <w:proofErr w:type="gramStart"/>
      <w:r w:rsidR="00DB40BF" w:rsidRPr="00C10397">
        <w:rPr>
          <w:lang w:val="pt-BR"/>
        </w:rPr>
        <w:t>et</w:t>
      </w:r>
      <w:proofErr w:type="gramEnd"/>
      <w:r w:rsidR="00DB40BF" w:rsidRPr="00C10397">
        <w:rPr>
          <w:lang w:val="pt-BR"/>
        </w:rPr>
        <w:t xml:space="preserve"> al.</w:t>
      </w:r>
      <w:r w:rsidRPr="00C10397">
        <w:rPr>
          <w:lang w:val="pt-BR"/>
        </w:rPr>
        <w:t>, 2014,</w:t>
      </w:r>
      <w:r w:rsidR="00DB40BF" w:rsidRPr="00C10397">
        <w:rPr>
          <w:lang w:val="pt-BR"/>
        </w:rPr>
        <w:t xml:space="preserve"> Caracterização química de pinhões – sementes de Araucária </w:t>
      </w:r>
      <w:proofErr w:type="spellStart"/>
      <w:r w:rsidR="00DB40BF" w:rsidRPr="00C10397">
        <w:rPr>
          <w:lang w:val="pt-BR"/>
        </w:rPr>
        <w:t>angustifolia</w:t>
      </w:r>
      <w:proofErr w:type="spellEnd"/>
      <w:r w:rsidR="00DB40BF" w:rsidRPr="00C10397">
        <w:rPr>
          <w:lang w:val="pt-BR"/>
        </w:rPr>
        <w:t xml:space="preserve"> – em diferentes formas de preparo</w:t>
      </w:r>
      <w:r>
        <w:rPr>
          <w:lang w:val="pt-BR"/>
        </w:rPr>
        <w:t>,</w:t>
      </w:r>
      <w:r w:rsidR="00DB40BF" w:rsidRPr="00C10397">
        <w:rPr>
          <w:lang w:val="pt-BR"/>
        </w:rPr>
        <w:t xml:space="preserve"> Revista Interdisciplinar de Estudos em Saúde, 3,</w:t>
      </w:r>
      <w:r>
        <w:rPr>
          <w:lang w:val="pt-BR"/>
        </w:rPr>
        <w:t xml:space="preserve"> </w:t>
      </w:r>
      <w:r w:rsidR="00DB40BF" w:rsidRPr="00C10397">
        <w:rPr>
          <w:lang w:val="pt-BR"/>
        </w:rPr>
        <w:t>93-104.</w:t>
      </w:r>
    </w:p>
    <w:p w:rsidR="00075943" w:rsidRPr="00350C48" w:rsidRDefault="00075943" w:rsidP="00075943">
      <w:pPr>
        <w:pStyle w:val="CETReference"/>
        <w:spacing w:before="0" w:after="0"/>
        <w:ind w:left="284" w:hanging="284"/>
        <w:jc w:val="both"/>
        <w:rPr>
          <w:rFonts w:cs="Arial"/>
          <w:b w:val="0"/>
          <w:szCs w:val="18"/>
          <w:lang w:val="en-US"/>
        </w:rPr>
      </w:pPr>
      <w:r w:rsidRPr="00350C48">
        <w:rPr>
          <w:rFonts w:cs="Arial"/>
          <w:b w:val="0"/>
          <w:szCs w:val="18"/>
          <w:lang w:val="en-US"/>
        </w:rPr>
        <w:t xml:space="preserve">Sganzerla W.G., </w:t>
      </w:r>
      <w:proofErr w:type="spellStart"/>
      <w:r w:rsidRPr="00350C48">
        <w:rPr>
          <w:rFonts w:cs="Arial"/>
          <w:b w:val="0"/>
          <w:szCs w:val="18"/>
          <w:lang w:val="en-US"/>
        </w:rPr>
        <w:t>Beling</w:t>
      </w:r>
      <w:proofErr w:type="spellEnd"/>
      <w:r w:rsidRPr="00350C48">
        <w:rPr>
          <w:rFonts w:cs="Arial"/>
          <w:b w:val="0"/>
          <w:szCs w:val="18"/>
          <w:lang w:val="en-US"/>
        </w:rPr>
        <w:t xml:space="preserve"> P.C., </w:t>
      </w:r>
      <w:proofErr w:type="spellStart"/>
      <w:r w:rsidRPr="00350C48">
        <w:rPr>
          <w:rFonts w:cs="Arial"/>
          <w:b w:val="0"/>
          <w:szCs w:val="18"/>
          <w:lang w:val="en-US"/>
        </w:rPr>
        <w:t>Ferrareze</w:t>
      </w:r>
      <w:proofErr w:type="spellEnd"/>
      <w:r w:rsidRPr="00350C48">
        <w:rPr>
          <w:rFonts w:cs="Arial"/>
          <w:b w:val="0"/>
          <w:szCs w:val="18"/>
          <w:lang w:val="en-US"/>
        </w:rPr>
        <w:t xml:space="preserve"> J.P., Komatsu  R.A., </w:t>
      </w:r>
      <w:proofErr w:type="spellStart"/>
      <w:r w:rsidRPr="00350C48">
        <w:rPr>
          <w:rFonts w:cs="Arial"/>
          <w:b w:val="0"/>
          <w:szCs w:val="18"/>
          <w:lang w:val="en-US"/>
        </w:rPr>
        <w:t>Nunes</w:t>
      </w:r>
      <w:proofErr w:type="spellEnd"/>
      <w:r w:rsidRPr="00350C48">
        <w:rPr>
          <w:rFonts w:cs="Arial"/>
          <w:b w:val="0"/>
          <w:szCs w:val="18"/>
          <w:lang w:val="en-US"/>
        </w:rPr>
        <w:t xml:space="preserve"> M.R., </w:t>
      </w:r>
      <w:proofErr w:type="spellStart"/>
      <w:r w:rsidRPr="00350C48">
        <w:rPr>
          <w:rFonts w:cs="Arial"/>
          <w:b w:val="0"/>
          <w:szCs w:val="18"/>
          <w:lang w:val="en-US"/>
        </w:rPr>
        <w:t>Veeck</w:t>
      </w:r>
      <w:proofErr w:type="spellEnd"/>
      <w:r w:rsidRPr="00350C48">
        <w:rPr>
          <w:rFonts w:cs="Arial"/>
          <w:b w:val="0"/>
          <w:szCs w:val="18"/>
          <w:lang w:val="en-US"/>
        </w:rPr>
        <w:t xml:space="preserve"> A.P.L., 2018a, Nutritional, physicochemical and antimicrobial properties of </w:t>
      </w:r>
      <w:proofErr w:type="spellStart"/>
      <w:r w:rsidRPr="00350C48">
        <w:rPr>
          <w:rFonts w:cs="Arial"/>
          <w:b w:val="0"/>
          <w:szCs w:val="18"/>
          <w:lang w:val="en-US"/>
        </w:rPr>
        <w:t>uvaia</w:t>
      </w:r>
      <w:proofErr w:type="spellEnd"/>
      <w:r w:rsidRPr="00350C48">
        <w:rPr>
          <w:rFonts w:cs="Arial"/>
          <w:b w:val="0"/>
          <w:szCs w:val="18"/>
          <w:lang w:val="en-US"/>
        </w:rPr>
        <w:t xml:space="preserve"> pulp (</w:t>
      </w:r>
      <w:r w:rsidRPr="006E479E">
        <w:rPr>
          <w:rFonts w:cs="Arial"/>
          <w:b w:val="0"/>
          <w:i/>
          <w:szCs w:val="18"/>
          <w:lang w:val="en-US"/>
        </w:rPr>
        <w:t xml:space="preserve">Eugenia </w:t>
      </w:r>
      <w:proofErr w:type="spellStart"/>
      <w:r w:rsidRPr="006E479E">
        <w:rPr>
          <w:rFonts w:cs="Arial"/>
          <w:b w:val="0"/>
          <w:i/>
          <w:szCs w:val="18"/>
          <w:lang w:val="en-US"/>
        </w:rPr>
        <w:t>pyriformis</w:t>
      </w:r>
      <w:proofErr w:type="spellEnd"/>
      <w:r w:rsidRPr="00350C48">
        <w:rPr>
          <w:rFonts w:cs="Arial"/>
          <w:b w:val="0"/>
          <w:szCs w:val="18"/>
          <w:lang w:val="en-US"/>
        </w:rPr>
        <w:t xml:space="preserve"> </w:t>
      </w:r>
      <w:proofErr w:type="spellStart"/>
      <w:r w:rsidRPr="00350C48">
        <w:rPr>
          <w:rFonts w:cs="Arial"/>
          <w:b w:val="0"/>
          <w:szCs w:val="18"/>
          <w:lang w:val="en-US"/>
        </w:rPr>
        <w:t>Cambess</w:t>
      </w:r>
      <w:proofErr w:type="spellEnd"/>
      <w:r w:rsidRPr="00350C48">
        <w:rPr>
          <w:rFonts w:cs="Arial"/>
          <w:b w:val="0"/>
          <w:szCs w:val="18"/>
          <w:lang w:val="en-US"/>
        </w:rPr>
        <w:t>), Communications in Plant Sciences, 8, 1-7.</w:t>
      </w:r>
    </w:p>
    <w:p w:rsidR="00DB40BF" w:rsidRPr="00C10397" w:rsidRDefault="00C10397" w:rsidP="00075943">
      <w:pPr>
        <w:pStyle w:val="CETReferencetext"/>
        <w:spacing w:line="240" w:lineRule="auto"/>
        <w:rPr>
          <w:lang w:val="pt-BR"/>
        </w:rPr>
      </w:pPr>
      <w:r w:rsidRPr="00C10397">
        <w:rPr>
          <w:lang w:val="pt-BR"/>
        </w:rPr>
        <w:t>Silva</w:t>
      </w:r>
      <w:r w:rsidR="00DB40BF" w:rsidRPr="00C10397">
        <w:rPr>
          <w:lang w:val="pt-BR"/>
        </w:rPr>
        <w:t xml:space="preserve"> C.M.D.</w:t>
      </w:r>
      <w:r>
        <w:rPr>
          <w:lang w:val="pt-BR"/>
        </w:rPr>
        <w:t>, 2013,</w:t>
      </w:r>
      <w:r w:rsidR="00DB40BF" w:rsidRPr="00C10397">
        <w:rPr>
          <w:lang w:val="pt-BR"/>
        </w:rPr>
        <w:t xml:space="preserve"> Caracterização química e quantificação dos minerais da semente de </w:t>
      </w:r>
      <w:proofErr w:type="spellStart"/>
      <w:r w:rsidR="00DB40BF" w:rsidRPr="00C10397">
        <w:rPr>
          <w:lang w:val="pt-BR"/>
        </w:rPr>
        <w:t>Araucaria</w:t>
      </w:r>
      <w:proofErr w:type="spellEnd"/>
      <w:r w:rsidR="00DB40BF" w:rsidRPr="00C10397">
        <w:rPr>
          <w:lang w:val="pt-BR"/>
        </w:rPr>
        <w:t xml:space="preserve"> </w:t>
      </w:r>
      <w:proofErr w:type="spellStart"/>
      <w:r w:rsidR="00DB40BF" w:rsidRPr="00C10397">
        <w:rPr>
          <w:lang w:val="pt-BR"/>
        </w:rPr>
        <w:t>angustifolia</w:t>
      </w:r>
      <w:proofErr w:type="spellEnd"/>
      <w:r w:rsidR="00DB40BF" w:rsidRPr="00C10397">
        <w:rPr>
          <w:lang w:val="pt-BR"/>
        </w:rPr>
        <w:t xml:space="preserve"> (</w:t>
      </w:r>
      <w:proofErr w:type="spellStart"/>
      <w:r w:rsidR="00DB40BF" w:rsidRPr="00C10397">
        <w:rPr>
          <w:lang w:val="pt-BR"/>
        </w:rPr>
        <w:t>bertol</w:t>
      </w:r>
      <w:proofErr w:type="spellEnd"/>
      <w:r w:rsidR="00DB40BF" w:rsidRPr="00C10397">
        <w:rPr>
          <w:lang w:val="pt-BR"/>
        </w:rPr>
        <w:t xml:space="preserve">.) o. </w:t>
      </w:r>
      <w:proofErr w:type="spellStart"/>
      <w:proofErr w:type="gramStart"/>
      <w:r w:rsidR="00DB40BF" w:rsidRPr="00C10397">
        <w:rPr>
          <w:lang w:val="pt-BR"/>
        </w:rPr>
        <w:t>kuntze</w:t>
      </w:r>
      <w:proofErr w:type="spellEnd"/>
      <w:proofErr w:type="gramEnd"/>
      <w:r w:rsidR="00DB40BF" w:rsidRPr="00C10397">
        <w:rPr>
          <w:lang w:val="pt-BR"/>
        </w:rPr>
        <w:t xml:space="preserve">. </w:t>
      </w:r>
      <w:r w:rsidR="00DB40BF" w:rsidRPr="007A2074">
        <w:rPr>
          <w:lang w:val="pt-BR"/>
        </w:rPr>
        <w:t xml:space="preserve">CESUMAR, Anais... </w:t>
      </w:r>
      <w:r w:rsidR="00DB40BF" w:rsidRPr="00C10397">
        <w:rPr>
          <w:lang w:val="pt-BR"/>
        </w:rPr>
        <w:t xml:space="preserve">VIII EPCC – Encontro Internacional de Produção Científica </w:t>
      </w:r>
      <w:proofErr w:type="spellStart"/>
      <w:r w:rsidR="00DB40BF" w:rsidRPr="00C10397">
        <w:rPr>
          <w:lang w:val="pt-BR"/>
        </w:rPr>
        <w:t>Cesumar</w:t>
      </w:r>
      <w:proofErr w:type="spellEnd"/>
      <w:r w:rsidR="00DB40BF" w:rsidRPr="00C10397">
        <w:rPr>
          <w:lang w:val="pt-BR"/>
        </w:rPr>
        <w:t>.</w:t>
      </w:r>
    </w:p>
    <w:p w:rsidR="00DB40BF" w:rsidRPr="00DB40BF" w:rsidRDefault="00C10397" w:rsidP="00075943">
      <w:pPr>
        <w:pStyle w:val="CETReferencetext"/>
        <w:spacing w:line="240" w:lineRule="auto"/>
      </w:pPr>
      <w:r w:rsidRPr="00C10397">
        <w:rPr>
          <w:lang w:val="en-US"/>
        </w:rPr>
        <w:t>Swain</w:t>
      </w:r>
      <w:r w:rsidR="00DB40BF" w:rsidRPr="00C10397">
        <w:rPr>
          <w:lang w:val="en-US"/>
        </w:rPr>
        <w:t xml:space="preserve"> T.</w:t>
      </w:r>
      <w:r>
        <w:rPr>
          <w:lang w:val="en-US"/>
        </w:rPr>
        <w:t>,</w:t>
      </w:r>
      <w:r w:rsidR="00DB40BF" w:rsidRPr="00C10397">
        <w:rPr>
          <w:lang w:val="en-US"/>
        </w:rPr>
        <w:t xml:space="preserve"> </w:t>
      </w:r>
      <w:proofErr w:type="spellStart"/>
      <w:r w:rsidRPr="00C10397">
        <w:rPr>
          <w:lang w:val="en-US"/>
        </w:rPr>
        <w:t>Hillis</w:t>
      </w:r>
      <w:proofErr w:type="spellEnd"/>
      <w:r w:rsidR="00DB40BF" w:rsidRPr="00C10397">
        <w:rPr>
          <w:lang w:val="en-US"/>
        </w:rPr>
        <w:t xml:space="preserve"> W.E.</w:t>
      </w:r>
      <w:r>
        <w:rPr>
          <w:lang w:val="en-US"/>
        </w:rPr>
        <w:t>, 1959,</w:t>
      </w:r>
      <w:r w:rsidR="00DB40BF" w:rsidRPr="00C10397">
        <w:rPr>
          <w:lang w:val="en-US"/>
        </w:rPr>
        <w:t xml:space="preserve"> </w:t>
      </w:r>
      <w:proofErr w:type="gramStart"/>
      <w:r w:rsidR="00DB40BF" w:rsidRPr="00C10397">
        <w:rPr>
          <w:lang w:val="en-US"/>
        </w:rPr>
        <w:t>The</w:t>
      </w:r>
      <w:proofErr w:type="gramEnd"/>
      <w:r w:rsidR="00DB40BF" w:rsidRPr="00C10397">
        <w:rPr>
          <w:lang w:val="en-US"/>
        </w:rPr>
        <w:t xml:space="preserve"> </w:t>
      </w:r>
      <w:proofErr w:type="spellStart"/>
      <w:r w:rsidR="00DB40BF" w:rsidRPr="00C10397">
        <w:rPr>
          <w:lang w:val="en-US"/>
        </w:rPr>
        <w:t>fenolic</w:t>
      </w:r>
      <w:proofErr w:type="spellEnd"/>
      <w:r w:rsidR="00DB40BF" w:rsidRPr="00C10397">
        <w:rPr>
          <w:lang w:val="en-US"/>
        </w:rPr>
        <w:t xml:space="preserve"> constituents of </w:t>
      </w:r>
      <w:proofErr w:type="spellStart"/>
      <w:r>
        <w:rPr>
          <w:lang w:val="en-US"/>
        </w:rPr>
        <w:t>Prunus</w:t>
      </w:r>
      <w:proofErr w:type="spellEnd"/>
      <w:r>
        <w:rPr>
          <w:lang w:val="en-US"/>
        </w:rPr>
        <w:t xml:space="preserve"> </w:t>
      </w:r>
      <w:proofErr w:type="spellStart"/>
      <w:r>
        <w:rPr>
          <w:lang w:val="en-US"/>
        </w:rPr>
        <w:t>domestica</w:t>
      </w:r>
      <w:proofErr w:type="spellEnd"/>
      <w:r>
        <w:rPr>
          <w:lang w:val="en-US"/>
        </w:rPr>
        <w:t>,</w:t>
      </w:r>
      <w:r w:rsidR="00DB40BF" w:rsidRPr="00C10397">
        <w:rPr>
          <w:lang w:val="en-US"/>
        </w:rPr>
        <w:t xml:space="preserve"> </w:t>
      </w:r>
      <w:r w:rsidR="00DB40BF" w:rsidRPr="00DB40BF">
        <w:t>Journal Science Food Agriculture, 10</w:t>
      </w:r>
      <w:r>
        <w:t xml:space="preserve">, </w:t>
      </w:r>
      <w:r w:rsidR="00DB40BF" w:rsidRPr="00DB40BF">
        <w:t>135-144.</w:t>
      </w:r>
    </w:p>
    <w:p w:rsidR="00DB40BF" w:rsidRPr="00C10397" w:rsidRDefault="00C10397" w:rsidP="00075943">
      <w:pPr>
        <w:pStyle w:val="CETReferencetext"/>
        <w:spacing w:line="240" w:lineRule="auto"/>
        <w:rPr>
          <w:lang w:val="pt-BR"/>
        </w:rPr>
      </w:pPr>
      <w:proofErr w:type="spellStart"/>
      <w:r w:rsidRPr="00C10397">
        <w:rPr>
          <w:lang w:val="pt-BR"/>
        </w:rPr>
        <w:t>Thys</w:t>
      </w:r>
      <w:proofErr w:type="spellEnd"/>
      <w:r w:rsidR="00DB40BF" w:rsidRPr="00C10397">
        <w:rPr>
          <w:lang w:val="pt-BR"/>
        </w:rPr>
        <w:t xml:space="preserve"> R.C.S.</w:t>
      </w:r>
      <w:r w:rsidRPr="00C10397">
        <w:rPr>
          <w:lang w:val="pt-BR"/>
        </w:rPr>
        <w:t>,</w:t>
      </w:r>
      <w:r w:rsidR="00DB40BF" w:rsidRPr="00C10397">
        <w:rPr>
          <w:lang w:val="pt-BR"/>
        </w:rPr>
        <w:t xml:space="preserve"> </w:t>
      </w:r>
      <w:r w:rsidRPr="00C10397">
        <w:rPr>
          <w:lang w:val="pt-BR"/>
        </w:rPr>
        <w:t>Cunha</w:t>
      </w:r>
      <w:r w:rsidR="00DB40BF" w:rsidRPr="00C10397">
        <w:rPr>
          <w:lang w:val="pt-BR"/>
        </w:rPr>
        <w:t>, M.</w:t>
      </w:r>
      <w:r w:rsidRPr="00C10397">
        <w:rPr>
          <w:lang w:val="pt-BR"/>
        </w:rPr>
        <w:t>,</w:t>
      </w:r>
      <w:r>
        <w:rPr>
          <w:lang w:val="pt-BR"/>
        </w:rPr>
        <w:t xml:space="preserve"> 2015,</w:t>
      </w:r>
      <w:r w:rsidR="00DB40BF" w:rsidRPr="00C10397">
        <w:rPr>
          <w:lang w:val="pt-BR"/>
        </w:rPr>
        <w:t xml:space="preserve"> Avaliação do tratamento térmico da semente do pinhão no teor de amido resistente e de compostos fenólicos de sua farinha. </w:t>
      </w:r>
      <w:proofErr w:type="spellStart"/>
      <w:r w:rsidR="00DB40BF" w:rsidRPr="00DB40BF">
        <w:t>Anais</w:t>
      </w:r>
      <w:proofErr w:type="spellEnd"/>
      <w:r w:rsidR="00DB40BF" w:rsidRPr="00DB40BF">
        <w:t xml:space="preserve">... </w:t>
      </w:r>
      <w:r w:rsidR="00DB40BF" w:rsidRPr="00C10397">
        <w:rPr>
          <w:lang w:val="pt-BR"/>
        </w:rPr>
        <w:t xml:space="preserve">5º Simpósio de Segurança Alimentar: Alimentação e Saúde. </w:t>
      </w:r>
    </w:p>
    <w:p w:rsidR="00DB40BF" w:rsidRPr="00C10397" w:rsidRDefault="00C10397" w:rsidP="00075943">
      <w:pPr>
        <w:pStyle w:val="CETReferencetext"/>
        <w:spacing w:line="240" w:lineRule="auto"/>
        <w:rPr>
          <w:lang w:val="pt-BR"/>
        </w:rPr>
      </w:pPr>
      <w:r w:rsidRPr="00C10397">
        <w:rPr>
          <w:lang w:val="pt-BR"/>
        </w:rPr>
        <w:t>Vieira</w:t>
      </w:r>
      <w:r w:rsidR="00DB40BF" w:rsidRPr="00C10397">
        <w:rPr>
          <w:lang w:val="pt-BR"/>
        </w:rPr>
        <w:t xml:space="preserve"> M.A. </w:t>
      </w:r>
      <w:proofErr w:type="gramStart"/>
      <w:r w:rsidR="00DB40BF" w:rsidRPr="00C10397">
        <w:rPr>
          <w:lang w:val="pt-BR"/>
        </w:rPr>
        <w:t>et</w:t>
      </w:r>
      <w:proofErr w:type="gramEnd"/>
      <w:r w:rsidR="00DB40BF" w:rsidRPr="00C10397">
        <w:rPr>
          <w:lang w:val="pt-BR"/>
        </w:rPr>
        <w:t xml:space="preserve"> al.</w:t>
      </w:r>
      <w:r>
        <w:rPr>
          <w:lang w:val="pt-BR"/>
        </w:rPr>
        <w:t>, 2009,</w:t>
      </w:r>
      <w:r w:rsidR="00DB40BF" w:rsidRPr="00C10397">
        <w:rPr>
          <w:lang w:val="pt-BR"/>
        </w:rPr>
        <w:t xml:space="preserve"> Análise de compostos fenólicos, </w:t>
      </w:r>
      <w:proofErr w:type="spellStart"/>
      <w:r w:rsidR="00DB40BF" w:rsidRPr="00C10397">
        <w:rPr>
          <w:lang w:val="pt-BR"/>
        </w:rPr>
        <w:t>metilxantinas</w:t>
      </w:r>
      <w:proofErr w:type="spellEnd"/>
      <w:r w:rsidR="00DB40BF" w:rsidRPr="00C10397">
        <w:rPr>
          <w:lang w:val="pt-BR"/>
        </w:rPr>
        <w:t xml:space="preserve">, tanino e atividade antioxidante de resíduo do processamento da erva-mate: uma nova fonte potencial de antioxidantes. </w:t>
      </w:r>
      <w:proofErr w:type="spellStart"/>
      <w:r w:rsidR="00DB40BF" w:rsidRPr="00C10397">
        <w:rPr>
          <w:lang w:val="pt-BR"/>
        </w:rPr>
        <w:t>International</w:t>
      </w:r>
      <w:proofErr w:type="spellEnd"/>
      <w:r w:rsidR="00DB40BF" w:rsidRPr="00C10397">
        <w:rPr>
          <w:lang w:val="pt-BR"/>
        </w:rPr>
        <w:t xml:space="preserve"> Workshop–</w:t>
      </w:r>
      <w:proofErr w:type="spellStart"/>
      <w:r w:rsidR="00DB40BF" w:rsidRPr="00C10397">
        <w:rPr>
          <w:lang w:val="pt-BR"/>
        </w:rPr>
        <w:t>Advances</w:t>
      </w:r>
      <w:proofErr w:type="spellEnd"/>
      <w:r w:rsidR="00DB40BF" w:rsidRPr="00C10397">
        <w:rPr>
          <w:lang w:val="pt-BR"/>
        </w:rPr>
        <w:t xml:space="preserve"> In </w:t>
      </w:r>
      <w:proofErr w:type="spellStart"/>
      <w:r w:rsidR="00DB40BF" w:rsidRPr="00C10397">
        <w:rPr>
          <w:lang w:val="pt-BR"/>
        </w:rPr>
        <w:t>Cleaner</w:t>
      </w:r>
      <w:proofErr w:type="spellEnd"/>
      <w:r w:rsidR="00DB40BF" w:rsidRPr="00C10397">
        <w:rPr>
          <w:lang w:val="pt-BR"/>
        </w:rPr>
        <w:t xml:space="preserve"> </w:t>
      </w:r>
      <w:proofErr w:type="spellStart"/>
      <w:r w:rsidR="00DB40BF" w:rsidRPr="00C10397">
        <w:rPr>
          <w:lang w:val="pt-BR"/>
        </w:rPr>
        <w:t>Production</w:t>
      </w:r>
      <w:proofErr w:type="spellEnd"/>
      <w:r w:rsidR="00DB40BF" w:rsidRPr="00C10397">
        <w:rPr>
          <w:lang w:val="pt-BR"/>
        </w:rPr>
        <w:t>, 1-11</w:t>
      </w:r>
      <w:r>
        <w:rPr>
          <w:lang w:val="pt-BR"/>
        </w:rPr>
        <w:t>.</w:t>
      </w:r>
    </w:p>
    <w:p w:rsidR="00E65B91" w:rsidRPr="00C10397" w:rsidRDefault="00E65B91" w:rsidP="00600535">
      <w:pPr>
        <w:pStyle w:val="CETReferencetext"/>
        <w:rPr>
          <w:lang w:val="pt-BR"/>
        </w:rPr>
      </w:pPr>
    </w:p>
    <w:sectPr w:rsidR="00E65B91" w:rsidRPr="00C10397" w:rsidSect="0077098D">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14C8" w:rsidRDefault="005614C8" w:rsidP="004F5E36">
      <w:r>
        <w:separator/>
      </w:r>
    </w:p>
  </w:endnote>
  <w:endnote w:type="continuationSeparator" w:id="0">
    <w:p w:rsidR="005614C8" w:rsidRDefault="005614C8"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Times New Roman"/>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14C8" w:rsidRDefault="005614C8" w:rsidP="004F5E36">
      <w:r>
        <w:separator/>
      </w:r>
    </w:p>
  </w:footnote>
  <w:footnote w:type="continuationSeparator" w:id="0">
    <w:p w:rsidR="005614C8" w:rsidRDefault="005614C8" w:rsidP="004F5E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58AF15E"/>
    <w:lvl w:ilvl="0">
      <w:start w:val="1"/>
      <w:numFmt w:val="decimal"/>
      <w:pStyle w:val="Numerada5"/>
      <w:lvlText w:val="%1."/>
      <w:lvlJc w:val="left"/>
      <w:pPr>
        <w:tabs>
          <w:tab w:val="num" w:pos="1492"/>
        </w:tabs>
        <w:ind w:left="1492" w:hanging="360"/>
      </w:pPr>
    </w:lvl>
  </w:abstractNum>
  <w:abstractNum w:abstractNumId="1">
    <w:nsid w:val="FFFFFF7D"/>
    <w:multiLevelType w:val="singleLevel"/>
    <w:tmpl w:val="65EC884E"/>
    <w:lvl w:ilvl="0">
      <w:start w:val="1"/>
      <w:numFmt w:val="decimal"/>
      <w:pStyle w:val="Numerada4"/>
      <w:lvlText w:val="%1."/>
      <w:lvlJc w:val="left"/>
      <w:pPr>
        <w:tabs>
          <w:tab w:val="num" w:pos="1209"/>
        </w:tabs>
        <w:ind w:left="1209" w:hanging="360"/>
      </w:pPr>
    </w:lvl>
  </w:abstractNum>
  <w:abstractNum w:abstractNumId="2">
    <w:nsid w:val="FFFFFF7E"/>
    <w:multiLevelType w:val="singleLevel"/>
    <w:tmpl w:val="408CBE96"/>
    <w:lvl w:ilvl="0">
      <w:start w:val="1"/>
      <w:numFmt w:val="decimal"/>
      <w:pStyle w:val="Numerada3"/>
      <w:lvlText w:val="%1."/>
      <w:lvlJc w:val="left"/>
      <w:pPr>
        <w:tabs>
          <w:tab w:val="num" w:pos="926"/>
        </w:tabs>
        <w:ind w:left="926" w:hanging="360"/>
      </w:pPr>
    </w:lvl>
  </w:abstractNum>
  <w:abstractNum w:abstractNumId="3">
    <w:nsid w:val="FFFFFF7F"/>
    <w:multiLevelType w:val="singleLevel"/>
    <w:tmpl w:val="CFC0B388"/>
    <w:lvl w:ilvl="0">
      <w:start w:val="1"/>
      <w:numFmt w:val="decimal"/>
      <w:pStyle w:val="Numerada2"/>
      <w:lvlText w:val="%1."/>
      <w:lvlJc w:val="left"/>
      <w:pPr>
        <w:tabs>
          <w:tab w:val="num" w:pos="643"/>
        </w:tabs>
        <w:ind w:left="643" w:hanging="360"/>
      </w:pPr>
    </w:lvl>
  </w:abstractNum>
  <w:abstractNum w:abstractNumId="4">
    <w:nsid w:val="FFFFFF80"/>
    <w:multiLevelType w:val="singleLevel"/>
    <w:tmpl w:val="CA34EB48"/>
    <w:lvl w:ilvl="0">
      <w:start w:val="1"/>
      <w:numFmt w:val="bullet"/>
      <w:pStyle w:val="Commarcadores5"/>
      <w:lvlText w:val=""/>
      <w:lvlJc w:val="left"/>
      <w:pPr>
        <w:tabs>
          <w:tab w:val="num" w:pos="1492"/>
        </w:tabs>
        <w:ind w:left="1492" w:hanging="360"/>
      </w:pPr>
      <w:rPr>
        <w:rFonts w:ascii="Symbol" w:hAnsi="Symbol" w:hint="default"/>
      </w:rPr>
    </w:lvl>
  </w:abstractNum>
  <w:abstractNum w:abstractNumId="5">
    <w:nsid w:val="FFFFFF81"/>
    <w:multiLevelType w:val="singleLevel"/>
    <w:tmpl w:val="485C6BD6"/>
    <w:lvl w:ilvl="0">
      <w:start w:val="1"/>
      <w:numFmt w:val="bullet"/>
      <w:pStyle w:val="Commarcadores4"/>
      <w:lvlText w:val=""/>
      <w:lvlJc w:val="left"/>
      <w:pPr>
        <w:tabs>
          <w:tab w:val="num" w:pos="1209"/>
        </w:tabs>
        <w:ind w:left="1209" w:hanging="360"/>
      </w:pPr>
      <w:rPr>
        <w:rFonts w:ascii="Symbol" w:hAnsi="Symbol" w:hint="default"/>
      </w:rPr>
    </w:lvl>
  </w:abstractNum>
  <w:abstractNum w:abstractNumId="6">
    <w:nsid w:val="FFFFFF82"/>
    <w:multiLevelType w:val="singleLevel"/>
    <w:tmpl w:val="587A9968"/>
    <w:lvl w:ilvl="0">
      <w:start w:val="1"/>
      <w:numFmt w:val="bullet"/>
      <w:pStyle w:val="Commarcadores3"/>
      <w:lvlText w:val=""/>
      <w:lvlJc w:val="left"/>
      <w:pPr>
        <w:tabs>
          <w:tab w:val="num" w:pos="926"/>
        </w:tabs>
        <w:ind w:left="926" w:hanging="360"/>
      </w:pPr>
      <w:rPr>
        <w:rFonts w:ascii="Symbol" w:hAnsi="Symbol" w:hint="default"/>
      </w:rPr>
    </w:lvl>
  </w:abstractNum>
  <w:abstractNum w:abstractNumId="7">
    <w:nsid w:val="FFFFFF83"/>
    <w:multiLevelType w:val="singleLevel"/>
    <w:tmpl w:val="9ED27934"/>
    <w:lvl w:ilvl="0">
      <w:start w:val="1"/>
      <w:numFmt w:val="bullet"/>
      <w:pStyle w:val="Commarcadores2"/>
      <w:lvlText w:val=""/>
      <w:lvlJc w:val="left"/>
      <w:pPr>
        <w:tabs>
          <w:tab w:val="num" w:pos="643"/>
        </w:tabs>
        <w:ind w:left="643" w:hanging="360"/>
      </w:pPr>
      <w:rPr>
        <w:rFonts w:ascii="Symbol" w:hAnsi="Symbol" w:hint="default"/>
      </w:rPr>
    </w:lvl>
  </w:abstractNum>
  <w:abstractNum w:abstractNumId="8">
    <w:nsid w:val="FFFFFF88"/>
    <w:multiLevelType w:val="singleLevel"/>
    <w:tmpl w:val="95F4206A"/>
    <w:lvl w:ilvl="0">
      <w:start w:val="1"/>
      <w:numFmt w:val="decimal"/>
      <w:pStyle w:val="Numerada"/>
      <w:lvlText w:val="%1."/>
      <w:lvlJc w:val="left"/>
      <w:pPr>
        <w:tabs>
          <w:tab w:val="num" w:pos="360"/>
        </w:tabs>
        <w:ind w:left="360" w:hanging="360"/>
      </w:pPr>
    </w:lvl>
  </w:abstractNum>
  <w:abstractNum w:abstractNumId="9">
    <w:nsid w:val="FFFFFF89"/>
    <w:multiLevelType w:val="singleLevel"/>
    <w:tmpl w:val="206ACE1A"/>
    <w:lvl w:ilvl="0">
      <w:start w:val="1"/>
      <w:numFmt w:val="bullet"/>
      <w:pStyle w:val="Commarcadores"/>
      <w:lvlText w:val=""/>
      <w:lvlJc w:val="left"/>
      <w:pPr>
        <w:tabs>
          <w:tab w:val="num" w:pos="360"/>
        </w:tabs>
        <w:ind w:left="360" w:hanging="360"/>
      </w:pPr>
      <w:rPr>
        <w:rFonts w:ascii="Symbol" w:hAnsi="Symbol" w:hint="default"/>
      </w:rPr>
    </w:lvl>
  </w:abstractNum>
  <w:abstractNum w:abstractNumId="1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asimples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7">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6"/>
  </w:num>
  <w:num w:numId="13">
    <w:abstractNumId w:val="12"/>
  </w:num>
  <w:num w:numId="14">
    <w:abstractNumId w:val="17"/>
  </w:num>
  <w:num w:numId="15">
    <w:abstractNumId w:val="19"/>
  </w:num>
  <w:num w:numId="16">
    <w:abstractNumId w:val="18"/>
  </w:num>
  <w:num w:numId="17">
    <w:abstractNumId w:val="11"/>
  </w:num>
  <w:num w:numId="18">
    <w:abstractNumId w:val="12"/>
    <w:lvlOverride w:ilvl="0">
      <w:startOverride w:val="1"/>
    </w:lvlOverride>
  </w:num>
  <w:num w:numId="19">
    <w:abstractNumId w:val="15"/>
  </w:num>
  <w:num w:numId="20">
    <w:abstractNumId w:val="14"/>
  </w:num>
  <w:num w:numId="21">
    <w:abstractNumId w:val="13"/>
  </w:num>
  <w:num w:numId="22">
    <w:abstractNumId w:val="10"/>
  </w:num>
  <w:num w:numId="23">
    <w:abstractNumId w:val="10"/>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1"/>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0784F"/>
    <w:rsid w:val="000117CB"/>
    <w:rsid w:val="00026DDB"/>
    <w:rsid w:val="0003148D"/>
    <w:rsid w:val="00051566"/>
    <w:rsid w:val="000555CC"/>
    <w:rsid w:val="00062A9A"/>
    <w:rsid w:val="00064AE5"/>
    <w:rsid w:val="00065058"/>
    <w:rsid w:val="000661E9"/>
    <w:rsid w:val="000703B3"/>
    <w:rsid w:val="00075943"/>
    <w:rsid w:val="00086C39"/>
    <w:rsid w:val="000A03B2"/>
    <w:rsid w:val="000D34BE"/>
    <w:rsid w:val="000E102F"/>
    <w:rsid w:val="000E36F1"/>
    <w:rsid w:val="000E3A73"/>
    <w:rsid w:val="000E414A"/>
    <w:rsid w:val="000E45B4"/>
    <w:rsid w:val="000F093C"/>
    <w:rsid w:val="000F787B"/>
    <w:rsid w:val="0010771F"/>
    <w:rsid w:val="0012091F"/>
    <w:rsid w:val="00126BC2"/>
    <w:rsid w:val="001308B6"/>
    <w:rsid w:val="0013121F"/>
    <w:rsid w:val="00131FE6"/>
    <w:rsid w:val="0013263F"/>
    <w:rsid w:val="00134DE4"/>
    <w:rsid w:val="0014034D"/>
    <w:rsid w:val="0014464F"/>
    <w:rsid w:val="00150E59"/>
    <w:rsid w:val="00152DE3"/>
    <w:rsid w:val="00164CF9"/>
    <w:rsid w:val="00172EAE"/>
    <w:rsid w:val="00184AD6"/>
    <w:rsid w:val="001A51FE"/>
    <w:rsid w:val="001A5B78"/>
    <w:rsid w:val="001B0349"/>
    <w:rsid w:val="001B65C1"/>
    <w:rsid w:val="001C684B"/>
    <w:rsid w:val="001D53FC"/>
    <w:rsid w:val="001F42A5"/>
    <w:rsid w:val="001F7B9D"/>
    <w:rsid w:val="002001B8"/>
    <w:rsid w:val="002224B4"/>
    <w:rsid w:val="002447EF"/>
    <w:rsid w:val="00251550"/>
    <w:rsid w:val="00263B05"/>
    <w:rsid w:val="0027221A"/>
    <w:rsid w:val="00274F4A"/>
    <w:rsid w:val="00275B61"/>
    <w:rsid w:val="00282656"/>
    <w:rsid w:val="00296B83"/>
    <w:rsid w:val="002B78CE"/>
    <w:rsid w:val="002C2FB6"/>
    <w:rsid w:val="003009B7"/>
    <w:rsid w:val="00300E56"/>
    <w:rsid w:val="0030469C"/>
    <w:rsid w:val="00321CA6"/>
    <w:rsid w:val="00334B94"/>
    <w:rsid w:val="00334C09"/>
    <w:rsid w:val="003474BB"/>
    <w:rsid w:val="003723D4"/>
    <w:rsid w:val="003727A1"/>
    <w:rsid w:val="00383F4B"/>
    <w:rsid w:val="00384CC8"/>
    <w:rsid w:val="003871FD"/>
    <w:rsid w:val="00391879"/>
    <w:rsid w:val="003A1E30"/>
    <w:rsid w:val="003A7D1C"/>
    <w:rsid w:val="003B304B"/>
    <w:rsid w:val="003B3146"/>
    <w:rsid w:val="003E1360"/>
    <w:rsid w:val="003F015E"/>
    <w:rsid w:val="00400414"/>
    <w:rsid w:val="0041365F"/>
    <w:rsid w:val="0041446B"/>
    <w:rsid w:val="00416591"/>
    <w:rsid w:val="00427D1C"/>
    <w:rsid w:val="0044329C"/>
    <w:rsid w:val="004577FE"/>
    <w:rsid w:val="00457B9C"/>
    <w:rsid w:val="0046164A"/>
    <w:rsid w:val="004628D2"/>
    <w:rsid w:val="00462DCD"/>
    <w:rsid w:val="004648AD"/>
    <w:rsid w:val="004703A9"/>
    <w:rsid w:val="00475D64"/>
    <w:rsid w:val="004760DE"/>
    <w:rsid w:val="004A004E"/>
    <w:rsid w:val="004A211C"/>
    <w:rsid w:val="004A24CF"/>
    <w:rsid w:val="004C3440"/>
    <w:rsid w:val="004C3D1D"/>
    <w:rsid w:val="004C5963"/>
    <w:rsid w:val="004C7913"/>
    <w:rsid w:val="004E4DD6"/>
    <w:rsid w:val="004F5E36"/>
    <w:rsid w:val="00507B47"/>
    <w:rsid w:val="00507CC9"/>
    <w:rsid w:val="005119A5"/>
    <w:rsid w:val="00512389"/>
    <w:rsid w:val="005278B7"/>
    <w:rsid w:val="00532016"/>
    <w:rsid w:val="005346C8"/>
    <w:rsid w:val="00543E7D"/>
    <w:rsid w:val="00547A68"/>
    <w:rsid w:val="005531C9"/>
    <w:rsid w:val="005614C8"/>
    <w:rsid w:val="00577528"/>
    <w:rsid w:val="005B2110"/>
    <w:rsid w:val="005B61E6"/>
    <w:rsid w:val="005C21BD"/>
    <w:rsid w:val="005C46A5"/>
    <w:rsid w:val="005C77E1"/>
    <w:rsid w:val="005D6A2F"/>
    <w:rsid w:val="005E1A82"/>
    <w:rsid w:val="005E794C"/>
    <w:rsid w:val="005F0A28"/>
    <w:rsid w:val="005F0E5E"/>
    <w:rsid w:val="005F64E8"/>
    <w:rsid w:val="00600535"/>
    <w:rsid w:val="00610CD6"/>
    <w:rsid w:val="00620C11"/>
    <w:rsid w:val="00620DEE"/>
    <w:rsid w:val="00621F92"/>
    <w:rsid w:val="00625639"/>
    <w:rsid w:val="00626D54"/>
    <w:rsid w:val="00631B33"/>
    <w:rsid w:val="0064184D"/>
    <w:rsid w:val="00660E3E"/>
    <w:rsid w:val="00662E74"/>
    <w:rsid w:val="00680C23"/>
    <w:rsid w:val="00693766"/>
    <w:rsid w:val="006A3281"/>
    <w:rsid w:val="006B4888"/>
    <w:rsid w:val="006C2E45"/>
    <w:rsid w:val="006C359C"/>
    <w:rsid w:val="006C5579"/>
    <w:rsid w:val="006C5A00"/>
    <w:rsid w:val="006E737D"/>
    <w:rsid w:val="006F0841"/>
    <w:rsid w:val="00701201"/>
    <w:rsid w:val="00720A24"/>
    <w:rsid w:val="00732386"/>
    <w:rsid w:val="007447F3"/>
    <w:rsid w:val="0075499F"/>
    <w:rsid w:val="007661C8"/>
    <w:rsid w:val="0077098D"/>
    <w:rsid w:val="00772B81"/>
    <w:rsid w:val="007A2074"/>
    <w:rsid w:val="007A7BBA"/>
    <w:rsid w:val="007B0C50"/>
    <w:rsid w:val="007C1A43"/>
    <w:rsid w:val="00805F9F"/>
    <w:rsid w:val="00813288"/>
    <w:rsid w:val="008168FC"/>
    <w:rsid w:val="00830996"/>
    <w:rsid w:val="008345F1"/>
    <w:rsid w:val="008572BC"/>
    <w:rsid w:val="00865B07"/>
    <w:rsid w:val="008667EA"/>
    <w:rsid w:val="00873D70"/>
    <w:rsid w:val="00873DD4"/>
    <w:rsid w:val="0087637F"/>
    <w:rsid w:val="00892AD5"/>
    <w:rsid w:val="008A1512"/>
    <w:rsid w:val="008A1920"/>
    <w:rsid w:val="008D433B"/>
    <w:rsid w:val="008E566E"/>
    <w:rsid w:val="008F0913"/>
    <w:rsid w:val="0090161A"/>
    <w:rsid w:val="00901EB6"/>
    <w:rsid w:val="00904C62"/>
    <w:rsid w:val="00924DAC"/>
    <w:rsid w:val="00927058"/>
    <w:rsid w:val="009450CE"/>
    <w:rsid w:val="00947179"/>
    <w:rsid w:val="0095164B"/>
    <w:rsid w:val="00954090"/>
    <w:rsid w:val="009573E7"/>
    <w:rsid w:val="00963E05"/>
    <w:rsid w:val="00967D54"/>
    <w:rsid w:val="00996483"/>
    <w:rsid w:val="00996F5A"/>
    <w:rsid w:val="009B041A"/>
    <w:rsid w:val="009C7C86"/>
    <w:rsid w:val="009D2FF7"/>
    <w:rsid w:val="009E7884"/>
    <w:rsid w:val="009E788A"/>
    <w:rsid w:val="009F0E08"/>
    <w:rsid w:val="009F7F64"/>
    <w:rsid w:val="00A1763D"/>
    <w:rsid w:val="00A17CEC"/>
    <w:rsid w:val="00A27EF0"/>
    <w:rsid w:val="00A50B20"/>
    <w:rsid w:val="00A51390"/>
    <w:rsid w:val="00A60D13"/>
    <w:rsid w:val="00A72745"/>
    <w:rsid w:val="00A76EFC"/>
    <w:rsid w:val="00A91010"/>
    <w:rsid w:val="00A96621"/>
    <w:rsid w:val="00A97F29"/>
    <w:rsid w:val="00AA702E"/>
    <w:rsid w:val="00AB0964"/>
    <w:rsid w:val="00AB5011"/>
    <w:rsid w:val="00AC7368"/>
    <w:rsid w:val="00AD16B9"/>
    <w:rsid w:val="00AE377D"/>
    <w:rsid w:val="00B168D9"/>
    <w:rsid w:val="00B17FBD"/>
    <w:rsid w:val="00B315A6"/>
    <w:rsid w:val="00B31813"/>
    <w:rsid w:val="00B33365"/>
    <w:rsid w:val="00B356E5"/>
    <w:rsid w:val="00B57B36"/>
    <w:rsid w:val="00B6468B"/>
    <w:rsid w:val="00B8686D"/>
    <w:rsid w:val="00B87B80"/>
    <w:rsid w:val="00BC30C9"/>
    <w:rsid w:val="00BE3E58"/>
    <w:rsid w:val="00C00319"/>
    <w:rsid w:val="00C01616"/>
    <w:rsid w:val="00C0162B"/>
    <w:rsid w:val="00C10397"/>
    <w:rsid w:val="00C345B1"/>
    <w:rsid w:val="00C40142"/>
    <w:rsid w:val="00C57182"/>
    <w:rsid w:val="00C57863"/>
    <w:rsid w:val="00C655FD"/>
    <w:rsid w:val="00C71FB5"/>
    <w:rsid w:val="00C868D7"/>
    <w:rsid w:val="00C870A8"/>
    <w:rsid w:val="00C94434"/>
    <w:rsid w:val="00CA0D75"/>
    <w:rsid w:val="00CA1C95"/>
    <w:rsid w:val="00CA5A9C"/>
    <w:rsid w:val="00CD5FE2"/>
    <w:rsid w:val="00CE7C68"/>
    <w:rsid w:val="00D02B4C"/>
    <w:rsid w:val="00D040C4"/>
    <w:rsid w:val="00D570DC"/>
    <w:rsid w:val="00D57C84"/>
    <w:rsid w:val="00D6057D"/>
    <w:rsid w:val="00D84576"/>
    <w:rsid w:val="00DA1399"/>
    <w:rsid w:val="00DA24C6"/>
    <w:rsid w:val="00DA4D7B"/>
    <w:rsid w:val="00DB40BF"/>
    <w:rsid w:val="00DE264A"/>
    <w:rsid w:val="00DE4F22"/>
    <w:rsid w:val="00E02D18"/>
    <w:rsid w:val="00E041E7"/>
    <w:rsid w:val="00E23CA1"/>
    <w:rsid w:val="00E409A8"/>
    <w:rsid w:val="00E50C12"/>
    <w:rsid w:val="00E61216"/>
    <w:rsid w:val="00E65B91"/>
    <w:rsid w:val="00E7209D"/>
    <w:rsid w:val="00E765B5"/>
    <w:rsid w:val="00E77223"/>
    <w:rsid w:val="00E8528B"/>
    <w:rsid w:val="00E85B94"/>
    <w:rsid w:val="00E87041"/>
    <w:rsid w:val="00E978D0"/>
    <w:rsid w:val="00EA4613"/>
    <w:rsid w:val="00EA7F91"/>
    <w:rsid w:val="00EB1523"/>
    <w:rsid w:val="00EC0E49"/>
    <w:rsid w:val="00EE0131"/>
    <w:rsid w:val="00EF2394"/>
    <w:rsid w:val="00F30C64"/>
    <w:rsid w:val="00F32CDB"/>
    <w:rsid w:val="00F63A70"/>
    <w:rsid w:val="00F7374C"/>
    <w:rsid w:val="00FA21D0"/>
    <w:rsid w:val="00FA5F5F"/>
    <w:rsid w:val="00FB730C"/>
    <w:rsid w:val="00FC2695"/>
    <w:rsid w:val="00FC3E03"/>
    <w:rsid w:val="00FC3FC1"/>
    <w:rsid w:val="00FE480D"/>
    <w:rsid w:val="00FF11AD"/>
    <w:rsid w:val="00FF485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locked="1"/>
    <w:lsdException w:name="Title" w:semiHidden="0" w:uiPriority="10" w:unhideWhenUsed="0"/>
    <w:lsdException w:name="Default Paragraph Font" w:uiPriority="1"/>
    <w:lsdException w:name="Subtitle" w:semiHidden="0" w:uiPriority="11" w:unhideWhenUsed="0"/>
    <w:lsdException w:name="Hyperlink" w:locked="1"/>
    <w:lsdException w:name="Strong" w:semiHidden="0" w:uiPriority="22" w:unhideWhenUsed="0"/>
    <w:lsdException w:name="Emphasis" w:semiHidden="0" w:uiPriority="0" w:unhideWhenUsed="0" w:qFormat="1"/>
    <w:lsdException w:name="Normal (Web)" w:uiPriority="0"/>
    <w:lsdException w:name="Table Simple 1"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tulo1">
    <w:name w:val="heading 1"/>
    <w:basedOn w:val="CETHeading1"/>
    <w:next w:val="Normal"/>
    <w:link w:val="Ttulo1Char"/>
    <w:uiPriority w:val="9"/>
    <w:rsid w:val="004F5E36"/>
    <w:pPr>
      <w:tabs>
        <w:tab w:val="right" w:pos="7100"/>
      </w:tabs>
      <w:jc w:val="both"/>
      <w:outlineLvl w:val="0"/>
    </w:pPr>
    <w:rPr>
      <w:lang w:val="en-GB"/>
    </w:rPr>
  </w:style>
  <w:style w:type="paragraph" w:styleId="Ttulo2">
    <w:name w:val="heading 2"/>
    <w:basedOn w:val="Normal"/>
    <w:next w:val="Normal"/>
    <w:link w:val="Ttulo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asimples1">
    <w:name w:val="Table Simple 1"/>
    <w:basedOn w:val="Tabela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efdecomentrio">
    <w:name w:val="annotation reference"/>
    <w:basedOn w:val="Fontepargpadro"/>
    <w:uiPriority w:val="99"/>
    <w:semiHidden/>
    <w:unhideWhenUsed/>
    <w:rsid w:val="004577FE"/>
    <w:rPr>
      <w:sz w:val="16"/>
      <w:szCs w:val="16"/>
    </w:rPr>
  </w:style>
  <w:style w:type="paragraph" w:styleId="Textodebalo">
    <w:name w:val="Balloon Text"/>
    <w:basedOn w:val="Normal"/>
    <w:link w:val="TextodebaloChar"/>
    <w:uiPriority w:val="99"/>
    <w:semiHidden/>
    <w:unhideWhenUsed/>
    <w:rsid w:val="000D34BE"/>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texto2">
    <w:name w:val="Body Text 2"/>
    <w:basedOn w:val="Normal"/>
    <w:link w:val="Corpodetexto2Char"/>
    <w:uiPriority w:val="99"/>
    <w:semiHidden/>
    <w:unhideWhenUsed/>
    <w:rsid w:val="0003148D"/>
    <w:pPr>
      <w:spacing w:after="120" w:line="480" w:lineRule="auto"/>
    </w:pPr>
  </w:style>
  <w:style w:type="character" w:customStyle="1" w:styleId="Corpodetexto2Char">
    <w:name w:val="Corpo de texto 2 Char"/>
    <w:basedOn w:val="Fontepargpadro"/>
    <w:link w:val="Corpodetexto2"/>
    <w:uiPriority w:val="99"/>
    <w:semiHidden/>
    <w:rsid w:val="0003148D"/>
  </w:style>
  <w:style w:type="paragraph" w:styleId="Corpodetexto3">
    <w:name w:val="Body Text 3"/>
    <w:basedOn w:val="Normal"/>
    <w:link w:val="Corpodetexto3Char"/>
    <w:uiPriority w:val="99"/>
    <w:semiHidden/>
    <w:unhideWhenUsed/>
    <w:rsid w:val="0003148D"/>
    <w:pPr>
      <w:spacing w:after="120"/>
    </w:pPr>
    <w:rPr>
      <w:sz w:val="16"/>
      <w:szCs w:val="16"/>
    </w:rPr>
  </w:style>
  <w:style w:type="character" w:customStyle="1" w:styleId="Corpodetexto3Char">
    <w:name w:val="Corpo de texto 3 Char"/>
    <w:basedOn w:val="Fontepargpadro"/>
    <w:link w:val="Corpodetexto3"/>
    <w:uiPriority w:val="99"/>
    <w:semiHidden/>
    <w:rsid w:val="0003148D"/>
    <w:rPr>
      <w:sz w:val="16"/>
      <w:szCs w:val="16"/>
    </w:rPr>
  </w:style>
  <w:style w:type="paragraph" w:styleId="Corpodetexto">
    <w:name w:val="Body Text"/>
    <w:basedOn w:val="Normal"/>
    <w:link w:val="CorpodetextoChar"/>
    <w:uiPriority w:val="99"/>
    <w:semiHidden/>
    <w:unhideWhenUsed/>
    <w:rsid w:val="0003148D"/>
    <w:pPr>
      <w:spacing w:after="120"/>
    </w:pPr>
  </w:style>
  <w:style w:type="character" w:customStyle="1" w:styleId="CorpodetextoChar">
    <w:name w:val="Corpo de texto Char"/>
    <w:basedOn w:val="Fontepargpadro"/>
    <w:link w:val="Corpodetexto"/>
    <w:uiPriority w:val="99"/>
    <w:semiHidden/>
    <w:rsid w:val="0003148D"/>
  </w:style>
  <w:style w:type="paragraph" w:styleId="Data">
    <w:name w:val="Date"/>
    <w:basedOn w:val="Normal"/>
    <w:next w:val="Normal"/>
    <w:link w:val="DataChar"/>
    <w:uiPriority w:val="99"/>
    <w:semiHidden/>
    <w:unhideWhenUsed/>
    <w:rsid w:val="0003148D"/>
  </w:style>
  <w:style w:type="character" w:customStyle="1" w:styleId="DataChar">
    <w:name w:val="Data Char"/>
    <w:basedOn w:val="Fontepargpadro"/>
    <w:link w:val="Data"/>
    <w:uiPriority w:val="99"/>
    <w:semiHidden/>
    <w:rsid w:val="0003148D"/>
  </w:style>
  <w:style w:type="paragraph" w:styleId="Legenda">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a">
    <w:name w:val="List"/>
    <w:basedOn w:val="Normal"/>
    <w:uiPriority w:val="99"/>
    <w:semiHidden/>
    <w:unhideWhenUsed/>
    <w:rsid w:val="0003148D"/>
    <w:pPr>
      <w:ind w:left="283" w:hanging="283"/>
      <w:contextualSpacing/>
    </w:pPr>
  </w:style>
  <w:style w:type="paragraph" w:styleId="Lista2">
    <w:name w:val="List 2"/>
    <w:basedOn w:val="Normal"/>
    <w:uiPriority w:val="99"/>
    <w:semiHidden/>
    <w:unhideWhenUsed/>
    <w:rsid w:val="0003148D"/>
    <w:pPr>
      <w:ind w:left="566" w:hanging="283"/>
      <w:contextualSpacing/>
    </w:pPr>
  </w:style>
  <w:style w:type="paragraph" w:styleId="Lista3">
    <w:name w:val="List 3"/>
    <w:basedOn w:val="Normal"/>
    <w:uiPriority w:val="99"/>
    <w:semiHidden/>
    <w:unhideWhenUsed/>
    <w:rsid w:val="0003148D"/>
    <w:pPr>
      <w:ind w:left="849" w:hanging="283"/>
      <w:contextualSpacing/>
    </w:pPr>
  </w:style>
  <w:style w:type="paragraph" w:styleId="Lista4">
    <w:name w:val="List 4"/>
    <w:basedOn w:val="Normal"/>
    <w:uiPriority w:val="99"/>
    <w:semiHidden/>
    <w:unhideWhenUsed/>
    <w:rsid w:val="0003148D"/>
    <w:pPr>
      <w:ind w:left="1132" w:hanging="283"/>
      <w:contextualSpacing/>
    </w:pPr>
  </w:style>
  <w:style w:type="paragraph" w:styleId="Lista5">
    <w:name w:val="List 5"/>
    <w:basedOn w:val="Normal"/>
    <w:uiPriority w:val="99"/>
    <w:semiHidden/>
    <w:unhideWhenUsed/>
    <w:rsid w:val="0003148D"/>
    <w:pPr>
      <w:ind w:left="1415" w:hanging="283"/>
      <w:contextualSpacing/>
    </w:pPr>
  </w:style>
  <w:style w:type="paragraph" w:styleId="Listadecontinuao">
    <w:name w:val="List Continue"/>
    <w:basedOn w:val="Normal"/>
    <w:uiPriority w:val="99"/>
    <w:semiHidden/>
    <w:unhideWhenUsed/>
    <w:rsid w:val="0003148D"/>
    <w:pPr>
      <w:spacing w:after="120"/>
      <w:ind w:left="283"/>
      <w:contextualSpacing/>
    </w:pPr>
  </w:style>
  <w:style w:type="paragraph" w:styleId="Listadecontinuao2">
    <w:name w:val="List Continue 2"/>
    <w:basedOn w:val="Normal"/>
    <w:uiPriority w:val="99"/>
    <w:semiHidden/>
    <w:unhideWhenUsed/>
    <w:rsid w:val="0003148D"/>
    <w:pPr>
      <w:spacing w:after="120"/>
      <w:ind w:left="566"/>
      <w:contextualSpacing/>
    </w:pPr>
  </w:style>
  <w:style w:type="paragraph" w:styleId="Listadecontinuao3">
    <w:name w:val="List Continue 3"/>
    <w:basedOn w:val="Normal"/>
    <w:uiPriority w:val="99"/>
    <w:semiHidden/>
    <w:unhideWhenUsed/>
    <w:rsid w:val="0003148D"/>
    <w:pPr>
      <w:spacing w:after="120"/>
      <w:ind w:left="849"/>
      <w:contextualSpacing/>
    </w:pPr>
  </w:style>
  <w:style w:type="paragraph" w:styleId="Listadecontinuao4">
    <w:name w:val="List Continue 4"/>
    <w:basedOn w:val="Normal"/>
    <w:uiPriority w:val="99"/>
    <w:semiHidden/>
    <w:unhideWhenUsed/>
    <w:rsid w:val="0003148D"/>
    <w:pPr>
      <w:spacing w:after="120"/>
      <w:ind w:left="1132"/>
      <w:contextualSpacing/>
    </w:pPr>
  </w:style>
  <w:style w:type="paragraph" w:styleId="Listadecontinuao5">
    <w:name w:val="List Continue 5"/>
    <w:basedOn w:val="Normal"/>
    <w:uiPriority w:val="99"/>
    <w:semiHidden/>
    <w:unhideWhenUsed/>
    <w:rsid w:val="0003148D"/>
    <w:pPr>
      <w:spacing w:after="120"/>
      <w:ind w:left="1415"/>
      <w:contextualSpacing/>
    </w:pPr>
  </w:style>
  <w:style w:type="paragraph" w:styleId="Assinatura">
    <w:name w:val="Signature"/>
    <w:basedOn w:val="Normal"/>
    <w:link w:val="AssinaturaChar"/>
    <w:uiPriority w:val="99"/>
    <w:semiHidden/>
    <w:unhideWhenUsed/>
    <w:rsid w:val="0003148D"/>
    <w:pPr>
      <w:spacing w:line="240" w:lineRule="auto"/>
      <w:ind w:left="4252"/>
    </w:pPr>
  </w:style>
  <w:style w:type="character" w:customStyle="1" w:styleId="AssinaturaChar">
    <w:name w:val="Assinatura Char"/>
    <w:basedOn w:val="Fontepargpadro"/>
    <w:link w:val="Assinatura"/>
    <w:uiPriority w:val="99"/>
    <w:semiHidden/>
    <w:rsid w:val="0003148D"/>
  </w:style>
  <w:style w:type="paragraph" w:styleId="AssinaturadeEmail">
    <w:name w:val="E-mail Signature"/>
    <w:basedOn w:val="Normal"/>
    <w:link w:val="AssinaturadeEmailChar"/>
    <w:uiPriority w:val="99"/>
    <w:semiHidden/>
    <w:unhideWhenUsed/>
    <w:rsid w:val="0003148D"/>
    <w:pPr>
      <w:spacing w:line="240" w:lineRule="auto"/>
    </w:pPr>
  </w:style>
  <w:style w:type="character" w:customStyle="1" w:styleId="AssinaturadeEmailChar">
    <w:name w:val="Assinatura de Email Char"/>
    <w:basedOn w:val="Fontepargpadro"/>
    <w:link w:val="AssinaturadeEmail"/>
    <w:uiPriority w:val="99"/>
    <w:semiHidden/>
    <w:rsid w:val="0003148D"/>
  </w:style>
  <w:style w:type="paragraph" w:styleId="Saudao">
    <w:name w:val="Salutation"/>
    <w:basedOn w:val="Normal"/>
    <w:next w:val="Normal"/>
    <w:link w:val="SaudaoChar"/>
    <w:uiPriority w:val="99"/>
    <w:semiHidden/>
    <w:unhideWhenUsed/>
    <w:rsid w:val="0003148D"/>
  </w:style>
  <w:style w:type="character" w:customStyle="1" w:styleId="SaudaoChar">
    <w:name w:val="Saudação Char"/>
    <w:basedOn w:val="Fontepargpadro"/>
    <w:link w:val="Saudao"/>
    <w:uiPriority w:val="99"/>
    <w:semiHidden/>
    <w:rsid w:val="0003148D"/>
  </w:style>
  <w:style w:type="paragraph" w:styleId="Encerramento">
    <w:name w:val="Closing"/>
    <w:basedOn w:val="Normal"/>
    <w:link w:val="EncerramentoChar"/>
    <w:uiPriority w:val="99"/>
    <w:semiHidden/>
    <w:unhideWhenUsed/>
    <w:rsid w:val="0003148D"/>
    <w:pPr>
      <w:spacing w:line="240" w:lineRule="auto"/>
      <w:ind w:left="4252"/>
    </w:pPr>
  </w:style>
  <w:style w:type="character" w:customStyle="1" w:styleId="EncerramentoChar">
    <w:name w:val="Encerramento Char"/>
    <w:basedOn w:val="Fontepargpadro"/>
    <w:link w:val="Encerramento"/>
    <w:uiPriority w:val="99"/>
    <w:semiHidden/>
    <w:rsid w:val="0003148D"/>
  </w:style>
  <w:style w:type="paragraph" w:styleId="Remissivo1">
    <w:name w:val="index 1"/>
    <w:basedOn w:val="Normal"/>
    <w:next w:val="Normal"/>
    <w:autoRedefine/>
    <w:uiPriority w:val="99"/>
    <w:semiHidden/>
    <w:unhideWhenUsed/>
    <w:rsid w:val="0003148D"/>
    <w:pPr>
      <w:spacing w:line="240" w:lineRule="auto"/>
      <w:ind w:left="220" w:hanging="220"/>
    </w:pPr>
  </w:style>
  <w:style w:type="paragraph" w:styleId="Remissivo2">
    <w:name w:val="index 2"/>
    <w:basedOn w:val="Normal"/>
    <w:next w:val="Normal"/>
    <w:autoRedefine/>
    <w:uiPriority w:val="99"/>
    <w:semiHidden/>
    <w:unhideWhenUsed/>
    <w:rsid w:val="0003148D"/>
    <w:pPr>
      <w:spacing w:line="240" w:lineRule="auto"/>
      <w:ind w:left="440" w:hanging="220"/>
    </w:pPr>
  </w:style>
  <w:style w:type="paragraph" w:styleId="Remissivo3">
    <w:name w:val="index 3"/>
    <w:basedOn w:val="Normal"/>
    <w:next w:val="Normal"/>
    <w:autoRedefine/>
    <w:uiPriority w:val="99"/>
    <w:semiHidden/>
    <w:unhideWhenUsed/>
    <w:rsid w:val="0003148D"/>
    <w:pPr>
      <w:spacing w:line="240" w:lineRule="auto"/>
      <w:ind w:left="660" w:hanging="220"/>
    </w:pPr>
  </w:style>
  <w:style w:type="paragraph" w:styleId="Remissivo4">
    <w:name w:val="index 4"/>
    <w:basedOn w:val="Normal"/>
    <w:next w:val="Normal"/>
    <w:autoRedefine/>
    <w:uiPriority w:val="99"/>
    <w:semiHidden/>
    <w:unhideWhenUsed/>
    <w:rsid w:val="0003148D"/>
    <w:pPr>
      <w:spacing w:line="240" w:lineRule="auto"/>
      <w:ind w:left="880" w:hanging="220"/>
    </w:pPr>
  </w:style>
  <w:style w:type="paragraph" w:styleId="Remissivo5">
    <w:name w:val="index 5"/>
    <w:basedOn w:val="Normal"/>
    <w:next w:val="Normal"/>
    <w:autoRedefine/>
    <w:uiPriority w:val="99"/>
    <w:semiHidden/>
    <w:unhideWhenUsed/>
    <w:rsid w:val="0003148D"/>
    <w:pPr>
      <w:spacing w:line="240" w:lineRule="auto"/>
      <w:ind w:left="1100" w:hanging="220"/>
    </w:pPr>
  </w:style>
  <w:style w:type="paragraph" w:styleId="Remissivo6">
    <w:name w:val="index 6"/>
    <w:basedOn w:val="Normal"/>
    <w:next w:val="Normal"/>
    <w:autoRedefine/>
    <w:uiPriority w:val="99"/>
    <w:semiHidden/>
    <w:unhideWhenUsed/>
    <w:rsid w:val="0003148D"/>
    <w:pPr>
      <w:spacing w:line="240" w:lineRule="auto"/>
      <w:ind w:left="1320" w:hanging="220"/>
    </w:pPr>
  </w:style>
  <w:style w:type="paragraph" w:styleId="Remissivo7">
    <w:name w:val="index 7"/>
    <w:basedOn w:val="Normal"/>
    <w:next w:val="Normal"/>
    <w:autoRedefine/>
    <w:uiPriority w:val="99"/>
    <w:semiHidden/>
    <w:unhideWhenUsed/>
    <w:rsid w:val="0003148D"/>
    <w:pPr>
      <w:spacing w:line="240" w:lineRule="auto"/>
      <w:ind w:left="1540" w:hanging="220"/>
    </w:pPr>
  </w:style>
  <w:style w:type="paragraph" w:styleId="Remissivo8">
    <w:name w:val="index 8"/>
    <w:basedOn w:val="Normal"/>
    <w:next w:val="Normal"/>
    <w:autoRedefine/>
    <w:uiPriority w:val="99"/>
    <w:semiHidden/>
    <w:unhideWhenUsed/>
    <w:rsid w:val="0003148D"/>
    <w:pPr>
      <w:spacing w:line="240" w:lineRule="auto"/>
      <w:ind w:left="1760" w:hanging="220"/>
    </w:pPr>
  </w:style>
  <w:style w:type="paragraph" w:styleId="Remissivo9">
    <w:name w:val="index 9"/>
    <w:basedOn w:val="Normal"/>
    <w:next w:val="Normal"/>
    <w:autoRedefine/>
    <w:uiPriority w:val="99"/>
    <w:semiHidden/>
    <w:unhideWhenUsed/>
    <w:rsid w:val="0003148D"/>
    <w:pPr>
      <w:spacing w:line="240" w:lineRule="auto"/>
      <w:ind w:left="1980" w:hanging="220"/>
    </w:pPr>
  </w:style>
  <w:style w:type="paragraph" w:styleId="ndicedeilustraes">
    <w:name w:val="table of figures"/>
    <w:basedOn w:val="Normal"/>
    <w:next w:val="Normal"/>
    <w:uiPriority w:val="99"/>
    <w:semiHidden/>
    <w:unhideWhenUsed/>
    <w:rsid w:val="0003148D"/>
  </w:style>
  <w:style w:type="paragraph" w:styleId="ndicedeautoridades">
    <w:name w:val="table of authorities"/>
    <w:basedOn w:val="Normal"/>
    <w:next w:val="Normal"/>
    <w:uiPriority w:val="99"/>
    <w:semiHidden/>
    <w:unhideWhenUsed/>
    <w:rsid w:val="0003148D"/>
    <w:pPr>
      <w:ind w:left="220" w:hanging="220"/>
    </w:pPr>
  </w:style>
  <w:style w:type="paragraph" w:styleId="Destinatrio">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dereoHTML">
    <w:name w:val="HTML Address"/>
    <w:basedOn w:val="Normal"/>
    <w:link w:val="EndereoHTMLChar"/>
    <w:uiPriority w:val="99"/>
    <w:semiHidden/>
    <w:unhideWhenUsed/>
    <w:rsid w:val="0003148D"/>
    <w:pPr>
      <w:spacing w:line="240" w:lineRule="auto"/>
    </w:pPr>
    <w:rPr>
      <w:i/>
      <w:iCs/>
    </w:rPr>
  </w:style>
  <w:style w:type="character" w:customStyle="1" w:styleId="EndereoHTMLChar">
    <w:name w:val="Endereço HTML Char"/>
    <w:basedOn w:val="Fontepargpadro"/>
    <w:link w:val="EndereoHTML"/>
    <w:uiPriority w:val="99"/>
    <w:semiHidden/>
    <w:rsid w:val="0003148D"/>
    <w:rPr>
      <w:i/>
      <w:iCs/>
    </w:rPr>
  </w:style>
  <w:style w:type="paragraph" w:styleId="Remetente">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Cabealhodamensagem">
    <w:name w:val="Message Header"/>
    <w:basedOn w:val="Normal"/>
    <w:link w:val="Cabealhodamensagem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CabealhodamensagemChar">
    <w:name w:val="Cabeçalho da mensagem Char"/>
    <w:basedOn w:val="Fontepargpadro"/>
    <w:link w:val="Cabealhodamensagem"/>
    <w:uiPriority w:val="99"/>
    <w:semiHidden/>
    <w:rsid w:val="0003148D"/>
    <w:rPr>
      <w:rFonts w:asciiTheme="majorHAnsi" w:eastAsiaTheme="majorEastAsia" w:hAnsiTheme="majorHAnsi" w:cstheme="majorBidi"/>
      <w:sz w:val="24"/>
      <w:szCs w:val="24"/>
      <w:shd w:val="pct20" w:color="auto" w:fill="auto"/>
    </w:rPr>
  </w:style>
  <w:style w:type="paragraph" w:styleId="Ttulodanota">
    <w:name w:val="Note Heading"/>
    <w:basedOn w:val="Normal"/>
    <w:next w:val="Normal"/>
    <w:link w:val="TtulodanotaChar"/>
    <w:uiPriority w:val="99"/>
    <w:semiHidden/>
    <w:unhideWhenUsed/>
    <w:rsid w:val="0003148D"/>
    <w:pPr>
      <w:spacing w:line="240" w:lineRule="auto"/>
    </w:pPr>
  </w:style>
  <w:style w:type="character" w:customStyle="1" w:styleId="TtulodanotaChar">
    <w:name w:val="Título da nota Char"/>
    <w:basedOn w:val="Fontepargpadro"/>
    <w:link w:val="Ttulodanota"/>
    <w:uiPriority w:val="99"/>
    <w:semiHidden/>
    <w:rsid w:val="0003148D"/>
  </w:style>
  <w:style w:type="paragraph" w:styleId="MapadoDocumento">
    <w:name w:val="Document Map"/>
    <w:basedOn w:val="Normal"/>
    <w:link w:val="MapadoDocumentoChar"/>
    <w:uiPriority w:val="99"/>
    <w:semiHidden/>
    <w:unhideWhenUsed/>
    <w:rsid w:val="0003148D"/>
    <w:pPr>
      <w:spacing w:line="240" w:lineRule="auto"/>
    </w:pPr>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03148D"/>
    <w:rPr>
      <w:rFonts w:ascii="Tahoma" w:hAnsi="Tahoma" w:cs="Tahoma"/>
      <w:sz w:val="16"/>
      <w:szCs w:val="16"/>
    </w:rPr>
  </w:style>
  <w:style w:type="paragraph" w:styleId="NormalWeb">
    <w:name w:val="Normal (Web)"/>
    <w:basedOn w:val="Normal"/>
    <w:unhideWhenUsed/>
    <w:rsid w:val="0003148D"/>
    <w:rPr>
      <w:sz w:val="24"/>
      <w:szCs w:val="24"/>
    </w:rPr>
  </w:style>
  <w:style w:type="paragraph" w:styleId="Numerada">
    <w:name w:val="List Number"/>
    <w:basedOn w:val="Normal"/>
    <w:uiPriority w:val="99"/>
    <w:semiHidden/>
    <w:unhideWhenUsed/>
    <w:rsid w:val="0003148D"/>
    <w:pPr>
      <w:numPr>
        <w:numId w:val="2"/>
      </w:numPr>
      <w:contextualSpacing/>
    </w:pPr>
  </w:style>
  <w:style w:type="paragraph" w:styleId="Numerada2">
    <w:name w:val="List Number 2"/>
    <w:basedOn w:val="Normal"/>
    <w:uiPriority w:val="99"/>
    <w:semiHidden/>
    <w:unhideWhenUsed/>
    <w:rsid w:val="0003148D"/>
    <w:pPr>
      <w:numPr>
        <w:numId w:val="3"/>
      </w:numPr>
      <w:contextualSpacing/>
    </w:pPr>
  </w:style>
  <w:style w:type="paragraph" w:styleId="Numerada3">
    <w:name w:val="List Number 3"/>
    <w:basedOn w:val="Normal"/>
    <w:uiPriority w:val="99"/>
    <w:semiHidden/>
    <w:unhideWhenUsed/>
    <w:rsid w:val="0003148D"/>
    <w:pPr>
      <w:numPr>
        <w:numId w:val="4"/>
      </w:numPr>
      <w:contextualSpacing/>
    </w:pPr>
  </w:style>
  <w:style w:type="paragraph" w:styleId="Numerada4">
    <w:name w:val="List Number 4"/>
    <w:basedOn w:val="Normal"/>
    <w:uiPriority w:val="99"/>
    <w:semiHidden/>
    <w:unhideWhenUsed/>
    <w:rsid w:val="0003148D"/>
    <w:pPr>
      <w:numPr>
        <w:numId w:val="5"/>
      </w:numPr>
      <w:contextualSpacing/>
    </w:pPr>
  </w:style>
  <w:style w:type="paragraph" w:styleId="Numerada5">
    <w:name w:val="List Number 5"/>
    <w:basedOn w:val="Normal"/>
    <w:uiPriority w:val="99"/>
    <w:semiHidden/>
    <w:unhideWhenUsed/>
    <w:rsid w:val="0003148D"/>
    <w:pPr>
      <w:numPr>
        <w:numId w:val="6"/>
      </w:numPr>
      <w:contextualSpacing/>
    </w:pPr>
  </w:style>
  <w:style w:type="paragraph" w:styleId="Pr-formataoHTML">
    <w:name w:val="HTML Preformatted"/>
    <w:basedOn w:val="Normal"/>
    <w:link w:val="Pr-formataoHTMLChar"/>
    <w:uiPriority w:val="99"/>
    <w:semiHidden/>
    <w:unhideWhenUsed/>
    <w:rsid w:val="0003148D"/>
    <w:pPr>
      <w:spacing w:line="240" w:lineRule="auto"/>
    </w:pPr>
    <w:rPr>
      <w:rFonts w:ascii="Consolas" w:hAnsi="Consolas" w:cs="Consolas"/>
    </w:rPr>
  </w:style>
  <w:style w:type="character" w:customStyle="1" w:styleId="Pr-formataoHTMLChar">
    <w:name w:val="Pré-formatação HTML Char"/>
    <w:basedOn w:val="Fontepargpadro"/>
    <w:link w:val="Pr-formataoHTML"/>
    <w:uiPriority w:val="99"/>
    <w:semiHidden/>
    <w:rsid w:val="0003148D"/>
    <w:rPr>
      <w:rFonts w:ascii="Consolas" w:hAnsi="Consolas" w:cs="Consolas"/>
      <w:sz w:val="20"/>
      <w:szCs w:val="20"/>
    </w:rPr>
  </w:style>
  <w:style w:type="paragraph" w:styleId="Primeirorecuodecorpodetexto">
    <w:name w:val="Body Text First Indent"/>
    <w:basedOn w:val="Corpodetexto"/>
    <w:link w:val="PrimeirorecuodecorpodetextoChar"/>
    <w:uiPriority w:val="99"/>
    <w:semiHidden/>
    <w:unhideWhenUsed/>
    <w:rsid w:val="0003148D"/>
    <w:pPr>
      <w:spacing w:after="200"/>
      <w:ind w:firstLine="360"/>
    </w:pPr>
  </w:style>
  <w:style w:type="character" w:customStyle="1" w:styleId="PrimeirorecuodecorpodetextoChar">
    <w:name w:val="Primeiro recuo de corpo de texto Char"/>
    <w:basedOn w:val="CorpodetextoChar"/>
    <w:link w:val="Primeirorecuodecorpodetexto"/>
    <w:uiPriority w:val="99"/>
    <w:semiHidden/>
    <w:rsid w:val="0003148D"/>
  </w:style>
  <w:style w:type="paragraph" w:styleId="Recuodecorpodetexto">
    <w:name w:val="Body Text Indent"/>
    <w:basedOn w:val="Normal"/>
    <w:link w:val="RecuodecorpodetextoChar"/>
    <w:uiPriority w:val="99"/>
    <w:semiHidden/>
    <w:unhideWhenUsed/>
    <w:rsid w:val="0003148D"/>
    <w:pPr>
      <w:spacing w:after="120"/>
      <w:ind w:left="283"/>
    </w:pPr>
  </w:style>
  <w:style w:type="character" w:customStyle="1" w:styleId="RecuodecorpodetextoChar">
    <w:name w:val="Recuo de corpo de texto Char"/>
    <w:basedOn w:val="Fontepargpadro"/>
    <w:link w:val="Recuodecorpodetexto"/>
    <w:uiPriority w:val="99"/>
    <w:semiHidden/>
    <w:rsid w:val="0003148D"/>
  </w:style>
  <w:style w:type="paragraph" w:styleId="Primeirorecuodecorpodetexto2">
    <w:name w:val="Body Text First Indent 2"/>
    <w:basedOn w:val="Recuodecorpodetexto"/>
    <w:link w:val="Primeirorecuodecorpodetexto2Char"/>
    <w:uiPriority w:val="99"/>
    <w:semiHidden/>
    <w:unhideWhenUsed/>
    <w:rsid w:val="0003148D"/>
    <w:pPr>
      <w:spacing w:after="200"/>
      <w:ind w:left="360" w:firstLine="360"/>
    </w:pPr>
  </w:style>
  <w:style w:type="character" w:customStyle="1" w:styleId="Primeirorecuodecorpodetexto2Char">
    <w:name w:val="Primeiro recuo de corpo de texto 2 Char"/>
    <w:basedOn w:val="RecuodecorpodetextoChar"/>
    <w:link w:val="Primeirorecuodecorpodetexto2"/>
    <w:uiPriority w:val="99"/>
    <w:semiHidden/>
    <w:rsid w:val="0003148D"/>
  </w:style>
  <w:style w:type="paragraph" w:styleId="Commarcadores">
    <w:name w:val="List Bullet"/>
    <w:basedOn w:val="Normal"/>
    <w:uiPriority w:val="99"/>
    <w:semiHidden/>
    <w:unhideWhenUsed/>
    <w:rsid w:val="0003148D"/>
    <w:pPr>
      <w:numPr>
        <w:numId w:val="7"/>
      </w:numPr>
      <w:contextualSpacing/>
    </w:pPr>
  </w:style>
  <w:style w:type="paragraph" w:styleId="Commarcadores2">
    <w:name w:val="List Bullet 2"/>
    <w:basedOn w:val="Normal"/>
    <w:uiPriority w:val="99"/>
    <w:semiHidden/>
    <w:unhideWhenUsed/>
    <w:rsid w:val="0003148D"/>
    <w:pPr>
      <w:numPr>
        <w:numId w:val="8"/>
      </w:numPr>
      <w:contextualSpacing/>
    </w:pPr>
  </w:style>
  <w:style w:type="paragraph" w:styleId="Commarcadores3">
    <w:name w:val="List Bullet 3"/>
    <w:basedOn w:val="Normal"/>
    <w:uiPriority w:val="99"/>
    <w:semiHidden/>
    <w:unhideWhenUsed/>
    <w:rsid w:val="0003148D"/>
    <w:pPr>
      <w:numPr>
        <w:numId w:val="9"/>
      </w:numPr>
      <w:contextualSpacing/>
    </w:pPr>
  </w:style>
  <w:style w:type="paragraph" w:styleId="Commarcadores4">
    <w:name w:val="List Bullet 4"/>
    <w:basedOn w:val="Normal"/>
    <w:uiPriority w:val="99"/>
    <w:semiHidden/>
    <w:unhideWhenUsed/>
    <w:rsid w:val="0003148D"/>
    <w:pPr>
      <w:numPr>
        <w:numId w:val="10"/>
      </w:numPr>
      <w:contextualSpacing/>
    </w:pPr>
  </w:style>
  <w:style w:type="paragraph" w:styleId="Commarcadores5">
    <w:name w:val="List Bullet 5"/>
    <w:basedOn w:val="Normal"/>
    <w:uiPriority w:val="99"/>
    <w:semiHidden/>
    <w:unhideWhenUsed/>
    <w:rsid w:val="0003148D"/>
    <w:pPr>
      <w:numPr>
        <w:numId w:val="11"/>
      </w:numPr>
      <w:contextualSpacing/>
    </w:pPr>
  </w:style>
  <w:style w:type="paragraph" w:styleId="Recuodecorpodetexto2">
    <w:name w:val="Body Text Indent 2"/>
    <w:basedOn w:val="Normal"/>
    <w:link w:val="Recuodecorpodetexto2Char"/>
    <w:uiPriority w:val="99"/>
    <w:semiHidden/>
    <w:unhideWhenUsed/>
    <w:rsid w:val="0003148D"/>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03148D"/>
  </w:style>
  <w:style w:type="paragraph" w:styleId="Recuodecorpodetexto3">
    <w:name w:val="Body Text Indent 3"/>
    <w:basedOn w:val="Normal"/>
    <w:link w:val="Recuodecorpodetexto3Char"/>
    <w:uiPriority w:val="99"/>
    <w:semiHidden/>
    <w:unhideWhenUsed/>
    <w:rsid w:val="0003148D"/>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03148D"/>
    <w:rPr>
      <w:sz w:val="16"/>
      <w:szCs w:val="16"/>
    </w:rPr>
  </w:style>
  <w:style w:type="paragraph" w:styleId="Recuonormal">
    <w:name w:val="Normal Indent"/>
    <w:basedOn w:val="Normal"/>
    <w:uiPriority w:val="99"/>
    <w:semiHidden/>
    <w:unhideWhenUsed/>
    <w:rsid w:val="0003148D"/>
    <w:pPr>
      <w:ind w:left="720"/>
    </w:pPr>
  </w:style>
  <w:style w:type="paragraph" w:styleId="Textodecomentrio">
    <w:name w:val="annotation text"/>
    <w:basedOn w:val="Normal"/>
    <w:link w:val="TextodecomentrioChar"/>
    <w:uiPriority w:val="99"/>
    <w:unhideWhenUsed/>
    <w:rsid w:val="0003148D"/>
    <w:pPr>
      <w:spacing w:line="240" w:lineRule="auto"/>
    </w:pPr>
  </w:style>
  <w:style w:type="character" w:customStyle="1" w:styleId="TextodecomentrioChar">
    <w:name w:val="Texto de comentário Char"/>
    <w:basedOn w:val="Fontepargpadro"/>
    <w:link w:val="Textodecomentrio"/>
    <w:uiPriority w:val="99"/>
    <w:rsid w:val="0003148D"/>
    <w:rPr>
      <w:sz w:val="20"/>
      <w:szCs w:val="20"/>
    </w:rPr>
  </w:style>
  <w:style w:type="paragraph" w:styleId="Assuntodocomentrio">
    <w:name w:val="annotation subject"/>
    <w:basedOn w:val="Textodecomentrio"/>
    <w:next w:val="Textodecomentrio"/>
    <w:link w:val="AssuntodocomentrioChar"/>
    <w:uiPriority w:val="99"/>
    <w:semiHidden/>
    <w:unhideWhenUsed/>
    <w:rsid w:val="0003148D"/>
    <w:rPr>
      <w:b/>
      <w:bCs/>
    </w:rPr>
  </w:style>
  <w:style w:type="character" w:customStyle="1" w:styleId="AssuntodocomentrioChar">
    <w:name w:val="Assunto do comentário Char"/>
    <w:basedOn w:val="TextodecomentrioChar"/>
    <w:link w:val="Assuntodocomentrio"/>
    <w:uiPriority w:val="99"/>
    <w:semiHidden/>
    <w:rsid w:val="0003148D"/>
    <w:rPr>
      <w:b/>
      <w:bCs/>
      <w:sz w:val="20"/>
      <w:szCs w:val="20"/>
    </w:rPr>
  </w:style>
  <w:style w:type="paragraph" w:styleId="Sumrio1">
    <w:name w:val="toc 1"/>
    <w:basedOn w:val="Normal"/>
    <w:next w:val="Normal"/>
    <w:autoRedefine/>
    <w:uiPriority w:val="39"/>
    <w:semiHidden/>
    <w:unhideWhenUsed/>
    <w:rsid w:val="0003148D"/>
    <w:pPr>
      <w:spacing w:after="100"/>
    </w:pPr>
  </w:style>
  <w:style w:type="paragraph" w:styleId="Sumrio2">
    <w:name w:val="toc 2"/>
    <w:basedOn w:val="Normal"/>
    <w:next w:val="Normal"/>
    <w:autoRedefine/>
    <w:uiPriority w:val="39"/>
    <w:semiHidden/>
    <w:unhideWhenUsed/>
    <w:rsid w:val="0003148D"/>
    <w:pPr>
      <w:spacing w:after="100"/>
      <w:ind w:left="220"/>
    </w:pPr>
  </w:style>
  <w:style w:type="paragraph" w:styleId="Sumrio3">
    <w:name w:val="toc 3"/>
    <w:basedOn w:val="Normal"/>
    <w:next w:val="Normal"/>
    <w:autoRedefine/>
    <w:uiPriority w:val="39"/>
    <w:semiHidden/>
    <w:unhideWhenUsed/>
    <w:rsid w:val="0003148D"/>
    <w:pPr>
      <w:spacing w:after="100"/>
      <w:ind w:left="440"/>
    </w:pPr>
  </w:style>
  <w:style w:type="paragraph" w:styleId="Sumrio4">
    <w:name w:val="toc 4"/>
    <w:basedOn w:val="Normal"/>
    <w:next w:val="Normal"/>
    <w:autoRedefine/>
    <w:uiPriority w:val="39"/>
    <w:semiHidden/>
    <w:unhideWhenUsed/>
    <w:rsid w:val="0003148D"/>
    <w:pPr>
      <w:spacing w:after="100"/>
      <w:ind w:left="660"/>
    </w:pPr>
  </w:style>
  <w:style w:type="paragraph" w:styleId="Sumrio5">
    <w:name w:val="toc 5"/>
    <w:basedOn w:val="Normal"/>
    <w:next w:val="Normal"/>
    <w:autoRedefine/>
    <w:uiPriority w:val="39"/>
    <w:semiHidden/>
    <w:unhideWhenUsed/>
    <w:rsid w:val="0003148D"/>
    <w:pPr>
      <w:spacing w:after="100"/>
      <w:ind w:left="880"/>
    </w:pPr>
  </w:style>
  <w:style w:type="paragraph" w:styleId="Sumrio6">
    <w:name w:val="toc 6"/>
    <w:basedOn w:val="Normal"/>
    <w:next w:val="Normal"/>
    <w:autoRedefine/>
    <w:uiPriority w:val="39"/>
    <w:semiHidden/>
    <w:unhideWhenUsed/>
    <w:rsid w:val="0003148D"/>
    <w:pPr>
      <w:spacing w:after="100"/>
      <w:ind w:left="1100"/>
    </w:pPr>
  </w:style>
  <w:style w:type="paragraph" w:styleId="Sumrio7">
    <w:name w:val="toc 7"/>
    <w:basedOn w:val="Normal"/>
    <w:next w:val="Normal"/>
    <w:autoRedefine/>
    <w:uiPriority w:val="39"/>
    <w:semiHidden/>
    <w:unhideWhenUsed/>
    <w:rsid w:val="0003148D"/>
    <w:pPr>
      <w:spacing w:after="100"/>
      <w:ind w:left="1320"/>
    </w:pPr>
  </w:style>
  <w:style w:type="paragraph" w:styleId="Sumrio8">
    <w:name w:val="toc 8"/>
    <w:basedOn w:val="Normal"/>
    <w:next w:val="Normal"/>
    <w:autoRedefine/>
    <w:uiPriority w:val="39"/>
    <w:semiHidden/>
    <w:unhideWhenUsed/>
    <w:rsid w:val="0003148D"/>
    <w:pPr>
      <w:spacing w:after="100"/>
      <w:ind w:left="1540"/>
    </w:pPr>
  </w:style>
  <w:style w:type="paragraph" w:styleId="Sumrio9">
    <w:name w:val="toc 9"/>
    <w:basedOn w:val="Normal"/>
    <w:next w:val="Normal"/>
    <w:autoRedefine/>
    <w:uiPriority w:val="39"/>
    <w:semiHidden/>
    <w:unhideWhenUsed/>
    <w:rsid w:val="0003148D"/>
    <w:pPr>
      <w:spacing w:after="100"/>
      <w:ind w:left="1760"/>
    </w:pPr>
  </w:style>
  <w:style w:type="paragraph" w:styleId="Textoembloco">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demacro">
    <w:name w:val="macro"/>
    <w:link w:val="Textodemacro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demacroChar">
    <w:name w:val="Texto de macro Char"/>
    <w:basedOn w:val="Fontepargpadro"/>
    <w:link w:val="Textodemacro"/>
    <w:uiPriority w:val="99"/>
    <w:semiHidden/>
    <w:rsid w:val="0003148D"/>
    <w:rPr>
      <w:rFonts w:ascii="Consolas" w:hAnsi="Consolas" w:cs="Consolas"/>
      <w:sz w:val="20"/>
      <w:szCs w:val="20"/>
    </w:rPr>
  </w:style>
  <w:style w:type="paragraph" w:styleId="TextosemFormatao">
    <w:name w:val="Plain Text"/>
    <w:basedOn w:val="Normal"/>
    <w:link w:val="TextosemFormataoChar"/>
    <w:uiPriority w:val="99"/>
    <w:semiHidden/>
    <w:unhideWhenUsed/>
    <w:rsid w:val="0003148D"/>
    <w:pPr>
      <w:spacing w:line="240" w:lineRule="auto"/>
    </w:pPr>
    <w:rPr>
      <w:rFonts w:ascii="Consolas" w:hAnsi="Consolas" w:cs="Consolas"/>
      <w:sz w:val="21"/>
      <w:szCs w:val="21"/>
    </w:rPr>
  </w:style>
  <w:style w:type="character" w:customStyle="1" w:styleId="TextosemFormataoChar">
    <w:name w:val="Texto sem Formatação Char"/>
    <w:basedOn w:val="Fontepargpadro"/>
    <w:link w:val="TextosemFormatao"/>
    <w:uiPriority w:val="99"/>
    <w:semiHidden/>
    <w:rsid w:val="0003148D"/>
    <w:rPr>
      <w:rFonts w:ascii="Consolas" w:hAnsi="Consolas" w:cs="Consolas"/>
      <w:sz w:val="21"/>
      <w:szCs w:val="21"/>
    </w:rPr>
  </w:style>
  <w:style w:type="paragraph" w:styleId="Textodenotaderodap">
    <w:name w:val="footnote text"/>
    <w:basedOn w:val="Normal"/>
    <w:link w:val="TextodenotaderodapChar"/>
    <w:uiPriority w:val="99"/>
    <w:semiHidden/>
    <w:unhideWhenUsed/>
    <w:rsid w:val="0003148D"/>
    <w:pPr>
      <w:spacing w:line="240" w:lineRule="auto"/>
    </w:pPr>
  </w:style>
  <w:style w:type="character" w:customStyle="1" w:styleId="TextodenotaderodapChar">
    <w:name w:val="Texto de nota de rodapé Char"/>
    <w:basedOn w:val="Fontepargpadro"/>
    <w:link w:val="Textodenotaderodap"/>
    <w:uiPriority w:val="99"/>
    <w:semiHidden/>
    <w:rsid w:val="0003148D"/>
    <w:rPr>
      <w:sz w:val="20"/>
      <w:szCs w:val="20"/>
    </w:rPr>
  </w:style>
  <w:style w:type="paragraph" w:styleId="Textodenotadefim">
    <w:name w:val="endnote text"/>
    <w:basedOn w:val="Normal"/>
    <w:link w:val="TextodenotadefimChar"/>
    <w:uiPriority w:val="99"/>
    <w:semiHidden/>
    <w:unhideWhenUsed/>
    <w:rsid w:val="0003148D"/>
    <w:pPr>
      <w:spacing w:line="240" w:lineRule="auto"/>
    </w:pPr>
  </w:style>
  <w:style w:type="character" w:customStyle="1" w:styleId="TextodenotadefimChar">
    <w:name w:val="Texto de nota de fim Char"/>
    <w:basedOn w:val="Fontepargpadro"/>
    <w:link w:val="Textodenotadefim"/>
    <w:uiPriority w:val="99"/>
    <w:semiHidden/>
    <w:rsid w:val="0003148D"/>
    <w:rPr>
      <w:sz w:val="20"/>
      <w:szCs w:val="20"/>
    </w:rPr>
  </w:style>
  <w:style w:type="character" w:customStyle="1" w:styleId="Ttulo1Char">
    <w:name w:val="Título 1 Char"/>
    <w:basedOn w:val="Fontepargpadro"/>
    <w:link w:val="Ttulo1"/>
    <w:uiPriority w:val="9"/>
    <w:rsid w:val="004F5E36"/>
    <w:rPr>
      <w:rFonts w:ascii="Arial" w:eastAsia="Times New Roman" w:hAnsi="Arial" w:cs="Times New Roman"/>
      <w:b/>
      <w:sz w:val="20"/>
      <w:szCs w:val="20"/>
      <w:lang w:val="en-GB"/>
    </w:rPr>
  </w:style>
  <w:style w:type="character" w:customStyle="1" w:styleId="Ttulo2Char">
    <w:name w:val="Título 2 Char"/>
    <w:basedOn w:val="Fontepargpadro"/>
    <w:link w:val="Ttu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semiHidden/>
    <w:rsid w:val="0003148D"/>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har">
    <w:name w:val="Título 5 Char"/>
    <w:basedOn w:val="Fontepargpadro"/>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har">
    <w:name w:val="Título 6 Char"/>
    <w:basedOn w:val="Fontepargpadro"/>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har">
    <w:name w:val="Título 7 Char"/>
    <w:basedOn w:val="Fontepargpadro"/>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Ttulodendiceremissivo">
    <w:name w:val="index heading"/>
    <w:basedOn w:val="Normal"/>
    <w:next w:val="Remissivo1"/>
    <w:uiPriority w:val="99"/>
    <w:semiHidden/>
    <w:unhideWhenUsed/>
    <w:rsid w:val="0003148D"/>
    <w:rPr>
      <w:rFonts w:asciiTheme="majorHAnsi" w:eastAsiaTheme="majorEastAsia" w:hAnsiTheme="majorHAnsi" w:cstheme="majorBidi"/>
      <w:b/>
      <w:bCs/>
    </w:rPr>
  </w:style>
  <w:style w:type="paragraph" w:styleId="Ttulodendicedeautoridades">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CabealhodoSumrio">
    <w:name w:val="TOC Heading"/>
    <w:basedOn w:val="Ttulo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Fontepargpadr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Cabealho">
    <w:name w:val="header"/>
    <w:basedOn w:val="Normal"/>
    <w:link w:val="CabealhoChar"/>
    <w:uiPriority w:val="99"/>
    <w:unhideWhenUsed/>
    <w:rsid w:val="005278B7"/>
    <w:pPr>
      <w:tabs>
        <w:tab w:val="clear" w:pos="7100"/>
        <w:tab w:val="center" w:pos="4819"/>
        <w:tab w:val="right" w:pos="9638"/>
      </w:tabs>
      <w:spacing w:line="240" w:lineRule="auto"/>
    </w:pPr>
  </w:style>
  <w:style w:type="character" w:customStyle="1" w:styleId="CabealhoChar">
    <w:name w:val="Cabeçalho Char"/>
    <w:basedOn w:val="Fontepargpadro"/>
    <w:link w:val="Cabealho"/>
    <w:uiPriority w:val="99"/>
    <w:rsid w:val="005278B7"/>
    <w:rPr>
      <w:rFonts w:ascii="Arial" w:eastAsia="Times New Roman" w:hAnsi="Arial" w:cs="Times New Roman"/>
      <w:sz w:val="18"/>
      <w:szCs w:val="20"/>
      <w:lang w:val="en-GB"/>
    </w:rPr>
  </w:style>
  <w:style w:type="paragraph" w:styleId="Rodap">
    <w:name w:val="footer"/>
    <w:basedOn w:val="Normal"/>
    <w:link w:val="RodapChar"/>
    <w:uiPriority w:val="99"/>
    <w:unhideWhenUsed/>
    <w:rsid w:val="005278B7"/>
    <w:pPr>
      <w:tabs>
        <w:tab w:val="clear" w:pos="7100"/>
        <w:tab w:val="center" w:pos="4819"/>
        <w:tab w:val="right" w:pos="9638"/>
      </w:tabs>
      <w:spacing w:line="240" w:lineRule="auto"/>
    </w:pPr>
  </w:style>
  <w:style w:type="character" w:customStyle="1" w:styleId="RodapChar">
    <w:name w:val="Rodapé Char"/>
    <w:basedOn w:val="Fontepargpadro"/>
    <w:link w:val="Rodap"/>
    <w:uiPriority w:val="99"/>
    <w:rsid w:val="005278B7"/>
    <w:rPr>
      <w:rFonts w:ascii="Arial" w:eastAsia="Times New Roman" w:hAnsi="Arial" w:cs="Times New Roman"/>
      <w:sz w:val="18"/>
      <w:szCs w:val="20"/>
      <w:lang w:val="en-GB"/>
    </w:rPr>
  </w:style>
  <w:style w:type="table" w:styleId="Tabelacomgrade">
    <w:name w:val="Table Grid"/>
    <w:basedOn w:val="Tabelanormal"/>
    <w:uiPriority w:val="59"/>
    <w:rsid w:val="00660E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Fontepargpadro"/>
    <w:uiPriority w:val="99"/>
    <w:unhideWhenUsed/>
    <w:rsid w:val="00904C62"/>
    <w:rPr>
      <w:color w:val="0000FF" w:themeColor="hyperlink"/>
      <w:u w:val="single"/>
    </w:rPr>
  </w:style>
  <w:style w:type="character" w:customStyle="1" w:styleId="eudoraheader">
    <w:name w:val="eudoraheader"/>
    <w:basedOn w:val="Fontepargpadr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character" w:customStyle="1" w:styleId="WW8Num1z5">
    <w:name w:val="WW8Num1z5"/>
    <w:rsid w:val="00512389"/>
  </w:style>
  <w:style w:type="paragraph" w:styleId="PargrafodaLista">
    <w:name w:val="List Paragraph"/>
    <w:basedOn w:val="Normal"/>
    <w:uiPriority w:val="34"/>
    <w:rsid w:val="00512389"/>
    <w:pPr>
      <w:ind w:left="720"/>
      <w:contextualSpacing/>
    </w:pPr>
  </w:style>
  <w:style w:type="paragraph" w:customStyle="1" w:styleId="Text">
    <w:name w:val="Text"/>
    <w:basedOn w:val="Normal"/>
    <w:rsid w:val="000555CC"/>
    <w:pPr>
      <w:widowControl w:val="0"/>
      <w:tabs>
        <w:tab w:val="clear" w:pos="7100"/>
      </w:tabs>
      <w:suppressAutoHyphens/>
      <w:autoSpaceDE w:val="0"/>
      <w:spacing w:line="252" w:lineRule="auto"/>
      <w:ind w:firstLine="202"/>
    </w:pPr>
    <w:rPr>
      <w:rFonts w:ascii="Times New Roman" w:hAnsi="Times New Roman"/>
      <w:sz w:val="20"/>
      <w:lang w:val="en-US" w:eastAsia="zh-CN"/>
    </w:rPr>
  </w:style>
  <w:style w:type="character" w:customStyle="1" w:styleId="apple-converted-space">
    <w:name w:val="apple-converted-space"/>
    <w:rsid w:val="00DB40BF"/>
  </w:style>
  <w:style w:type="character" w:styleId="nfase">
    <w:name w:val="Emphasis"/>
    <w:qFormat/>
    <w:rsid w:val="00DB40BF"/>
    <w:rPr>
      <w:i/>
      <w:iCs/>
    </w:rPr>
  </w:style>
  <w:style w:type="character" w:customStyle="1" w:styleId="gt-baf-cell">
    <w:name w:val="gt-baf-cell"/>
    <w:basedOn w:val="Fontepargpadro"/>
    <w:rsid w:val="00334B94"/>
  </w:style>
  <w:style w:type="character" w:customStyle="1" w:styleId="tlid-translation">
    <w:name w:val="tlid-translation"/>
    <w:basedOn w:val="Fontepargpadro"/>
    <w:rsid w:val="00334B94"/>
  </w:style>
  <w:style w:type="character" w:customStyle="1" w:styleId="alt-edited">
    <w:name w:val="alt-edited"/>
    <w:basedOn w:val="Fontepargpadro"/>
    <w:rsid w:val="00577528"/>
  </w:style>
  <w:style w:type="character" w:styleId="TextodoEspaoReservado">
    <w:name w:val="Placeholder Text"/>
    <w:basedOn w:val="Fontepargpadro"/>
    <w:uiPriority w:val="99"/>
    <w:semiHidden/>
    <w:rsid w:val="00416591"/>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900CEB-E6BB-4174-A0DA-E940604F4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6</Pages>
  <Words>4138</Words>
  <Characters>22349</Characters>
  <Application>Microsoft Office Word</Application>
  <DocSecurity>0</DocSecurity>
  <Lines>186</Lines>
  <Paragraphs>52</Paragraphs>
  <ScaleCrop>false</ScaleCrop>
  <HeadingPairs>
    <vt:vector size="6" baseType="variant">
      <vt:variant>
        <vt:lpstr>Título</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26435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willian sganzerla</cp:lastModifiedBy>
  <cp:revision>10</cp:revision>
  <cp:lastPrinted>2015-05-12T18:31:00Z</cp:lastPrinted>
  <dcterms:created xsi:type="dcterms:W3CDTF">2019-04-11T21:01:00Z</dcterms:created>
  <dcterms:modified xsi:type="dcterms:W3CDTF">2019-04-13T12:20:00Z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