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1A6489">
        <w:trPr>
          <w:trHeight w:val="852"/>
          <w:jc w:val="center"/>
        </w:trPr>
        <w:tc>
          <w:tcPr>
            <w:tcW w:w="6946" w:type="dxa"/>
            <w:vMerge w:val="restart"/>
            <w:tcBorders>
              <w:right w:val="single" w:sz="4" w:space="0" w:color="auto"/>
            </w:tcBorders>
          </w:tcPr>
          <w:p w:rsidR="000A03B2" w:rsidRPr="001A6489" w:rsidRDefault="000A03B2" w:rsidP="00DE264A">
            <w:pPr>
              <w:tabs>
                <w:tab w:val="left" w:pos="-108"/>
              </w:tabs>
              <w:ind w:left="-108"/>
              <w:jc w:val="left"/>
              <w:rPr>
                <w:rFonts w:cs="Arial"/>
                <w:b/>
                <w:bCs/>
                <w:i/>
                <w:iCs/>
                <w:color w:val="000066"/>
                <w:sz w:val="12"/>
                <w:szCs w:val="12"/>
                <w:lang w:val="en-US" w:eastAsia="it-IT"/>
              </w:rPr>
            </w:pPr>
            <w:r w:rsidRPr="001A6489">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A6489">
              <w:rPr>
                <w:rFonts w:ascii="AdvP6960" w:hAnsi="AdvP6960" w:cs="AdvP6960"/>
                <w:color w:val="241F20"/>
                <w:szCs w:val="18"/>
                <w:lang w:val="en-US" w:eastAsia="it-IT"/>
              </w:rPr>
              <w:t xml:space="preserve"> </w:t>
            </w:r>
            <w:r w:rsidRPr="001A6489">
              <w:rPr>
                <w:rFonts w:cs="Arial"/>
                <w:b/>
                <w:bCs/>
                <w:i/>
                <w:iCs/>
                <w:color w:val="000066"/>
                <w:sz w:val="24"/>
                <w:szCs w:val="24"/>
                <w:lang w:val="en-US" w:eastAsia="it-IT"/>
              </w:rPr>
              <w:t>CHEMICAL ENGINEERIN</w:t>
            </w:r>
            <w:bookmarkStart w:id="0" w:name="_GoBack"/>
            <w:bookmarkEnd w:id="0"/>
            <w:r w:rsidRPr="001A6489">
              <w:rPr>
                <w:rFonts w:cs="Arial"/>
                <w:b/>
                <w:bCs/>
                <w:i/>
                <w:iCs/>
                <w:color w:val="000066"/>
                <w:sz w:val="24"/>
                <w:szCs w:val="24"/>
                <w:lang w:val="en-US" w:eastAsia="it-IT"/>
              </w:rPr>
              <w:t>G</w:t>
            </w:r>
            <w:r w:rsidRPr="001A6489">
              <w:rPr>
                <w:rFonts w:cs="Arial"/>
                <w:b/>
                <w:bCs/>
                <w:i/>
                <w:iCs/>
                <w:color w:val="0033FF"/>
                <w:sz w:val="24"/>
                <w:szCs w:val="24"/>
                <w:lang w:val="en-US" w:eastAsia="it-IT"/>
              </w:rPr>
              <w:t xml:space="preserve"> </w:t>
            </w:r>
            <w:r w:rsidRPr="001A6489">
              <w:rPr>
                <w:rFonts w:cs="Arial"/>
                <w:b/>
                <w:bCs/>
                <w:i/>
                <w:iCs/>
                <w:color w:val="666666"/>
                <w:sz w:val="24"/>
                <w:szCs w:val="24"/>
                <w:lang w:val="en-US" w:eastAsia="it-IT"/>
              </w:rPr>
              <w:t>TRANSACTIONS</w:t>
            </w:r>
            <w:r w:rsidRPr="001A6489">
              <w:rPr>
                <w:color w:val="333333"/>
                <w:sz w:val="24"/>
                <w:szCs w:val="24"/>
                <w:lang w:val="en-US" w:eastAsia="it-IT"/>
              </w:rPr>
              <w:t xml:space="preserve"> </w:t>
            </w:r>
            <w:r w:rsidRPr="001A6489">
              <w:rPr>
                <w:rFonts w:cs="Arial"/>
                <w:b/>
                <w:bCs/>
                <w:i/>
                <w:iCs/>
                <w:color w:val="000066"/>
                <w:sz w:val="27"/>
                <w:szCs w:val="27"/>
                <w:lang w:val="en-US" w:eastAsia="it-IT"/>
              </w:rPr>
              <w:br/>
            </w:r>
          </w:p>
          <w:p w:rsidR="000A03B2" w:rsidRPr="001A6489" w:rsidRDefault="00A76EFC" w:rsidP="009635B9">
            <w:pPr>
              <w:tabs>
                <w:tab w:val="left" w:pos="-108"/>
              </w:tabs>
              <w:ind w:left="-108"/>
              <w:rPr>
                <w:rFonts w:cs="Arial"/>
                <w:b/>
                <w:bCs/>
                <w:i/>
                <w:iCs/>
                <w:color w:val="000066"/>
                <w:sz w:val="22"/>
                <w:szCs w:val="22"/>
                <w:lang w:val="en-US" w:eastAsia="it-IT"/>
              </w:rPr>
            </w:pPr>
            <w:r w:rsidRPr="001A6489">
              <w:rPr>
                <w:rFonts w:cs="Arial"/>
                <w:b/>
                <w:bCs/>
                <w:i/>
                <w:iCs/>
                <w:color w:val="000066"/>
                <w:sz w:val="22"/>
                <w:szCs w:val="22"/>
                <w:lang w:val="en-US" w:eastAsia="it-IT"/>
              </w:rPr>
              <w:t xml:space="preserve">VOL. </w:t>
            </w:r>
            <w:r w:rsidR="007931FA" w:rsidRPr="001A6489">
              <w:rPr>
                <w:rFonts w:cs="Arial"/>
                <w:b/>
                <w:bCs/>
                <w:i/>
                <w:iCs/>
                <w:color w:val="000066"/>
                <w:sz w:val="22"/>
                <w:szCs w:val="22"/>
                <w:lang w:val="en-US" w:eastAsia="it-IT"/>
              </w:rPr>
              <w:t>7</w:t>
            </w:r>
            <w:r w:rsidR="009635B9" w:rsidRPr="001A6489">
              <w:rPr>
                <w:rFonts w:cs="Arial"/>
                <w:b/>
                <w:bCs/>
                <w:i/>
                <w:iCs/>
                <w:color w:val="000066"/>
                <w:sz w:val="22"/>
                <w:szCs w:val="22"/>
                <w:lang w:val="en-US" w:eastAsia="it-IT"/>
              </w:rPr>
              <w:t>6</w:t>
            </w:r>
            <w:r w:rsidR="00FA5F5F" w:rsidRPr="001A6489">
              <w:rPr>
                <w:rFonts w:cs="Arial"/>
                <w:b/>
                <w:bCs/>
                <w:i/>
                <w:iCs/>
                <w:color w:val="000066"/>
                <w:sz w:val="22"/>
                <w:szCs w:val="22"/>
                <w:lang w:val="en-US" w:eastAsia="it-IT"/>
              </w:rPr>
              <w:t>, 201</w:t>
            </w:r>
            <w:r w:rsidR="007931FA" w:rsidRPr="001A6489">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rsidR="000A03B2" w:rsidRPr="001A6489" w:rsidRDefault="000A03B2" w:rsidP="00CD5FE2">
            <w:pPr>
              <w:spacing w:line="140" w:lineRule="atLeast"/>
              <w:jc w:val="right"/>
              <w:rPr>
                <w:rFonts w:cs="Arial"/>
                <w:sz w:val="14"/>
                <w:szCs w:val="14"/>
                <w:lang w:val="en-US"/>
              </w:rPr>
            </w:pPr>
            <w:r w:rsidRPr="001A6489">
              <w:rPr>
                <w:rFonts w:cs="Arial"/>
                <w:sz w:val="14"/>
                <w:szCs w:val="14"/>
                <w:lang w:val="en-US"/>
              </w:rPr>
              <w:t>A publication of</w:t>
            </w:r>
          </w:p>
          <w:p w:rsidR="000A03B2" w:rsidRPr="001A6489" w:rsidRDefault="000A03B2" w:rsidP="00CD5FE2">
            <w:pPr>
              <w:jc w:val="right"/>
              <w:rPr>
                <w:lang w:val="en-US"/>
              </w:rPr>
            </w:pPr>
            <w:r w:rsidRPr="001A6489">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A6489">
        <w:trPr>
          <w:trHeight w:val="567"/>
          <w:jc w:val="center"/>
        </w:trPr>
        <w:tc>
          <w:tcPr>
            <w:tcW w:w="6946" w:type="dxa"/>
            <w:vMerge/>
            <w:tcBorders>
              <w:right w:val="single" w:sz="4" w:space="0" w:color="auto"/>
            </w:tcBorders>
          </w:tcPr>
          <w:p w:rsidR="000A03B2" w:rsidRPr="001A6489" w:rsidRDefault="000A03B2" w:rsidP="00CD5FE2">
            <w:pPr>
              <w:tabs>
                <w:tab w:val="left" w:pos="-108"/>
              </w:tabs>
              <w:rPr>
                <w:lang w:val="en-US"/>
              </w:rPr>
            </w:pPr>
          </w:p>
        </w:tc>
        <w:tc>
          <w:tcPr>
            <w:tcW w:w="1843" w:type="dxa"/>
            <w:tcBorders>
              <w:left w:val="single" w:sz="4" w:space="0" w:color="auto"/>
              <w:bottom w:val="nil"/>
              <w:right w:val="single" w:sz="4" w:space="0" w:color="auto"/>
            </w:tcBorders>
          </w:tcPr>
          <w:p w:rsidR="000A03B2" w:rsidRPr="001A6489" w:rsidRDefault="000A03B2" w:rsidP="00CD5FE2">
            <w:pPr>
              <w:spacing w:line="140" w:lineRule="atLeast"/>
              <w:jc w:val="right"/>
              <w:rPr>
                <w:rFonts w:cs="Arial"/>
                <w:sz w:val="14"/>
                <w:szCs w:val="14"/>
                <w:lang w:val="en-US"/>
              </w:rPr>
            </w:pPr>
            <w:r w:rsidRPr="001A6489">
              <w:rPr>
                <w:rFonts w:cs="Arial"/>
                <w:sz w:val="14"/>
                <w:szCs w:val="14"/>
                <w:lang w:val="en-US"/>
              </w:rPr>
              <w:t>The Italian Association</w:t>
            </w:r>
          </w:p>
          <w:p w:rsidR="000A03B2" w:rsidRPr="001A6489" w:rsidRDefault="000A03B2" w:rsidP="00CD5FE2">
            <w:pPr>
              <w:spacing w:line="140" w:lineRule="atLeast"/>
              <w:jc w:val="right"/>
              <w:rPr>
                <w:rFonts w:cs="Arial"/>
                <w:sz w:val="14"/>
                <w:szCs w:val="14"/>
                <w:lang w:val="en-US"/>
              </w:rPr>
            </w:pPr>
            <w:r w:rsidRPr="001A6489">
              <w:rPr>
                <w:rFonts w:cs="Arial"/>
                <w:sz w:val="14"/>
                <w:szCs w:val="14"/>
                <w:lang w:val="en-US"/>
              </w:rPr>
              <w:t>of Chemical Engineering</w:t>
            </w:r>
          </w:p>
          <w:p w:rsidR="000A03B2" w:rsidRPr="001A6489" w:rsidRDefault="000A03B2" w:rsidP="00CD5FE2">
            <w:pPr>
              <w:spacing w:line="140" w:lineRule="atLeast"/>
              <w:jc w:val="right"/>
              <w:rPr>
                <w:rFonts w:cs="Arial"/>
                <w:sz w:val="14"/>
                <w:szCs w:val="14"/>
                <w:lang w:val="en-US"/>
              </w:rPr>
            </w:pPr>
            <w:r w:rsidRPr="001A6489">
              <w:rPr>
                <w:rFonts w:cs="Arial"/>
                <w:sz w:val="14"/>
                <w:szCs w:val="14"/>
                <w:lang w:val="en-US"/>
              </w:rPr>
              <w:t xml:space="preserve">Online at </w:t>
            </w:r>
            <w:r w:rsidR="00892AD5" w:rsidRPr="001A6489">
              <w:rPr>
                <w:rFonts w:cs="Arial"/>
                <w:sz w:val="14"/>
                <w:szCs w:val="14"/>
                <w:lang w:val="en-US"/>
              </w:rPr>
              <w:t>www.aidic.it/cet</w:t>
            </w:r>
          </w:p>
        </w:tc>
      </w:tr>
      <w:tr w:rsidR="000A03B2" w:rsidRPr="001A6489">
        <w:trPr>
          <w:trHeight w:val="68"/>
          <w:jc w:val="center"/>
        </w:trPr>
        <w:tc>
          <w:tcPr>
            <w:tcW w:w="8789" w:type="dxa"/>
            <w:gridSpan w:val="2"/>
          </w:tcPr>
          <w:p w:rsidR="00300E56" w:rsidRPr="003A71FC" w:rsidRDefault="00300E56" w:rsidP="003365E3">
            <w:pPr>
              <w:ind w:left="-107"/>
              <w:rPr>
                <w:lang w:val="it-IT"/>
              </w:rPr>
            </w:pPr>
            <w:r w:rsidRPr="003A71FC">
              <w:rPr>
                <w:rFonts w:ascii="Tahoma" w:hAnsi="Tahoma" w:cs="Tahoma"/>
                <w:iCs/>
                <w:color w:val="333333"/>
                <w:sz w:val="14"/>
                <w:szCs w:val="14"/>
                <w:lang w:val="it-IT" w:eastAsia="it-IT"/>
              </w:rPr>
              <w:t>Guest Editors:</w:t>
            </w:r>
            <w:r w:rsidR="00904C62" w:rsidRPr="003A71FC">
              <w:rPr>
                <w:rFonts w:ascii="Tahoma" w:hAnsi="Tahoma" w:cs="Tahoma"/>
                <w:iCs/>
                <w:color w:val="333333"/>
                <w:sz w:val="14"/>
                <w:szCs w:val="14"/>
                <w:lang w:val="it-IT" w:eastAsia="it-IT"/>
              </w:rPr>
              <w:t xml:space="preserve"> </w:t>
            </w:r>
            <w:r w:rsidR="009635B9" w:rsidRPr="003A71FC">
              <w:rPr>
                <w:rFonts w:ascii="Tahoma" w:hAnsi="Tahoma" w:cs="Tahoma"/>
                <w:sz w:val="14"/>
                <w:szCs w:val="14"/>
                <w:lang w:val="it-IT"/>
              </w:rPr>
              <w:t>Sauro Pierucci,</w:t>
            </w:r>
            <w:r w:rsidR="003B60F3" w:rsidRPr="003A71FC">
              <w:rPr>
                <w:rFonts w:ascii="Tahoma" w:hAnsi="Tahoma" w:cs="Tahoma"/>
                <w:sz w:val="14"/>
                <w:szCs w:val="14"/>
                <w:lang w:val="it-IT"/>
              </w:rPr>
              <w:t xml:space="preserve"> </w:t>
            </w:r>
            <w:r w:rsidR="00047D7F" w:rsidRPr="003A71FC">
              <w:rPr>
                <w:rFonts w:ascii="Tahoma" w:hAnsi="Tahoma" w:cs="Tahoma"/>
                <w:sz w:val="14"/>
                <w:szCs w:val="14"/>
                <w:shd w:val="clear" w:color="auto" w:fill="FFFFFF"/>
                <w:lang w:val="it-IT"/>
              </w:rPr>
              <w:t>Jiří Jaromír Klemeš</w:t>
            </w:r>
            <w:r w:rsidR="00252C1A" w:rsidRPr="003A71FC">
              <w:rPr>
                <w:rFonts w:ascii="Tahoma" w:hAnsi="Tahoma" w:cs="Tahoma"/>
                <w:sz w:val="14"/>
                <w:szCs w:val="14"/>
                <w:shd w:val="clear" w:color="auto" w:fill="FFFFFF"/>
                <w:lang w:val="it-IT"/>
              </w:rPr>
              <w:t>, Laura Piazza</w:t>
            </w:r>
          </w:p>
          <w:p w:rsidR="000A03B2" w:rsidRPr="001A6489" w:rsidRDefault="00FA5F5F" w:rsidP="00131FAB">
            <w:pPr>
              <w:tabs>
                <w:tab w:val="left" w:pos="-108"/>
              </w:tabs>
              <w:spacing w:line="140" w:lineRule="atLeast"/>
              <w:ind w:left="-107"/>
              <w:jc w:val="left"/>
              <w:rPr>
                <w:lang w:val="en-US"/>
              </w:rPr>
            </w:pPr>
            <w:r w:rsidRPr="001A6489">
              <w:rPr>
                <w:rFonts w:ascii="Tahoma" w:hAnsi="Tahoma" w:cs="Tahoma"/>
                <w:iCs/>
                <w:color w:val="333333"/>
                <w:sz w:val="14"/>
                <w:szCs w:val="14"/>
                <w:lang w:val="en-US" w:eastAsia="it-IT"/>
              </w:rPr>
              <w:t>Copyright © 201</w:t>
            </w:r>
            <w:r w:rsidR="007931FA" w:rsidRPr="001A6489">
              <w:rPr>
                <w:rFonts w:ascii="Tahoma" w:hAnsi="Tahoma" w:cs="Tahoma"/>
                <w:iCs/>
                <w:color w:val="333333"/>
                <w:sz w:val="14"/>
                <w:szCs w:val="14"/>
                <w:lang w:val="en-US" w:eastAsia="it-IT"/>
              </w:rPr>
              <w:t>9</w:t>
            </w:r>
            <w:r w:rsidR="00904C62" w:rsidRPr="001A6489">
              <w:rPr>
                <w:rFonts w:ascii="Tahoma" w:hAnsi="Tahoma" w:cs="Tahoma"/>
                <w:iCs/>
                <w:color w:val="333333"/>
                <w:sz w:val="14"/>
                <w:szCs w:val="14"/>
                <w:lang w:val="en-US" w:eastAsia="it-IT"/>
              </w:rPr>
              <w:t>, AIDIC Servizi S.r.l.</w:t>
            </w:r>
            <w:r w:rsidR="00300E56" w:rsidRPr="001A6489">
              <w:rPr>
                <w:rFonts w:ascii="Tahoma" w:hAnsi="Tahoma" w:cs="Tahoma"/>
                <w:iCs/>
                <w:color w:val="333333"/>
                <w:sz w:val="14"/>
                <w:szCs w:val="14"/>
                <w:lang w:val="en-US" w:eastAsia="it-IT"/>
              </w:rPr>
              <w:br/>
            </w:r>
            <w:r w:rsidR="00300E56" w:rsidRPr="001A6489">
              <w:rPr>
                <w:rFonts w:ascii="Tahoma" w:hAnsi="Tahoma" w:cs="Tahoma"/>
                <w:b/>
                <w:iCs/>
                <w:color w:val="000000"/>
                <w:sz w:val="14"/>
                <w:szCs w:val="14"/>
                <w:lang w:val="en-US" w:eastAsia="it-IT"/>
              </w:rPr>
              <w:t>ISBN</w:t>
            </w:r>
            <w:r w:rsidR="00300E56" w:rsidRPr="001A6489">
              <w:rPr>
                <w:rFonts w:ascii="Tahoma" w:hAnsi="Tahoma" w:cs="Tahoma"/>
                <w:iCs/>
                <w:color w:val="000000"/>
                <w:sz w:val="14"/>
                <w:szCs w:val="14"/>
                <w:lang w:val="en-US" w:eastAsia="it-IT"/>
              </w:rPr>
              <w:t xml:space="preserve"> </w:t>
            </w:r>
            <w:r w:rsidR="008D32B9" w:rsidRPr="001A6489">
              <w:rPr>
                <w:rFonts w:ascii="Tahoma" w:hAnsi="Tahoma" w:cs="Tahoma"/>
                <w:sz w:val="14"/>
                <w:szCs w:val="14"/>
                <w:lang w:val="en-US"/>
              </w:rPr>
              <w:t>978-88-95608-</w:t>
            </w:r>
            <w:r w:rsidR="009635B9" w:rsidRPr="001A6489">
              <w:rPr>
                <w:rFonts w:ascii="Tahoma" w:hAnsi="Tahoma" w:cs="Tahoma"/>
                <w:sz w:val="14"/>
                <w:szCs w:val="14"/>
                <w:lang w:val="en-US"/>
              </w:rPr>
              <w:t>73</w:t>
            </w:r>
            <w:r w:rsidR="008D32B9" w:rsidRPr="001A6489">
              <w:rPr>
                <w:rFonts w:ascii="Tahoma" w:hAnsi="Tahoma" w:cs="Tahoma"/>
                <w:sz w:val="14"/>
                <w:szCs w:val="14"/>
                <w:lang w:val="en-US"/>
              </w:rPr>
              <w:t>-</w:t>
            </w:r>
            <w:r w:rsidR="009635B9" w:rsidRPr="001A6489">
              <w:rPr>
                <w:rFonts w:ascii="Tahoma" w:hAnsi="Tahoma" w:cs="Tahoma"/>
                <w:sz w:val="14"/>
                <w:szCs w:val="14"/>
                <w:lang w:val="en-US"/>
              </w:rPr>
              <w:t>0</w:t>
            </w:r>
            <w:r w:rsidR="00300E56" w:rsidRPr="001A6489">
              <w:rPr>
                <w:rFonts w:ascii="Tahoma" w:hAnsi="Tahoma" w:cs="Tahoma"/>
                <w:iCs/>
                <w:color w:val="333333"/>
                <w:sz w:val="14"/>
                <w:szCs w:val="14"/>
                <w:lang w:val="en-US" w:eastAsia="it-IT"/>
              </w:rPr>
              <w:t xml:space="preserve">; </w:t>
            </w:r>
            <w:r w:rsidR="00300E56" w:rsidRPr="001A6489">
              <w:rPr>
                <w:rFonts w:ascii="Tahoma" w:hAnsi="Tahoma" w:cs="Tahoma"/>
                <w:b/>
                <w:iCs/>
                <w:color w:val="333333"/>
                <w:sz w:val="14"/>
                <w:szCs w:val="14"/>
                <w:lang w:val="en-US" w:eastAsia="it-IT"/>
              </w:rPr>
              <w:t>ISSN</w:t>
            </w:r>
            <w:r w:rsidR="00300E56" w:rsidRPr="001A6489">
              <w:rPr>
                <w:rFonts w:ascii="Tahoma" w:hAnsi="Tahoma" w:cs="Tahoma"/>
                <w:iCs/>
                <w:color w:val="333333"/>
                <w:sz w:val="14"/>
                <w:szCs w:val="14"/>
                <w:lang w:val="en-US" w:eastAsia="it-IT"/>
              </w:rPr>
              <w:t xml:space="preserve"> 2283-9216</w:t>
            </w:r>
          </w:p>
        </w:tc>
      </w:tr>
    </w:tbl>
    <w:p w:rsidR="000A03B2" w:rsidRPr="001A6489" w:rsidRDefault="000A03B2" w:rsidP="000A03B2">
      <w:pPr>
        <w:pStyle w:val="CETAuthors"/>
        <w:rPr>
          <w:lang w:val="en-US"/>
        </w:rPr>
        <w:sectPr w:rsidR="000A03B2" w:rsidRPr="001A6489">
          <w:type w:val="continuous"/>
          <w:pgSz w:w="11906" w:h="16838" w:code="9"/>
          <w:pgMar w:top="1701" w:right="1418" w:bottom="1701" w:left="1701" w:header="1701" w:footer="0" w:gutter="0"/>
          <w:cols w:space="708"/>
          <w:titlePg/>
          <w:docGrid w:linePitch="360"/>
        </w:sectPr>
      </w:pPr>
    </w:p>
    <w:p w:rsidR="00E978D0" w:rsidRPr="001A6489" w:rsidRDefault="001F776E" w:rsidP="00E978D0">
      <w:pPr>
        <w:pStyle w:val="CETTitle"/>
        <w:rPr>
          <w:lang w:val="en-US"/>
        </w:rPr>
      </w:pPr>
      <w:r w:rsidRPr="001A6489">
        <w:rPr>
          <w:lang w:val="en-US"/>
        </w:rPr>
        <w:lastRenderedPageBreak/>
        <w:t>Optimal Design of Novel Ceramic Hollow-Fiber Membrane Units for Pre</w:t>
      </w:r>
      <w:r w:rsidR="00794728" w:rsidRPr="001A6489">
        <w:rPr>
          <w:lang w:val="en-US"/>
        </w:rPr>
        <w:t>-</w:t>
      </w:r>
      <w:r w:rsidRPr="001A6489">
        <w:rPr>
          <w:lang w:val="en-US"/>
        </w:rPr>
        <w:t>centrifuged Lager Clarification</w:t>
      </w:r>
    </w:p>
    <w:p w:rsidR="00E978D0" w:rsidRPr="001A6489" w:rsidRDefault="001F776E" w:rsidP="00AB5011">
      <w:pPr>
        <w:pStyle w:val="CETAuthors"/>
        <w:rPr>
          <w:lang w:val="en-US"/>
        </w:rPr>
      </w:pPr>
      <w:r w:rsidRPr="001A6489">
        <w:rPr>
          <w:lang w:val="en-US"/>
        </w:rPr>
        <w:t xml:space="preserve">Alessio Cimini*, Mauro Moresi </w:t>
      </w:r>
    </w:p>
    <w:p w:rsidR="00E978D0" w:rsidRPr="001A6489" w:rsidRDefault="001F776E" w:rsidP="00E978D0">
      <w:pPr>
        <w:pStyle w:val="CETAddress"/>
        <w:rPr>
          <w:lang w:val="en-US"/>
        </w:rPr>
      </w:pPr>
      <w:r w:rsidRPr="001A6489">
        <w:rPr>
          <w:lang w:val="en-US"/>
        </w:rPr>
        <w:t>Department for Innovation in the Biological, Agrofood and Forestry Systems, University of Tuscia, Viterbo, Italy</w:t>
      </w:r>
    </w:p>
    <w:p w:rsidR="00E978D0" w:rsidRPr="001A6489" w:rsidRDefault="001F776E" w:rsidP="00E978D0">
      <w:pPr>
        <w:pStyle w:val="CETemail"/>
        <w:rPr>
          <w:lang w:val="en-US"/>
        </w:rPr>
      </w:pPr>
      <w:r w:rsidRPr="001A6489">
        <w:rPr>
          <w:lang w:val="en-US"/>
        </w:rPr>
        <w:t xml:space="preserve">a.cimini@unitus.it </w:t>
      </w:r>
    </w:p>
    <w:p w:rsidR="00600535" w:rsidRPr="001A6489" w:rsidRDefault="001F776E" w:rsidP="00FF3912">
      <w:pPr>
        <w:pStyle w:val="Didascalia"/>
        <w:keepNext/>
        <w:spacing w:line="264" w:lineRule="auto"/>
      </w:pPr>
      <w:r w:rsidRPr="000C369F">
        <w:rPr>
          <w:b w:val="0"/>
          <w:color w:val="000000" w:themeColor="text1"/>
          <w:lang w:val="en-US"/>
        </w:rPr>
        <w:t>In this work, pr</w:t>
      </w:r>
      <w:r w:rsidR="00C96C0D" w:rsidRPr="000C369F">
        <w:rPr>
          <w:b w:val="0"/>
          <w:color w:val="000000" w:themeColor="text1"/>
          <w:lang w:val="en-US"/>
        </w:rPr>
        <w:t>e-centrifuged rough lager w</w:t>
      </w:r>
      <w:r w:rsidR="00F570DE" w:rsidRPr="000C369F">
        <w:rPr>
          <w:b w:val="0"/>
          <w:color w:val="000000" w:themeColor="text1"/>
          <w:lang w:val="en-US"/>
        </w:rPr>
        <w:t xml:space="preserve">as </w:t>
      </w:r>
      <w:r w:rsidRPr="000C369F">
        <w:rPr>
          <w:b w:val="0"/>
          <w:color w:val="000000" w:themeColor="text1"/>
          <w:lang w:val="en-US"/>
        </w:rPr>
        <w:t>submitted to several clarification tests using a bench-top plant equipped with 0.8-</w:t>
      </w:r>
      <w:r w:rsidR="00D8361D">
        <w:rPr>
          <w:rFonts w:cs="Arial"/>
          <w:b w:val="0"/>
          <w:color w:val="000000" w:themeColor="text1"/>
          <w:lang w:val="en-US"/>
        </w:rPr>
        <w:t>µ</w:t>
      </w:r>
      <w:r w:rsidRPr="000C369F">
        <w:rPr>
          <w:b w:val="0"/>
          <w:color w:val="000000" w:themeColor="text1"/>
          <w:lang w:val="en-US"/>
        </w:rPr>
        <w:t>m ceramic hollow-fiber (HF) membrane</w:t>
      </w:r>
      <w:r w:rsidR="00F570DE" w:rsidRPr="000C369F">
        <w:rPr>
          <w:b w:val="0"/>
          <w:color w:val="000000" w:themeColor="text1"/>
          <w:lang w:val="en-US"/>
        </w:rPr>
        <w:t>s. The</w:t>
      </w:r>
      <w:r w:rsidR="00490F33">
        <w:rPr>
          <w:b w:val="0"/>
          <w:color w:val="000000" w:themeColor="text1"/>
          <w:lang w:val="en-US"/>
        </w:rPr>
        <w:t xml:space="preserve"> experimental </w:t>
      </w:r>
      <w:r w:rsidRPr="000C369F">
        <w:rPr>
          <w:b w:val="0"/>
          <w:color w:val="000000" w:themeColor="text1"/>
          <w:lang w:val="en-US"/>
        </w:rPr>
        <w:t>quasi-steady state permeation flux (J</w:t>
      </w:r>
      <w:r w:rsidRPr="000C369F">
        <w:rPr>
          <w:b w:val="0"/>
          <w:color w:val="000000" w:themeColor="text1"/>
          <w:vertAlign w:val="subscript"/>
          <w:lang w:val="en-US"/>
        </w:rPr>
        <w:t>ss</w:t>
      </w:r>
      <w:r w:rsidRPr="000C369F">
        <w:rPr>
          <w:b w:val="0"/>
          <w:color w:val="000000" w:themeColor="text1"/>
          <w:lang w:val="en-US"/>
        </w:rPr>
        <w:t>)</w:t>
      </w:r>
      <w:r w:rsidR="000C369F" w:rsidRPr="000C369F">
        <w:rPr>
          <w:b w:val="0"/>
          <w:color w:val="000000" w:themeColor="text1"/>
          <w:lang w:val="en-US"/>
        </w:rPr>
        <w:t xml:space="preserve"> </w:t>
      </w:r>
      <w:r w:rsidR="00F570DE" w:rsidRPr="000C369F">
        <w:rPr>
          <w:b w:val="0"/>
          <w:color w:val="000000" w:themeColor="text1"/>
          <w:lang w:val="en-US"/>
        </w:rPr>
        <w:t>was</w:t>
      </w:r>
      <w:r w:rsidR="009263A3">
        <w:rPr>
          <w:b w:val="0"/>
          <w:color w:val="000000" w:themeColor="text1"/>
          <w:lang w:val="en-US"/>
        </w:rPr>
        <w:t xml:space="preserve"> </w:t>
      </w:r>
      <w:r w:rsidR="00F570DE" w:rsidRPr="000C369F">
        <w:rPr>
          <w:b w:val="0"/>
          <w:color w:val="000000" w:themeColor="text1"/>
          <w:lang w:val="en-US"/>
        </w:rPr>
        <w:t>found to be</w:t>
      </w:r>
      <w:r w:rsidR="000C369F" w:rsidRPr="000C369F">
        <w:rPr>
          <w:b w:val="0"/>
          <w:color w:val="000000" w:themeColor="text1"/>
          <w:lang w:val="en-US"/>
        </w:rPr>
        <w:t xml:space="preserve"> dependent on </w:t>
      </w:r>
      <w:r w:rsidRPr="000C369F">
        <w:rPr>
          <w:b w:val="0"/>
          <w:color w:val="000000" w:themeColor="text1"/>
          <w:lang w:val="en-US"/>
        </w:rPr>
        <w:t>the transmembrane pressure difference (TMP) and feed crossflow velocity (v</w:t>
      </w:r>
      <w:r w:rsidRPr="000C369F">
        <w:rPr>
          <w:b w:val="0"/>
          <w:color w:val="000000" w:themeColor="text1"/>
          <w:vertAlign w:val="subscript"/>
          <w:lang w:val="en-US"/>
        </w:rPr>
        <w:t>S</w:t>
      </w:r>
      <w:r w:rsidRPr="000C369F">
        <w:rPr>
          <w:b w:val="0"/>
          <w:color w:val="000000" w:themeColor="text1"/>
          <w:lang w:val="en-US"/>
        </w:rPr>
        <w:t>) in the ranges of 0.5-4.5 bar, and 0.5-6 m s</w:t>
      </w:r>
      <w:r w:rsidRPr="000C369F">
        <w:rPr>
          <w:b w:val="0"/>
          <w:color w:val="000000" w:themeColor="text1"/>
          <w:vertAlign w:val="superscript"/>
          <w:lang w:val="en-US"/>
        </w:rPr>
        <w:t>-1</w:t>
      </w:r>
      <w:r w:rsidRPr="000C369F">
        <w:rPr>
          <w:b w:val="0"/>
          <w:color w:val="000000" w:themeColor="text1"/>
          <w:lang w:val="en-US"/>
        </w:rPr>
        <w:t>, respectively.</w:t>
      </w:r>
      <w:r w:rsidR="00F570DE" w:rsidRPr="000C369F">
        <w:rPr>
          <w:b w:val="0"/>
          <w:color w:val="000000" w:themeColor="text1"/>
          <w:lang w:val="en-US"/>
        </w:rPr>
        <w:t xml:space="preserve"> Once </w:t>
      </w:r>
      <w:r w:rsidR="00C96C0D" w:rsidRPr="000C369F">
        <w:rPr>
          <w:b w:val="0"/>
          <w:color w:val="000000" w:themeColor="text1"/>
          <w:lang w:val="en-US"/>
        </w:rPr>
        <w:t>J</w:t>
      </w:r>
      <w:r w:rsidR="00C96C0D" w:rsidRPr="000C369F">
        <w:rPr>
          <w:b w:val="0"/>
          <w:color w:val="000000" w:themeColor="text1"/>
          <w:vertAlign w:val="subscript"/>
          <w:lang w:val="en-US"/>
        </w:rPr>
        <w:t>ss</w:t>
      </w:r>
      <w:r w:rsidR="00C96C0D" w:rsidRPr="000C369F">
        <w:rPr>
          <w:b w:val="0"/>
          <w:color w:val="000000" w:themeColor="text1"/>
          <w:lang w:val="en-US"/>
        </w:rPr>
        <w:t xml:space="preserve"> </w:t>
      </w:r>
      <w:r w:rsidR="00F570DE" w:rsidRPr="000C369F">
        <w:rPr>
          <w:b w:val="0"/>
          <w:color w:val="000000" w:themeColor="text1"/>
          <w:lang w:val="en-US"/>
        </w:rPr>
        <w:t>had been</w:t>
      </w:r>
      <w:r w:rsidRPr="000C369F">
        <w:rPr>
          <w:b w:val="0"/>
          <w:color w:val="000000" w:themeColor="text1"/>
          <w:lang w:val="en-US"/>
        </w:rPr>
        <w:t xml:space="preserve"> empirically </w:t>
      </w:r>
      <w:r w:rsidR="000C369F" w:rsidRPr="000C369F">
        <w:rPr>
          <w:b w:val="0"/>
          <w:color w:val="000000" w:themeColor="text1"/>
          <w:lang w:val="en-US"/>
        </w:rPr>
        <w:t>modelled</w:t>
      </w:r>
      <w:r w:rsidR="00F570DE" w:rsidRPr="000C369F">
        <w:rPr>
          <w:b w:val="0"/>
          <w:color w:val="000000" w:themeColor="text1"/>
          <w:lang w:val="en-US"/>
        </w:rPr>
        <w:t>,</w:t>
      </w:r>
      <w:r w:rsidR="000C369F" w:rsidRPr="000C369F">
        <w:rPr>
          <w:b w:val="0"/>
          <w:color w:val="000000" w:themeColor="text1"/>
          <w:lang w:val="en-US"/>
        </w:rPr>
        <w:t xml:space="preserve"> </w:t>
      </w:r>
      <w:r w:rsidR="00F570DE" w:rsidRPr="000C369F">
        <w:rPr>
          <w:b w:val="0"/>
          <w:color w:val="000000" w:themeColor="text1"/>
          <w:lang w:val="en-US"/>
        </w:rPr>
        <w:t>it was</w:t>
      </w:r>
      <w:r w:rsidR="000C369F">
        <w:rPr>
          <w:b w:val="0"/>
          <w:color w:val="000000" w:themeColor="text1"/>
          <w:lang w:val="en-US"/>
        </w:rPr>
        <w:t xml:space="preserve"> </w:t>
      </w:r>
      <w:r w:rsidR="000C2F4A" w:rsidRPr="000C369F">
        <w:rPr>
          <w:b w:val="0"/>
          <w:color w:val="000000" w:themeColor="text1"/>
          <w:lang w:val="en-US"/>
        </w:rPr>
        <w:t xml:space="preserve">used </w:t>
      </w:r>
      <w:r w:rsidRPr="000C369F">
        <w:rPr>
          <w:b w:val="0"/>
          <w:color w:val="000000" w:themeColor="text1"/>
          <w:lang w:val="en-US"/>
        </w:rPr>
        <w:t xml:space="preserve">to design </w:t>
      </w:r>
      <w:r w:rsidR="003A71FC">
        <w:rPr>
          <w:b w:val="0"/>
          <w:color w:val="000000" w:themeColor="text1"/>
          <w:lang w:val="en-US"/>
        </w:rPr>
        <w:t xml:space="preserve">appropriately </w:t>
      </w:r>
      <w:r w:rsidRPr="000C369F">
        <w:rPr>
          <w:b w:val="0"/>
          <w:color w:val="000000" w:themeColor="text1"/>
          <w:lang w:val="en-US"/>
        </w:rPr>
        <w:t xml:space="preserve">the </w:t>
      </w:r>
      <w:r w:rsidR="009263A3">
        <w:rPr>
          <w:b w:val="0"/>
          <w:color w:val="000000" w:themeColor="text1"/>
          <w:lang w:val="en-US"/>
        </w:rPr>
        <w:t xml:space="preserve">membrane </w:t>
      </w:r>
      <w:r w:rsidRPr="000C369F">
        <w:rPr>
          <w:b w:val="0"/>
          <w:color w:val="000000" w:themeColor="text1"/>
          <w:lang w:val="en-US"/>
        </w:rPr>
        <w:t>clarification unit</w:t>
      </w:r>
      <w:r w:rsidR="009263A3">
        <w:rPr>
          <w:b w:val="0"/>
          <w:color w:val="000000" w:themeColor="text1"/>
          <w:lang w:val="en-US"/>
        </w:rPr>
        <w:t xml:space="preserve">. By referring to a medium-sized </w:t>
      </w:r>
      <w:r w:rsidR="00490F33">
        <w:rPr>
          <w:b w:val="0"/>
          <w:color w:val="000000" w:themeColor="text1"/>
          <w:lang w:val="en-US"/>
        </w:rPr>
        <w:t>brewe</w:t>
      </w:r>
      <w:r w:rsidR="009263A3">
        <w:rPr>
          <w:b w:val="0"/>
          <w:color w:val="000000" w:themeColor="text1"/>
          <w:lang w:val="en-US"/>
        </w:rPr>
        <w:t>ry, a</w:t>
      </w:r>
      <w:r w:rsidRPr="000C369F">
        <w:rPr>
          <w:b w:val="0"/>
          <w:color w:val="000000" w:themeColor="text1"/>
          <w:lang w:val="en-US"/>
        </w:rPr>
        <w:t xml:space="preserve"> rough-grade feasibility study allowed the operating costs (c</w:t>
      </w:r>
      <w:r w:rsidRPr="000C369F">
        <w:rPr>
          <w:b w:val="0"/>
          <w:color w:val="000000" w:themeColor="text1"/>
          <w:vertAlign w:val="subscript"/>
          <w:lang w:val="en-US"/>
        </w:rPr>
        <w:t>o</w:t>
      </w:r>
      <w:r w:rsidRPr="000C369F">
        <w:rPr>
          <w:b w:val="0"/>
          <w:color w:val="000000" w:themeColor="text1"/>
          <w:lang w:val="en-US"/>
        </w:rPr>
        <w:t>) of such a unit to be</w:t>
      </w:r>
      <w:r w:rsidR="000C369F" w:rsidRPr="000C369F">
        <w:rPr>
          <w:b w:val="0"/>
          <w:color w:val="000000" w:themeColor="text1"/>
          <w:lang w:val="en-US"/>
        </w:rPr>
        <w:t xml:space="preserve"> minimized at ~0.50 € hL</w:t>
      </w:r>
      <w:r w:rsidR="000C369F" w:rsidRPr="000C369F">
        <w:rPr>
          <w:b w:val="0"/>
          <w:color w:val="000000" w:themeColor="text1"/>
          <w:vertAlign w:val="superscript"/>
          <w:lang w:val="en-US"/>
        </w:rPr>
        <w:t xml:space="preserve">-1 </w:t>
      </w:r>
      <w:r w:rsidR="000C369F" w:rsidRPr="000C369F">
        <w:rPr>
          <w:b w:val="0"/>
          <w:color w:val="000000" w:themeColor="text1"/>
          <w:lang w:val="en-US"/>
        </w:rPr>
        <w:t>by setting v</w:t>
      </w:r>
      <w:r w:rsidR="000C369F" w:rsidRPr="000C369F">
        <w:rPr>
          <w:b w:val="0"/>
          <w:color w:val="000000" w:themeColor="text1"/>
          <w:vertAlign w:val="subscript"/>
          <w:lang w:val="en-US"/>
        </w:rPr>
        <w:t xml:space="preserve">S </w:t>
      </w:r>
      <w:r w:rsidR="000C369F" w:rsidRPr="000C369F">
        <w:rPr>
          <w:b w:val="0"/>
          <w:color w:val="000000" w:themeColor="text1"/>
          <w:lang w:val="en-US"/>
        </w:rPr>
        <w:t>at 4 m s</w:t>
      </w:r>
      <w:r w:rsidR="000C369F" w:rsidRPr="000C369F">
        <w:rPr>
          <w:b w:val="0"/>
          <w:color w:val="000000" w:themeColor="text1"/>
          <w:vertAlign w:val="superscript"/>
          <w:lang w:val="en-US"/>
        </w:rPr>
        <w:t>-1</w:t>
      </w:r>
      <w:r w:rsidR="000C369F" w:rsidRPr="000C369F">
        <w:rPr>
          <w:b w:val="0"/>
          <w:color w:val="000000" w:themeColor="text1"/>
          <w:lang w:val="en-US"/>
        </w:rPr>
        <w:t xml:space="preserve"> and P</w:t>
      </w:r>
      <w:r w:rsidR="000C369F" w:rsidRPr="000C369F">
        <w:rPr>
          <w:b w:val="0"/>
          <w:color w:val="000000" w:themeColor="text1"/>
          <w:vertAlign w:val="subscript"/>
          <w:lang w:val="en-US"/>
        </w:rPr>
        <w:t>F</w:t>
      </w:r>
      <w:r w:rsidR="000C369F" w:rsidRPr="000C369F">
        <w:rPr>
          <w:b w:val="0"/>
          <w:color w:val="000000" w:themeColor="text1"/>
          <w:lang w:val="en-US"/>
        </w:rPr>
        <w:t xml:space="preserve"> at 5 bar. </w:t>
      </w:r>
      <w:r w:rsidR="00D8361D">
        <w:rPr>
          <w:b w:val="0"/>
          <w:color w:val="000000" w:themeColor="text1"/>
          <w:lang w:val="en-US"/>
        </w:rPr>
        <w:t xml:space="preserve">By </w:t>
      </w:r>
      <w:r w:rsidR="000C369F" w:rsidRPr="000C369F">
        <w:rPr>
          <w:b w:val="0"/>
          <w:color w:val="000000" w:themeColor="text1"/>
          <w:lang w:val="en-US"/>
        </w:rPr>
        <w:t xml:space="preserve"> operati</w:t>
      </w:r>
      <w:r w:rsidR="00D8361D">
        <w:rPr>
          <w:b w:val="0"/>
          <w:color w:val="000000" w:themeColor="text1"/>
          <w:lang w:val="en-US"/>
        </w:rPr>
        <w:t xml:space="preserve">ng </w:t>
      </w:r>
      <w:r w:rsidR="000C369F" w:rsidRPr="000C369F">
        <w:rPr>
          <w:b w:val="0"/>
          <w:color w:val="000000" w:themeColor="text1"/>
          <w:lang w:val="en-US"/>
        </w:rPr>
        <w:t>at v</w:t>
      </w:r>
      <w:r w:rsidR="000C369F" w:rsidRPr="000C369F">
        <w:rPr>
          <w:b w:val="0"/>
          <w:color w:val="000000" w:themeColor="text1"/>
          <w:vertAlign w:val="subscript"/>
          <w:lang w:val="en-US"/>
        </w:rPr>
        <w:t>S</w:t>
      </w:r>
      <w:r w:rsidR="000C369F" w:rsidRPr="000C369F">
        <w:rPr>
          <w:b w:val="0"/>
          <w:color w:val="000000" w:themeColor="text1"/>
          <w:lang w:val="en-US"/>
        </w:rPr>
        <w:t>=2.5 m s</w:t>
      </w:r>
      <w:r w:rsidR="000C369F" w:rsidRPr="000C369F">
        <w:rPr>
          <w:b w:val="0"/>
          <w:color w:val="000000" w:themeColor="text1"/>
          <w:vertAlign w:val="superscript"/>
          <w:lang w:val="en-US"/>
        </w:rPr>
        <w:t>-1</w:t>
      </w:r>
      <w:r w:rsidR="000C369F" w:rsidRPr="000C369F">
        <w:rPr>
          <w:b w:val="0"/>
          <w:color w:val="000000" w:themeColor="text1"/>
          <w:lang w:val="en-US"/>
        </w:rPr>
        <w:t xml:space="preserve"> and P</w:t>
      </w:r>
      <w:r w:rsidR="000C369F" w:rsidRPr="000C369F">
        <w:rPr>
          <w:b w:val="0"/>
          <w:color w:val="000000" w:themeColor="text1"/>
          <w:vertAlign w:val="subscript"/>
          <w:lang w:val="en-US"/>
        </w:rPr>
        <w:t>F</w:t>
      </w:r>
      <w:r w:rsidR="000C369F" w:rsidRPr="000C369F">
        <w:rPr>
          <w:b w:val="0"/>
          <w:color w:val="000000" w:themeColor="text1"/>
          <w:lang w:val="en-US"/>
        </w:rPr>
        <w:t>=3.5 bar with periodic CO</w:t>
      </w:r>
      <w:r w:rsidR="000C369F" w:rsidRPr="000C369F">
        <w:rPr>
          <w:b w:val="0"/>
          <w:color w:val="000000" w:themeColor="text1"/>
          <w:vertAlign w:val="subscript"/>
          <w:lang w:val="en-US"/>
        </w:rPr>
        <w:t>2</w:t>
      </w:r>
      <w:r w:rsidR="000C369F" w:rsidRPr="000C369F">
        <w:rPr>
          <w:b w:val="0"/>
          <w:color w:val="000000" w:themeColor="text1"/>
          <w:lang w:val="en-US"/>
        </w:rPr>
        <w:t xml:space="preserve"> backflushing</w:t>
      </w:r>
      <w:r w:rsidR="00D8361D">
        <w:rPr>
          <w:b w:val="0"/>
          <w:color w:val="000000" w:themeColor="text1"/>
          <w:lang w:val="en-US"/>
        </w:rPr>
        <w:t xml:space="preserve"> (i.e., the same conditions used to pilot </w:t>
      </w:r>
      <w:r w:rsidR="009263A3" w:rsidRPr="000C369F">
        <w:rPr>
          <w:b w:val="0"/>
          <w:color w:val="000000" w:themeColor="text1"/>
          <w:lang w:val="en-US"/>
        </w:rPr>
        <w:t>0.45-</w:t>
      </w:r>
      <w:r w:rsidR="00D8361D">
        <w:rPr>
          <w:rFonts w:cs="Arial"/>
          <w:b w:val="0"/>
          <w:color w:val="000000" w:themeColor="text1"/>
          <w:lang w:val="en-US"/>
        </w:rPr>
        <w:t>µ</w:t>
      </w:r>
      <w:r w:rsidR="009263A3" w:rsidRPr="000C369F">
        <w:rPr>
          <w:b w:val="0"/>
          <w:color w:val="000000" w:themeColor="text1"/>
          <w:lang w:val="en-US"/>
        </w:rPr>
        <w:t>m polyethersulphone HF modules at the Heineken brewery in Zoeterwoude</w:t>
      </w:r>
      <w:r w:rsidR="00D8361D">
        <w:rPr>
          <w:b w:val="0"/>
          <w:color w:val="000000" w:themeColor="text1"/>
          <w:lang w:val="en-US"/>
        </w:rPr>
        <w:t xml:space="preserve">, </w:t>
      </w:r>
      <w:r w:rsidR="009263A3" w:rsidRPr="000C369F">
        <w:rPr>
          <w:b w:val="0"/>
          <w:color w:val="000000" w:themeColor="text1"/>
          <w:lang w:val="en-US"/>
        </w:rPr>
        <w:t>NL)</w:t>
      </w:r>
      <w:r w:rsidR="00FF3912">
        <w:rPr>
          <w:b w:val="0"/>
          <w:color w:val="000000" w:themeColor="text1"/>
          <w:lang w:val="en-US"/>
        </w:rPr>
        <w:t xml:space="preserve">, </w:t>
      </w:r>
      <w:r w:rsidR="000C369F" w:rsidRPr="000C369F">
        <w:rPr>
          <w:b w:val="0"/>
          <w:color w:val="000000" w:themeColor="text1"/>
          <w:lang w:val="en-US"/>
        </w:rPr>
        <w:t>c</w:t>
      </w:r>
      <w:r w:rsidR="000C369F" w:rsidRPr="000C369F">
        <w:rPr>
          <w:b w:val="0"/>
          <w:color w:val="000000" w:themeColor="text1"/>
          <w:vertAlign w:val="subscript"/>
          <w:lang w:val="en-US"/>
        </w:rPr>
        <w:t>o</w:t>
      </w:r>
      <w:r w:rsidR="000C369F" w:rsidRPr="000C369F">
        <w:rPr>
          <w:b w:val="0"/>
          <w:color w:val="000000" w:themeColor="text1"/>
          <w:lang w:val="en-US"/>
        </w:rPr>
        <w:t xml:space="preserve"> </w:t>
      </w:r>
      <w:r w:rsidR="00D8361D">
        <w:rPr>
          <w:b w:val="0"/>
          <w:color w:val="000000" w:themeColor="text1"/>
          <w:lang w:val="en-US"/>
        </w:rPr>
        <w:t xml:space="preserve">reduced </w:t>
      </w:r>
      <w:r w:rsidR="000C369F" w:rsidRPr="000C369F">
        <w:rPr>
          <w:b w:val="0"/>
          <w:color w:val="000000" w:themeColor="text1"/>
          <w:lang w:val="en-US"/>
        </w:rPr>
        <w:t>to 0.47 € hL</w:t>
      </w:r>
      <w:r w:rsidR="000C369F" w:rsidRPr="000C369F">
        <w:rPr>
          <w:b w:val="0"/>
          <w:color w:val="000000" w:themeColor="text1"/>
          <w:vertAlign w:val="superscript"/>
          <w:lang w:val="en-US"/>
        </w:rPr>
        <w:t>-1</w:t>
      </w:r>
      <w:r w:rsidR="000C369F" w:rsidRPr="000C369F">
        <w:rPr>
          <w:b w:val="0"/>
          <w:color w:val="000000" w:themeColor="text1"/>
          <w:lang w:val="en-US"/>
        </w:rPr>
        <w:t xml:space="preserve">. </w:t>
      </w:r>
      <w:r w:rsidR="00FF3912">
        <w:rPr>
          <w:b w:val="0"/>
          <w:color w:val="000000" w:themeColor="text1"/>
          <w:lang w:val="en-US"/>
        </w:rPr>
        <w:t xml:space="preserve">Finally, </w:t>
      </w:r>
      <w:r w:rsidR="00D8361D">
        <w:rPr>
          <w:b w:val="0"/>
          <w:color w:val="000000" w:themeColor="text1"/>
          <w:lang w:val="en-US"/>
        </w:rPr>
        <w:t xml:space="preserve">by </w:t>
      </w:r>
      <w:r w:rsidR="00FF3912">
        <w:rPr>
          <w:b w:val="0"/>
          <w:color w:val="000000" w:themeColor="text1"/>
          <w:lang w:val="en-US"/>
        </w:rPr>
        <w:t>combin</w:t>
      </w:r>
      <w:r w:rsidR="00D8361D">
        <w:rPr>
          <w:b w:val="0"/>
          <w:color w:val="000000" w:themeColor="text1"/>
          <w:lang w:val="en-US"/>
        </w:rPr>
        <w:t xml:space="preserve">ing an </w:t>
      </w:r>
      <w:r w:rsidR="00FF3912">
        <w:rPr>
          <w:b w:val="0"/>
          <w:color w:val="000000" w:themeColor="text1"/>
          <w:lang w:val="en-US"/>
        </w:rPr>
        <w:t xml:space="preserve">enzymatic </w:t>
      </w:r>
      <w:r w:rsidR="00D8361D">
        <w:rPr>
          <w:b w:val="0"/>
          <w:color w:val="000000" w:themeColor="text1"/>
          <w:lang w:val="en-US"/>
        </w:rPr>
        <w:t xml:space="preserve">treatment </w:t>
      </w:r>
      <w:r w:rsidR="00F00D21">
        <w:rPr>
          <w:b w:val="0"/>
          <w:color w:val="000000" w:themeColor="text1"/>
          <w:lang w:val="en-US"/>
        </w:rPr>
        <w:t xml:space="preserve">with </w:t>
      </w:r>
      <w:r w:rsidR="00F00D21">
        <w:rPr>
          <w:b w:val="0"/>
          <w:color w:val="000000" w:themeColor="text1"/>
          <w:lang w:val="en-US"/>
        </w:rPr>
        <w:t>r</w:t>
      </w:r>
      <w:r w:rsidR="00F00D21" w:rsidRPr="00490F33">
        <w:rPr>
          <w:b w:val="0"/>
          <w:color w:val="000000" w:themeColor="text1"/>
          <w:lang w:val="en-US"/>
        </w:rPr>
        <w:t xml:space="preserve">ough </w:t>
      </w:r>
      <w:r w:rsidR="00F00D21">
        <w:rPr>
          <w:b w:val="0"/>
          <w:color w:val="000000" w:themeColor="text1"/>
          <w:lang w:val="en-US"/>
        </w:rPr>
        <w:t xml:space="preserve">beer </w:t>
      </w:r>
      <w:r w:rsidR="00FF3912">
        <w:rPr>
          <w:b w:val="0"/>
          <w:color w:val="000000" w:themeColor="text1"/>
          <w:lang w:val="en-US"/>
        </w:rPr>
        <w:t>membrane</w:t>
      </w:r>
      <w:r w:rsidR="00FF3912" w:rsidRPr="00490F33">
        <w:rPr>
          <w:b w:val="0"/>
          <w:color w:val="000000" w:themeColor="text1"/>
          <w:lang w:val="en-US"/>
        </w:rPr>
        <w:t xml:space="preserve"> </w:t>
      </w:r>
      <w:r w:rsidR="00490F33">
        <w:rPr>
          <w:b w:val="0"/>
          <w:color w:val="000000" w:themeColor="text1"/>
          <w:lang w:val="en-US"/>
        </w:rPr>
        <w:t>c</w:t>
      </w:r>
      <w:r w:rsidR="00490F33" w:rsidRPr="00490F33">
        <w:rPr>
          <w:b w:val="0"/>
          <w:color w:val="000000" w:themeColor="text1"/>
          <w:lang w:val="en-US"/>
        </w:rPr>
        <w:t xml:space="preserve">larification and </w:t>
      </w:r>
      <w:r w:rsidR="00490F33">
        <w:rPr>
          <w:b w:val="0"/>
          <w:color w:val="000000" w:themeColor="text1"/>
          <w:lang w:val="en-US"/>
        </w:rPr>
        <w:t>s</w:t>
      </w:r>
      <w:r w:rsidR="00490F33" w:rsidRPr="00490F33">
        <w:rPr>
          <w:b w:val="0"/>
          <w:color w:val="000000" w:themeColor="text1"/>
          <w:lang w:val="en-US"/>
        </w:rPr>
        <w:t xml:space="preserve">tabilization </w:t>
      </w:r>
      <w:r w:rsidR="00490F33">
        <w:rPr>
          <w:b w:val="0"/>
          <w:color w:val="000000" w:themeColor="text1"/>
          <w:lang w:val="en-US"/>
        </w:rPr>
        <w:t>at r</w:t>
      </w:r>
      <w:r w:rsidR="00490F33" w:rsidRPr="00490F33">
        <w:rPr>
          <w:b w:val="0"/>
          <w:color w:val="000000" w:themeColor="text1"/>
          <w:lang w:val="en-US"/>
        </w:rPr>
        <w:t>oom</w:t>
      </w:r>
      <w:r w:rsidR="00FF3912">
        <w:rPr>
          <w:b w:val="0"/>
          <w:color w:val="000000" w:themeColor="text1"/>
          <w:lang w:val="en-US"/>
        </w:rPr>
        <w:t xml:space="preserve"> </w:t>
      </w:r>
      <w:r w:rsidR="00490F33">
        <w:rPr>
          <w:b w:val="0"/>
          <w:color w:val="000000" w:themeColor="text1"/>
          <w:lang w:val="en-US"/>
        </w:rPr>
        <w:t>te</w:t>
      </w:r>
      <w:r w:rsidR="00490F33" w:rsidRPr="00490F33">
        <w:rPr>
          <w:b w:val="0"/>
          <w:color w:val="000000" w:themeColor="text1"/>
          <w:lang w:val="en-US"/>
        </w:rPr>
        <w:t>mperature</w:t>
      </w:r>
      <w:r w:rsidR="00F00D21">
        <w:rPr>
          <w:b w:val="0"/>
          <w:color w:val="000000" w:themeColor="text1"/>
          <w:lang w:val="en-US"/>
        </w:rPr>
        <w:t xml:space="preserve">, </w:t>
      </w:r>
      <w:r w:rsidR="00490F33" w:rsidRPr="007D0F1C">
        <w:rPr>
          <w:b w:val="0"/>
          <w:color w:val="000000" w:themeColor="text1"/>
          <w:lang w:val="en-US"/>
        </w:rPr>
        <w:t>c</w:t>
      </w:r>
      <w:r w:rsidR="00490F33" w:rsidRPr="007D0F1C">
        <w:rPr>
          <w:b w:val="0"/>
          <w:color w:val="000000" w:themeColor="text1"/>
          <w:vertAlign w:val="subscript"/>
          <w:lang w:val="en-US"/>
        </w:rPr>
        <w:t>o</w:t>
      </w:r>
      <w:r w:rsidR="00490F33">
        <w:rPr>
          <w:rFonts w:cs="Arial"/>
          <w:b w:val="0"/>
          <w:color w:val="000000" w:themeColor="text1"/>
          <w:lang w:val="en-US"/>
        </w:rPr>
        <w:t xml:space="preserve"> </w:t>
      </w:r>
      <w:r w:rsidR="00F00D21">
        <w:rPr>
          <w:rFonts w:cs="Arial"/>
          <w:b w:val="0"/>
          <w:color w:val="000000" w:themeColor="text1"/>
          <w:lang w:val="en-US"/>
        </w:rPr>
        <w:t xml:space="preserve">was </w:t>
      </w:r>
      <w:r w:rsidR="00FF3912">
        <w:rPr>
          <w:rFonts w:cs="Arial"/>
          <w:b w:val="0"/>
          <w:color w:val="000000" w:themeColor="text1"/>
          <w:lang w:val="en-US"/>
        </w:rPr>
        <w:t xml:space="preserve">further </w:t>
      </w:r>
      <w:r w:rsidR="00490F33">
        <w:rPr>
          <w:rFonts w:cs="Arial"/>
          <w:b w:val="0"/>
          <w:color w:val="000000" w:themeColor="text1"/>
          <w:lang w:val="en-US"/>
        </w:rPr>
        <w:t xml:space="preserve">lessened </w:t>
      </w:r>
      <w:r w:rsidR="00490F33">
        <w:rPr>
          <w:b w:val="0"/>
          <w:color w:val="000000" w:themeColor="text1"/>
          <w:lang w:val="en-US"/>
        </w:rPr>
        <w:t xml:space="preserve">to </w:t>
      </w:r>
      <w:r w:rsidR="00490F33">
        <w:rPr>
          <w:rFonts w:cs="Arial"/>
          <w:b w:val="0"/>
          <w:color w:val="000000" w:themeColor="text1"/>
          <w:lang w:val="en-US"/>
        </w:rPr>
        <w:t>0.4 € hL</w:t>
      </w:r>
      <w:r w:rsidR="00490F33" w:rsidRPr="00D84650">
        <w:rPr>
          <w:rFonts w:cs="Arial"/>
          <w:b w:val="0"/>
          <w:color w:val="000000" w:themeColor="text1"/>
          <w:vertAlign w:val="superscript"/>
          <w:lang w:val="en-US"/>
        </w:rPr>
        <w:t>-1</w:t>
      </w:r>
      <w:r w:rsidR="00490F33">
        <w:rPr>
          <w:rFonts w:cs="Arial"/>
          <w:b w:val="0"/>
          <w:color w:val="000000" w:themeColor="text1"/>
          <w:lang w:val="en-US"/>
        </w:rPr>
        <w:t xml:space="preserve">. </w:t>
      </w:r>
    </w:p>
    <w:p w:rsidR="00600535" w:rsidRPr="001A6489" w:rsidRDefault="00600535" w:rsidP="00600535">
      <w:pPr>
        <w:pStyle w:val="CETHeading1"/>
      </w:pPr>
      <w:r w:rsidRPr="001A6489">
        <w:t>Introduction</w:t>
      </w:r>
    </w:p>
    <w:p w:rsidR="00EC55B1" w:rsidRPr="001A6489" w:rsidRDefault="00AA0B61" w:rsidP="00600535">
      <w:pPr>
        <w:pStyle w:val="CETBodytext"/>
      </w:pPr>
      <w:r w:rsidRPr="001A6489">
        <w:t xml:space="preserve">Beer clarification is </w:t>
      </w:r>
      <w:r w:rsidR="003A71FC">
        <w:t xml:space="preserve">a </w:t>
      </w:r>
      <w:r w:rsidRPr="001A6489">
        <w:t>downstream operation</w:t>
      </w:r>
      <w:r w:rsidR="003A71FC">
        <w:t xml:space="preserve"> directed </w:t>
      </w:r>
      <w:r w:rsidRPr="001A6489">
        <w:t>t</w:t>
      </w:r>
      <w:r w:rsidR="003A71FC">
        <w:t>o</w:t>
      </w:r>
      <w:r w:rsidRPr="001A6489">
        <w:t xml:space="preserve"> remov</w:t>
      </w:r>
      <w:r w:rsidR="003A71FC">
        <w:t xml:space="preserve">e </w:t>
      </w:r>
      <w:r w:rsidRPr="001A6489">
        <w:t>yeast and haze-responsible components from rough beer. The conventional dead-end filtration with filter-aids (Kieselguhr or diatomaceous earth, DE) has been the standard industrial practice for more than 100 years despite its sanitary and environmental concerns</w:t>
      </w:r>
      <w:r w:rsidR="00A975EC">
        <w:t xml:space="preserve"> (</w:t>
      </w:r>
      <w:r w:rsidR="00A975EC" w:rsidRPr="00A975EC">
        <w:t xml:space="preserve">Fillaudeau </w:t>
      </w:r>
      <w:r w:rsidR="00A975EC">
        <w:t xml:space="preserve">et al., </w:t>
      </w:r>
      <w:r w:rsidR="00A975EC" w:rsidRPr="00A975EC">
        <w:t>2006</w:t>
      </w:r>
      <w:r w:rsidR="00A975EC">
        <w:t xml:space="preserve">). </w:t>
      </w:r>
      <w:r w:rsidRPr="001A6489">
        <w:t>It m</w:t>
      </w:r>
      <w:r w:rsidR="00571607" w:rsidRPr="001A6489">
        <w:t>ight</w:t>
      </w:r>
      <w:r w:rsidRPr="001A6489">
        <w:t xml:space="preserve"> be replaced by microfiltration (MF) systems</w:t>
      </w:r>
      <w:r w:rsidR="00C56D8E" w:rsidRPr="001A6489">
        <w:t>. Unfortunately,</w:t>
      </w:r>
      <w:r w:rsidRPr="001A6489">
        <w:t xml:space="preserve"> the average beer permeation flux through polyethersulphone </w:t>
      </w:r>
      <w:r w:rsidR="002A0F2C" w:rsidRPr="001A6489">
        <w:t xml:space="preserve">(PES) </w:t>
      </w:r>
      <w:r w:rsidRPr="001A6489">
        <w:t xml:space="preserve">hollow-fiber </w:t>
      </w:r>
      <w:r w:rsidR="002A0F2C" w:rsidRPr="001A6489">
        <w:t xml:space="preserve">(HF) </w:t>
      </w:r>
      <w:r w:rsidRPr="001A6489">
        <w:t>membrane modules is about one fifth of that (250-500 L m</w:t>
      </w:r>
      <w:r w:rsidRPr="001A6489">
        <w:rPr>
          <w:vertAlign w:val="superscript"/>
        </w:rPr>
        <w:t>-2</w:t>
      </w:r>
      <w:r w:rsidRPr="001A6489">
        <w:t xml:space="preserve"> h</w:t>
      </w:r>
      <w:r w:rsidRPr="001A6489">
        <w:rPr>
          <w:vertAlign w:val="superscript"/>
        </w:rPr>
        <w:t>-1</w:t>
      </w:r>
      <w:r w:rsidRPr="001A6489">
        <w:t>) attain</w:t>
      </w:r>
      <w:r w:rsidR="00A975EC">
        <w:t xml:space="preserve">able </w:t>
      </w:r>
      <w:r w:rsidRPr="001A6489">
        <w:t xml:space="preserve">with DE filters (Buttrick, 2010). </w:t>
      </w:r>
      <w:r w:rsidR="006262CC">
        <w:t>About two decades ago,</w:t>
      </w:r>
      <w:r w:rsidRPr="001A6489">
        <w:t xml:space="preserve"> </w:t>
      </w:r>
      <w:r w:rsidR="00C56D8E" w:rsidRPr="001A6489">
        <w:t>a few</w:t>
      </w:r>
      <w:r w:rsidRPr="001A6489">
        <w:t xml:space="preserve"> industrial plants have started to run with </w:t>
      </w:r>
      <w:r w:rsidR="00F00D21">
        <w:t xml:space="preserve">polymeric </w:t>
      </w:r>
      <w:r w:rsidRPr="001A6489">
        <w:t xml:space="preserve">membrane systems proposed by Norit Membrane Technology/Heineken Technical Service, Alfa-Laval AB/Sartorius AG, </w:t>
      </w:r>
      <w:r w:rsidR="006262CC">
        <w:t>or</w:t>
      </w:r>
      <w:r w:rsidRPr="001A6489">
        <w:t xml:space="preserve"> Pall Food &amp; Beverage/Westfalia Food Tech (Buttrick, 2010).</w:t>
      </w:r>
      <w:r w:rsidR="007C7CEC" w:rsidRPr="001A6489">
        <w:t xml:space="preserve"> </w:t>
      </w:r>
    </w:p>
    <w:p w:rsidR="004E7D6F" w:rsidRPr="001A6489" w:rsidRDefault="002A0F2C" w:rsidP="00600535">
      <w:pPr>
        <w:pStyle w:val="CETBodytext"/>
      </w:pPr>
      <w:r w:rsidRPr="001A6489">
        <w:t xml:space="preserve">Owing to </w:t>
      </w:r>
      <w:r w:rsidR="00A975EC">
        <w:t xml:space="preserve">their short </w:t>
      </w:r>
      <w:r w:rsidR="00C56D8E" w:rsidRPr="001A6489">
        <w:t xml:space="preserve">lifespan </w:t>
      </w:r>
      <w:r w:rsidR="003A71FC">
        <w:t>of just two years</w:t>
      </w:r>
      <w:r w:rsidR="000C2F4A" w:rsidRPr="001A6489">
        <w:t xml:space="preserve">, </w:t>
      </w:r>
      <w:r w:rsidRPr="001A6489">
        <w:t xml:space="preserve">several attempts have been carried out to assess the </w:t>
      </w:r>
      <w:r w:rsidR="000C2F4A" w:rsidRPr="001A6489">
        <w:t xml:space="preserve">performance </w:t>
      </w:r>
      <w:r w:rsidR="00AF7E04" w:rsidRPr="001A6489">
        <w:t>of novel ceramic tubular (</w:t>
      </w:r>
      <w:r w:rsidR="00016CF3" w:rsidRPr="00016CF3">
        <w:t xml:space="preserve">Burrell </w:t>
      </w:r>
      <w:r w:rsidR="00016CF3">
        <w:t xml:space="preserve">et al., </w:t>
      </w:r>
      <w:r w:rsidR="00016CF3" w:rsidRPr="00016CF3">
        <w:t>1994</w:t>
      </w:r>
      <w:r w:rsidR="00016CF3">
        <w:t xml:space="preserve">; </w:t>
      </w:r>
      <w:r w:rsidR="001B6A6C" w:rsidRPr="001A6489">
        <w:t>Cimini et al., 2014</w:t>
      </w:r>
      <w:r w:rsidR="001B6A6C">
        <w:t xml:space="preserve">; </w:t>
      </w:r>
      <w:r w:rsidR="001B6A6C" w:rsidRPr="001A6489">
        <w:t>Cimini and Moresi, 2014, 2015a</w:t>
      </w:r>
      <w:r w:rsidR="001B6A6C">
        <w:t>, 2018a</w:t>
      </w:r>
      <w:r w:rsidR="001B6A6C" w:rsidRPr="001A6489">
        <w:t xml:space="preserve">; </w:t>
      </w:r>
      <w:r w:rsidR="0085688A" w:rsidRPr="0085688A">
        <w:rPr>
          <w:szCs w:val="18"/>
        </w:rPr>
        <w:t xml:space="preserve">Doleček </w:t>
      </w:r>
      <w:r w:rsidR="0085688A">
        <w:rPr>
          <w:szCs w:val="18"/>
        </w:rPr>
        <w:t xml:space="preserve">and </w:t>
      </w:r>
      <w:r w:rsidR="0085688A" w:rsidRPr="0085688A">
        <w:rPr>
          <w:szCs w:val="18"/>
        </w:rPr>
        <w:t>Cakl</w:t>
      </w:r>
      <w:r w:rsidR="0085688A">
        <w:rPr>
          <w:szCs w:val="18"/>
        </w:rPr>
        <w:t xml:space="preserve">, </w:t>
      </w:r>
      <w:r w:rsidR="0085688A" w:rsidRPr="0085688A">
        <w:rPr>
          <w:szCs w:val="18"/>
        </w:rPr>
        <w:t>1998</w:t>
      </w:r>
      <w:r w:rsidR="0085688A">
        <w:rPr>
          <w:szCs w:val="18"/>
        </w:rPr>
        <w:t>;</w:t>
      </w:r>
      <w:r w:rsidR="0085688A" w:rsidRPr="0085688A">
        <w:rPr>
          <w:szCs w:val="18"/>
        </w:rPr>
        <w:t xml:space="preserve"> </w:t>
      </w:r>
      <w:r w:rsidR="001B6A6C" w:rsidRPr="001B6A6C">
        <w:t>Fillaudeau</w:t>
      </w:r>
      <w:r w:rsidR="001B6A6C">
        <w:t xml:space="preserve"> and </w:t>
      </w:r>
      <w:r w:rsidR="001B6A6C" w:rsidRPr="001B6A6C">
        <w:t>Lalande, 1998</w:t>
      </w:r>
      <w:r w:rsidR="001B6A6C">
        <w:t xml:space="preserve">; </w:t>
      </w:r>
      <w:r w:rsidR="001C0C35">
        <w:t>Gan et al</w:t>
      </w:r>
      <w:r w:rsidR="000700EE">
        <w:t>.</w:t>
      </w:r>
      <w:r w:rsidR="001C0C35">
        <w:t xml:space="preserve">, </w:t>
      </w:r>
      <w:r w:rsidR="000700EE">
        <w:t xml:space="preserve">1997, </w:t>
      </w:r>
      <w:r w:rsidR="001C0C35">
        <w:t>1999;</w:t>
      </w:r>
      <w:r w:rsidR="00AF7E04" w:rsidRPr="001A6489">
        <w:t>) or HF (Cimini and Moresi, 20</w:t>
      </w:r>
      <w:r w:rsidR="0009459F" w:rsidRPr="001A6489">
        <w:t>15b, 20</w:t>
      </w:r>
      <w:r w:rsidR="00AF7E04" w:rsidRPr="001A6489">
        <w:t>16a</w:t>
      </w:r>
      <w:r w:rsidR="009A2F61">
        <w:t>b, 201</w:t>
      </w:r>
      <w:r w:rsidR="00DE5010">
        <w:t>8b</w:t>
      </w:r>
      <w:r w:rsidR="00AF7E04" w:rsidRPr="001A6489">
        <w:t xml:space="preserve">) </w:t>
      </w:r>
      <w:r w:rsidR="00F93596" w:rsidRPr="001A6489">
        <w:t>membrane modules.</w:t>
      </w:r>
      <w:r w:rsidR="00DB5A7F">
        <w:t xml:space="preserve"> A</w:t>
      </w:r>
      <w:r w:rsidR="00F93596" w:rsidRPr="001A6489">
        <w:t xml:space="preserve"> novel combined process</w:t>
      </w:r>
      <w:r w:rsidR="003A71FC">
        <w:t>,</w:t>
      </w:r>
      <w:r w:rsidR="00F93596" w:rsidRPr="001A6489">
        <w:t xml:space="preserve"> </w:t>
      </w:r>
      <w:r w:rsidR="003A71FC" w:rsidRPr="001A6489">
        <w:t>entailing</w:t>
      </w:r>
      <w:r w:rsidR="00F93596" w:rsidRPr="001A6489">
        <w:t xml:space="preserve"> pre-centrifugation, Polyvinylpoly</w:t>
      </w:r>
      <w:r w:rsidR="00E30451" w:rsidRPr="001A6489">
        <w:t>-</w:t>
      </w:r>
      <w:r w:rsidR="00F93596" w:rsidRPr="001A6489">
        <w:t xml:space="preserve">pyrrolidone (PVPP) stabilization, cartridge filtration and MF of </w:t>
      </w:r>
      <w:r w:rsidR="00B13390">
        <w:t xml:space="preserve">rough </w:t>
      </w:r>
      <w:r w:rsidR="00F93596" w:rsidRPr="001A6489">
        <w:t>pale lager</w:t>
      </w:r>
      <w:r w:rsidR="003A71FC">
        <w:t>,</w:t>
      </w:r>
      <w:r w:rsidR="00F93596" w:rsidRPr="001A6489">
        <w:t xml:space="preserve"> was tested</w:t>
      </w:r>
      <w:r w:rsidR="00016CF3">
        <w:t>. I</w:t>
      </w:r>
      <w:r w:rsidR="00E30451" w:rsidRPr="001A6489">
        <w:t xml:space="preserve">ts </w:t>
      </w:r>
      <w:r w:rsidR="00F93596" w:rsidRPr="001A6489">
        <w:t xml:space="preserve">overall operating costs and global warming potential </w:t>
      </w:r>
      <w:r w:rsidR="00016CF3">
        <w:t xml:space="preserve">were </w:t>
      </w:r>
      <w:r w:rsidR="00162F99" w:rsidRPr="001A6489">
        <w:t xml:space="preserve">about </w:t>
      </w:r>
      <w:r w:rsidR="00F93596" w:rsidRPr="001A6489">
        <w:t>one third</w:t>
      </w:r>
      <w:r w:rsidR="00DE5010">
        <w:t xml:space="preserve"> </w:t>
      </w:r>
      <w:r w:rsidR="00DE5010" w:rsidRPr="001A6489">
        <w:t>(Cimini and Moresi, 2015a)</w:t>
      </w:r>
      <w:r w:rsidR="00DE5010">
        <w:t xml:space="preserve"> </w:t>
      </w:r>
      <w:r w:rsidR="00F93596" w:rsidRPr="001A6489">
        <w:t>of those associated with the DE-filtration and regenerable PVPP stabilization procedures presently used in the great majority of industrial breweries (Cimini and Moresi, 201</w:t>
      </w:r>
      <w:r w:rsidR="00DB5A7F">
        <w:t xml:space="preserve">6c, </w:t>
      </w:r>
      <w:r w:rsidR="00DE5010">
        <w:t>2018c</w:t>
      </w:r>
      <w:r w:rsidR="00F93596" w:rsidRPr="001A6489">
        <w:t>).</w:t>
      </w:r>
    </w:p>
    <w:p w:rsidR="00F93596" w:rsidRPr="001A6489" w:rsidRDefault="004E7D6F" w:rsidP="00600535">
      <w:pPr>
        <w:pStyle w:val="CETBodytext"/>
      </w:pPr>
      <w:r w:rsidRPr="001A6489">
        <w:t>Aim of this work was to model the effect of the main operating variables (TMP, v</w:t>
      </w:r>
      <w:r w:rsidRPr="001A6489">
        <w:rPr>
          <w:vertAlign w:val="subscript"/>
        </w:rPr>
        <w:t>S</w:t>
      </w:r>
      <w:r w:rsidRPr="001A6489">
        <w:t>) on the permeation flux of pre-</w:t>
      </w:r>
      <w:r w:rsidR="00B13390">
        <w:t>centrifuged</w:t>
      </w:r>
      <w:r w:rsidRPr="001A6489">
        <w:t xml:space="preserve"> rough pale lager when using a 0.8-</w:t>
      </w:r>
      <w:r w:rsidR="00016CF3">
        <w:rPr>
          <w:rFonts w:cs="Arial"/>
        </w:rPr>
        <w:t>µ</w:t>
      </w:r>
      <w:r w:rsidRPr="001A6489">
        <w:t>m ceramic HF membrane module in order to design and optimize the MF unit needed for</w:t>
      </w:r>
      <w:r w:rsidR="003A71FC">
        <w:t xml:space="preserve"> rough beer clarification in a</w:t>
      </w:r>
      <w:r w:rsidRPr="001A6489">
        <w:t xml:space="preserve"> medium-size</w:t>
      </w:r>
      <w:r w:rsidR="00DB5A7F">
        <w:t>d</w:t>
      </w:r>
      <w:r w:rsidRPr="001A6489">
        <w:t xml:space="preserve"> brewery.</w:t>
      </w:r>
    </w:p>
    <w:p w:rsidR="00600535" w:rsidRPr="001A6489" w:rsidRDefault="00E04627" w:rsidP="002325D3">
      <w:pPr>
        <w:pStyle w:val="CETHeading1"/>
      </w:pPr>
      <w:r w:rsidRPr="001A6489">
        <w:t>Materials and Methods</w:t>
      </w:r>
    </w:p>
    <w:p w:rsidR="00D95F04" w:rsidRDefault="00534FC6" w:rsidP="00E04627">
      <w:pPr>
        <w:pStyle w:val="CETBodytext"/>
      </w:pPr>
      <w:r w:rsidRPr="001A6489">
        <w:t xml:space="preserve">The rough pale lager used </w:t>
      </w:r>
      <w:r w:rsidR="00817E52" w:rsidRPr="001A6489">
        <w:t>in this work was</w:t>
      </w:r>
      <w:r w:rsidR="00F31011" w:rsidRPr="001A6489">
        <w:t xml:space="preserve"> withdrawn from a maturation tank of </w:t>
      </w:r>
      <w:r w:rsidR="00575D63" w:rsidRPr="001A6489">
        <w:t xml:space="preserve">the Italian brewery Birra Peroni Srl (Rome, Italy) </w:t>
      </w:r>
      <w:r w:rsidRPr="001A6489">
        <w:t xml:space="preserve">and </w:t>
      </w:r>
      <w:r w:rsidR="00E04627" w:rsidRPr="001A6489">
        <w:t>stored at ~0 °C</w:t>
      </w:r>
      <w:r w:rsidR="00F31011" w:rsidRPr="001A6489">
        <w:t xml:space="preserve">. </w:t>
      </w:r>
      <w:r w:rsidR="00DB5A7F">
        <w:t>Before any test, i</w:t>
      </w:r>
      <w:r w:rsidR="00F31011" w:rsidRPr="001A6489">
        <w:t xml:space="preserve">t </w:t>
      </w:r>
      <w:r w:rsidR="00E04627" w:rsidRPr="001A6489">
        <w:t xml:space="preserve">was </w:t>
      </w:r>
      <w:r w:rsidR="00F31011" w:rsidRPr="001A6489">
        <w:t xml:space="preserve">centrifuged using </w:t>
      </w:r>
      <w:r w:rsidR="00E04627" w:rsidRPr="001A6489">
        <w:t xml:space="preserve">a </w:t>
      </w:r>
      <w:r w:rsidR="00F31011" w:rsidRPr="001A6489">
        <w:t xml:space="preserve">Beckman </w:t>
      </w:r>
      <w:r w:rsidR="00E04627" w:rsidRPr="001A6489">
        <w:t xml:space="preserve">centrifuge </w:t>
      </w:r>
      <w:r w:rsidR="00C61495" w:rsidRPr="001A6489">
        <w:t xml:space="preserve">mod. J2-21 </w:t>
      </w:r>
      <w:r w:rsidR="00E04627" w:rsidRPr="001A6489">
        <w:t>at 6</w:t>
      </w:r>
      <w:r w:rsidR="00F31011" w:rsidRPr="001A6489">
        <w:t>,000</w:t>
      </w:r>
      <w:r w:rsidR="00E04627" w:rsidRPr="001A6489">
        <w:t>x</w:t>
      </w:r>
      <w:r w:rsidR="00E04627" w:rsidRPr="001A6489">
        <w:rPr>
          <w:i/>
        </w:rPr>
        <w:t>g</w:t>
      </w:r>
      <w:r w:rsidR="00E04627" w:rsidRPr="001A6489">
        <w:t xml:space="preserve"> for 10 min, </w:t>
      </w:r>
      <w:r w:rsidR="00DB5A7F">
        <w:t xml:space="preserve">treated with </w:t>
      </w:r>
      <w:r w:rsidR="00DB5A7F" w:rsidRPr="00DB5A7F">
        <w:t>0.5 g L</w:t>
      </w:r>
      <w:r w:rsidR="00DB5A7F" w:rsidRPr="00DB5A7F">
        <w:rPr>
          <w:vertAlign w:val="superscript"/>
        </w:rPr>
        <w:t>-1</w:t>
      </w:r>
      <w:r w:rsidR="00DB5A7F" w:rsidRPr="00DB5A7F">
        <w:t xml:space="preserve"> of regenerable PVPP</w:t>
      </w:r>
      <w:r w:rsidR="00DB5A7F">
        <w:t xml:space="preserve"> (Cimini and Moresi, 2015a), </w:t>
      </w:r>
      <w:r w:rsidR="00E04627" w:rsidRPr="001A6489">
        <w:t>diluted with de-ionized water to attain the commercial real extract of 3.4±</w:t>
      </w:r>
      <w:r w:rsidR="00F31011" w:rsidRPr="001A6489">
        <w:t>0.3 °P</w:t>
      </w:r>
      <w:r w:rsidR="00523304" w:rsidRPr="001A6489">
        <w:t xml:space="preserve">. The resulting beer sample was </w:t>
      </w:r>
      <w:r w:rsidR="003A71FC">
        <w:t xml:space="preserve">analyzed </w:t>
      </w:r>
      <w:r w:rsidR="00F4050B" w:rsidRPr="001A6489">
        <w:t xml:space="preserve">in </w:t>
      </w:r>
      <w:r w:rsidR="00F4050B" w:rsidRPr="001A6489">
        <w:lastRenderedPageBreak/>
        <w:t xml:space="preserve">compliance with the European Brewing Convention (2010) </w:t>
      </w:r>
      <w:r w:rsidR="00523304" w:rsidRPr="001A6489">
        <w:t>as follows</w:t>
      </w:r>
      <w:r w:rsidR="00F4050B" w:rsidRPr="001A6489">
        <w:t xml:space="preserve">: pH 4.30±0.01; density </w:t>
      </w:r>
      <w:r w:rsidR="00834104">
        <w:t>(</w:t>
      </w:r>
      <w:r w:rsidR="00016CF3">
        <w:rPr>
          <w:rFonts w:cs="Arial"/>
        </w:rPr>
        <w:t>ρ</w:t>
      </w:r>
      <w:r w:rsidR="00897686" w:rsidRPr="001A6489">
        <w:rPr>
          <w:vertAlign w:val="subscript"/>
        </w:rPr>
        <w:t>B</w:t>
      </w:r>
      <w:r w:rsidR="00834104">
        <w:t xml:space="preserve">) </w:t>
      </w:r>
      <w:r w:rsidR="00897686" w:rsidRPr="001A6489">
        <w:t xml:space="preserve">of </w:t>
      </w:r>
      <w:r w:rsidR="00F4050B" w:rsidRPr="001A6489">
        <w:t>1008±1 kg m</w:t>
      </w:r>
      <w:r w:rsidR="00F4050B" w:rsidRPr="001A6489">
        <w:rPr>
          <w:vertAlign w:val="superscript"/>
        </w:rPr>
        <w:t>-3</w:t>
      </w:r>
      <w:r w:rsidR="00F4050B" w:rsidRPr="001A6489">
        <w:t>; viscosity</w:t>
      </w:r>
      <w:r w:rsidR="00834104">
        <w:t xml:space="preserve"> (</w:t>
      </w:r>
      <w:r w:rsidR="00016CF3">
        <w:rPr>
          <w:rFonts w:cs="Arial"/>
        </w:rPr>
        <w:t>η</w:t>
      </w:r>
      <w:r w:rsidR="00834104" w:rsidRPr="00834104">
        <w:t>)</w:t>
      </w:r>
      <w:r w:rsidR="00897686" w:rsidRPr="001A6489">
        <w:t xml:space="preserve"> of </w:t>
      </w:r>
      <w:r w:rsidR="00F4050B" w:rsidRPr="001A6489">
        <w:t>1.42±0.01 mPas; turbidity at 20 and 0 °C of 1.16±0.02 and 1.77±0.08 EBC unit; color 7.7±0.5 EBC unit; β-glucan 9±2 mg L</w:t>
      </w:r>
      <w:r w:rsidR="00F4050B" w:rsidRPr="001A6489">
        <w:rPr>
          <w:vertAlign w:val="superscript"/>
        </w:rPr>
        <w:t>-1</w:t>
      </w:r>
      <w:r w:rsidR="00F4050B" w:rsidRPr="001A6489">
        <w:t>; real and original extract of 3.9±0.04 and 13.2±0.01 °P; and alcohol content of 5.00±0.02 % v/v. Several total recycle c</w:t>
      </w:r>
      <w:r w:rsidR="00E04627" w:rsidRPr="001A6489">
        <w:t>larifi</w:t>
      </w:r>
      <w:r w:rsidR="00F4050B" w:rsidRPr="001A6489">
        <w:t>cation tests were performed at 10 °C u</w:t>
      </w:r>
      <w:r w:rsidR="00E04627" w:rsidRPr="001A6489">
        <w:t>sing the bench-top MF plant previously described (Cimini and Moresi, 2014</w:t>
      </w:r>
      <w:r w:rsidR="00C61495" w:rsidRPr="001A6489">
        <w:t>, 2016b</w:t>
      </w:r>
      <w:r w:rsidR="00E04627" w:rsidRPr="001A6489">
        <w:t xml:space="preserve">). </w:t>
      </w:r>
      <w:r w:rsidR="00834104">
        <w:t xml:space="preserve">It </w:t>
      </w:r>
      <w:r w:rsidR="00E04627" w:rsidRPr="001A6489">
        <w:t xml:space="preserve">was equipped with an </w:t>
      </w:r>
      <w:r w:rsidR="0024424C">
        <w:rPr>
          <w:rFonts w:cs="Arial"/>
        </w:rPr>
        <w:t>α</w:t>
      </w:r>
      <w:r w:rsidR="00E04627" w:rsidRPr="001A6489">
        <w:t>-Al</w:t>
      </w:r>
      <w:r w:rsidR="00E04627" w:rsidRPr="001A6489">
        <w:rPr>
          <w:vertAlign w:val="subscript"/>
        </w:rPr>
        <w:t>2</w:t>
      </w:r>
      <w:r w:rsidR="00E04627" w:rsidRPr="001A6489">
        <w:t>O</w:t>
      </w:r>
      <w:r w:rsidR="00E04627" w:rsidRPr="001A6489">
        <w:rPr>
          <w:vertAlign w:val="subscript"/>
        </w:rPr>
        <w:t>3</w:t>
      </w:r>
      <w:r w:rsidR="00E04627" w:rsidRPr="001A6489">
        <w:t xml:space="preserve"> </w:t>
      </w:r>
      <w:r w:rsidR="00C61495" w:rsidRPr="001A6489">
        <w:t>HF</w:t>
      </w:r>
      <w:r w:rsidR="00E04627" w:rsidRPr="001A6489">
        <w:t xml:space="preserve"> InoCep</w:t>
      </w:r>
      <w:r w:rsidR="00E04627" w:rsidRPr="001A6489">
        <w:rPr>
          <w:vertAlign w:val="superscript"/>
        </w:rPr>
        <w:t>®</w:t>
      </w:r>
      <w:r w:rsidR="00E04627" w:rsidRPr="001A6489">
        <w:t xml:space="preserve"> membrane module type MM04 (</w:t>
      </w:r>
      <w:r w:rsidR="00390A8E" w:rsidRPr="00390A8E">
        <w:rPr>
          <w:rFonts w:cs="Arial"/>
          <w:szCs w:val="18"/>
        </w:rPr>
        <w:t>Hyflux Membrane Manufacturing, 2015</w:t>
      </w:r>
      <w:r w:rsidR="00E04627" w:rsidRPr="00390A8E">
        <w:rPr>
          <w:rFonts w:cs="Arial"/>
        </w:rPr>
        <w:t xml:space="preserve">) consisting of </w:t>
      </w:r>
      <w:r w:rsidR="009A2F61" w:rsidRPr="00390A8E">
        <w:rPr>
          <w:rFonts w:cs="Arial"/>
        </w:rPr>
        <w:t>n</w:t>
      </w:r>
      <w:r w:rsidR="009A2F61" w:rsidRPr="00390A8E">
        <w:rPr>
          <w:rFonts w:cs="Arial"/>
          <w:vertAlign w:val="subscript"/>
        </w:rPr>
        <w:t>HF</w:t>
      </w:r>
      <w:r w:rsidR="00B13390">
        <w:rPr>
          <w:rFonts w:cs="Arial"/>
        </w:rPr>
        <w:t>(</w:t>
      </w:r>
      <w:r w:rsidR="009A2F61" w:rsidRPr="00390A8E">
        <w:rPr>
          <w:rFonts w:cs="Arial"/>
        </w:rPr>
        <w:t>=</w:t>
      </w:r>
      <w:r w:rsidR="00E04627" w:rsidRPr="00390A8E">
        <w:rPr>
          <w:rFonts w:cs="Arial"/>
        </w:rPr>
        <w:t>40</w:t>
      </w:r>
      <w:r w:rsidR="00B13390">
        <w:rPr>
          <w:rFonts w:cs="Arial"/>
        </w:rPr>
        <w:t>)</w:t>
      </w:r>
      <w:r w:rsidR="00E04627" w:rsidRPr="00390A8E">
        <w:rPr>
          <w:rFonts w:cs="Arial"/>
        </w:rPr>
        <w:t xml:space="preserve"> </w:t>
      </w:r>
      <w:r w:rsidR="00F4050B" w:rsidRPr="00390A8E">
        <w:rPr>
          <w:rFonts w:cs="Arial"/>
        </w:rPr>
        <w:t>HFs</w:t>
      </w:r>
      <w:r w:rsidR="00E04627" w:rsidRPr="00390A8E">
        <w:rPr>
          <w:rFonts w:cs="Arial"/>
        </w:rPr>
        <w:t xml:space="preserve"> with nominal pore size of 0.8</w:t>
      </w:r>
      <w:r w:rsidR="00C61495" w:rsidRPr="00390A8E">
        <w:rPr>
          <w:rFonts w:cs="Arial"/>
        </w:rPr>
        <w:t xml:space="preserve"> </w:t>
      </w:r>
      <w:r w:rsidR="0024424C">
        <w:rPr>
          <w:rFonts w:cs="Arial"/>
        </w:rPr>
        <w:t>µ</w:t>
      </w:r>
      <w:r w:rsidR="00E04627" w:rsidRPr="00390A8E">
        <w:rPr>
          <w:rFonts w:cs="Arial"/>
        </w:rPr>
        <w:t>m, 3-m</w:t>
      </w:r>
      <w:r w:rsidR="00E04627" w:rsidRPr="001A6489">
        <w:t>m inside diameter (d</w:t>
      </w:r>
      <w:r w:rsidR="00E04627" w:rsidRPr="001A6489">
        <w:rPr>
          <w:vertAlign w:val="subscript"/>
        </w:rPr>
        <w:t>HF</w:t>
      </w:r>
      <w:r w:rsidR="00E04627" w:rsidRPr="001A6489">
        <w:t>), 200-mm overall length (L</w:t>
      </w:r>
      <w:r w:rsidR="00E04627" w:rsidRPr="001A6489">
        <w:rPr>
          <w:vertAlign w:val="subscript"/>
        </w:rPr>
        <w:t>HF</w:t>
      </w:r>
      <w:r w:rsidR="00E04627" w:rsidRPr="001A6489">
        <w:t>), and 0.04-m</w:t>
      </w:r>
      <w:r w:rsidR="00E04627" w:rsidRPr="001A6489">
        <w:rPr>
          <w:vertAlign w:val="superscript"/>
        </w:rPr>
        <w:t>2</w:t>
      </w:r>
      <w:r w:rsidR="00E04627" w:rsidRPr="001A6489">
        <w:t xml:space="preserve"> effective membrane surface area (</w:t>
      </w:r>
      <w:r w:rsidR="004B5FBD">
        <w:t>a</w:t>
      </w:r>
      <w:r w:rsidR="00E04627" w:rsidRPr="001A6489">
        <w:rPr>
          <w:vertAlign w:val="subscript"/>
        </w:rPr>
        <w:t>m</w:t>
      </w:r>
      <w:r w:rsidR="00E04627" w:rsidRPr="001A6489">
        <w:t>).</w:t>
      </w:r>
      <w:r w:rsidR="00F4050B" w:rsidRPr="001A6489">
        <w:t xml:space="preserve"> TMP and v</w:t>
      </w:r>
      <w:r w:rsidR="00F4050B" w:rsidRPr="001A6489">
        <w:rPr>
          <w:vertAlign w:val="subscript"/>
        </w:rPr>
        <w:t>S</w:t>
      </w:r>
      <w:r w:rsidR="00F4050B" w:rsidRPr="001A6489">
        <w:t xml:space="preserve"> were varied from 0.5 to 4.5 bar, and 0.5 to 2.5 m s</w:t>
      </w:r>
      <w:r w:rsidR="00F4050B" w:rsidRPr="001A6489">
        <w:rPr>
          <w:vertAlign w:val="superscript"/>
        </w:rPr>
        <w:t>-1</w:t>
      </w:r>
      <w:r w:rsidR="00F4050B" w:rsidRPr="001A6489">
        <w:t>, respectively</w:t>
      </w:r>
      <w:r w:rsidR="00834104">
        <w:t xml:space="preserve">. </w:t>
      </w:r>
      <w:r w:rsidR="00E04627" w:rsidRPr="001A6489">
        <w:t>To increase v</w:t>
      </w:r>
      <w:r w:rsidR="00E04627" w:rsidRPr="001A6489">
        <w:rPr>
          <w:vertAlign w:val="subscript"/>
        </w:rPr>
        <w:t>S</w:t>
      </w:r>
      <w:r w:rsidR="00E04627" w:rsidRPr="001A6489">
        <w:t xml:space="preserve"> up to 6 m s</w:t>
      </w:r>
      <w:r w:rsidR="00E04627" w:rsidRPr="001A6489">
        <w:rPr>
          <w:vertAlign w:val="superscript"/>
        </w:rPr>
        <w:t>-1</w:t>
      </w:r>
      <w:r w:rsidR="00E04627" w:rsidRPr="001A6489">
        <w:t xml:space="preserve">, 36 out of 40 </w:t>
      </w:r>
      <w:r w:rsidR="008A4ABF" w:rsidRPr="001A6489">
        <w:t>HF</w:t>
      </w:r>
      <w:r w:rsidR="00E04627" w:rsidRPr="001A6489">
        <w:t xml:space="preserve">s were sealed </w:t>
      </w:r>
      <w:r w:rsidR="008A4ABF" w:rsidRPr="001A6489">
        <w:t xml:space="preserve">with </w:t>
      </w:r>
      <w:r w:rsidR="00E04627" w:rsidRPr="001A6489">
        <w:t>a silicone adhesive</w:t>
      </w:r>
      <w:r w:rsidR="008A4ABF" w:rsidRPr="001A6489">
        <w:t xml:space="preserve"> </w:t>
      </w:r>
      <w:r w:rsidR="00E04627" w:rsidRPr="001A6489">
        <w:t>(Cimini and Moresi, 201</w:t>
      </w:r>
      <w:r w:rsidR="00D95F04" w:rsidRPr="001A6489">
        <w:t>5b, 2016a)</w:t>
      </w:r>
      <w:r w:rsidR="00E04627" w:rsidRPr="001A6489">
        <w:t>. The CO</w:t>
      </w:r>
      <w:r w:rsidR="00E04627" w:rsidRPr="001A6489">
        <w:rPr>
          <w:vertAlign w:val="subscript"/>
        </w:rPr>
        <w:t>2</w:t>
      </w:r>
      <w:r w:rsidR="00E04627" w:rsidRPr="001A6489">
        <w:t xml:space="preserve"> backflush</w:t>
      </w:r>
      <w:r w:rsidR="00834104">
        <w:t>ing</w:t>
      </w:r>
      <w:r w:rsidR="00E04627" w:rsidRPr="001A6489">
        <w:t xml:space="preserve"> and membrane cleaning program </w:t>
      </w:r>
      <w:r w:rsidR="009C54D7" w:rsidRPr="001A6489">
        <w:t>w</w:t>
      </w:r>
      <w:r w:rsidR="00834104">
        <w:t xml:space="preserve">as </w:t>
      </w:r>
      <w:r w:rsidR="00834104" w:rsidRPr="001A6489">
        <w:t>previously</w:t>
      </w:r>
      <w:r w:rsidR="00834104">
        <w:t xml:space="preserve"> detailed </w:t>
      </w:r>
      <w:r w:rsidR="00E04627" w:rsidRPr="001A6489">
        <w:t>(Cimini and Moresi, 2014, 2015</w:t>
      </w:r>
      <w:r w:rsidR="00D95F04" w:rsidRPr="001A6489">
        <w:t>a</w:t>
      </w:r>
      <w:r w:rsidR="00E04627" w:rsidRPr="001A6489">
        <w:t xml:space="preserve">). </w:t>
      </w:r>
      <w:r w:rsidR="0046290C" w:rsidRPr="001A6489">
        <w:t>T</w:t>
      </w:r>
      <w:r w:rsidR="009C54D7" w:rsidRPr="001A6489">
        <w:t>he resulting permeate turbidity at 20 and 0 °C reduced to 0.21±0.01 and 0.44±0.06 EBC unit, respectively.</w:t>
      </w:r>
      <w:r w:rsidR="0046290C" w:rsidRPr="001A6489">
        <w:t xml:space="preserve"> </w:t>
      </w:r>
      <w:r w:rsidR="008A4ABF" w:rsidRPr="001A6489">
        <w:t xml:space="preserve">All </w:t>
      </w:r>
      <w:r w:rsidR="00E04627" w:rsidRPr="001A6489">
        <w:t>clarification tests were at least duplicated to assess the average coefficient of variation in the estimated permeation flux (J</w:t>
      </w:r>
      <w:r w:rsidR="00E04627" w:rsidRPr="001A6489">
        <w:rPr>
          <w:vertAlign w:val="subscript"/>
        </w:rPr>
        <w:t>v</w:t>
      </w:r>
      <w:r w:rsidR="00E04627" w:rsidRPr="001A6489">
        <w:t>). Regression analysis of the multiple non-linear model</w:t>
      </w:r>
      <w:r w:rsidR="008A4ABF" w:rsidRPr="001A6489">
        <w:t>s</w:t>
      </w:r>
      <w:r w:rsidR="00E04627" w:rsidRPr="001A6489">
        <w:t xml:space="preserve"> used in this work was carried out using the built-in regression functions of the software Excel (Microsoft, Redmond, CA, USA). </w:t>
      </w:r>
    </w:p>
    <w:p w:rsidR="00390A8E" w:rsidRPr="001A6489" w:rsidRDefault="00390A8E" w:rsidP="00E04627">
      <w:pPr>
        <w:pStyle w:val="CETBodytext"/>
      </w:pPr>
    </w:p>
    <w:p w:rsidR="00600535" w:rsidRPr="001A6489" w:rsidRDefault="00E329C7" w:rsidP="00FA5F5F">
      <w:pPr>
        <w:pStyle w:val="CETBodytext"/>
        <w:jc w:val="left"/>
      </w:pPr>
      <w:r w:rsidRPr="001A6489">
        <w:rPr>
          <w:noProof/>
          <w:lang w:val="it-IT" w:eastAsia="it-IT"/>
        </w:rPr>
        <w:drawing>
          <wp:inline distT="0" distB="0" distL="0" distR="0">
            <wp:extent cx="2260800" cy="1972800"/>
            <wp:effectExtent l="0" t="0" r="635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86" t="8286" r="5481" b="10582"/>
                    <a:stretch/>
                  </pic:blipFill>
                  <pic:spPr bwMode="auto">
                    <a:xfrm>
                      <a:off x="0" y="0"/>
                      <a:ext cx="2260800" cy="1972800"/>
                    </a:xfrm>
                    <a:prstGeom prst="rect">
                      <a:avLst/>
                    </a:prstGeom>
                    <a:noFill/>
                    <a:ln>
                      <a:noFill/>
                    </a:ln>
                    <a:extLst>
                      <a:ext uri="{53640926-AAD7-44D8-BBD7-CCE9431645EC}">
                        <a14:shadowObscured xmlns:a14="http://schemas.microsoft.com/office/drawing/2010/main"/>
                      </a:ext>
                    </a:extLst>
                  </pic:spPr>
                </pic:pic>
              </a:graphicData>
            </a:graphic>
          </wp:inline>
        </w:drawing>
      </w:r>
      <w:r w:rsidRPr="001A6489">
        <w:t xml:space="preserve">       </w:t>
      </w:r>
      <w:r w:rsidR="002D2807" w:rsidRPr="001A6489">
        <w:t xml:space="preserve">                </w:t>
      </w:r>
      <w:r w:rsidRPr="001A6489">
        <w:t xml:space="preserve">   </w:t>
      </w:r>
      <w:r w:rsidR="008B1967" w:rsidRPr="001A6489">
        <w:rPr>
          <w:noProof/>
          <w:lang w:val="it-IT" w:eastAsia="it-IT"/>
        </w:rPr>
        <w:drawing>
          <wp:inline distT="0" distB="0" distL="0" distR="0">
            <wp:extent cx="2257200" cy="2008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95" t="3563" r="4607" b="13778"/>
                    <a:stretch/>
                  </pic:blipFill>
                  <pic:spPr bwMode="auto">
                    <a:xfrm>
                      <a:off x="0" y="0"/>
                      <a:ext cx="2257200" cy="2008800"/>
                    </a:xfrm>
                    <a:prstGeom prst="rect">
                      <a:avLst/>
                    </a:prstGeom>
                    <a:noFill/>
                    <a:ln>
                      <a:noFill/>
                    </a:ln>
                    <a:extLst>
                      <a:ext uri="{53640926-AAD7-44D8-BBD7-CCE9431645EC}">
                        <a14:shadowObscured xmlns:a14="http://schemas.microsoft.com/office/drawing/2010/main"/>
                      </a:ext>
                    </a:extLst>
                  </pic:spPr>
                </pic:pic>
              </a:graphicData>
            </a:graphic>
          </wp:inline>
        </w:drawing>
      </w:r>
    </w:p>
    <w:p w:rsidR="00E329C7" w:rsidRPr="001A6489" w:rsidRDefault="00E329C7" w:rsidP="006E73CA">
      <w:pPr>
        <w:pStyle w:val="CETCaption"/>
        <w:rPr>
          <w:lang w:val="en-US"/>
        </w:rPr>
        <w:sectPr w:rsidR="00E329C7" w:rsidRPr="001A6489" w:rsidSect="0077098D">
          <w:type w:val="continuous"/>
          <w:pgSz w:w="11906" w:h="16838" w:code="9"/>
          <w:pgMar w:top="1701" w:right="1418" w:bottom="1701" w:left="1701" w:header="1701" w:footer="0" w:gutter="0"/>
          <w:cols w:space="708"/>
          <w:formProt w:val="0"/>
          <w:titlePg/>
          <w:docGrid w:linePitch="360"/>
        </w:sectPr>
      </w:pPr>
    </w:p>
    <w:p w:rsidR="00540D44" w:rsidRPr="001A6489" w:rsidRDefault="00600535" w:rsidP="006E73CA">
      <w:pPr>
        <w:pStyle w:val="CETCaption"/>
        <w:rPr>
          <w:lang w:val="en-US"/>
        </w:rPr>
      </w:pPr>
      <w:r w:rsidRPr="001A6489">
        <w:rPr>
          <w:lang w:val="en-US"/>
        </w:rPr>
        <w:lastRenderedPageBreak/>
        <w:t xml:space="preserve">Figure 1: </w:t>
      </w:r>
      <w:r w:rsidR="006E73CA" w:rsidRPr="001A6489">
        <w:rPr>
          <w:lang w:val="en-US"/>
        </w:rPr>
        <w:t>Effect of TMP on J</w:t>
      </w:r>
      <w:r w:rsidR="006E73CA" w:rsidRPr="001A6489">
        <w:rPr>
          <w:vertAlign w:val="subscript"/>
          <w:lang w:val="en-US"/>
        </w:rPr>
        <w:t>ss</w:t>
      </w:r>
      <w:r w:rsidR="006E73CA" w:rsidRPr="001A6489">
        <w:rPr>
          <w:lang w:val="en-US"/>
        </w:rPr>
        <w:t xml:space="preserve"> when using the 0.8-</w:t>
      </w:r>
      <w:r w:rsidR="0024424C">
        <w:rPr>
          <w:rFonts w:cs="Arial"/>
          <w:lang w:val="en-US"/>
        </w:rPr>
        <w:t>µ</w:t>
      </w:r>
      <w:r w:rsidR="006E73CA" w:rsidRPr="001A6489">
        <w:rPr>
          <w:lang w:val="en-US"/>
        </w:rPr>
        <w:t xml:space="preserve">m ceramic whole (closed, </w:t>
      </w:r>
      <w:r w:rsidR="006E73CA" w:rsidRPr="001A6489">
        <w:rPr>
          <w:rFonts w:ascii="Wingdings 2" w:hAnsi="Wingdings 2"/>
          <w:lang w:val="en-US"/>
        </w:rPr>
        <w:t></w:t>
      </w:r>
      <w:r w:rsidR="006E73CA" w:rsidRPr="001A6489">
        <w:rPr>
          <w:lang w:val="en-US"/>
        </w:rPr>
        <w:t xml:space="preserve">, and </w:t>
      </w:r>
      <w:r w:rsidR="006E73CA" w:rsidRPr="001A6489">
        <w:rPr>
          <w:rFonts w:ascii="Wingdings 2" w:hAnsi="Wingdings 2"/>
          <w:lang w:val="en-US"/>
        </w:rPr>
        <w:t></w:t>
      </w:r>
      <w:r w:rsidR="006E73CA" w:rsidRPr="001A6489">
        <w:rPr>
          <w:lang w:val="en-US"/>
        </w:rPr>
        <w:t xml:space="preserve"> symbols) or partitioned (open and * symbols) HF membrane module at 10 °C and different v</w:t>
      </w:r>
      <w:r w:rsidR="006E73CA" w:rsidRPr="001A6489">
        <w:rPr>
          <w:vertAlign w:val="subscript"/>
          <w:lang w:val="en-US"/>
        </w:rPr>
        <w:t>S</w:t>
      </w:r>
      <w:r w:rsidR="006E73CA" w:rsidRPr="001A6489">
        <w:rPr>
          <w:lang w:val="en-US"/>
        </w:rPr>
        <w:t xml:space="preserve"> values: </w:t>
      </w:r>
      <w:r w:rsidR="008C7F6F" w:rsidRPr="001A6489">
        <w:rPr>
          <w:rFonts w:ascii="Wingdings 2" w:hAnsi="Wingdings 2"/>
          <w:i w:val="0"/>
          <w:lang w:val="en-US"/>
        </w:rPr>
        <w:t></w:t>
      </w:r>
      <w:r w:rsidR="006E73CA" w:rsidRPr="001A6489">
        <w:rPr>
          <w:lang w:val="en-US"/>
        </w:rPr>
        <w:t>, 0.5 m s</w:t>
      </w:r>
      <w:r w:rsidR="006E73CA" w:rsidRPr="001A6489">
        <w:rPr>
          <w:vertAlign w:val="superscript"/>
          <w:lang w:val="en-US"/>
        </w:rPr>
        <w:t>-1</w:t>
      </w:r>
      <w:r w:rsidR="006E73CA" w:rsidRPr="001A6489">
        <w:rPr>
          <w:lang w:val="en-US"/>
        </w:rPr>
        <w:t xml:space="preserve">; </w:t>
      </w:r>
      <w:r w:rsidR="008C7F6F" w:rsidRPr="001A6489">
        <w:rPr>
          <w:rFonts w:ascii="Wingdings 2" w:hAnsi="Wingdings 2"/>
          <w:i w:val="0"/>
          <w:lang w:val="en-US"/>
        </w:rPr>
        <w:t></w:t>
      </w:r>
      <w:r w:rsidR="006E73CA" w:rsidRPr="001A6489">
        <w:rPr>
          <w:lang w:val="en-US"/>
        </w:rPr>
        <w:t>, 1.0 m s</w:t>
      </w:r>
      <w:r w:rsidR="006E73CA" w:rsidRPr="001A6489">
        <w:rPr>
          <w:vertAlign w:val="superscript"/>
          <w:lang w:val="en-US"/>
        </w:rPr>
        <w:t>-1</w:t>
      </w:r>
      <w:r w:rsidR="006E73CA" w:rsidRPr="001A6489">
        <w:rPr>
          <w:lang w:val="en-US"/>
        </w:rPr>
        <w:t xml:space="preserve">; </w:t>
      </w:r>
      <w:r w:rsidR="006E73CA" w:rsidRPr="001A6489">
        <w:rPr>
          <w:rFonts w:ascii="Wingdings" w:hAnsi="Wingdings"/>
          <w:i w:val="0"/>
          <w:lang w:val="en-US"/>
        </w:rPr>
        <w:t></w:t>
      </w:r>
      <w:r w:rsidR="006E73CA" w:rsidRPr="001A6489">
        <w:rPr>
          <w:i w:val="0"/>
          <w:lang w:val="en-US"/>
        </w:rPr>
        <w:t xml:space="preserve">, </w:t>
      </w:r>
      <w:r w:rsidR="006E73CA" w:rsidRPr="001A6489">
        <w:rPr>
          <w:rFonts w:ascii="Wingdings" w:hAnsi="Wingdings"/>
          <w:i w:val="0"/>
          <w:lang w:val="en-US"/>
        </w:rPr>
        <w:t></w:t>
      </w:r>
      <w:r w:rsidR="006E73CA" w:rsidRPr="001A6489">
        <w:rPr>
          <w:lang w:val="en-US"/>
        </w:rPr>
        <w:t>, 1.5 m s</w:t>
      </w:r>
      <w:r w:rsidR="006E73CA" w:rsidRPr="001A6489">
        <w:rPr>
          <w:vertAlign w:val="superscript"/>
          <w:lang w:val="en-US"/>
        </w:rPr>
        <w:t>-1</w:t>
      </w:r>
      <w:r w:rsidR="006E73CA" w:rsidRPr="001A6489">
        <w:rPr>
          <w:lang w:val="en-US"/>
        </w:rPr>
        <w:t xml:space="preserve">; </w:t>
      </w:r>
      <w:r w:rsidR="006E73CA" w:rsidRPr="001A6489">
        <w:rPr>
          <w:rFonts w:ascii="Wingdings 3" w:hAnsi="Wingdings 3"/>
          <w:i w:val="0"/>
          <w:lang w:val="en-US"/>
        </w:rPr>
        <w:t></w:t>
      </w:r>
      <w:r w:rsidR="006E73CA" w:rsidRPr="001A6489">
        <w:rPr>
          <w:i w:val="0"/>
          <w:lang w:val="en-US"/>
        </w:rPr>
        <w:t xml:space="preserve">, </w:t>
      </w:r>
      <w:r w:rsidR="006E73CA" w:rsidRPr="001A6489">
        <w:rPr>
          <w:rFonts w:ascii="Wingdings 3" w:hAnsi="Wingdings 3"/>
          <w:i w:val="0"/>
          <w:lang w:val="en-US"/>
        </w:rPr>
        <w:t></w:t>
      </w:r>
      <w:r w:rsidR="006E73CA" w:rsidRPr="001A6489">
        <w:rPr>
          <w:lang w:val="en-US"/>
        </w:rPr>
        <w:t>, 2.0 m s</w:t>
      </w:r>
      <w:r w:rsidR="006E73CA" w:rsidRPr="001A6489">
        <w:rPr>
          <w:vertAlign w:val="superscript"/>
          <w:lang w:val="en-US"/>
        </w:rPr>
        <w:t>-1</w:t>
      </w:r>
      <w:r w:rsidR="006E73CA" w:rsidRPr="001A6489">
        <w:rPr>
          <w:lang w:val="en-US"/>
        </w:rPr>
        <w:t xml:space="preserve">; </w:t>
      </w:r>
      <w:r w:rsidR="008C7F6F" w:rsidRPr="001A6489">
        <w:rPr>
          <w:rFonts w:ascii="Wingdings" w:hAnsi="Wingdings"/>
          <w:i w:val="0"/>
          <w:lang w:val="en-US"/>
        </w:rPr>
        <w:sym w:font="Wingdings" w:char="F06F"/>
      </w:r>
      <w:r w:rsidR="008C7F6F" w:rsidRPr="001A6489">
        <w:rPr>
          <w:rFonts w:cs="Arial"/>
          <w:i w:val="0"/>
          <w:lang w:val="en-US"/>
        </w:rPr>
        <w:t xml:space="preserve">, </w:t>
      </w:r>
      <w:r w:rsidR="008C7F6F" w:rsidRPr="001A6489">
        <w:rPr>
          <w:rFonts w:ascii="Wingdings" w:hAnsi="Wingdings"/>
          <w:i w:val="0"/>
          <w:lang w:val="en-US"/>
        </w:rPr>
        <w:sym w:font="Wingdings" w:char="F06E"/>
      </w:r>
      <w:r w:rsidR="006E73CA" w:rsidRPr="001A6489">
        <w:rPr>
          <w:lang w:val="en-US"/>
        </w:rPr>
        <w:t>, 2.5 m s-</w:t>
      </w:r>
      <w:r w:rsidR="006E73CA" w:rsidRPr="001A6489">
        <w:rPr>
          <w:vertAlign w:val="superscript"/>
          <w:lang w:val="en-US"/>
        </w:rPr>
        <w:t>1</w:t>
      </w:r>
      <w:r w:rsidR="006E73CA" w:rsidRPr="001A6489">
        <w:rPr>
          <w:lang w:val="en-US"/>
        </w:rPr>
        <w:t xml:space="preserve">; </w:t>
      </w:r>
      <w:r w:rsidR="008C7F6F" w:rsidRPr="001A6489">
        <w:rPr>
          <w:rFonts w:ascii="Wingdings 3" w:hAnsi="Wingdings 3"/>
          <w:i w:val="0"/>
          <w:lang w:val="en-US"/>
        </w:rPr>
        <w:sym w:font="Wingdings 2" w:char="F0B8"/>
      </w:r>
      <w:r w:rsidR="006E73CA" w:rsidRPr="001A6489">
        <w:rPr>
          <w:lang w:val="en-US"/>
        </w:rPr>
        <w:t>,  4.0 m s</w:t>
      </w:r>
      <w:r w:rsidR="006E73CA" w:rsidRPr="001A6489">
        <w:rPr>
          <w:vertAlign w:val="superscript"/>
          <w:lang w:val="en-US"/>
        </w:rPr>
        <w:t>-1</w:t>
      </w:r>
      <w:r w:rsidR="006E73CA" w:rsidRPr="001A6489">
        <w:rPr>
          <w:lang w:val="en-US"/>
        </w:rPr>
        <w:t xml:space="preserve">; </w:t>
      </w:r>
      <w:r w:rsidR="008C7F6F" w:rsidRPr="001A6489">
        <w:rPr>
          <w:i w:val="0"/>
          <w:lang w:val="en-US"/>
        </w:rPr>
        <w:sym w:font="Wingdings 2" w:char="F0DA"/>
      </w:r>
      <w:r w:rsidR="006E73CA" w:rsidRPr="001A6489">
        <w:rPr>
          <w:lang w:val="en-US"/>
        </w:rPr>
        <w:t>, 6.0 m s</w:t>
      </w:r>
      <w:r w:rsidR="006E73CA" w:rsidRPr="001A6489">
        <w:rPr>
          <w:vertAlign w:val="superscript"/>
          <w:lang w:val="en-US"/>
        </w:rPr>
        <w:t>-1</w:t>
      </w:r>
      <w:r w:rsidR="006E73CA" w:rsidRPr="001A6489">
        <w:rPr>
          <w:lang w:val="en-US"/>
        </w:rPr>
        <w:t xml:space="preserve">. The </w:t>
      </w:r>
      <w:r w:rsidR="00540D44" w:rsidRPr="001A6489">
        <w:rPr>
          <w:lang w:val="en-US"/>
        </w:rPr>
        <w:t>broken</w:t>
      </w:r>
      <w:r w:rsidR="006E73CA" w:rsidRPr="001A6489">
        <w:rPr>
          <w:lang w:val="en-US"/>
        </w:rPr>
        <w:t xml:space="preserve"> lines were</w:t>
      </w:r>
      <w:r w:rsidR="00EA5F2D">
        <w:rPr>
          <w:lang w:val="en-US"/>
        </w:rPr>
        <w:t xml:space="preserve"> </w:t>
      </w:r>
      <w:r w:rsidR="006E73CA" w:rsidRPr="001A6489">
        <w:rPr>
          <w:lang w:val="en-US"/>
        </w:rPr>
        <w:t>calculated using Eq.s (1)-(3) together with empirical coefficients reported in the text.</w:t>
      </w:r>
      <w:r w:rsidR="00540D44" w:rsidRPr="001A6489">
        <w:rPr>
          <w:lang w:val="en-US"/>
        </w:rPr>
        <w:t xml:space="preserve"> </w:t>
      </w:r>
    </w:p>
    <w:p w:rsidR="00E329C7" w:rsidRPr="001A6489" w:rsidRDefault="008C7F6F" w:rsidP="006E73CA">
      <w:pPr>
        <w:pStyle w:val="CETCaption"/>
        <w:rPr>
          <w:lang w:val="en-US"/>
        </w:rPr>
      </w:pPr>
      <w:r w:rsidRPr="001A6489">
        <w:rPr>
          <w:lang w:val="en-US"/>
        </w:rPr>
        <w:lastRenderedPageBreak/>
        <w:t xml:space="preserve">Figure 2: Effect of </w:t>
      </w:r>
      <w:r w:rsidR="00540D44" w:rsidRPr="001A6489">
        <w:rPr>
          <w:lang w:val="en-US"/>
        </w:rPr>
        <w:t>v</w:t>
      </w:r>
      <w:r w:rsidR="00540D44" w:rsidRPr="001A6489">
        <w:rPr>
          <w:vertAlign w:val="subscript"/>
          <w:lang w:val="en-US"/>
        </w:rPr>
        <w:t>S</w:t>
      </w:r>
      <w:r w:rsidR="00540D44" w:rsidRPr="001A6489">
        <w:rPr>
          <w:lang w:val="en-US"/>
        </w:rPr>
        <w:t xml:space="preserve"> on the limiting permeation flux (J*: </w:t>
      </w:r>
      <w:r w:rsidR="00540D44" w:rsidRPr="001A6489">
        <w:rPr>
          <w:rFonts w:ascii="Wingdings" w:hAnsi="Wingdings"/>
          <w:i w:val="0"/>
          <w:lang w:val="en-US"/>
        </w:rPr>
        <w:sym w:font="Wingdings" w:char="F06F"/>
      </w:r>
      <w:r w:rsidR="00540D44" w:rsidRPr="001A6489">
        <w:rPr>
          <w:rFonts w:cs="Arial"/>
          <w:i w:val="0"/>
          <w:lang w:val="en-US"/>
        </w:rPr>
        <w:t xml:space="preserve">, </w:t>
      </w:r>
      <w:r w:rsidR="00540D44" w:rsidRPr="001A6489">
        <w:rPr>
          <w:rFonts w:ascii="Wingdings" w:hAnsi="Wingdings"/>
          <w:i w:val="0"/>
          <w:lang w:val="en-US"/>
        </w:rPr>
        <w:sym w:font="Wingdings" w:char="F06E"/>
      </w:r>
      <w:r w:rsidR="00540D44" w:rsidRPr="001A6489">
        <w:rPr>
          <w:lang w:val="en-US"/>
        </w:rPr>
        <w:t>) and empiric coefficient (</w:t>
      </w:r>
      <w:r w:rsidR="00540D44" w:rsidRPr="001A6489">
        <w:rPr>
          <w:rFonts w:ascii="Symbol" w:hAnsi="Symbol"/>
          <w:lang w:val="en-US"/>
        </w:rPr>
        <w:t></w:t>
      </w:r>
      <w:r w:rsidR="00540D44" w:rsidRPr="001A6489">
        <w:rPr>
          <w:lang w:val="en-US"/>
        </w:rPr>
        <w:t>:</w:t>
      </w:r>
      <w:r w:rsidR="00540D44" w:rsidRPr="001A6489">
        <w:rPr>
          <w:rFonts w:ascii="Wingdings 3" w:hAnsi="Wingdings 3"/>
          <w:i w:val="0"/>
          <w:lang w:val="en-US"/>
        </w:rPr>
        <w:t></w:t>
      </w:r>
      <w:r w:rsidR="00540D44" w:rsidRPr="001A6489">
        <w:rPr>
          <w:i w:val="0"/>
          <w:lang w:val="en-US"/>
        </w:rPr>
        <w:t xml:space="preserve">, </w:t>
      </w:r>
      <w:r w:rsidR="00540D44" w:rsidRPr="001A6489">
        <w:rPr>
          <w:rFonts w:ascii="Wingdings 3" w:hAnsi="Wingdings 3"/>
          <w:i w:val="0"/>
          <w:lang w:val="en-US"/>
        </w:rPr>
        <w:t></w:t>
      </w:r>
      <w:r w:rsidR="00540D44" w:rsidRPr="001A6489">
        <w:rPr>
          <w:lang w:val="en-US"/>
        </w:rPr>
        <w:t>) of Eq. (1) when using the 0.8-</w:t>
      </w:r>
      <w:r w:rsidR="0024424C">
        <w:rPr>
          <w:rFonts w:cs="Arial"/>
          <w:lang w:val="en-US"/>
        </w:rPr>
        <w:t>µ</w:t>
      </w:r>
      <w:r w:rsidR="00540D44" w:rsidRPr="001A6489">
        <w:rPr>
          <w:lang w:val="en-US"/>
        </w:rPr>
        <w:t>m ceramic whole (open symbols) or partitioned (closed symbols) HF membrane module at 10 °C. The continuous and broken lines were</w:t>
      </w:r>
      <w:r w:rsidR="00EA5F2D">
        <w:rPr>
          <w:lang w:val="en-US"/>
        </w:rPr>
        <w:t xml:space="preserve"> </w:t>
      </w:r>
      <w:r w:rsidR="00540D44" w:rsidRPr="001A6489">
        <w:rPr>
          <w:lang w:val="en-US"/>
        </w:rPr>
        <w:t>calculated using Eq. (2) or (3) together with the empirical coefficients reported in the text.</w:t>
      </w:r>
    </w:p>
    <w:p w:rsidR="00540D44" w:rsidRPr="001A6489" w:rsidRDefault="00540D44" w:rsidP="006E73CA">
      <w:pPr>
        <w:pStyle w:val="CETCaption"/>
        <w:rPr>
          <w:lang w:val="en-US"/>
        </w:rPr>
        <w:sectPr w:rsidR="00540D44" w:rsidRPr="001A6489" w:rsidSect="00540D44">
          <w:type w:val="continuous"/>
          <w:pgSz w:w="11906" w:h="16838" w:code="9"/>
          <w:pgMar w:top="1701" w:right="1418" w:bottom="1701" w:left="1701" w:header="1701" w:footer="0" w:gutter="0"/>
          <w:cols w:num="2" w:space="708"/>
          <w:formProt w:val="0"/>
          <w:titlePg/>
          <w:docGrid w:linePitch="360"/>
        </w:sectPr>
      </w:pPr>
    </w:p>
    <w:p w:rsidR="00EC55B1" w:rsidRPr="001A6489" w:rsidRDefault="00EC55B1" w:rsidP="00C1137B">
      <w:pPr>
        <w:pStyle w:val="CETHeading1"/>
        <w:spacing w:before="360"/>
      </w:pPr>
      <w:r w:rsidRPr="001A6489">
        <w:lastRenderedPageBreak/>
        <w:t>Results and Discussion</w:t>
      </w:r>
    </w:p>
    <w:p w:rsidR="00EC55B1" w:rsidRPr="001A6489" w:rsidRDefault="00EC55B1" w:rsidP="00EC55B1">
      <w:pPr>
        <w:pStyle w:val="CETheadingx"/>
      </w:pPr>
      <w:r w:rsidRPr="001A6489">
        <w:t>Effect of TMP and v</w:t>
      </w:r>
      <w:r w:rsidRPr="001A6489">
        <w:rPr>
          <w:vertAlign w:val="subscript"/>
        </w:rPr>
        <w:t>S</w:t>
      </w:r>
      <w:r w:rsidRPr="001A6489">
        <w:t xml:space="preserve"> on permeation flux</w:t>
      </w:r>
    </w:p>
    <w:p w:rsidR="00EC55B1" w:rsidRPr="001A6489" w:rsidRDefault="00EC55B1" w:rsidP="00EC55B1">
      <w:pPr>
        <w:pStyle w:val="CETBodytext"/>
      </w:pPr>
      <w:r w:rsidRPr="001A6489">
        <w:t>Under the total recycling mode, P</w:t>
      </w:r>
      <w:r w:rsidRPr="001A6489">
        <w:rPr>
          <w:vertAlign w:val="subscript"/>
        </w:rPr>
        <w:t>F</w:t>
      </w:r>
      <w:r w:rsidRPr="001A6489">
        <w:t xml:space="preserve"> and v</w:t>
      </w:r>
      <w:r w:rsidRPr="001A6489">
        <w:rPr>
          <w:vertAlign w:val="subscript"/>
        </w:rPr>
        <w:t>S</w:t>
      </w:r>
      <w:r w:rsidRPr="001A6489">
        <w:t xml:space="preserve"> were initially set at about 1.5 bar and 0.5 m s</w:t>
      </w:r>
      <w:r w:rsidRPr="001A6489">
        <w:rPr>
          <w:vertAlign w:val="superscript"/>
        </w:rPr>
        <w:t>-1</w:t>
      </w:r>
      <w:r w:rsidRPr="001A6489">
        <w:t xml:space="preserve">, respectively. </w:t>
      </w:r>
      <w:r w:rsidR="00C1137B" w:rsidRPr="001A6489">
        <w:t>Owing to the formation of a concentrated layer at the membrane surface, the overall membrane resistance tended to increase</w:t>
      </w:r>
      <w:r w:rsidR="00C1137B">
        <w:t xml:space="preserve"> with time</w:t>
      </w:r>
      <w:r w:rsidR="00C1137B" w:rsidRPr="001A6489">
        <w:t xml:space="preserve">, this </w:t>
      </w:r>
      <w:r w:rsidR="00C1137B">
        <w:t>leading to</w:t>
      </w:r>
      <w:r w:rsidRPr="001A6489">
        <w:t xml:space="preserve"> the so-called </w:t>
      </w:r>
      <w:r w:rsidRPr="001A6489">
        <w:rPr>
          <w:i/>
        </w:rPr>
        <w:t xml:space="preserve">quasi-steady state permeation flux </w:t>
      </w:r>
      <w:r w:rsidRPr="001A6489">
        <w:t>(J</w:t>
      </w:r>
      <w:r w:rsidRPr="001A6489">
        <w:rPr>
          <w:vertAlign w:val="subscript"/>
        </w:rPr>
        <w:t>ss</w:t>
      </w:r>
      <w:r w:rsidR="00C1137B">
        <w:t xml:space="preserve">). Thereafter, </w:t>
      </w:r>
      <w:r w:rsidRPr="001A6489">
        <w:t>v</w:t>
      </w:r>
      <w:r w:rsidRPr="001A6489">
        <w:rPr>
          <w:vertAlign w:val="subscript"/>
        </w:rPr>
        <w:t>S</w:t>
      </w:r>
      <w:r w:rsidRPr="001A6489">
        <w:t xml:space="preserve"> was in sequence increased to 1</w:t>
      </w:r>
      <w:r w:rsidR="00EA5F2D">
        <w:t>.0</w:t>
      </w:r>
      <w:r w:rsidRPr="001A6489">
        <w:t>, 1.5, and 2</w:t>
      </w:r>
      <w:r w:rsidR="00EA5F2D">
        <w:t>.0</w:t>
      </w:r>
      <w:r w:rsidRPr="001A6489">
        <w:t xml:space="preserve"> m s</w:t>
      </w:r>
      <w:r w:rsidRPr="001A6489">
        <w:rPr>
          <w:vertAlign w:val="superscript"/>
        </w:rPr>
        <w:t>-1</w:t>
      </w:r>
      <w:r w:rsidRPr="001A6489">
        <w:t>. This procedure was reiterated by increasing P</w:t>
      </w:r>
      <w:r w:rsidRPr="001A6489">
        <w:rPr>
          <w:vertAlign w:val="subscript"/>
        </w:rPr>
        <w:t>F</w:t>
      </w:r>
      <w:r w:rsidRPr="001A6489">
        <w:t xml:space="preserve"> from </w:t>
      </w:r>
      <w:r w:rsidRPr="001A6489">
        <w:rPr>
          <w:rFonts w:cs="Arial"/>
        </w:rPr>
        <w:t>~</w:t>
      </w:r>
      <w:r w:rsidRPr="001A6489">
        <w:t>1.5 to 3.5 bar, step 0.5 bar, while resetting v</w:t>
      </w:r>
      <w:r w:rsidRPr="001A6489">
        <w:rPr>
          <w:vertAlign w:val="subscript"/>
        </w:rPr>
        <w:t>S</w:t>
      </w:r>
      <w:r w:rsidRPr="001A6489">
        <w:t xml:space="preserve"> at 0.5 m s</w:t>
      </w:r>
      <w:r w:rsidRPr="001A6489">
        <w:rPr>
          <w:vertAlign w:val="superscript"/>
        </w:rPr>
        <w:t>-1</w:t>
      </w:r>
      <w:r w:rsidRPr="001A6489">
        <w:t xml:space="preserve">. </w:t>
      </w:r>
      <w:r w:rsidR="00EA5F2D" w:rsidRPr="001A6489">
        <w:t>Totally</w:t>
      </w:r>
      <w:r w:rsidR="00647C9A" w:rsidRPr="001A6489">
        <w:t>, J</w:t>
      </w:r>
      <w:r w:rsidR="00647C9A" w:rsidRPr="001A6489">
        <w:rPr>
          <w:vertAlign w:val="subscript"/>
        </w:rPr>
        <w:t>ss</w:t>
      </w:r>
      <w:r w:rsidR="00647C9A" w:rsidRPr="001A6489">
        <w:t xml:space="preserve"> was found to</w:t>
      </w:r>
      <w:r w:rsidR="00EA5F2D">
        <w:t xml:space="preserve"> range</w:t>
      </w:r>
      <w:r w:rsidR="00647C9A" w:rsidRPr="001A6489">
        <w:t xml:space="preserve"> from 19±2 to 173±7 L m</w:t>
      </w:r>
      <w:r w:rsidR="00647C9A" w:rsidRPr="001A6489">
        <w:rPr>
          <w:vertAlign w:val="superscript"/>
        </w:rPr>
        <w:t>-2</w:t>
      </w:r>
      <w:r w:rsidR="00647C9A" w:rsidRPr="001A6489">
        <w:t xml:space="preserve"> h</w:t>
      </w:r>
      <w:r w:rsidR="00647C9A" w:rsidRPr="001A6489">
        <w:rPr>
          <w:vertAlign w:val="superscript"/>
        </w:rPr>
        <w:t>-1</w:t>
      </w:r>
      <w:r w:rsidR="00647C9A" w:rsidRPr="001A6489">
        <w:t>.</w:t>
      </w:r>
    </w:p>
    <w:p w:rsidR="002325D3" w:rsidRPr="001A6489" w:rsidRDefault="00EC55B1" w:rsidP="002D2807">
      <w:pPr>
        <w:pStyle w:val="CETBodytext"/>
      </w:pPr>
      <w:r w:rsidRPr="001A6489">
        <w:t>Fig. 1 shows J</w:t>
      </w:r>
      <w:r w:rsidRPr="001A6489">
        <w:rPr>
          <w:vertAlign w:val="subscript"/>
        </w:rPr>
        <w:t>ss</w:t>
      </w:r>
      <w:r w:rsidRPr="001A6489">
        <w:t xml:space="preserve"> vs. TMP at v</w:t>
      </w:r>
      <w:r w:rsidRPr="001A6489">
        <w:rPr>
          <w:vertAlign w:val="subscript"/>
        </w:rPr>
        <w:t>S</w:t>
      </w:r>
      <w:r w:rsidRPr="001A6489">
        <w:t>=const and exhibits a limiting flux (J*), th</w:t>
      </w:r>
      <w:r w:rsidR="00EA5F2D">
        <w:t xml:space="preserve">is </w:t>
      </w:r>
      <w:r w:rsidRPr="001A6489">
        <w:t>tend</w:t>
      </w:r>
      <w:r w:rsidR="00EA5F2D">
        <w:t>ing</w:t>
      </w:r>
      <w:r w:rsidRPr="001A6489">
        <w:t xml:space="preserve"> to increase with v</w:t>
      </w:r>
      <w:r w:rsidRPr="001A6489">
        <w:rPr>
          <w:vertAlign w:val="subscript"/>
        </w:rPr>
        <w:t>S</w:t>
      </w:r>
      <w:r w:rsidRPr="001A6489">
        <w:t>.</w:t>
      </w:r>
      <w:r w:rsidR="00E30451" w:rsidRPr="001A6489">
        <w:t xml:space="preserve"> Moreover, </w:t>
      </w:r>
      <w:r w:rsidR="002325D3" w:rsidRPr="001A6489">
        <w:t>J</w:t>
      </w:r>
      <w:r w:rsidR="002325D3" w:rsidRPr="001A6489">
        <w:rPr>
          <w:vertAlign w:val="subscript"/>
        </w:rPr>
        <w:t>ss</w:t>
      </w:r>
      <w:r w:rsidR="002325D3" w:rsidRPr="001A6489">
        <w:t xml:space="preserve"> appeared to be an exponential function of TMP</w:t>
      </w:r>
      <w:r w:rsidR="00AB3DEC" w:rsidRPr="001A6489">
        <w:t xml:space="preserve"> whatever the v</w:t>
      </w:r>
      <w:r w:rsidR="00AB3DEC" w:rsidRPr="001A6489">
        <w:rPr>
          <w:vertAlign w:val="subscript"/>
        </w:rPr>
        <w:t>S</w:t>
      </w:r>
      <w:r w:rsidR="00AB3DEC" w:rsidRPr="001A6489">
        <w:t xml:space="preserve"> value, and </w:t>
      </w:r>
      <w:r w:rsidR="002325D3" w:rsidRPr="001A6489">
        <w:t xml:space="preserve">was </w:t>
      </w:r>
      <w:r w:rsidR="00E30451" w:rsidRPr="001A6489">
        <w:t xml:space="preserve">empirically </w:t>
      </w:r>
      <w:r w:rsidR="00C1137B">
        <w:t xml:space="preserve">fitted </w:t>
      </w:r>
      <w:r w:rsidR="00E30451" w:rsidRPr="001A6489">
        <w:t>as</w:t>
      </w:r>
      <w:r w:rsidR="002325D3" w:rsidRPr="001A6489">
        <w:t xml:space="preserve">: </w:t>
      </w:r>
    </w:p>
    <w:p w:rsidR="002325D3" w:rsidRPr="001A6489" w:rsidRDefault="002325D3" w:rsidP="002D2807">
      <w:pPr>
        <w:pStyle w:val="CETBodytext"/>
        <w:spacing w:before="120" w:after="120"/>
      </w:pPr>
      <w:r w:rsidRPr="001A6489">
        <w:rPr>
          <w:i/>
        </w:rPr>
        <w:t>J</w:t>
      </w:r>
      <w:r w:rsidRPr="001A6489">
        <w:rPr>
          <w:i/>
          <w:vertAlign w:val="subscript"/>
        </w:rPr>
        <w:t>ss</w:t>
      </w:r>
      <w:r w:rsidRPr="001A6489">
        <w:rPr>
          <w:i/>
        </w:rPr>
        <w:t xml:space="preserve"> = J* [1-exp(-</w:t>
      </w:r>
      <w:r w:rsidR="0024424C">
        <w:rPr>
          <w:rFonts w:cs="Arial"/>
          <w:i/>
        </w:rPr>
        <w:t>β</w:t>
      </w:r>
      <w:r w:rsidRPr="001A6489">
        <w:rPr>
          <w:i/>
        </w:rPr>
        <w:t xml:space="preserve"> TMP)]</w:t>
      </w:r>
      <w:r w:rsidRPr="001A6489">
        <w:t xml:space="preserve"> </w:t>
      </w:r>
      <w:r w:rsidRPr="001A6489">
        <w:tab/>
      </w:r>
      <w:r w:rsidRPr="001A6489">
        <w:tab/>
        <w:t>( 1)</w:t>
      </w:r>
    </w:p>
    <w:p w:rsidR="002325D3" w:rsidRPr="001A6489" w:rsidRDefault="002325D3" w:rsidP="002D2807">
      <w:pPr>
        <w:pStyle w:val="CETBodytext"/>
        <w:spacing w:before="120" w:after="120"/>
      </w:pPr>
      <w:r w:rsidRPr="001A6489">
        <w:t xml:space="preserve">where </w:t>
      </w:r>
      <w:r w:rsidR="0024424C">
        <w:rPr>
          <w:rFonts w:cs="Arial"/>
        </w:rPr>
        <w:t>β</w:t>
      </w:r>
      <w:r w:rsidRPr="001A6489">
        <w:t xml:space="preserve"> is an empiric coefficient.</w:t>
      </w:r>
      <w:r w:rsidR="00EC47C4" w:rsidRPr="001A6489">
        <w:t xml:space="preserve"> A series of J* and </w:t>
      </w:r>
      <w:r w:rsidR="001B7D38">
        <w:rPr>
          <w:rFonts w:cs="Arial"/>
        </w:rPr>
        <w:t>β</w:t>
      </w:r>
      <w:r w:rsidR="00EC47C4" w:rsidRPr="001A6489">
        <w:t xml:space="preserve"> values was derived </w:t>
      </w:r>
      <w:r w:rsidR="00B57976" w:rsidRPr="001A6489">
        <w:t>b</w:t>
      </w:r>
      <w:r w:rsidRPr="001A6489">
        <w:t>y fitting the experimental data via Eq. (1) in conjunction with the least squares method</w:t>
      </w:r>
      <w:r w:rsidR="00EC47C4" w:rsidRPr="001A6489">
        <w:t xml:space="preserve">. As shown in Fig. 2, J* and </w:t>
      </w:r>
      <w:r w:rsidR="00EC47C4" w:rsidRPr="001A6489">
        <w:rPr>
          <w:rFonts w:ascii="Symbol" w:hAnsi="Symbol"/>
        </w:rPr>
        <w:t></w:t>
      </w:r>
      <w:r w:rsidR="00EC47C4" w:rsidRPr="001A6489">
        <w:t xml:space="preserve"> </w:t>
      </w:r>
      <w:r w:rsidRPr="001A6489">
        <w:t>appear</w:t>
      </w:r>
      <w:r w:rsidR="00EC47C4" w:rsidRPr="001A6489">
        <w:t>ed t</w:t>
      </w:r>
      <w:r w:rsidRPr="001A6489">
        <w:t xml:space="preserve">o be </w:t>
      </w:r>
      <w:r w:rsidR="00864D3F" w:rsidRPr="001A6489">
        <w:t xml:space="preserve">an </w:t>
      </w:r>
      <w:r w:rsidRPr="001A6489">
        <w:t>exponential</w:t>
      </w:r>
      <w:r w:rsidR="00864D3F" w:rsidRPr="001A6489">
        <w:t xml:space="preserve"> </w:t>
      </w:r>
      <w:r w:rsidRPr="001A6489">
        <w:t>or linear</w:t>
      </w:r>
      <w:r w:rsidR="00864D3F" w:rsidRPr="001A6489">
        <w:t xml:space="preserve"> function</w:t>
      </w:r>
      <w:r w:rsidRPr="001A6489">
        <w:t xml:space="preserve"> o</w:t>
      </w:r>
      <w:r w:rsidR="00864D3F" w:rsidRPr="001A6489">
        <w:t>f</w:t>
      </w:r>
      <w:r w:rsidRPr="001A6489">
        <w:t xml:space="preserve"> v</w:t>
      </w:r>
      <w:r w:rsidRPr="001A6489">
        <w:rPr>
          <w:vertAlign w:val="subscript"/>
        </w:rPr>
        <w:t>S</w:t>
      </w:r>
      <w:r w:rsidR="00EC47C4" w:rsidRPr="001A6489">
        <w:t>, respectively</w:t>
      </w:r>
      <w:r w:rsidR="00B57976" w:rsidRPr="001A6489">
        <w:t xml:space="preserve">. Thus, they </w:t>
      </w:r>
      <w:r w:rsidR="00EC47C4" w:rsidRPr="001A6489">
        <w:t xml:space="preserve">were </w:t>
      </w:r>
      <w:r w:rsidRPr="001A6489">
        <w:t>expressed as follows:</w:t>
      </w:r>
    </w:p>
    <w:p w:rsidR="002325D3" w:rsidRPr="001A6489" w:rsidRDefault="002325D3" w:rsidP="002D2807">
      <w:pPr>
        <w:pStyle w:val="CETBodytext"/>
        <w:spacing w:before="120" w:after="120"/>
      </w:pPr>
      <w:r w:rsidRPr="001A6489">
        <w:rPr>
          <w:i/>
        </w:rPr>
        <w:t>J*</w:t>
      </w:r>
      <w:r w:rsidRPr="001A6489">
        <w:rPr>
          <w:rFonts w:ascii="Symbol" w:hAnsi="Symbol"/>
          <w:i/>
        </w:rPr>
        <w:t></w:t>
      </w:r>
      <w:r w:rsidR="002D2807" w:rsidRPr="001A6489">
        <w:rPr>
          <w:rFonts w:cs="Arial"/>
          <w:i/>
        </w:rPr>
        <w:t>exp(</w:t>
      </w:r>
      <w:r w:rsidR="001B7D38">
        <w:rPr>
          <w:rFonts w:cs="Arial"/>
          <w:i/>
        </w:rPr>
        <w:t>φ</w:t>
      </w:r>
      <w:r w:rsidRPr="001A6489">
        <w:rPr>
          <w:rFonts w:ascii="Symbol" w:hAnsi="Symbol"/>
          <w:i/>
          <w:vertAlign w:val="subscript"/>
        </w:rPr>
        <w:t></w:t>
      </w:r>
      <w:r w:rsidRPr="001A6489">
        <w:rPr>
          <w:rFonts w:ascii="Symbol" w:hAnsi="Symbol"/>
          <w:i/>
        </w:rPr>
        <w:t></w:t>
      </w:r>
      <w:r w:rsidRPr="001A6489">
        <w:rPr>
          <w:rFonts w:ascii="Symbol" w:hAnsi="Symbol"/>
          <w:i/>
        </w:rPr>
        <w:t></w:t>
      </w:r>
      <w:r w:rsidRPr="001A6489">
        <w:rPr>
          <w:rFonts w:ascii="Symbol" w:hAnsi="Symbol"/>
          <w:i/>
        </w:rPr>
        <w:t></w:t>
      </w:r>
      <w:r w:rsidR="001B7D38">
        <w:rPr>
          <w:rFonts w:cs="Arial"/>
          <w:i/>
        </w:rPr>
        <w:t>φ</w:t>
      </w:r>
      <w:r w:rsidRPr="001A6489">
        <w:rPr>
          <w:rFonts w:ascii="Symbol" w:hAnsi="Symbol"/>
          <w:i/>
          <w:vertAlign w:val="subscript"/>
        </w:rPr>
        <w:t></w:t>
      </w:r>
      <w:r w:rsidRPr="001A6489">
        <w:rPr>
          <w:rFonts w:ascii="Symbol" w:hAnsi="Symbol"/>
          <w:i/>
        </w:rPr>
        <w:t></w:t>
      </w:r>
      <w:r w:rsidRPr="001A6489">
        <w:rPr>
          <w:i/>
        </w:rPr>
        <w:t>v</w:t>
      </w:r>
      <w:r w:rsidRPr="001A6489">
        <w:rPr>
          <w:i/>
          <w:vertAlign w:val="subscript"/>
        </w:rPr>
        <w:t>S</w:t>
      </w:r>
      <w:r w:rsidR="002D2807" w:rsidRPr="001A6489">
        <w:rPr>
          <w:i/>
        </w:rPr>
        <w:t>)</w:t>
      </w:r>
      <w:r w:rsidRPr="001A6489">
        <w:tab/>
      </w:r>
      <w:r w:rsidRPr="001A6489">
        <w:tab/>
        <w:t>( 2)</w:t>
      </w:r>
    </w:p>
    <w:p w:rsidR="002325D3" w:rsidRPr="001A6489" w:rsidRDefault="001B7D38" w:rsidP="002D2807">
      <w:pPr>
        <w:pStyle w:val="CETBodytext"/>
        <w:spacing w:before="120" w:after="120"/>
      </w:pPr>
      <w:r>
        <w:rPr>
          <w:rFonts w:cs="Arial"/>
          <w:i/>
        </w:rPr>
        <w:t>β</w:t>
      </w:r>
      <w:r w:rsidR="002325D3" w:rsidRPr="001A6489">
        <w:rPr>
          <w:rFonts w:ascii="Symbol" w:hAnsi="Symbol"/>
          <w:i/>
        </w:rPr>
        <w:t></w:t>
      </w:r>
      <w:r w:rsidR="002325D3" w:rsidRPr="001A6489">
        <w:rPr>
          <w:rFonts w:ascii="Symbol" w:hAnsi="Symbol"/>
          <w:i/>
        </w:rPr>
        <w:t></w:t>
      </w:r>
      <w:r w:rsidR="002325D3" w:rsidRPr="001A6489">
        <w:rPr>
          <w:rFonts w:ascii="Symbol" w:hAnsi="Symbol"/>
          <w:i/>
        </w:rPr>
        <w:t></w:t>
      </w:r>
      <w:r>
        <w:rPr>
          <w:rFonts w:cs="Arial"/>
          <w:i/>
        </w:rPr>
        <w:t>β</w:t>
      </w:r>
      <w:r w:rsidR="002325D3" w:rsidRPr="001A6489">
        <w:rPr>
          <w:rFonts w:ascii="Symbol" w:hAnsi="Symbol"/>
          <w:i/>
          <w:vertAlign w:val="subscript"/>
        </w:rPr>
        <w:t></w:t>
      </w:r>
      <w:r w:rsidR="002325D3" w:rsidRPr="001A6489">
        <w:rPr>
          <w:rFonts w:ascii="Symbol" w:hAnsi="Symbol"/>
          <w:i/>
        </w:rPr>
        <w:t></w:t>
      </w:r>
      <w:r w:rsidR="002325D3" w:rsidRPr="001A6489">
        <w:rPr>
          <w:rFonts w:ascii="Symbol" w:hAnsi="Symbol"/>
          <w:i/>
        </w:rPr>
        <w:t></w:t>
      </w:r>
      <w:r w:rsidR="002325D3" w:rsidRPr="001A6489">
        <w:rPr>
          <w:rFonts w:ascii="Symbol" w:hAnsi="Symbol"/>
          <w:i/>
        </w:rPr>
        <w:t></w:t>
      </w:r>
      <w:r>
        <w:rPr>
          <w:rFonts w:cs="Arial"/>
          <w:i/>
        </w:rPr>
        <w:t>β</w:t>
      </w:r>
      <w:r w:rsidR="002325D3" w:rsidRPr="001A6489">
        <w:rPr>
          <w:rFonts w:ascii="Symbol" w:hAnsi="Symbol"/>
          <w:i/>
          <w:vertAlign w:val="subscript"/>
        </w:rPr>
        <w:t></w:t>
      </w:r>
      <w:r w:rsidR="002325D3" w:rsidRPr="001A6489">
        <w:rPr>
          <w:rFonts w:ascii="Symbol" w:hAnsi="Symbol"/>
          <w:i/>
        </w:rPr>
        <w:t></w:t>
      </w:r>
      <w:r w:rsidR="002325D3" w:rsidRPr="001A6489">
        <w:rPr>
          <w:i/>
        </w:rPr>
        <w:t>v</w:t>
      </w:r>
      <w:r w:rsidR="002325D3" w:rsidRPr="001A6489">
        <w:rPr>
          <w:i/>
          <w:vertAlign w:val="subscript"/>
        </w:rPr>
        <w:t>S</w:t>
      </w:r>
      <w:r w:rsidR="002325D3" w:rsidRPr="001A6489">
        <w:tab/>
      </w:r>
      <w:r w:rsidR="002325D3" w:rsidRPr="001A6489">
        <w:tab/>
        <w:t>( 3)</w:t>
      </w:r>
    </w:p>
    <w:p w:rsidR="002325D3" w:rsidRPr="001A6489" w:rsidRDefault="00B57976" w:rsidP="002D2807">
      <w:pPr>
        <w:pStyle w:val="CETBodytext"/>
      </w:pPr>
      <w:r w:rsidRPr="001A6489">
        <w:lastRenderedPageBreak/>
        <w:t xml:space="preserve">By resorting to a nonlinear regression method, </w:t>
      </w:r>
      <w:r w:rsidR="002325D3" w:rsidRPr="001A6489">
        <w:t xml:space="preserve">it was possible to </w:t>
      </w:r>
      <w:r w:rsidRPr="001A6489">
        <w:t>determine th</w:t>
      </w:r>
      <w:r w:rsidR="002325D3" w:rsidRPr="001A6489">
        <w:t xml:space="preserve">e following set of optimal </w:t>
      </w:r>
      <w:r w:rsidR="00647C9A">
        <w:t>empiric coefficient v</w:t>
      </w:r>
      <w:r w:rsidR="002325D3" w:rsidRPr="001A6489">
        <w:t>alues:</w:t>
      </w:r>
    </w:p>
    <w:p w:rsidR="002325D3" w:rsidRPr="001A6489" w:rsidRDefault="001B7D38" w:rsidP="002D2807">
      <w:pPr>
        <w:pStyle w:val="CETBodytext"/>
        <w:spacing w:before="120" w:after="120"/>
      </w:pPr>
      <w:r>
        <w:rPr>
          <w:rFonts w:cs="Arial"/>
        </w:rPr>
        <w:t>φ</w:t>
      </w:r>
      <w:r w:rsidR="002325D3" w:rsidRPr="001A6489">
        <w:rPr>
          <w:vertAlign w:val="subscript"/>
        </w:rPr>
        <w:t>0</w:t>
      </w:r>
      <w:r w:rsidR="002325D3" w:rsidRPr="001A6489">
        <w:rPr>
          <w:rFonts w:ascii="Symbol" w:hAnsi="Symbol"/>
        </w:rPr>
        <w:t></w:t>
      </w:r>
      <w:r w:rsidR="002325D3" w:rsidRPr="001A6489">
        <w:t xml:space="preserve">= 2.81; </w:t>
      </w:r>
      <w:r>
        <w:rPr>
          <w:rFonts w:cs="Arial"/>
        </w:rPr>
        <w:t>φ</w:t>
      </w:r>
      <w:r w:rsidR="002325D3" w:rsidRPr="001A6489">
        <w:rPr>
          <w:vertAlign w:val="subscript"/>
        </w:rPr>
        <w:t>1</w:t>
      </w:r>
      <w:r w:rsidR="002325D3" w:rsidRPr="001A6489">
        <w:t xml:space="preserve"> = 0.57 m</w:t>
      </w:r>
      <w:r w:rsidR="002325D3" w:rsidRPr="001A6489">
        <w:rPr>
          <w:vertAlign w:val="superscript"/>
        </w:rPr>
        <w:t>-1</w:t>
      </w:r>
      <w:r w:rsidR="002325D3" w:rsidRPr="001A6489">
        <w:t xml:space="preserve"> s; </w:t>
      </w:r>
      <w:r w:rsidR="00F452BC">
        <w:rPr>
          <w:rFonts w:cs="Arial"/>
        </w:rPr>
        <w:t>β</w:t>
      </w:r>
      <w:r w:rsidR="002325D3" w:rsidRPr="001A6489">
        <w:rPr>
          <w:rFonts w:cs="Arial"/>
          <w:vertAlign w:val="subscript"/>
        </w:rPr>
        <w:t>0</w:t>
      </w:r>
      <w:r w:rsidR="002325D3" w:rsidRPr="001A6489">
        <w:rPr>
          <w:rFonts w:ascii="Symbol" w:hAnsi="Symbol"/>
        </w:rPr>
        <w:t></w:t>
      </w:r>
      <w:r w:rsidR="002325D3" w:rsidRPr="001A6489">
        <w:t>= -1.29 bar</w:t>
      </w:r>
      <w:r w:rsidR="002325D3" w:rsidRPr="001A6489">
        <w:rPr>
          <w:vertAlign w:val="superscript"/>
        </w:rPr>
        <w:t>-1</w:t>
      </w:r>
      <w:r w:rsidR="002325D3" w:rsidRPr="001A6489">
        <w:t xml:space="preserve">; </w:t>
      </w:r>
      <w:r w:rsidR="00F452BC">
        <w:rPr>
          <w:rFonts w:cs="Arial"/>
        </w:rPr>
        <w:t>β</w:t>
      </w:r>
      <w:r w:rsidR="002325D3" w:rsidRPr="001A6489">
        <w:rPr>
          <w:vertAlign w:val="subscript"/>
        </w:rPr>
        <w:t>1</w:t>
      </w:r>
      <w:r w:rsidR="002325D3" w:rsidRPr="001A6489">
        <w:t xml:space="preserve"> = 0.195 bar</w:t>
      </w:r>
      <w:r w:rsidR="002325D3" w:rsidRPr="001A6489">
        <w:rPr>
          <w:vertAlign w:val="superscript"/>
        </w:rPr>
        <w:t>-1</w:t>
      </w:r>
      <w:r w:rsidR="002325D3" w:rsidRPr="001A6489">
        <w:t xml:space="preserve"> m</w:t>
      </w:r>
      <w:r w:rsidR="002325D3" w:rsidRPr="001A6489">
        <w:rPr>
          <w:vertAlign w:val="superscript"/>
        </w:rPr>
        <w:t>-1</w:t>
      </w:r>
      <w:r w:rsidR="00647C9A">
        <w:t xml:space="preserve"> s.</w:t>
      </w:r>
      <w:r w:rsidR="002325D3" w:rsidRPr="001A6489">
        <w:t xml:space="preserve"> </w:t>
      </w:r>
    </w:p>
    <w:p w:rsidR="002325D3" w:rsidRPr="001A6489" w:rsidRDefault="00647C9A" w:rsidP="002D2807">
      <w:pPr>
        <w:pStyle w:val="CETBodytext"/>
      </w:pPr>
      <w:r>
        <w:t>T</w:t>
      </w:r>
      <w:r w:rsidR="00B57976" w:rsidRPr="001A6489">
        <w:t xml:space="preserve">hese </w:t>
      </w:r>
      <w:r w:rsidR="00EA5F2D">
        <w:t xml:space="preserve">parameters </w:t>
      </w:r>
      <w:r>
        <w:t xml:space="preserve">allowed the </w:t>
      </w:r>
      <w:r w:rsidRPr="001A6489">
        <w:t>mean percentage error among all the experimental and calculated J</w:t>
      </w:r>
      <w:r w:rsidRPr="001A6489">
        <w:rPr>
          <w:vertAlign w:val="subscript"/>
        </w:rPr>
        <w:t>ssi</w:t>
      </w:r>
      <w:r w:rsidRPr="001A6489">
        <w:t xml:space="preserve"> values </w:t>
      </w:r>
      <w:r>
        <w:t>to be minimized to</w:t>
      </w:r>
      <w:r w:rsidR="00D95F7C" w:rsidRPr="001A6489">
        <w:t xml:space="preserve"> </w:t>
      </w:r>
      <w:r w:rsidR="002325D3" w:rsidRPr="001A6489">
        <w:t>19</w:t>
      </w:r>
      <w:r>
        <w:t xml:space="preserve"> </w:t>
      </w:r>
      <w:r w:rsidR="002325D3" w:rsidRPr="001A6489">
        <w:t xml:space="preserve">%. The broken lines shown in Fig. 1 exhibit quite a satisfactorily reconstruction of </w:t>
      </w:r>
      <w:r w:rsidR="008E3EC3" w:rsidRPr="001A6489">
        <w:t xml:space="preserve">the experimental </w:t>
      </w:r>
      <w:r w:rsidR="002325D3" w:rsidRPr="001A6489">
        <w:t>J</w:t>
      </w:r>
      <w:r w:rsidR="002325D3" w:rsidRPr="001A6489">
        <w:rPr>
          <w:vertAlign w:val="subscript"/>
        </w:rPr>
        <w:t>ss</w:t>
      </w:r>
      <w:r w:rsidR="002325D3" w:rsidRPr="001A6489">
        <w:t xml:space="preserve"> </w:t>
      </w:r>
      <w:r w:rsidR="008E3EC3" w:rsidRPr="001A6489">
        <w:t>values</w:t>
      </w:r>
      <w:r w:rsidR="002325D3" w:rsidRPr="001A6489">
        <w:t xml:space="preserve">. </w:t>
      </w:r>
      <w:r w:rsidR="00453CB0" w:rsidRPr="001A6489">
        <w:t xml:space="preserve">Moreover, J* appeared to be </w:t>
      </w:r>
      <w:r w:rsidR="002325D3" w:rsidRPr="001A6489">
        <w:t xml:space="preserve">quite </w:t>
      </w:r>
      <w:r w:rsidR="00453CB0" w:rsidRPr="001A6489">
        <w:t>insensitive to</w:t>
      </w:r>
      <w:r w:rsidR="002325D3" w:rsidRPr="001A6489">
        <w:t xml:space="preserve"> v</w:t>
      </w:r>
      <w:r w:rsidR="002325D3" w:rsidRPr="001A6489">
        <w:rPr>
          <w:vertAlign w:val="subscript"/>
        </w:rPr>
        <w:t>S</w:t>
      </w:r>
      <w:r w:rsidR="002325D3" w:rsidRPr="001A6489">
        <w:t xml:space="preserve"> </w:t>
      </w:r>
      <w:r w:rsidR="00453CB0" w:rsidRPr="001A6489">
        <w:t xml:space="preserve">up to </w:t>
      </w:r>
      <w:r w:rsidR="002325D3" w:rsidRPr="001A6489">
        <w:t>1.0 m s</w:t>
      </w:r>
      <w:r w:rsidR="002325D3" w:rsidRPr="001A6489">
        <w:rPr>
          <w:vertAlign w:val="superscript"/>
        </w:rPr>
        <w:t>-1</w:t>
      </w:r>
      <w:r w:rsidR="002325D3" w:rsidRPr="001A6489">
        <w:t>, while J* tended to increase almost linearly with TMP</w:t>
      </w:r>
      <w:r w:rsidR="00453CB0" w:rsidRPr="001A6489">
        <w:t xml:space="preserve"> at v</w:t>
      </w:r>
      <w:r w:rsidR="00453CB0" w:rsidRPr="001A6489">
        <w:rPr>
          <w:vertAlign w:val="subscript"/>
        </w:rPr>
        <w:t>S</w:t>
      </w:r>
      <w:r w:rsidR="00453CB0" w:rsidRPr="001A6489">
        <w:t>=6 m s</w:t>
      </w:r>
      <w:r w:rsidR="00453CB0" w:rsidRPr="001A6489">
        <w:rPr>
          <w:vertAlign w:val="superscript"/>
        </w:rPr>
        <w:t>-1</w:t>
      </w:r>
      <w:r w:rsidR="002325D3" w:rsidRPr="001A6489">
        <w:t>.</w:t>
      </w:r>
      <w:r w:rsidR="003A1387" w:rsidRPr="001A6489">
        <w:t xml:space="preserve"> </w:t>
      </w:r>
    </w:p>
    <w:p w:rsidR="00A96104" w:rsidRPr="001A6489" w:rsidRDefault="00A96104" w:rsidP="00FD67D2">
      <w:pPr>
        <w:pStyle w:val="CETBodytext"/>
      </w:pPr>
    </w:p>
    <w:p w:rsidR="00FE6610" w:rsidRPr="001A6489" w:rsidRDefault="00FE6610" w:rsidP="00E10B89">
      <w:pPr>
        <w:pStyle w:val="CETBodytext"/>
        <w:spacing w:before="120" w:after="120"/>
      </w:pPr>
      <w:r w:rsidRPr="001A6489">
        <w:rPr>
          <w:noProof/>
          <w:lang w:val="it-IT" w:eastAsia="it-IT"/>
        </w:rPr>
        <w:drawing>
          <wp:inline distT="0" distB="0" distL="0" distR="0" wp14:anchorId="08150A61" wp14:editId="2A3BCD7B">
            <wp:extent cx="4754880" cy="1583195"/>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73" b="5044"/>
                    <a:stretch/>
                  </pic:blipFill>
                  <pic:spPr bwMode="auto">
                    <a:xfrm>
                      <a:off x="0" y="0"/>
                      <a:ext cx="4763863" cy="1586186"/>
                    </a:xfrm>
                    <a:prstGeom prst="rect">
                      <a:avLst/>
                    </a:prstGeom>
                    <a:noFill/>
                    <a:ln>
                      <a:noFill/>
                    </a:ln>
                    <a:extLst>
                      <a:ext uri="{53640926-AAD7-44D8-BBD7-CCE9431645EC}">
                        <a14:shadowObscured xmlns:a14="http://schemas.microsoft.com/office/drawing/2010/main"/>
                      </a:ext>
                    </a:extLst>
                  </pic:spPr>
                </pic:pic>
              </a:graphicData>
            </a:graphic>
          </wp:inline>
        </w:drawing>
      </w:r>
    </w:p>
    <w:p w:rsidR="00FE6610" w:rsidRPr="001A6489" w:rsidRDefault="00FE6610" w:rsidP="00E10B89">
      <w:pPr>
        <w:pStyle w:val="CETBodytext"/>
        <w:spacing w:before="120" w:after="120"/>
        <w:rPr>
          <w:i/>
        </w:rPr>
      </w:pPr>
      <w:r w:rsidRPr="001A6489">
        <w:rPr>
          <w:i/>
        </w:rPr>
        <w:t>Figure 3: Schematic diagram of the MF unit equipped with ceramic HF membrane modules. Equipment identification items: D, storage tank; MM, membrane module; PC1, feed centrifugal pump; PC2, recycle centrifugal pump. All other operating variables are</w:t>
      </w:r>
      <w:r w:rsidR="000060EA" w:rsidRPr="001A6489">
        <w:rPr>
          <w:i/>
        </w:rPr>
        <w:t xml:space="preserve"> </w:t>
      </w:r>
      <w:r w:rsidRPr="001A6489">
        <w:rPr>
          <w:i/>
        </w:rPr>
        <w:t>listed in the text.</w:t>
      </w:r>
    </w:p>
    <w:p w:rsidR="00EA5F2D" w:rsidRPr="001A6489" w:rsidRDefault="00EA5F2D" w:rsidP="00E10B89">
      <w:pPr>
        <w:pStyle w:val="CETBodytext"/>
        <w:spacing w:before="120" w:after="120"/>
      </w:pPr>
    </w:p>
    <w:p w:rsidR="00A04AB4" w:rsidRPr="001A6489" w:rsidRDefault="00A04AB4" w:rsidP="00A04AB4">
      <w:pPr>
        <w:pStyle w:val="CETheadingx"/>
      </w:pPr>
      <w:r w:rsidRPr="001A6489">
        <w:t>Optimal design and operation of a beer clarification unit using ceramic HF membrane modules</w:t>
      </w:r>
    </w:p>
    <w:p w:rsidR="00A04AB4" w:rsidRPr="001A6489" w:rsidRDefault="00A04AB4" w:rsidP="00A04AB4">
      <w:pPr>
        <w:pStyle w:val="CETBodytext"/>
      </w:pPr>
      <w:r w:rsidRPr="001A6489">
        <w:t>The optimal operating conditions for the MF unit shown in Fig. 3 were assessed by performing a rough-grade feasibility study as referred to a medium-size</w:t>
      </w:r>
      <w:r w:rsidR="00EA5F2D">
        <w:t>d</w:t>
      </w:r>
      <w:r w:rsidRPr="001A6489">
        <w:t xml:space="preserve"> brewery working for </w:t>
      </w:r>
      <w:r w:rsidR="00662F05">
        <w:rPr>
          <w:rFonts w:cs="Arial"/>
        </w:rPr>
        <w:t>Δ</w:t>
      </w:r>
      <w:r w:rsidRPr="001A6489">
        <w:rPr>
          <w:rFonts w:ascii="Symbol" w:hAnsi="Symbol"/>
        </w:rPr>
        <w:t></w:t>
      </w:r>
      <w:r w:rsidRPr="001A6489">
        <w:rPr>
          <w:vertAlign w:val="subscript"/>
        </w:rPr>
        <w:t>a</w:t>
      </w:r>
      <w:r w:rsidRPr="001A6489">
        <w:t>=300 days per annum in three shifts per day (</w:t>
      </w:r>
      <w:r w:rsidR="00662F05">
        <w:rPr>
          <w:rFonts w:cs="Arial"/>
        </w:rPr>
        <w:t>Δ</w:t>
      </w:r>
      <w:r w:rsidRPr="001A6489">
        <w:rPr>
          <w:rFonts w:ascii="Symbol" w:hAnsi="Symbol"/>
        </w:rPr>
        <w:t></w:t>
      </w:r>
      <w:r w:rsidRPr="001A6489">
        <w:rPr>
          <w:vertAlign w:val="subscript"/>
        </w:rPr>
        <w:t>d</w:t>
      </w:r>
      <w:r w:rsidRPr="001A6489">
        <w:t>=20 h day</w:t>
      </w:r>
      <w:r w:rsidRPr="001A6489">
        <w:rPr>
          <w:vertAlign w:val="superscript"/>
        </w:rPr>
        <w:t>-1</w:t>
      </w:r>
      <w:r w:rsidRPr="001A6489">
        <w:t>, including the membrane cleaning-in-place procedure), its total pale lager capacity (Q</w:t>
      </w:r>
      <w:r w:rsidRPr="001A6489">
        <w:rPr>
          <w:vertAlign w:val="subscript"/>
        </w:rPr>
        <w:t>B</w:t>
      </w:r>
      <w:r w:rsidRPr="001A6489">
        <w:t>) being about 1.1x10</w:t>
      </w:r>
      <w:r w:rsidRPr="001A6489">
        <w:rPr>
          <w:vertAlign w:val="superscript"/>
        </w:rPr>
        <w:t>5</w:t>
      </w:r>
      <w:r w:rsidRPr="001A6489">
        <w:t xml:space="preserve"> hL yr</w:t>
      </w:r>
      <w:r w:rsidRPr="001A6489">
        <w:rPr>
          <w:vertAlign w:val="superscript"/>
        </w:rPr>
        <w:t>-1</w:t>
      </w:r>
      <w:r w:rsidRPr="001A6489">
        <w:t>. The unit throughput (Q</w:t>
      </w:r>
      <w:r w:rsidRPr="001A6489">
        <w:rPr>
          <w:vertAlign w:val="subscript"/>
        </w:rPr>
        <w:t>CSRB</w:t>
      </w:r>
      <w:r w:rsidRPr="001A6489">
        <w:t>), amounting to ~18.3 hL h</w:t>
      </w:r>
      <w:r w:rsidRPr="001A6489">
        <w:rPr>
          <w:vertAlign w:val="superscript"/>
        </w:rPr>
        <w:t>-1</w:t>
      </w:r>
      <w:r w:rsidRPr="001A6489">
        <w:t>, was displaced by the centrifugal pump (PC1) to the storage tank (D), where its top pressure (P</w:t>
      </w:r>
      <w:r w:rsidRPr="001A6489">
        <w:rPr>
          <w:vertAlign w:val="subscript"/>
        </w:rPr>
        <w:t>in</w:t>
      </w:r>
      <w:r w:rsidRPr="001A6489">
        <w:t>) was kept practically coincident with the output pressure (P</w:t>
      </w:r>
      <w:r w:rsidRPr="001A6489">
        <w:rPr>
          <w:vertAlign w:val="subscript"/>
        </w:rPr>
        <w:t>R</w:t>
      </w:r>
      <w:r w:rsidRPr="001A6489">
        <w:t>) of the retentate exiting from the membrane module MM. The recycle centrifugal pump (PC2) allowed the pale lager to be recycled across MM. For each given set of v</w:t>
      </w:r>
      <w:r w:rsidRPr="001A6489">
        <w:rPr>
          <w:vertAlign w:val="subscript"/>
        </w:rPr>
        <w:t>s</w:t>
      </w:r>
      <w:r w:rsidRPr="001A6489">
        <w:t xml:space="preserve"> and P</w:t>
      </w:r>
      <w:r w:rsidRPr="001A6489">
        <w:rPr>
          <w:vertAlign w:val="subscript"/>
        </w:rPr>
        <w:t>F</w:t>
      </w:r>
      <w:r w:rsidRPr="001A6489">
        <w:t xml:space="preserve"> values, the total dynamic head of PC1 </w:t>
      </w:r>
      <w:r w:rsidR="00C1137B">
        <w:t>or</w:t>
      </w:r>
      <w:r w:rsidRPr="001A6489">
        <w:t xml:space="preserve"> PC2 w</w:t>
      </w:r>
      <w:r w:rsidR="00C1137B">
        <w:t>as</w:t>
      </w:r>
      <w:r w:rsidRPr="001A6489">
        <w:t xml:space="preserve"> estimated by accounting for the theoretical (</w:t>
      </w:r>
      <w:r w:rsidR="00662F05">
        <w:rPr>
          <w:rFonts w:cs="Arial"/>
        </w:rPr>
        <w:t>Δ</w:t>
      </w:r>
      <w:r w:rsidRPr="001A6489">
        <w:t>P</w:t>
      </w:r>
      <w:r w:rsidRPr="001A6489">
        <w:rPr>
          <w:vertAlign w:val="subscript"/>
        </w:rPr>
        <w:t>teo</w:t>
      </w:r>
      <w:r w:rsidRPr="001A6489">
        <w:t>) and effective (</w:t>
      </w:r>
      <w:r w:rsidRPr="001A6489">
        <w:rPr>
          <w:rFonts w:cs="Arial"/>
        </w:rPr>
        <w:t>~</w:t>
      </w:r>
      <w:r w:rsidRPr="001A6489">
        <w:t xml:space="preserve">3 </w:t>
      </w:r>
      <w:r w:rsidR="00662F05">
        <w:rPr>
          <w:rFonts w:cs="Arial"/>
        </w:rPr>
        <w:t>Δ</w:t>
      </w:r>
      <w:r w:rsidRPr="001A6489">
        <w:t>P</w:t>
      </w:r>
      <w:r w:rsidRPr="001A6489">
        <w:rPr>
          <w:vertAlign w:val="subscript"/>
        </w:rPr>
        <w:t>teo</w:t>
      </w:r>
      <w:r w:rsidRPr="001A6489">
        <w:t>) pressure drops across MM using the Darcy equation with the Fanning friction factor (f) evaluated as suggested by Toledo (2007). Once TMP had been estimated, J</w:t>
      </w:r>
      <w:r w:rsidRPr="001A6489">
        <w:rPr>
          <w:vertAlign w:val="subscript"/>
        </w:rPr>
        <w:t>ss</w:t>
      </w:r>
      <w:r w:rsidRPr="001A6489">
        <w:t xml:space="preserve"> was predicted via Eq.s (1)-(3), this allowing the estimation of the permeate (Q</w:t>
      </w:r>
      <w:r w:rsidRPr="001A6489">
        <w:rPr>
          <w:vertAlign w:val="subscript"/>
        </w:rPr>
        <w:t>P</w:t>
      </w:r>
      <w:r w:rsidRPr="001A6489">
        <w:t>), retentate (Q</w:t>
      </w:r>
      <w:r w:rsidRPr="001A6489">
        <w:rPr>
          <w:vertAlign w:val="subscript"/>
        </w:rPr>
        <w:t>R</w:t>
      </w:r>
      <w:r w:rsidRPr="001A6489">
        <w:t>) and feed (Q</w:t>
      </w:r>
      <w:r w:rsidRPr="001A6489">
        <w:rPr>
          <w:vertAlign w:val="subscript"/>
        </w:rPr>
        <w:t>F</w:t>
      </w:r>
      <w:r w:rsidRPr="001A6489">
        <w:t>) flow rates together with the overall membrane surface area (A</w:t>
      </w:r>
      <w:r w:rsidRPr="001A6489">
        <w:rPr>
          <w:vertAlign w:val="subscript"/>
        </w:rPr>
        <w:t>m</w:t>
      </w:r>
      <w:r w:rsidRPr="001A6489">
        <w:t>) of MM using a 10% correction factor for safety overdesign. The bare investment costs for the ceramic HF membrane insert (C</w:t>
      </w:r>
      <w:r w:rsidRPr="001A6489">
        <w:rPr>
          <w:vertAlign w:val="subscript"/>
        </w:rPr>
        <w:t>m</w:t>
      </w:r>
      <w:r w:rsidRPr="001A6489">
        <w:t>) and stainless steel housing (C</w:t>
      </w:r>
      <w:r w:rsidRPr="001A6489">
        <w:rPr>
          <w:vertAlign w:val="subscript"/>
        </w:rPr>
        <w:t>h</w:t>
      </w:r>
      <w:r w:rsidRPr="001A6489">
        <w:t xml:space="preserve">) were supplied by Ng (2014), as referred to the membrane modules </w:t>
      </w:r>
      <w:r w:rsidR="00662F05">
        <w:t xml:space="preserve">supplied </w:t>
      </w:r>
      <w:r w:rsidRPr="001A6489">
        <w:t xml:space="preserve">by </w:t>
      </w:r>
      <w:r w:rsidR="00E60C78" w:rsidRPr="00E60C78">
        <w:t>Hyflux Membrane Manufacturing</w:t>
      </w:r>
      <w:r w:rsidR="00E60C78">
        <w:t xml:space="preserve"> (</w:t>
      </w:r>
      <w:r w:rsidR="00E60C78" w:rsidRPr="00E60C78">
        <w:t>2015</w:t>
      </w:r>
      <w:r w:rsidRPr="001A6489">
        <w:t>)</w:t>
      </w:r>
      <w:r w:rsidR="00E60C78">
        <w:t>,</w:t>
      </w:r>
      <w:r w:rsidRPr="001A6489">
        <w:t xml:space="preserve"> and then correlated to A</w:t>
      </w:r>
      <w:r w:rsidRPr="001A6489">
        <w:rPr>
          <w:vertAlign w:val="subscript"/>
        </w:rPr>
        <w:t>m</w:t>
      </w:r>
      <w:r w:rsidRPr="001A6489">
        <w:t xml:space="preserve">. Those for the stainless steel centrifugal pumps, including the base plates, driving couplings and electric drivers, were derived from Corripio et al. (1982) and updated using the actual Chemical Engineering (CE) Indices for pumps and compressors and electrical equipment (Anon., 2018). Then, the auxiliary costs (e.g., instruments, piping and valves, painting and insulation, civil work, electrical, and installation) needed to install such equipment were evaluated using the total module cost factors suggested by Guthrie (1969). The overall operating costs of the MF unit </w:t>
      </w:r>
      <w:r w:rsidR="0018029F" w:rsidRPr="001A6489">
        <w:t>comprised</w:t>
      </w:r>
      <w:r w:rsidRPr="001A6489">
        <w:t xml:space="preserve"> the investment-related (C</w:t>
      </w:r>
      <w:r w:rsidRPr="001A6489">
        <w:rPr>
          <w:vertAlign w:val="subscript"/>
        </w:rPr>
        <w:t>Io</w:t>
      </w:r>
      <w:r w:rsidRPr="001A6489">
        <w:t>), utility (C</w:t>
      </w:r>
      <w:r w:rsidRPr="001A6489">
        <w:rPr>
          <w:vertAlign w:val="subscript"/>
        </w:rPr>
        <w:t>Uo</w:t>
      </w:r>
      <w:r w:rsidRPr="001A6489">
        <w:t>), and labor (C</w:t>
      </w:r>
      <w:r w:rsidRPr="001A6489">
        <w:rPr>
          <w:vertAlign w:val="subscript"/>
        </w:rPr>
        <w:t>Lo</w:t>
      </w:r>
      <w:r w:rsidRPr="001A6489">
        <w:t>) costs. C</w:t>
      </w:r>
      <w:r w:rsidRPr="001A6489">
        <w:rPr>
          <w:vertAlign w:val="subscript"/>
        </w:rPr>
        <w:t>Uo</w:t>
      </w:r>
      <w:r w:rsidRPr="001A6489">
        <w:t xml:space="preserve"> included the electric power costs only, the specific electrical power cost (c</w:t>
      </w:r>
      <w:r w:rsidRPr="001A6489">
        <w:rPr>
          <w:vertAlign w:val="subscript"/>
        </w:rPr>
        <w:t>ep</w:t>
      </w:r>
      <w:r w:rsidRPr="001A6489">
        <w:t>) coinciding with the average one (0.1872 € kWh</w:t>
      </w:r>
      <w:r w:rsidRPr="001A6489">
        <w:rPr>
          <w:vertAlign w:val="superscript"/>
        </w:rPr>
        <w:t>-1</w:t>
      </w:r>
      <w:r w:rsidRPr="001A6489">
        <w:t>) in Italy in 2018 (Confartigianato Imprese, 2018). C</w:t>
      </w:r>
      <w:r w:rsidRPr="001A6489">
        <w:rPr>
          <w:vertAlign w:val="subscript"/>
        </w:rPr>
        <w:t>Lo</w:t>
      </w:r>
      <w:r w:rsidRPr="001A6489">
        <w:t xml:space="preserve"> was evaluated </w:t>
      </w:r>
      <w:r w:rsidR="00B06A99">
        <w:t>by ass</w:t>
      </w:r>
      <w:r w:rsidR="00E60C78">
        <w:t xml:space="preserve">igning </w:t>
      </w:r>
      <w:r w:rsidRPr="001A6489">
        <w:t xml:space="preserve">one fourth </w:t>
      </w:r>
      <w:r w:rsidR="00E60C78">
        <w:t xml:space="preserve">of </w:t>
      </w:r>
      <w:r w:rsidRPr="001A6489">
        <w:t xml:space="preserve">skilled worker per shift </w:t>
      </w:r>
      <w:r w:rsidR="00E60C78">
        <w:t>to drive the MF unit</w:t>
      </w:r>
      <w:r w:rsidRPr="001A6489">
        <w:t xml:space="preserve"> at 30 k€ per year on </w:t>
      </w:r>
      <w:r w:rsidR="0018029F">
        <w:t xml:space="preserve">three </w:t>
      </w:r>
      <w:r w:rsidRPr="001A6489">
        <w:t xml:space="preserve">(plus a replacement) shifts per day. Finally, the ancillary material costs (as due to the consumption of tap water and cleaning-in-place solutions to clean and rinse </w:t>
      </w:r>
      <w:r w:rsidR="00E60C78">
        <w:t>the membrane modules,</w:t>
      </w:r>
      <w:r w:rsidRPr="001A6489">
        <w:t xml:space="preserve"> and energy for CIP solution cooling, heating and pumping) were for the sake of simplicity disregarded with respect to C</w:t>
      </w:r>
      <w:r w:rsidRPr="001A6489">
        <w:rPr>
          <w:vertAlign w:val="subscript"/>
        </w:rPr>
        <w:t>Uo</w:t>
      </w:r>
      <w:r w:rsidRPr="001A6489">
        <w:t>. All the equations and parameters used to evaluate the investment (C</w:t>
      </w:r>
      <w:r w:rsidRPr="001A6489">
        <w:rPr>
          <w:vertAlign w:val="subscript"/>
        </w:rPr>
        <w:t>I</w:t>
      </w:r>
      <w:r w:rsidRPr="001A6489">
        <w:t>) and specific operating (c</w:t>
      </w:r>
      <w:r w:rsidRPr="001A6489">
        <w:rPr>
          <w:vertAlign w:val="subscript"/>
        </w:rPr>
        <w:t>o</w:t>
      </w:r>
      <w:r w:rsidRPr="001A6489">
        <w:t>) costs of such a MF unit are</w:t>
      </w:r>
      <w:r w:rsidR="00B06A99">
        <w:t xml:space="preserve"> </w:t>
      </w:r>
      <w:r w:rsidR="00E60C78">
        <w:t xml:space="preserve">listed </w:t>
      </w:r>
      <w:r w:rsidRPr="001A6489">
        <w:t>in Table 1.</w:t>
      </w:r>
    </w:p>
    <w:p w:rsidR="002D5239" w:rsidRPr="001A6489" w:rsidRDefault="002D5239" w:rsidP="00E10B89">
      <w:pPr>
        <w:pStyle w:val="CETBodytext"/>
      </w:pPr>
    </w:p>
    <w:p w:rsidR="006F3272" w:rsidRPr="003D183C" w:rsidRDefault="006F3272" w:rsidP="00EA5F2D">
      <w:pPr>
        <w:pStyle w:val="CETTabletitle"/>
        <w:spacing w:before="120" w:after="120" w:line="264" w:lineRule="auto"/>
        <w:rPr>
          <w:lang w:val="en-US"/>
        </w:rPr>
      </w:pPr>
      <w:r w:rsidRPr="001A6489">
        <w:rPr>
          <w:lang w:val="en-US"/>
        </w:rPr>
        <w:lastRenderedPageBreak/>
        <w:t>Table 1: Evaluation of the operating costs of a clarification unit equipped with 0.8-</w:t>
      </w:r>
      <w:r w:rsidR="0018029F">
        <w:rPr>
          <w:rFonts w:cs="Arial"/>
          <w:lang w:val="en-US"/>
        </w:rPr>
        <w:t>µ</w:t>
      </w:r>
      <w:r w:rsidRPr="001A6489">
        <w:rPr>
          <w:lang w:val="en-US"/>
        </w:rPr>
        <w:t>m ceramic HF membrane modules type MM5 (</w:t>
      </w:r>
      <w:r w:rsidR="004B5FBD">
        <w:rPr>
          <w:lang w:val="en-US"/>
        </w:rPr>
        <w:t>a</w:t>
      </w:r>
      <w:r w:rsidRPr="001A6489">
        <w:rPr>
          <w:vertAlign w:val="subscript"/>
          <w:lang w:val="en-US"/>
        </w:rPr>
        <w:t>m</w:t>
      </w:r>
      <w:r w:rsidRPr="001A6489">
        <w:rPr>
          <w:lang w:val="en-US"/>
        </w:rPr>
        <w:t>=5 m</w:t>
      </w:r>
      <w:r w:rsidRPr="001A6489">
        <w:rPr>
          <w:vertAlign w:val="superscript"/>
          <w:lang w:val="en-US"/>
        </w:rPr>
        <w:t>2</w:t>
      </w:r>
      <w:r w:rsidRPr="001A6489">
        <w:rPr>
          <w:lang w:val="en-US"/>
        </w:rPr>
        <w:t>; d</w:t>
      </w:r>
      <w:r w:rsidRPr="001A6489">
        <w:rPr>
          <w:vertAlign w:val="subscript"/>
          <w:lang w:val="en-US"/>
        </w:rPr>
        <w:t>HF</w:t>
      </w:r>
      <w:r w:rsidRPr="001A6489">
        <w:rPr>
          <w:lang w:val="en-US"/>
        </w:rPr>
        <w:t>=3 mm; L</w:t>
      </w:r>
      <w:r w:rsidRPr="001A6489">
        <w:rPr>
          <w:vertAlign w:val="subscript"/>
          <w:lang w:val="en-US"/>
        </w:rPr>
        <w:t>HF</w:t>
      </w:r>
      <w:r w:rsidRPr="001A6489">
        <w:rPr>
          <w:lang w:val="en-US"/>
        </w:rPr>
        <w:t>=0.439 m; n</w:t>
      </w:r>
      <w:r w:rsidRPr="001A6489">
        <w:rPr>
          <w:vertAlign w:val="subscript"/>
          <w:lang w:val="en-US"/>
        </w:rPr>
        <w:t>HF</w:t>
      </w:r>
      <w:r w:rsidRPr="001A6489">
        <w:rPr>
          <w:lang w:val="en-US"/>
        </w:rPr>
        <w:t>=1,800</w:t>
      </w:r>
      <w:r w:rsidR="0082403B">
        <w:rPr>
          <w:lang w:val="en-US"/>
        </w:rPr>
        <w:t>:</w:t>
      </w:r>
      <w:r w:rsidRPr="001A6489">
        <w:rPr>
          <w:lang w:val="en-US"/>
        </w:rPr>
        <w:t xml:space="preserve"> </w:t>
      </w:r>
      <w:r w:rsidRPr="003D183C">
        <w:rPr>
          <w:lang w:val="en-US"/>
        </w:rPr>
        <w:t xml:space="preserve">Hyflux </w:t>
      </w:r>
      <w:r w:rsidR="003D183C" w:rsidRPr="003D183C">
        <w:rPr>
          <w:szCs w:val="18"/>
        </w:rPr>
        <w:t>Membrane Manufacturing, 2015</w:t>
      </w:r>
      <w:r w:rsidRPr="003D183C">
        <w:rPr>
          <w:lang w:val="en-US"/>
        </w:rPr>
        <w:t>).</w:t>
      </w:r>
    </w:p>
    <w:tbl>
      <w:tblPr>
        <w:tblW w:w="0" w:type="auto"/>
        <w:shd w:val="clear" w:color="auto" w:fill="FFFFFF"/>
        <w:tblCellMar>
          <w:left w:w="0" w:type="dxa"/>
          <w:right w:w="0" w:type="dxa"/>
        </w:tblCellMar>
        <w:tblLook w:val="00A0" w:firstRow="1" w:lastRow="0" w:firstColumn="1" w:lastColumn="0" w:noHBand="0" w:noVBand="0"/>
      </w:tblPr>
      <w:tblGrid>
        <w:gridCol w:w="3114"/>
        <w:gridCol w:w="5528"/>
      </w:tblGrid>
      <w:tr w:rsidR="006F3272" w:rsidRPr="001A6489" w:rsidTr="006F3272">
        <w:tc>
          <w:tcPr>
            <w:tcW w:w="3114" w:type="dxa"/>
            <w:tcBorders>
              <w:top w:val="single" w:sz="4" w:space="0" w:color="auto"/>
              <w:bottom w:val="single" w:sz="4" w:space="0" w:color="auto"/>
            </w:tcBorders>
            <w:shd w:val="clear" w:color="auto" w:fill="FFFFFF"/>
          </w:tcPr>
          <w:p w:rsidR="006F3272" w:rsidRPr="001A6489" w:rsidRDefault="006F3272" w:rsidP="00173D63">
            <w:pPr>
              <w:pStyle w:val="CETBodytext"/>
              <w:rPr>
                <w:b/>
              </w:rPr>
            </w:pPr>
            <w:r w:rsidRPr="001A6489">
              <w:rPr>
                <w:b/>
              </w:rPr>
              <w:t>Parameter</w:t>
            </w:r>
          </w:p>
        </w:tc>
        <w:tc>
          <w:tcPr>
            <w:tcW w:w="5528" w:type="dxa"/>
            <w:tcBorders>
              <w:top w:val="single" w:sz="4" w:space="0" w:color="auto"/>
              <w:bottom w:val="single" w:sz="4" w:space="0" w:color="auto"/>
            </w:tcBorders>
            <w:shd w:val="clear" w:color="auto" w:fill="FFFFFF"/>
          </w:tcPr>
          <w:p w:rsidR="006F3272" w:rsidRPr="001A6489" w:rsidRDefault="006F3272" w:rsidP="00173D63">
            <w:pPr>
              <w:pStyle w:val="CETBodytext"/>
              <w:rPr>
                <w:b/>
              </w:rPr>
            </w:pPr>
            <w:r w:rsidRPr="001A6489">
              <w:rPr>
                <w:b/>
              </w:rPr>
              <w:t>Equation or Value</w:t>
            </w:r>
          </w:p>
        </w:tc>
      </w:tr>
      <w:tr w:rsidR="006F3272" w:rsidRPr="001A6489" w:rsidTr="006F3272">
        <w:tc>
          <w:tcPr>
            <w:tcW w:w="3114" w:type="dxa"/>
            <w:tcBorders>
              <w:top w:val="single" w:sz="4" w:space="0" w:color="auto"/>
            </w:tcBorders>
            <w:shd w:val="clear" w:color="auto" w:fill="FFFFFF"/>
          </w:tcPr>
          <w:p w:rsidR="006F3272" w:rsidRPr="001A6489" w:rsidRDefault="006F3272" w:rsidP="00173D63">
            <w:pPr>
              <w:pStyle w:val="CETBodytext"/>
            </w:pPr>
            <w:r w:rsidRPr="001A6489">
              <w:t>Theoretical pressure drop (Pa)</w:t>
            </w:r>
          </w:p>
        </w:tc>
        <w:tc>
          <w:tcPr>
            <w:tcW w:w="5528" w:type="dxa"/>
            <w:tcBorders>
              <w:top w:val="single" w:sz="4" w:space="0" w:color="auto"/>
            </w:tcBorders>
            <w:shd w:val="clear" w:color="auto" w:fill="FFFFFF"/>
          </w:tcPr>
          <w:p w:rsidR="006F3272" w:rsidRPr="001A6489" w:rsidRDefault="0018029F" w:rsidP="00173D63">
            <w:pPr>
              <w:pStyle w:val="CETBodytext"/>
              <w:tabs>
                <w:tab w:val="clear" w:pos="7100"/>
                <w:tab w:val="left" w:pos="6804"/>
              </w:tabs>
            </w:pPr>
            <w:r>
              <w:rPr>
                <w:rFonts w:cs="Arial"/>
              </w:rPr>
              <w:t>Δ</w:t>
            </w:r>
            <w:r w:rsidR="006F3272" w:rsidRPr="001A6489">
              <w:t>P</w:t>
            </w:r>
            <w:r w:rsidR="006F3272" w:rsidRPr="001A6489">
              <w:rPr>
                <w:vertAlign w:val="subscript"/>
              </w:rPr>
              <w:t>teo</w:t>
            </w:r>
            <w:r w:rsidR="006F3272" w:rsidRPr="001A6489">
              <w:t xml:space="preserve">=2 f </w:t>
            </w:r>
            <w:r w:rsidR="006F3272" w:rsidRPr="001A6489">
              <w:rPr>
                <w:rFonts w:ascii="Symbol" w:hAnsi="Symbol"/>
              </w:rPr>
              <w:t></w:t>
            </w:r>
            <w:r w:rsidR="006F3272" w:rsidRPr="001A6489">
              <w:rPr>
                <w:vertAlign w:val="subscript"/>
              </w:rPr>
              <w:t>R</w:t>
            </w:r>
            <w:r w:rsidR="006F3272" w:rsidRPr="001A6489">
              <w:t xml:space="preserve"> (v</w:t>
            </w:r>
            <w:r w:rsidR="006F3272" w:rsidRPr="001A6489">
              <w:rPr>
                <w:vertAlign w:val="subscript"/>
              </w:rPr>
              <w:t>S</w:t>
            </w:r>
            <w:r w:rsidR="006F3272" w:rsidRPr="001A6489">
              <w:t>)</w:t>
            </w:r>
            <w:r w:rsidR="006F3272" w:rsidRPr="001A6489">
              <w:rPr>
                <w:vertAlign w:val="superscript"/>
              </w:rPr>
              <w:t>2</w:t>
            </w:r>
            <w:r w:rsidR="006F3272" w:rsidRPr="001A6489">
              <w:t xml:space="preserve"> L</w:t>
            </w:r>
            <w:r w:rsidR="006F3272" w:rsidRPr="001A6489">
              <w:rPr>
                <w:vertAlign w:val="subscript"/>
              </w:rPr>
              <w:t>HF</w:t>
            </w:r>
            <w:r w:rsidR="006F3272" w:rsidRPr="001A6489">
              <w:t>/d</w:t>
            </w:r>
            <w:r w:rsidR="006F3272" w:rsidRPr="001A6489">
              <w:rPr>
                <w:vertAlign w:val="subscript"/>
              </w:rPr>
              <w:t>HF</w:t>
            </w:r>
          </w:p>
        </w:tc>
      </w:tr>
      <w:tr w:rsidR="006F3272" w:rsidRPr="001A6489" w:rsidTr="006F3272">
        <w:tc>
          <w:tcPr>
            <w:tcW w:w="3114" w:type="dxa"/>
            <w:shd w:val="clear" w:color="auto" w:fill="FFFFFF"/>
          </w:tcPr>
          <w:p w:rsidR="006F3272" w:rsidRPr="001A6489" w:rsidRDefault="006F3272" w:rsidP="00173D63">
            <w:pPr>
              <w:pStyle w:val="CETBodytext"/>
            </w:pPr>
            <w:r w:rsidRPr="001A6489">
              <w:t>Reynolds number (-)</w:t>
            </w:r>
          </w:p>
        </w:tc>
        <w:tc>
          <w:tcPr>
            <w:tcW w:w="5528" w:type="dxa"/>
            <w:shd w:val="clear" w:color="auto" w:fill="FFFFFF"/>
          </w:tcPr>
          <w:p w:rsidR="006F3272" w:rsidRPr="001A6489" w:rsidRDefault="006F3272" w:rsidP="0018029F">
            <w:pPr>
              <w:pStyle w:val="CETBodytext"/>
              <w:tabs>
                <w:tab w:val="clear" w:pos="7100"/>
                <w:tab w:val="left" w:pos="3969"/>
              </w:tabs>
            </w:pPr>
            <w:r w:rsidRPr="001A6489">
              <w:t xml:space="preserve">Re = </w:t>
            </w:r>
            <w:r w:rsidR="0018029F">
              <w:rPr>
                <w:rFonts w:cs="Arial"/>
              </w:rPr>
              <w:t>ρ</w:t>
            </w:r>
            <w:r w:rsidRPr="001A6489">
              <w:rPr>
                <w:vertAlign w:val="subscript"/>
              </w:rPr>
              <w:t>B</w:t>
            </w:r>
            <w:r w:rsidRPr="001A6489">
              <w:t xml:space="preserve"> v</w:t>
            </w:r>
            <w:r w:rsidRPr="001A6489">
              <w:rPr>
                <w:vertAlign w:val="subscript"/>
              </w:rPr>
              <w:t>S</w:t>
            </w:r>
            <w:r w:rsidRPr="001A6489">
              <w:t xml:space="preserve"> d</w:t>
            </w:r>
            <w:r w:rsidRPr="001A6489">
              <w:rPr>
                <w:vertAlign w:val="subscript"/>
              </w:rPr>
              <w:t>HF</w:t>
            </w:r>
            <w:r w:rsidRPr="001A6489">
              <w:t>/</w:t>
            </w:r>
            <w:r w:rsidR="0018029F">
              <w:rPr>
                <w:rFonts w:cs="Arial"/>
              </w:rPr>
              <w:t>η</w:t>
            </w:r>
          </w:p>
        </w:tc>
      </w:tr>
      <w:tr w:rsidR="006F3272" w:rsidRPr="001A6489" w:rsidTr="006F3272">
        <w:tc>
          <w:tcPr>
            <w:tcW w:w="3114" w:type="dxa"/>
            <w:shd w:val="clear" w:color="auto" w:fill="FFFFFF"/>
          </w:tcPr>
          <w:p w:rsidR="006F3272" w:rsidRPr="001A6489" w:rsidRDefault="006F3272" w:rsidP="00173D63">
            <w:pPr>
              <w:pStyle w:val="CETBodytext"/>
            </w:pPr>
            <w:r w:rsidRPr="001A6489">
              <w:t>Fanning friction factor (-)</w:t>
            </w:r>
          </w:p>
        </w:tc>
        <w:tc>
          <w:tcPr>
            <w:tcW w:w="5528" w:type="dxa"/>
            <w:shd w:val="clear" w:color="auto" w:fill="FFFFFF"/>
          </w:tcPr>
          <w:p w:rsidR="006F3272" w:rsidRPr="001A6489" w:rsidRDefault="006F3272" w:rsidP="00173D63">
            <w:pPr>
              <w:pStyle w:val="CETBodytext"/>
              <w:tabs>
                <w:tab w:val="clear" w:pos="7100"/>
                <w:tab w:val="left" w:pos="3969"/>
              </w:tabs>
            </w:pPr>
            <w:r w:rsidRPr="001A6489">
              <w:t xml:space="preserve">f=16/Re                    </w:t>
            </w:r>
            <w:r w:rsidRPr="001A6489">
              <w:tab/>
              <w:t>for Re</w:t>
            </w:r>
            <w:r w:rsidRPr="001A6489">
              <w:rPr>
                <w:rFonts w:ascii="Symbol" w:hAnsi="Symbol"/>
              </w:rPr>
              <w:t></w:t>
            </w:r>
            <w:r w:rsidRPr="001A6489">
              <w:t>2,100</w:t>
            </w:r>
          </w:p>
        </w:tc>
      </w:tr>
      <w:tr w:rsidR="006F3272" w:rsidRPr="001A6489" w:rsidTr="006F3272">
        <w:tc>
          <w:tcPr>
            <w:tcW w:w="3114" w:type="dxa"/>
            <w:shd w:val="clear" w:color="auto" w:fill="FFFFFF"/>
          </w:tcPr>
          <w:p w:rsidR="006F3272" w:rsidRPr="001A6489" w:rsidRDefault="006F3272" w:rsidP="00173D63">
            <w:pPr>
              <w:pStyle w:val="CETBodytext"/>
            </w:pPr>
          </w:p>
        </w:tc>
        <w:tc>
          <w:tcPr>
            <w:tcW w:w="5528" w:type="dxa"/>
            <w:shd w:val="clear" w:color="auto" w:fill="FFFFFF"/>
          </w:tcPr>
          <w:p w:rsidR="006F3272" w:rsidRPr="001A6489" w:rsidRDefault="006F3272" w:rsidP="00173D63">
            <w:pPr>
              <w:pStyle w:val="CETBodytext"/>
              <w:tabs>
                <w:tab w:val="clear" w:pos="7100"/>
                <w:tab w:val="left" w:pos="3969"/>
              </w:tabs>
            </w:pPr>
            <w:r w:rsidRPr="001A6489">
              <w:t>f=0.193 Re</w:t>
            </w:r>
            <w:r w:rsidRPr="001A6489">
              <w:rPr>
                <w:vertAlign w:val="superscript"/>
              </w:rPr>
              <w:t>−0.35</w:t>
            </w:r>
            <w:r w:rsidRPr="001A6489">
              <w:t xml:space="preserve">         </w:t>
            </w:r>
            <w:r w:rsidRPr="001A6489">
              <w:tab/>
              <w:t>for 3x10</w:t>
            </w:r>
            <w:r w:rsidRPr="001A6489">
              <w:rPr>
                <w:vertAlign w:val="superscript"/>
              </w:rPr>
              <w:t>3</w:t>
            </w:r>
            <w:r w:rsidRPr="001A6489">
              <w:t>&lt;Re&lt;10</w:t>
            </w:r>
            <w:r w:rsidRPr="001A6489">
              <w:rPr>
                <w:vertAlign w:val="superscript"/>
              </w:rPr>
              <w:t>4</w:t>
            </w:r>
          </w:p>
        </w:tc>
      </w:tr>
      <w:tr w:rsidR="006F3272" w:rsidRPr="001A6489" w:rsidTr="006F3272">
        <w:tc>
          <w:tcPr>
            <w:tcW w:w="3114" w:type="dxa"/>
            <w:shd w:val="clear" w:color="auto" w:fill="FFFFFF"/>
          </w:tcPr>
          <w:p w:rsidR="006F3272" w:rsidRPr="001A6489" w:rsidRDefault="006F3272" w:rsidP="00173D63">
            <w:pPr>
              <w:pStyle w:val="CETBodytext"/>
            </w:pPr>
          </w:p>
        </w:tc>
        <w:tc>
          <w:tcPr>
            <w:tcW w:w="5528" w:type="dxa"/>
            <w:shd w:val="clear" w:color="auto" w:fill="FFFFFF"/>
          </w:tcPr>
          <w:p w:rsidR="006F3272" w:rsidRPr="001A6489" w:rsidRDefault="006F3272" w:rsidP="00173D63">
            <w:pPr>
              <w:pStyle w:val="CETBodytext"/>
              <w:tabs>
                <w:tab w:val="clear" w:pos="7100"/>
                <w:tab w:val="left" w:pos="3969"/>
              </w:tabs>
            </w:pPr>
            <w:r w:rsidRPr="001A6489">
              <w:t>f=0.048 Re</w:t>
            </w:r>
            <w:r w:rsidRPr="001A6489">
              <w:rPr>
                <w:vertAlign w:val="superscript"/>
              </w:rPr>
              <w:t>-0.20</w:t>
            </w:r>
            <w:r w:rsidRPr="001A6489">
              <w:t xml:space="preserve">          </w:t>
            </w:r>
            <w:r w:rsidRPr="001A6489">
              <w:tab/>
              <w:t>for 10</w:t>
            </w:r>
            <w:r w:rsidRPr="001A6489">
              <w:rPr>
                <w:vertAlign w:val="superscript"/>
              </w:rPr>
              <w:t>4</w:t>
            </w:r>
            <w:r w:rsidRPr="001A6489">
              <w:t>&lt;Re&lt;10</w:t>
            </w:r>
            <w:r w:rsidRPr="001A6489">
              <w:rPr>
                <w:vertAlign w:val="superscript"/>
              </w:rPr>
              <w:t>6</w:t>
            </w:r>
          </w:p>
        </w:tc>
      </w:tr>
      <w:tr w:rsidR="006F3272" w:rsidRPr="00585994" w:rsidTr="006F3272">
        <w:tc>
          <w:tcPr>
            <w:tcW w:w="3114" w:type="dxa"/>
            <w:shd w:val="clear" w:color="auto" w:fill="FFFFFF"/>
          </w:tcPr>
          <w:p w:rsidR="006F3272" w:rsidRPr="001A6489" w:rsidRDefault="006F3272" w:rsidP="00173D63">
            <w:pPr>
              <w:pStyle w:val="CETBodytext"/>
            </w:pPr>
            <w:r w:rsidRPr="001A6489">
              <w:t>PC1 dynamic head (m)</w:t>
            </w:r>
          </w:p>
        </w:tc>
        <w:tc>
          <w:tcPr>
            <w:tcW w:w="5528" w:type="dxa"/>
            <w:shd w:val="clear" w:color="auto" w:fill="FFFFFF"/>
          </w:tcPr>
          <w:p w:rsidR="006F3272" w:rsidRPr="003A71FC" w:rsidRDefault="006F3272" w:rsidP="0018029F">
            <w:pPr>
              <w:pStyle w:val="CETBodytext"/>
              <w:tabs>
                <w:tab w:val="clear" w:pos="7100"/>
                <w:tab w:val="left" w:pos="3969"/>
              </w:tabs>
              <w:rPr>
                <w:lang w:val="fr-FR"/>
              </w:rPr>
            </w:pPr>
            <w:r w:rsidRPr="003A71FC">
              <w:rPr>
                <w:lang w:val="fr-FR"/>
              </w:rPr>
              <w:t>H</w:t>
            </w:r>
            <w:r w:rsidRPr="003A71FC">
              <w:rPr>
                <w:vertAlign w:val="subscript"/>
                <w:lang w:val="fr-FR"/>
              </w:rPr>
              <w:t>PC1</w:t>
            </w:r>
            <w:r w:rsidRPr="003A71FC">
              <w:rPr>
                <w:lang w:val="fr-FR"/>
              </w:rPr>
              <w:t>=(P</w:t>
            </w:r>
            <w:r w:rsidRPr="003A71FC">
              <w:rPr>
                <w:vertAlign w:val="subscript"/>
                <w:lang w:val="fr-FR"/>
              </w:rPr>
              <w:t>R</w:t>
            </w:r>
            <w:r w:rsidRPr="003A71FC">
              <w:rPr>
                <w:lang w:val="fr-FR"/>
              </w:rPr>
              <w:t>-P</w:t>
            </w:r>
            <w:r w:rsidRPr="003A71FC">
              <w:rPr>
                <w:vertAlign w:val="subscript"/>
                <w:lang w:val="fr-FR"/>
              </w:rPr>
              <w:t>atm</w:t>
            </w:r>
            <w:r w:rsidRPr="003A71FC">
              <w:rPr>
                <w:lang w:val="fr-FR"/>
              </w:rPr>
              <w:t>)/(</w:t>
            </w:r>
            <w:r w:rsidR="0018029F">
              <w:rPr>
                <w:rFonts w:cs="Arial"/>
              </w:rPr>
              <w:t>ρ</w:t>
            </w:r>
            <w:r w:rsidRPr="003A71FC">
              <w:rPr>
                <w:vertAlign w:val="subscript"/>
                <w:lang w:val="fr-FR"/>
              </w:rPr>
              <w:t>B</w:t>
            </w:r>
            <w:r w:rsidRPr="003A71FC">
              <w:rPr>
                <w:lang w:val="fr-FR"/>
              </w:rPr>
              <w:t xml:space="preserve"> g)</w:t>
            </w:r>
          </w:p>
        </w:tc>
      </w:tr>
      <w:tr w:rsidR="006F3272" w:rsidRPr="001A6489" w:rsidTr="006F3272">
        <w:tc>
          <w:tcPr>
            <w:tcW w:w="3114" w:type="dxa"/>
            <w:shd w:val="clear" w:color="auto" w:fill="FFFFFF"/>
          </w:tcPr>
          <w:p w:rsidR="006F3272" w:rsidRPr="001A6489" w:rsidRDefault="006F3272" w:rsidP="00173D63">
            <w:pPr>
              <w:pStyle w:val="CETBodytext"/>
            </w:pPr>
            <w:r w:rsidRPr="001A6489">
              <w:t>PC2 dynamic head (m)</w:t>
            </w:r>
          </w:p>
        </w:tc>
        <w:tc>
          <w:tcPr>
            <w:tcW w:w="5528" w:type="dxa"/>
            <w:shd w:val="clear" w:color="auto" w:fill="FFFFFF"/>
          </w:tcPr>
          <w:p w:rsidR="006F3272" w:rsidRPr="001A6489" w:rsidRDefault="006F3272" w:rsidP="0018029F">
            <w:pPr>
              <w:pStyle w:val="CETBodytext"/>
              <w:tabs>
                <w:tab w:val="clear" w:pos="7100"/>
                <w:tab w:val="left" w:pos="3969"/>
              </w:tabs>
              <w:jc w:val="left"/>
            </w:pPr>
            <w:r w:rsidRPr="001A6489">
              <w:t>H</w:t>
            </w:r>
            <w:r w:rsidRPr="001A6489">
              <w:rPr>
                <w:vertAlign w:val="subscript"/>
              </w:rPr>
              <w:t>PC2</w:t>
            </w:r>
            <w:r w:rsidRPr="001A6489">
              <w:t>=½ v</w:t>
            </w:r>
            <w:r w:rsidRPr="001A6489">
              <w:rPr>
                <w:vertAlign w:val="subscript"/>
              </w:rPr>
              <w:t>s</w:t>
            </w:r>
            <w:r w:rsidRPr="001A6489">
              <w:rPr>
                <w:vertAlign w:val="superscript"/>
              </w:rPr>
              <w:t>2</w:t>
            </w:r>
            <w:r w:rsidRPr="001A6489">
              <w:t>/g + (P</w:t>
            </w:r>
            <w:r w:rsidRPr="001A6489">
              <w:rPr>
                <w:vertAlign w:val="subscript"/>
              </w:rPr>
              <w:t>F</w:t>
            </w:r>
            <w:r w:rsidRPr="001A6489">
              <w:t>-P</w:t>
            </w:r>
            <w:r w:rsidRPr="001A6489">
              <w:rPr>
                <w:vertAlign w:val="subscript"/>
              </w:rPr>
              <w:t>atm</w:t>
            </w:r>
            <w:r w:rsidRPr="001A6489">
              <w:t xml:space="preserve">+3 </w:t>
            </w:r>
            <w:r w:rsidR="0018029F">
              <w:rPr>
                <w:rFonts w:cs="Arial"/>
              </w:rPr>
              <w:t>Δ</w:t>
            </w:r>
            <w:r w:rsidRPr="001A6489">
              <w:t>P</w:t>
            </w:r>
            <w:r w:rsidRPr="001A6489">
              <w:rPr>
                <w:vertAlign w:val="subscript"/>
              </w:rPr>
              <w:t>teo</w:t>
            </w:r>
            <w:r w:rsidRPr="001A6489">
              <w:t>)/(</w:t>
            </w:r>
            <w:r w:rsidR="0018029F">
              <w:rPr>
                <w:rFonts w:cs="Arial"/>
              </w:rPr>
              <w:t>ρ</w:t>
            </w:r>
            <w:r w:rsidRPr="001A6489">
              <w:rPr>
                <w:vertAlign w:val="subscript"/>
              </w:rPr>
              <w:t>B</w:t>
            </w:r>
            <w:r w:rsidRPr="001A6489">
              <w:t xml:space="preserve"> g)</w:t>
            </w:r>
          </w:p>
        </w:tc>
      </w:tr>
      <w:tr w:rsidR="006F3272" w:rsidRPr="001A6489" w:rsidTr="006F3272">
        <w:tc>
          <w:tcPr>
            <w:tcW w:w="3114" w:type="dxa"/>
            <w:shd w:val="clear" w:color="auto" w:fill="FFFFFF"/>
          </w:tcPr>
          <w:p w:rsidR="006F3272" w:rsidRPr="001A6489" w:rsidRDefault="006F3272" w:rsidP="00173D63">
            <w:pPr>
              <w:pStyle w:val="CETBodytext"/>
            </w:pPr>
            <w:r w:rsidRPr="001A6489">
              <w:t>Pressure at the retentate port (Pa)</w:t>
            </w:r>
          </w:p>
        </w:tc>
        <w:tc>
          <w:tcPr>
            <w:tcW w:w="5528" w:type="dxa"/>
            <w:shd w:val="clear" w:color="auto" w:fill="FFFFFF"/>
          </w:tcPr>
          <w:p w:rsidR="006F3272" w:rsidRPr="001A6489" w:rsidRDefault="006F3272" w:rsidP="00173D63">
            <w:pPr>
              <w:pStyle w:val="CETBodytext"/>
              <w:tabs>
                <w:tab w:val="clear" w:pos="7100"/>
                <w:tab w:val="left" w:pos="3969"/>
              </w:tabs>
            </w:pPr>
            <w:r w:rsidRPr="001A6489">
              <w:t>P</w:t>
            </w:r>
            <w:r w:rsidRPr="001A6489">
              <w:rPr>
                <w:vertAlign w:val="subscript"/>
              </w:rPr>
              <w:t>R</w:t>
            </w:r>
            <w:r w:rsidRPr="001A6489">
              <w:t>=P</w:t>
            </w:r>
            <w:r w:rsidRPr="001A6489">
              <w:rPr>
                <w:vertAlign w:val="subscript"/>
              </w:rPr>
              <w:t>F</w:t>
            </w:r>
            <w:r w:rsidRPr="001A6489">
              <w:t xml:space="preserve">-1.5 </w:t>
            </w:r>
            <w:r w:rsidR="0018029F">
              <w:rPr>
                <w:rFonts w:cs="Arial"/>
              </w:rPr>
              <w:t>Δ</w:t>
            </w:r>
            <w:r w:rsidRPr="001A6489">
              <w:t>P</w:t>
            </w:r>
            <w:r w:rsidRPr="001A6489">
              <w:rPr>
                <w:vertAlign w:val="subscript"/>
              </w:rPr>
              <w:t>teo</w:t>
            </w:r>
          </w:p>
        </w:tc>
      </w:tr>
      <w:tr w:rsidR="006F3272" w:rsidRPr="001A6489" w:rsidTr="006F3272">
        <w:tc>
          <w:tcPr>
            <w:tcW w:w="3114" w:type="dxa"/>
            <w:shd w:val="clear" w:color="auto" w:fill="FFFFFF"/>
          </w:tcPr>
          <w:p w:rsidR="006F3272" w:rsidRPr="001A6489" w:rsidRDefault="006F3272" w:rsidP="00173D63">
            <w:pPr>
              <w:pStyle w:val="CETBodytext"/>
            </w:pPr>
            <w:r w:rsidRPr="001A6489">
              <w:t>Permeate flow rate (L h</w:t>
            </w:r>
            <w:r w:rsidRPr="001A6489">
              <w:rPr>
                <w:vertAlign w:val="superscript"/>
              </w:rPr>
              <w:t>-1</w:t>
            </w:r>
            <w:r w:rsidRPr="001A6489">
              <w:t>)</w:t>
            </w:r>
          </w:p>
        </w:tc>
        <w:tc>
          <w:tcPr>
            <w:tcW w:w="5528" w:type="dxa"/>
            <w:shd w:val="clear" w:color="auto" w:fill="FFFFFF"/>
          </w:tcPr>
          <w:p w:rsidR="006F3272" w:rsidRPr="001A6489" w:rsidRDefault="006F3272" w:rsidP="00173D63">
            <w:pPr>
              <w:pStyle w:val="CETBodytext"/>
              <w:tabs>
                <w:tab w:val="clear" w:pos="7100"/>
                <w:tab w:val="left" w:pos="3969"/>
              </w:tabs>
            </w:pPr>
            <w:r w:rsidRPr="001A6489">
              <w:t>Q</w:t>
            </w:r>
            <w:r w:rsidRPr="001A6489">
              <w:rPr>
                <w:vertAlign w:val="subscript"/>
              </w:rPr>
              <w:t>P</w:t>
            </w:r>
            <w:r w:rsidRPr="001A6489">
              <w:t>=J</w:t>
            </w:r>
            <w:r w:rsidRPr="001A6489">
              <w:rPr>
                <w:vertAlign w:val="subscript"/>
              </w:rPr>
              <w:t>ss</w:t>
            </w:r>
            <w:r w:rsidRPr="001A6489">
              <w:t xml:space="preserve"> A</w:t>
            </w:r>
            <w:r w:rsidRPr="001A6489">
              <w:rPr>
                <w:vertAlign w:val="subscript"/>
              </w:rPr>
              <w:t>m</w:t>
            </w:r>
          </w:p>
        </w:tc>
      </w:tr>
      <w:tr w:rsidR="006F3272" w:rsidRPr="001A6489" w:rsidTr="006F3272">
        <w:tc>
          <w:tcPr>
            <w:tcW w:w="3114" w:type="dxa"/>
            <w:shd w:val="clear" w:color="auto" w:fill="FFFFFF"/>
          </w:tcPr>
          <w:p w:rsidR="006F3272" w:rsidRPr="001A6489" w:rsidRDefault="006F3272" w:rsidP="00173D63">
            <w:pPr>
              <w:pStyle w:val="CETBodytext"/>
            </w:pPr>
            <w:r w:rsidRPr="001A6489">
              <w:t>Retentate flow rate (L h</w:t>
            </w:r>
            <w:r w:rsidRPr="001A6489">
              <w:rPr>
                <w:vertAlign w:val="superscript"/>
              </w:rPr>
              <w:t>-1</w:t>
            </w:r>
            <w:r w:rsidRPr="001A6489">
              <w:t>)</w:t>
            </w:r>
          </w:p>
        </w:tc>
        <w:tc>
          <w:tcPr>
            <w:tcW w:w="5528" w:type="dxa"/>
            <w:shd w:val="clear" w:color="auto" w:fill="FFFFFF"/>
          </w:tcPr>
          <w:p w:rsidR="006F3272" w:rsidRPr="00EA5F2D" w:rsidRDefault="006F3272" w:rsidP="0018029F">
            <w:pPr>
              <w:pStyle w:val="CETBodytext"/>
              <w:tabs>
                <w:tab w:val="clear" w:pos="7100"/>
                <w:tab w:val="left" w:pos="3969"/>
              </w:tabs>
            </w:pPr>
            <w:r w:rsidRPr="001A6489">
              <w:t>Q</w:t>
            </w:r>
            <w:r w:rsidRPr="001A6489">
              <w:rPr>
                <w:vertAlign w:val="subscript"/>
              </w:rPr>
              <w:t>R</w:t>
            </w:r>
            <w:r w:rsidRPr="001A6489">
              <w:t>=</w:t>
            </w:r>
            <w:r w:rsidR="00C22DE0" w:rsidRPr="00EA5F2D">
              <w:t>(</w:t>
            </w:r>
            <w:r w:rsidR="00C22DE0" w:rsidRPr="001A6489">
              <w:t>3.6x10</w:t>
            </w:r>
            <w:r w:rsidR="00C22DE0" w:rsidRPr="001A6489">
              <w:rPr>
                <w:vertAlign w:val="superscript"/>
              </w:rPr>
              <w:t>6</w:t>
            </w:r>
            <w:r w:rsidR="00C22DE0">
              <w:t>) (</w:t>
            </w:r>
            <w:r w:rsidR="0018029F">
              <w:rPr>
                <w:rFonts w:cs="Arial"/>
              </w:rPr>
              <w:t>π</w:t>
            </w:r>
            <w:r w:rsidR="00C22DE0">
              <w:rPr>
                <w:rFonts w:ascii="Symbol" w:hAnsi="Symbol"/>
              </w:rPr>
              <w:t></w:t>
            </w:r>
            <w:r w:rsidR="00C22DE0">
              <w:rPr>
                <w:rFonts w:ascii="Symbol" w:hAnsi="Symbol"/>
              </w:rPr>
              <w:t></w:t>
            </w:r>
            <w:r w:rsidR="00C22DE0">
              <w:rPr>
                <w:rFonts w:ascii="Symbol" w:hAnsi="Symbol"/>
              </w:rPr>
              <w:t></w:t>
            </w:r>
            <w:r w:rsidRPr="001A6489">
              <w:t xml:space="preserve"> (d</w:t>
            </w:r>
            <w:r w:rsidRPr="001A6489">
              <w:rPr>
                <w:vertAlign w:val="subscript"/>
              </w:rPr>
              <w:t>HF</w:t>
            </w:r>
            <w:r w:rsidRPr="001A6489">
              <w:t>)</w:t>
            </w:r>
            <w:r w:rsidRPr="001A6489">
              <w:rPr>
                <w:vertAlign w:val="superscript"/>
              </w:rPr>
              <w:t>2</w:t>
            </w:r>
            <w:r w:rsidRPr="001A6489">
              <w:t xml:space="preserve"> n</w:t>
            </w:r>
            <w:r w:rsidRPr="001A6489">
              <w:rPr>
                <w:vertAlign w:val="subscript"/>
              </w:rPr>
              <w:t>HF</w:t>
            </w:r>
            <w:r w:rsidRPr="001A6489">
              <w:t xml:space="preserve"> v</w:t>
            </w:r>
            <w:r w:rsidRPr="001A6489">
              <w:rPr>
                <w:vertAlign w:val="subscript"/>
              </w:rPr>
              <w:t xml:space="preserve">S </w:t>
            </w:r>
          </w:p>
        </w:tc>
      </w:tr>
      <w:tr w:rsidR="006F3272" w:rsidRPr="001A6489" w:rsidTr="006F3272">
        <w:tc>
          <w:tcPr>
            <w:tcW w:w="3114" w:type="dxa"/>
            <w:shd w:val="clear" w:color="auto" w:fill="FFFFFF"/>
          </w:tcPr>
          <w:p w:rsidR="006F3272" w:rsidRPr="001A6489" w:rsidRDefault="006F3272" w:rsidP="00173D63">
            <w:pPr>
              <w:pStyle w:val="CETBodytext"/>
            </w:pPr>
            <w:r w:rsidRPr="001A6489">
              <w:t>Feed flow rate (L h</w:t>
            </w:r>
            <w:r w:rsidRPr="001A6489">
              <w:rPr>
                <w:vertAlign w:val="superscript"/>
              </w:rPr>
              <w:t>-1</w:t>
            </w:r>
            <w:r w:rsidRPr="001A6489">
              <w:t>)</w:t>
            </w:r>
          </w:p>
        </w:tc>
        <w:tc>
          <w:tcPr>
            <w:tcW w:w="5528" w:type="dxa"/>
            <w:shd w:val="clear" w:color="auto" w:fill="FFFFFF"/>
          </w:tcPr>
          <w:p w:rsidR="006F3272" w:rsidRPr="001A6489" w:rsidRDefault="006F3272" w:rsidP="00173D63">
            <w:pPr>
              <w:pStyle w:val="CETBodytext"/>
              <w:tabs>
                <w:tab w:val="clear" w:pos="7100"/>
                <w:tab w:val="left" w:pos="3969"/>
              </w:tabs>
            </w:pPr>
            <w:r w:rsidRPr="001A6489">
              <w:t>Q</w:t>
            </w:r>
            <w:r w:rsidRPr="001A6489">
              <w:rPr>
                <w:vertAlign w:val="subscript"/>
              </w:rPr>
              <w:t>F</w:t>
            </w:r>
            <w:r w:rsidRPr="001A6489">
              <w:t>=Q</w:t>
            </w:r>
            <w:r w:rsidRPr="001A6489">
              <w:rPr>
                <w:vertAlign w:val="subscript"/>
              </w:rPr>
              <w:t>P</w:t>
            </w:r>
            <w:r w:rsidRPr="001A6489">
              <w:t>+Q</w:t>
            </w:r>
            <w:r w:rsidRPr="001A6489">
              <w:rPr>
                <w:vertAlign w:val="subscript"/>
              </w:rPr>
              <w:t>R</w:t>
            </w:r>
          </w:p>
        </w:tc>
      </w:tr>
      <w:tr w:rsidR="006F3272" w:rsidRPr="001A6489" w:rsidTr="00D84650">
        <w:tc>
          <w:tcPr>
            <w:tcW w:w="3114" w:type="dxa"/>
            <w:shd w:val="clear" w:color="auto" w:fill="FFFFFF"/>
          </w:tcPr>
          <w:p w:rsidR="006F3272" w:rsidRPr="001A6489" w:rsidRDefault="006F3272" w:rsidP="00173D63">
            <w:pPr>
              <w:pStyle w:val="CETBodytext"/>
            </w:pPr>
            <w:r w:rsidRPr="001A6489">
              <w:t>Overall membrane surface area (m</w:t>
            </w:r>
            <w:r w:rsidRPr="001A6489">
              <w:rPr>
                <w:vertAlign w:val="superscript"/>
              </w:rPr>
              <w:t>2</w:t>
            </w:r>
            <w:r w:rsidRPr="001A6489">
              <w:t>)</w:t>
            </w:r>
          </w:p>
        </w:tc>
        <w:tc>
          <w:tcPr>
            <w:tcW w:w="5528" w:type="dxa"/>
            <w:shd w:val="clear" w:color="auto" w:fill="FFFFFF"/>
          </w:tcPr>
          <w:p w:rsidR="006F3272" w:rsidRPr="001A6489" w:rsidRDefault="006F3272" w:rsidP="00173D63">
            <w:pPr>
              <w:pStyle w:val="CETBodytext"/>
              <w:tabs>
                <w:tab w:val="clear" w:pos="7100"/>
                <w:tab w:val="left" w:pos="3969"/>
              </w:tabs>
              <w:rPr>
                <w:szCs w:val="18"/>
              </w:rPr>
            </w:pPr>
            <w:r w:rsidRPr="001A6489">
              <w:rPr>
                <w:szCs w:val="18"/>
              </w:rPr>
              <w:t>A</w:t>
            </w:r>
            <w:r w:rsidRPr="001A6489">
              <w:rPr>
                <w:szCs w:val="18"/>
                <w:vertAlign w:val="subscript"/>
              </w:rPr>
              <w:t>m</w:t>
            </w:r>
            <w:r w:rsidRPr="001A6489">
              <w:rPr>
                <w:szCs w:val="18"/>
              </w:rPr>
              <w:t>= 1.1 (Q</w:t>
            </w:r>
            <w:r w:rsidRPr="001A6489">
              <w:rPr>
                <w:szCs w:val="18"/>
                <w:vertAlign w:val="subscript"/>
              </w:rPr>
              <w:t>CSRB</w:t>
            </w:r>
            <w:r w:rsidRPr="001A6489">
              <w:rPr>
                <w:szCs w:val="18"/>
              </w:rPr>
              <w:t>/J</w:t>
            </w:r>
            <w:r w:rsidRPr="001A6489">
              <w:rPr>
                <w:szCs w:val="18"/>
                <w:vertAlign w:val="subscript"/>
              </w:rPr>
              <w:t>ss</w:t>
            </w:r>
            <w:r w:rsidRPr="001A6489">
              <w:rPr>
                <w:szCs w:val="18"/>
              </w:rPr>
              <w:t>)</w:t>
            </w:r>
          </w:p>
        </w:tc>
      </w:tr>
      <w:tr w:rsidR="00D84650" w:rsidRPr="001A6489" w:rsidTr="00BB3352">
        <w:tc>
          <w:tcPr>
            <w:tcW w:w="8642" w:type="dxa"/>
            <w:gridSpan w:val="2"/>
            <w:shd w:val="clear" w:color="auto" w:fill="FFFFFF"/>
          </w:tcPr>
          <w:p w:rsidR="00D84650" w:rsidRPr="00652F58" w:rsidRDefault="00D84650" w:rsidP="00D84650">
            <w:pPr>
              <w:pStyle w:val="CETBodytext"/>
              <w:tabs>
                <w:tab w:val="clear" w:pos="7100"/>
                <w:tab w:val="left" w:pos="3969"/>
              </w:tabs>
              <w:jc w:val="center"/>
              <w:rPr>
                <w:i/>
                <w:szCs w:val="18"/>
              </w:rPr>
            </w:pPr>
            <w:r w:rsidRPr="00652F58">
              <w:rPr>
                <w:i/>
                <w:szCs w:val="18"/>
              </w:rPr>
              <w:t>Investment costs</w:t>
            </w:r>
          </w:p>
        </w:tc>
      </w:tr>
      <w:tr w:rsidR="006F3272" w:rsidRPr="001A6489" w:rsidTr="006F3272">
        <w:tc>
          <w:tcPr>
            <w:tcW w:w="3114" w:type="dxa"/>
            <w:shd w:val="clear" w:color="auto" w:fill="FFFFFF"/>
          </w:tcPr>
          <w:p w:rsidR="006F3272" w:rsidRPr="001A6489" w:rsidRDefault="006F3272" w:rsidP="00173D63">
            <w:pPr>
              <w:pStyle w:val="CETBodytext"/>
            </w:pPr>
            <w:r w:rsidRPr="001A6489">
              <w:t xml:space="preserve">HF membrane insert </w:t>
            </w:r>
            <w:r w:rsidR="00C22DE0">
              <w:t xml:space="preserve">cost </w:t>
            </w:r>
            <w:r w:rsidRPr="001A6489">
              <w:t>(€)</w:t>
            </w:r>
          </w:p>
        </w:tc>
        <w:tc>
          <w:tcPr>
            <w:tcW w:w="5528" w:type="dxa"/>
            <w:shd w:val="clear" w:color="auto" w:fill="FFFFFF"/>
          </w:tcPr>
          <w:p w:rsidR="006F3272" w:rsidRPr="001A6489" w:rsidRDefault="006F3272" w:rsidP="00173D63">
            <w:pPr>
              <w:pStyle w:val="CETBodytext"/>
              <w:tabs>
                <w:tab w:val="clear" w:pos="7100"/>
                <w:tab w:val="left" w:pos="3969"/>
              </w:tabs>
            </w:pPr>
            <w:r w:rsidRPr="001A6489">
              <w:t>C</w:t>
            </w:r>
            <w:r w:rsidRPr="001A6489">
              <w:rPr>
                <w:vertAlign w:val="subscript"/>
              </w:rPr>
              <w:t>m</w:t>
            </w:r>
            <w:r w:rsidRPr="001A6489">
              <w:t xml:space="preserve"> = e</w:t>
            </w:r>
            <w:r w:rsidRPr="001A6489">
              <w:rPr>
                <w:vertAlign w:val="superscript"/>
              </w:rPr>
              <w:t>6.9</w:t>
            </w:r>
            <w:r w:rsidRPr="001A6489">
              <w:t xml:space="preserve"> (A</w:t>
            </w:r>
            <w:r w:rsidRPr="001A6489">
              <w:rPr>
                <w:vertAlign w:val="subscript"/>
              </w:rPr>
              <w:t>m</w:t>
            </w:r>
            <w:r w:rsidRPr="001A6489">
              <w:t>)</w:t>
            </w:r>
            <w:r w:rsidRPr="001A6489">
              <w:rPr>
                <w:vertAlign w:val="superscript"/>
              </w:rPr>
              <w:t>0.3</w:t>
            </w:r>
            <w:r w:rsidRPr="001A6489">
              <w:t xml:space="preserve"> </w:t>
            </w:r>
            <w:r w:rsidR="00C22DE0">
              <w:tab/>
            </w:r>
            <w:r w:rsidRPr="001A6489">
              <w:t>0.04</w:t>
            </w:r>
            <w:r w:rsidRPr="001A6489">
              <w:sym w:font="Symbol" w:char="F0A3"/>
            </w:r>
            <w:r w:rsidRPr="001A6489">
              <w:t>A</w:t>
            </w:r>
            <w:r w:rsidRPr="001A6489">
              <w:rPr>
                <w:vertAlign w:val="subscript"/>
              </w:rPr>
              <w:t>m</w:t>
            </w:r>
            <w:r w:rsidRPr="001A6489">
              <w:sym w:font="Symbol" w:char="F0A3"/>
            </w:r>
            <w:r w:rsidRPr="001A6489">
              <w:t>5 m</w:t>
            </w:r>
            <w:r w:rsidRPr="001A6489">
              <w:rPr>
                <w:vertAlign w:val="superscript"/>
              </w:rPr>
              <w:t>2</w:t>
            </w:r>
          </w:p>
        </w:tc>
      </w:tr>
      <w:tr w:rsidR="006F3272" w:rsidRPr="001A6489" w:rsidTr="006F3272">
        <w:tc>
          <w:tcPr>
            <w:tcW w:w="3114" w:type="dxa"/>
            <w:shd w:val="clear" w:color="auto" w:fill="FFFFFF"/>
          </w:tcPr>
          <w:p w:rsidR="006F3272" w:rsidRPr="001A6489" w:rsidRDefault="006F3272" w:rsidP="00173D63">
            <w:pPr>
              <w:pStyle w:val="CETBodytext"/>
            </w:pPr>
            <w:r w:rsidRPr="001A6489">
              <w:t xml:space="preserve">Membrane insert housing </w:t>
            </w:r>
            <w:r w:rsidR="00C22DE0">
              <w:t xml:space="preserve">cost </w:t>
            </w:r>
            <w:r w:rsidRPr="001A6489">
              <w:t>(€)</w:t>
            </w:r>
          </w:p>
        </w:tc>
        <w:tc>
          <w:tcPr>
            <w:tcW w:w="5528" w:type="dxa"/>
            <w:shd w:val="clear" w:color="auto" w:fill="FFFFFF"/>
          </w:tcPr>
          <w:p w:rsidR="006F3272" w:rsidRPr="001A6489" w:rsidRDefault="006F3272" w:rsidP="00173D63">
            <w:pPr>
              <w:pStyle w:val="CETBodytext"/>
              <w:tabs>
                <w:tab w:val="clear" w:pos="7100"/>
                <w:tab w:val="left" w:pos="3969"/>
              </w:tabs>
            </w:pPr>
            <w:r w:rsidRPr="001A6489">
              <w:t>C</w:t>
            </w:r>
            <w:r w:rsidRPr="001A6489">
              <w:rPr>
                <w:vertAlign w:val="subscript"/>
              </w:rPr>
              <w:t>h</w:t>
            </w:r>
            <w:r w:rsidRPr="001A6489">
              <w:t xml:space="preserve"> = e</w:t>
            </w:r>
            <w:r w:rsidRPr="001A6489">
              <w:rPr>
                <w:vertAlign w:val="superscript"/>
              </w:rPr>
              <w:t>6.3</w:t>
            </w:r>
            <w:r w:rsidRPr="001A6489">
              <w:t xml:space="preserve"> (A</w:t>
            </w:r>
            <w:r w:rsidRPr="001A6489">
              <w:rPr>
                <w:vertAlign w:val="subscript"/>
              </w:rPr>
              <w:t>m</w:t>
            </w:r>
            <w:r w:rsidRPr="001A6489">
              <w:t>)</w:t>
            </w:r>
            <w:r w:rsidRPr="001A6489">
              <w:rPr>
                <w:vertAlign w:val="superscript"/>
              </w:rPr>
              <w:t>0.5</w:t>
            </w:r>
            <w:r w:rsidRPr="001A6489">
              <w:t xml:space="preserve"> </w:t>
            </w:r>
            <w:r w:rsidR="00C22DE0">
              <w:tab/>
            </w:r>
            <w:r w:rsidRPr="001A6489">
              <w:t>0.04</w:t>
            </w:r>
            <w:r w:rsidRPr="001A6489">
              <w:sym w:font="Symbol" w:char="F0A3"/>
            </w:r>
            <w:r w:rsidRPr="001A6489">
              <w:t>A</w:t>
            </w:r>
            <w:r w:rsidRPr="001A6489">
              <w:rPr>
                <w:vertAlign w:val="subscript"/>
              </w:rPr>
              <w:t>m</w:t>
            </w:r>
            <w:r w:rsidRPr="001A6489">
              <w:sym w:font="Symbol" w:char="F0A3"/>
            </w:r>
            <w:r w:rsidRPr="001A6489">
              <w:t>5 m</w:t>
            </w:r>
            <w:r w:rsidRPr="001A6489">
              <w:rPr>
                <w:vertAlign w:val="superscript"/>
              </w:rPr>
              <w:t>2</w:t>
            </w:r>
          </w:p>
        </w:tc>
      </w:tr>
      <w:tr w:rsidR="006F3272" w:rsidRPr="001A6489" w:rsidTr="006F3272">
        <w:tc>
          <w:tcPr>
            <w:tcW w:w="3114" w:type="dxa"/>
            <w:shd w:val="clear" w:color="auto" w:fill="FFFFFF"/>
          </w:tcPr>
          <w:p w:rsidR="006F3272" w:rsidRPr="001A6489" w:rsidRDefault="006F3272" w:rsidP="00173D63">
            <w:pPr>
              <w:pStyle w:val="CETBodytext"/>
            </w:pPr>
            <w:r w:rsidRPr="001A6489">
              <w:t>Bare membrane unit cost (€)</w:t>
            </w:r>
          </w:p>
        </w:tc>
        <w:tc>
          <w:tcPr>
            <w:tcW w:w="5528" w:type="dxa"/>
            <w:shd w:val="clear" w:color="auto" w:fill="FFFFFF"/>
          </w:tcPr>
          <w:p w:rsidR="006F3272" w:rsidRPr="001A6489" w:rsidRDefault="006F3272" w:rsidP="00173D63">
            <w:pPr>
              <w:pStyle w:val="CETBodytext"/>
              <w:tabs>
                <w:tab w:val="clear" w:pos="7100"/>
                <w:tab w:val="left" w:pos="3969"/>
              </w:tabs>
            </w:pPr>
            <w:r w:rsidRPr="001A6489">
              <w:t>C</w:t>
            </w:r>
            <w:r w:rsidRPr="001A6489">
              <w:rPr>
                <w:vertAlign w:val="subscript"/>
              </w:rPr>
              <w:t>MM</w:t>
            </w:r>
            <w:r w:rsidRPr="001A6489">
              <w:t>=C</w:t>
            </w:r>
            <w:r w:rsidRPr="001A6489">
              <w:rPr>
                <w:vertAlign w:val="subscript"/>
              </w:rPr>
              <w:t>m</w:t>
            </w:r>
            <w:r w:rsidRPr="001A6489">
              <w:t>+C</w:t>
            </w:r>
            <w:r w:rsidRPr="001A6489">
              <w:rPr>
                <w:vertAlign w:val="subscript"/>
              </w:rPr>
              <w:t>h</w:t>
            </w:r>
          </w:p>
        </w:tc>
      </w:tr>
      <w:tr w:rsidR="006F3272" w:rsidRPr="001A6489" w:rsidTr="006F3272">
        <w:tc>
          <w:tcPr>
            <w:tcW w:w="3114" w:type="dxa"/>
            <w:shd w:val="clear" w:color="auto" w:fill="FFFFFF"/>
          </w:tcPr>
          <w:p w:rsidR="006F3272" w:rsidRPr="001A6489" w:rsidRDefault="00D84650" w:rsidP="00D84650">
            <w:pPr>
              <w:pStyle w:val="CETBodytext"/>
            </w:pPr>
            <w:r>
              <w:t>J-th b</w:t>
            </w:r>
            <w:r w:rsidR="006F3272" w:rsidRPr="001A6489">
              <w:t>rake horsepower (W)</w:t>
            </w:r>
          </w:p>
        </w:tc>
        <w:tc>
          <w:tcPr>
            <w:tcW w:w="5528" w:type="dxa"/>
            <w:shd w:val="clear" w:color="auto" w:fill="FFFFFF"/>
          </w:tcPr>
          <w:p w:rsidR="006F3272" w:rsidRPr="001A6489" w:rsidRDefault="006F3272" w:rsidP="00196576">
            <w:pPr>
              <w:pStyle w:val="CETBodytext"/>
              <w:tabs>
                <w:tab w:val="clear" w:pos="7100"/>
                <w:tab w:val="left" w:pos="3969"/>
              </w:tabs>
            </w:pPr>
            <w:r w:rsidRPr="001A6489">
              <w:t>P</w:t>
            </w:r>
            <w:r w:rsidRPr="001A6489">
              <w:rPr>
                <w:vertAlign w:val="subscript"/>
              </w:rPr>
              <w:t>Bj</w:t>
            </w:r>
            <w:r w:rsidRPr="001A6489">
              <w:t>= Q</w:t>
            </w:r>
            <w:r w:rsidRPr="001A6489">
              <w:rPr>
                <w:vertAlign w:val="subscript"/>
              </w:rPr>
              <w:t>j</w:t>
            </w:r>
            <w:r w:rsidRPr="001A6489">
              <w:t xml:space="preserve"> P</w:t>
            </w:r>
            <w:r w:rsidRPr="001A6489">
              <w:rPr>
                <w:vertAlign w:val="subscript"/>
              </w:rPr>
              <w:t>j</w:t>
            </w:r>
            <w:r w:rsidRPr="001A6489">
              <w:t>/</w:t>
            </w:r>
            <w:r w:rsidR="00196576">
              <w:rPr>
                <w:rFonts w:cs="Arial"/>
              </w:rPr>
              <w:t>η</w:t>
            </w:r>
            <w:r w:rsidRPr="001A6489">
              <w:rPr>
                <w:vertAlign w:val="subscript"/>
              </w:rPr>
              <w:t>P</w:t>
            </w:r>
          </w:p>
        </w:tc>
      </w:tr>
      <w:tr w:rsidR="006F3272" w:rsidRPr="001A6489" w:rsidTr="006F3272">
        <w:tc>
          <w:tcPr>
            <w:tcW w:w="3114" w:type="dxa"/>
            <w:shd w:val="clear" w:color="auto" w:fill="FFFFFF"/>
          </w:tcPr>
          <w:p w:rsidR="006F3272" w:rsidRPr="001A6489" w:rsidRDefault="006F3272" w:rsidP="00173D63">
            <w:pPr>
              <w:pStyle w:val="CETBodytext"/>
            </w:pPr>
            <w:r w:rsidRPr="001A6489">
              <w:t>Pump efficiency (-)</w:t>
            </w:r>
          </w:p>
        </w:tc>
        <w:tc>
          <w:tcPr>
            <w:tcW w:w="5528" w:type="dxa"/>
            <w:shd w:val="clear" w:color="auto" w:fill="FFFFFF"/>
          </w:tcPr>
          <w:p w:rsidR="006F3272" w:rsidRPr="001A6489" w:rsidRDefault="00196576" w:rsidP="00173D63">
            <w:pPr>
              <w:pStyle w:val="CETBodytext"/>
              <w:tabs>
                <w:tab w:val="clear" w:pos="7100"/>
                <w:tab w:val="left" w:pos="3685"/>
              </w:tabs>
            </w:pPr>
            <w:r>
              <w:rPr>
                <w:rFonts w:cs="Arial"/>
              </w:rPr>
              <w:t>η</w:t>
            </w:r>
            <w:r w:rsidR="006F3272" w:rsidRPr="001A6489">
              <w:rPr>
                <w:vertAlign w:val="subscript"/>
              </w:rPr>
              <w:t>P</w:t>
            </w:r>
            <w:r w:rsidR="006F3272" w:rsidRPr="001A6489">
              <w:t>=0.885+0.00824 ln (Q</w:t>
            </w:r>
            <w:r w:rsidR="006F3272" w:rsidRPr="001A6489">
              <w:rPr>
                <w:vertAlign w:val="subscript"/>
              </w:rPr>
              <w:t>j</w:t>
            </w:r>
            <w:r w:rsidR="006F3272" w:rsidRPr="001A6489">
              <w:t>)-0.012 [ln(Q</w:t>
            </w:r>
            <w:r w:rsidR="006F3272" w:rsidRPr="001A6489">
              <w:rPr>
                <w:vertAlign w:val="subscript"/>
              </w:rPr>
              <w:t>j</w:t>
            </w:r>
            <w:r w:rsidR="006F3272" w:rsidRPr="001A6489">
              <w:t>)]</w:t>
            </w:r>
            <w:r w:rsidR="006F3272" w:rsidRPr="001A6489">
              <w:rPr>
                <w:vertAlign w:val="superscript"/>
              </w:rPr>
              <w:t xml:space="preserve">2        </w:t>
            </w:r>
            <w:r w:rsidR="006F3272" w:rsidRPr="001A6489">
              <w:t>for</w:t>
            </w:r>
            <w:r w:rsidR="006F3272" w:rsidRPr="001A6489">
              <w:rPr>
                <w:vertAlign w:val="superscript"/>
              </w:rPr>
              <w:tab/>
            </w:r>
            <w:r w:rsidR="006F3272" w:rsidRPr="001A6489">
              <w:t>0.0012</w:t>
            </w:r>
            <w:r w:rsidR="006F3272" w:rsidRPr="001A6489">
              <w:sym w:font="Symbol" w:char="F0A3"/>
            </w:r>
            <w:r w:rsidR="006F3272" w:rsidRPr="001A6489">
              <w:t>Q</w:t>
            </w:r>
            <w:r w:rsidR="006F3272" w:rsidRPr="001A6489">
              <w:rPr>
                <w:vertAlign w:val="subscript"/>
              </w:rPr>
              <w:t>j</w:t>
            </w:r>
            <w:r w:rsidR="006F3272" w:rsidRPr="001A6489">
              <w:sym w:font="Symbol" w:char="F0A3"/>
            </w:r>
            <w:r w:rsidR="006F3272" w:rsidRPr="001A6489">
              <w:t>0.32 m</w:t>
            </w:r>
            <w:r w:rsidR="006F3272" w:rsidRPr="001A6489">
              <w:rPr>
                <w:vertAlign w:val="superscript"/>
              </w:rPr>
              <w:t>3</w:t>
            </w:r>
            <w:r w:rsidR="006F3272" w:rsidRPr="001A6489">
              <w:t xml:space="preserve"> s</w:t>
            </w:r>
            <w:r w:rsidR="006F3272" w:rsidRPr="001A6489">
              <w:rPr>
                <w:vertAlign w:val="superscript"/>
              </w:rPr>
              <w:t>-1</w:t>
            </w:r>
          </w:p>
        </w:tc>
      </w:tr>
      <w:tr w:rsidR="006F3272" w:rsidRPr="001A6489" w:rsidTr="006F3272">
        <w:tc>
          <w:tcPr>
            <w:tcW w:w="3114" w:type="dxa"/>
            <w:shd w:val="clear" w:color="auto" w:fill="FFFFFF"/>
          </w:tcPr>
          <w:p w:rsidR="006F3272" w:rsidRPr="001A6489" w:rsidRDefault="00D84650" w:rsidP="00D84650">
            <w:pPr>
              <w:pStyle w:val="CETBodytext"/>
            </w:pPr>
            <w:r>
              <w:t>J-th e</w:t>
            </w:r>
            <w:r w:rsidR="006F3272" w:rsidRPr="001A6489">
              <w:t>lectric motor power (W)</w:t>
            </w:r>
          </w:p>
        </w:tc>
        <w:tc>
          <w:tcPr>
            <w:tcW w:w="5528" w:type="dxa"/>
            <w:shd w:val="clear" w:color="auto" w:fill="FFFFFF"/>
          </w:tcPr>
          <w:p w:rsidR="006F3272" w:rsidRPr="001A6489" w:rsidRDefault="006F3272" w:rsidP="00196576">
            <w:pPr>
              <w:pStyle w:val="CETBodytext"/>
              <w:tabs>
                <w:tab w:val="clear" w:pos="7100"/>
                <w:tab w:val="left" w:pos="3969"/>
              </w:tabs>
            </w:pPr>
            <w:r w:rsidRPr="001A6489">
              <w:t>P</w:t>
            </w:r>
            <w:r w:rsidRPr="001A6489">
              <w:rPr>
                <w:vertAlign w:val="subscript"/>
              </w:rPr>
              <w:t>Mj</w:t>
            </w:r>
            <w:r w:rsidRPr="001A6489">
              <w:t>= P</w:t>
            </w:r>
            <w:r w:rsidRPr="001A6489">
              <w:rPr>
                <w:vertAlign w:val="subscript"/>
              </w:rPr>
              <w:t>Bj</w:t>
            </w:r>
            <w:r w:rsidRPr="001A6489">
              <w:t>/</w:t>
            </w:r>
            <w:r w:rsidR="00196576">
              <w:rPr>
                <w:rFonts w:cs="Arial"/>
              </w:rPr>
              <w:t>η</w:t>
            </w:r>
            <w:r w:rsidRPr="001A6489">
              <w:rPr>
                <w:vertAlign w:val="subscript"/>
              </w:rPr>
              <w:t>M</w:t>
            </w:r>
          </w:p>
        </w:tc>
      </w:tr>
      <w:tr w:rsidR="006F3272" w:rsidRPr="001A6489" w:rsidTr="006F3272">
        <w:tc>
          <w:tcPr>
            <w:tcW w:w="3114" w:type="dxa"/>
            <w:shd w:val="clear" w:color="auto" w:fill="FFFFFF"/>
          </w:tcPr>
          <w:p w:rsidR="006F3272" w:rsidRPr="001A6489" w:rsidRDefault="006F3272" w:rsidP="00173D63">
            <w:pPr>
              <w:pStyle w:val="CETBodytext"/>
            </w:pPr>
            <w:r w:rsidRPr="001A6489">
              <w:t>Electric motor efficiency (-)</w:t>
            </w:r>
          </w:p>
        </w:tc>
        <w:tc>
          <w:tcPr>
            <w:tcW w:w="5528" w:type="dxa"/>
            <w:shd w:val="clear" w:color="auto" w:fill="FFFFFF"/>
          </w:tcPr>
          <w:p w:rsidR="006F3272" w:rsidRPr="001A6489" w:rsidRDefault="00196576" w:rsidP="00173D63">
            <w:pPr>
              <w:pStyle w:val="CETBodytext"/>
              <w:tabs>
                <w:tab w:val="clear" w:pos="7100"/>
                <w:tab w:val="left" w:pos="3827"/>
              </w:tabs>
            </w:pPr>
            <w:r>
              <w:rPr>
                <w:rFonts w:cs="Arial"/>
              </w:rPr>
              <w:t>η</w:t>
            </w:r>
            <w:r w:rsidR="006F3272" w:rsidRPr="001A6489">
              <w:rPr>
                <w:vertAlign w:val="subscript"/>
              </w:rPr>
              <w:t>M</w:t>
            </w:r>
            <w:r w:rsidR="006F3272" w:rsidRPr="001A6489">
              <w:t>=0.5094+0.056 ln(P</w:t>
            </w:r>
            <w:r w:rsidR="006F3272" w:rsidRPr="00196576">
              <w:rPr>
                <w:vertAlign w:val="subscript"/>
              </w:rPr>
              <w:t>B</w:t>
            </w:r>
            <w:r w:rsidR="006F3272" w:rsidRPr="001A6489">
              <w:rPr>
                <w:vertAlign w:val="subscript"/>
              </w:rPr>
              <w:t>j</w:t>
            </w:r>
            <w:r w:rsidR="006F3272" w:rsidRPr="001A6489">
              <w:t>)-0.00182 [ln(P</w:t>
            </w:r>
            <w:r w:rsidR="006F3272" w:rsidRPr="00196576">
              <w:rPr>
                <w:vertAlign w:val="subscript"/>
              </w:rPr>
              <w:t>B</w:t>
            </w:r>
            <w:r w:rsidR="006F3272" w:rsidRPr="001A6489">
              <w:rPr>
                <w:vertAlign w:val="subscript"/>
              </w:rPr>
              <w:t>j</w:t>
            </w:r>
            <w:r w:rsidR="006F3272" w:rsidRPr="001A6489">
              <w:t>)]</w:t>
            </w:r>
            <w:r w:rsidR="006F3272" w:rsidRPr="001A6489">
              <w:rPr>
                <w:vertAlign w:val="superscript"/>
              </w:rPr>
              <w:t xml:space="preserve">2    </w:t>
            </w:r>
            <w:r w:rsidR="006F3272" w:rsidRPr="001A6489">
              <w:t>for</w:t>
            </w:r>
            <w:r w:rsidR="006F3272" w:rsidRPr="001A6489">
              <w:rPr>
                <w:vertAlign w:val="superscript"/>
              </w:rPr>
              <w:tab/>
            </w:r>
            <w:r w:rsidR="006F3272" w:rsidRPr="001A6489">
              <w:t>746</w:t>
            </w:r>
            <w:r w:rsidR="006F3272" w:rsidRPr="001A6489">
              <w:sym w:font="Symbol" w:char="F0A3"/>
            </w:r>
            <w:r w:rsidR="006F3272" w:rsidRPr="001A6489">
              <w:t>P</w:t>
            </w:r>
            <w:r w:rsidR="006F3272" w:rsidRPr="001A6489">
              <w:rPr>
                <w:vertAlign w:val="subscript"/>
              </w:rPr>
              <w:t>Mj</w:t>
            </w:r>
            <w:r w:rsidR="006F3272" w:rsidRPr="001A6489">
              <w:sym w:font="Symbol" w:char="F0A3"/>
            </w:r>
            <w:r w:rsidR="006F3272" w:rsidRPr="001A6489">
              <w:t>3.8x10</w:t>
            </w:r>
            <w:r w:rsidR="006F3272" w:rsidRPr="001A6489">
              <w:rPr>
                <w:vertAlign w:val="superscript"/>
              </w:rPr>
              <w:t>5</w:t>
            </w:r>
            <w:r w:rsidR="006F3272" w:rsidRPr="001A6489">
              <w:rPr>
                <w:rFonts w:cs="Arial"/>
                <w:szCs w:val="18"/>
              </w:rPr>
              <w:t xml:space="preserve"> W</w:t>
            </w:r>
          </w:p>
        </w:tc>
      </w:tr>
      <w:tr w:rsidR="006F3272" w:rsidRPr="001A6489" w:rsidTr="006F3272">
        <w:tc>
          <w:tcPr>
            <w:tcW w:w="3114" w:type="dxa"/>
            <w:shd w:val="clear" w:color="auto" w:fill="FFFFFF"/>
          </w:tcPr>
          <w:p w:rsidR="006F3272" w:rsidRPr="001A6489" w:rsidRDefault="006F3272" w:rsidP="00173D63">
            <w:pPr>
              <w:pStyle w:val="CETBodytext"/>
            </w:pPr>
            <w:r w:rsidRPr="001A6489">
              <w:t xml:space="preserve">Overall </w:t>
            </w:r>
            <w:r w:rsidR="00D84650">
              <w:t xml:space="preserve">j-th </w:t>
            </w:r>
            <w:r w:rsidRPr="001A6489">
              <w:t>pump cost (US$)</w:t>
            </w:r>
          </w:p>
        </w:tc>
        <w:tc>
          <w:tcPr>
            <w:tcW w:w="5528" w:type="dxa"/>
            <w:shd w:val="clear" w:color="auto" w:fill="FFFFFF"/>
          </w:tcPr>
          <w:p w:rsidR="006F3272" w:rsidRPr="001A6489" w:rsidRDefault="006F3272" w:rsidP="0036366B">
            <w:pPr>
              <w:pStyle w:val="CETBodytext"/>
              <w:tabs>
                <w:tab w:val="clear" w:pos="7100"/>
                <w:tab w:val="left" w:pos="3969"/>
              </w:tabs>
            </w:pPr>
            <w:r w:rsidRPr="001A6489">
              <w:t>C</w:t>
            </w:r>
            <w:r w:rsidRPr="001A6489">
              <w:rPr>
                <w:vertAlign w:val="subscript"/>
              </w:rPr>
              <w:t>PCj</w:t>
            </w:r>
            <w:r w:rsidRPr="001A6489">
              <w:t>=(I</w:t>
            </w:r>
            <w:r w:rsidRPr="001A6489">
              <w:rPr>
                <w:vertAlign w:val="subscript"/>
              </w:rPr>
              <w:t>CEPC</w:t>
            </w:r>
            <w:r w:rsidRPr="001A6489">
              <w:t xml:space="preserve">/270) </w:t>
            </w:r>
            <w:r w:rsidR="0036366B">
              <w:rPr>
                <w:rFonts w:cs="Arial"/>
              </w:rPr>
              <w:t>β</w:t>
            </w:r>
            <w:r w:rsidRPr="001A6489">
              <w:rPr>
                <w:vertAlign w:val="subscript"/>
              </w:rPr>
              <w:t>m</w:t>
            </w:r>
            <w:r w:rsidRPr="001A6489">
              <w:t xml:space="preserve"> </w:t>
            </w:r>
            <w:r w:rsidR="0036366B">
              <w:rPr>
                <w:rFonts w:cs="Arial"/>
              </w:rPr>
              <w:t>β</w:t>
            </w:r>
            <w:r w:rsidRPr="001A6489">
              <w:rPr>
                <w:vertAlign w:val="subscript"/>
              </w:rPr>
              <w:t>T</w:t>
            </w:r>
            <w:r w:rsidRPr="001A6489">
              <w:t xml:space="preserve"> C*</w:t>
            </w:r>
            <w:r w:rsidRPr="001A6489">
              <w:rPr>
                <w:vertAlign w:val="subscript"/>
              </w:rPr>
              <w:t>PCj</w:t>
            </w:r>
            <w:r w:rsidRPr="001A6489">
              <w:t>+(I</w:t>
            </w:r>
            <w:r w:rsidRPr="001A6489">
              <w:rPr>
                <w:vertAlign w:val="subscript"/>
              </w:rPr>
              <w:t>CEE</w:t>
            </w:r>
            <w:r w:rsidRPr="001A6489">
              <w:t>/175.5) C*</w:t>
            </w:r>
            <w:r w:rsidRPr="001A6489">
              <w:rPr>
                <w:vertAlign w:val="subscript"/>
              </w:rPr>
              <w:t>Mj</w:t>
            </w:r>
          </w:p>
        </w:tc>
      </w:tr>
      <w:tr w:rsidR="006F3272" w:rsidRPr="001A6489" w:rsidTr="006F3272">
        <w:tc>
          <w:tcPr>
            <w:tcW w:w="3114" w:type="dxa"/>
            <w:shd w:val="clear" w:color="auto" w:fill="FFFFFF"/>
          </w:tcPr>
          <w:p w:rsidR="006F3272" w:rsidRPr="001A6489" w:rsidRDefault="00C22DE0" w:rsidP="00C22DE0">
            <w:pPr>
              <w:pStyle w:val="CETBodytext"/>
              <w:ind w:right="-1"/>
              <w:rPr>
                <w:rFonts w:cs="Arial"/>
                <w:szCs w:val="18"/>
              </w:rPr>
            </w:pPr>
            <w:r>
              <w:rPr>
                <w:rFonts w:cs="Arial"/>
                <w:szCs w:val="18"/>
              </w:rPr>
              <w:t>Material</w:t>
            </w:r>
            <w:r w:rsidR="006F3272" w:rsidRPr="001A6489">
              <w:rPr>
                <w:rFonts w:cs="Arial"/>
                <w:szCs w:val="18"/>
              </w:rPr>
              <w:t xml:space="preserve"> cost correction factor </w:t>
            </w:r>
            <w:r w:rsidR="006F3272" w:rsidRPr="001A6489">
              <w:t>(-)</w:t>
            </w:r>
          </w:p>
        </w:tc>
        <w:tc>
          <w:tcPr>
            <w:tcW w:w="5528" w:type="dxa"/>
            <w:shd w:val="clear" w:color="auto" w:fill="FFFFFF"/>
          </w:tcPr>
          <w:p w:rsidR="006F3272" w:rsidRPr="001A6489" w:rsidRDefault="0036366B" w:rsidP="0036366B">
            <w:pPr>
              <w:pStyle w:val="CETBodytext"/>
              <w:tabs>
                <w:tab w:val="clear" w:pos="7100"/>
                <w:tab w:val="left" w:pos="3969"/>
              </w:tabs>
              <w:ind w:right="-1"/>
              <w:rPr>
                <w:rFonts w:ascii="Symbol" w:hAnsi="Symbol"/>
              </w:rPr>
            </w:pPr>
            <w:r>
              <w:rPr>
                <w:rFonts w:cs="Arial"/>
              </w:rPr>
              <w:t>β</w:t>
            </w:r>
            <w:r w:rsidR="006F3272" w:rsidRPr="001A6489">
              <w:rPr>
                <w:vertAlign w:val="subscript"/>
              </w:rPr>
              <w:t>m</w:t>
            </w:r>
            <w:r w:rsidR="006F3272" w:rsidRPr="001A6489">
              <w:t xml:space="preserve">=2 </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r w:rsidRPr="001A6489">
              <w:t>Size parameter</w:t>
            </w:r>
            <w:r w:rsidRPr="001A6489">
              <w:rPr>
                <w:rFonts w:cs="Arial"/>
                <w:szCs w:val="18"/>
              </w:rPr>
              <w:t xml:space="preserve"> (m</w:t>
            </w:r>
            <w:r w:rsidRPr="001A6489">
              <w:rPr>
                <w:rFonts w:cs="Arial"/>
                <w:szCs w:val="18"/>
                <w:vertAlign w:val="superscript"/>
              </w:rPr>
              <w:t>4</w:t>
            </w:r>
            <w:r w:rsidRPr="001A6489">
              <w:rPr>
                <w:rFonts w:cs="Arial"/>
                <w:szCs w:val="18"/>
              </w:rPr>
              <w:t xml:space="preserve"> s</w:t>
            </w:r>
            <w:r w:rsidRPr="001A6489">
              <w:rPr>
                <w:rFonts w:cs="Arial"/>
                <w:szCs w:val="18"/>
                <w:vertAlign w:val="superscript"/>
              </w:rPr>
              <w:t>-2</w:t>
            </w:r>
            <w:r w:rsidRPr="001A6489">
              <w:rPr>
                <w:rFonts w:cs="Arial"/>
                <w:szCs w:val="18"/>
              </w:rPr>
              <w:t>)</w:t>
            </w:r>
          </w:p>
        </w:tc>
        <w:tc>
          <w:tcPr>
            <w:tcW w:w="5528" w:type="dxa"/>
            <w:shd w:val="clear" w:color="auto" w:fill="FFFFFF"/>
          </w:tcPr>
          <w:p w:rsidR="006F3272" w:rsidRPr="001A6489" w:rsidRDefault="00652F58" w:rsidP="00652F58">
            <w:pPr>
              <w:pStyle w:val="CETBodytext"/>
              <w:tabs>
                <w:tab w:val="clear" w:pos="7100"/>
                <w:tab w:val="left" w:pos="3969"/>
              </w:tabs>
              <w:ind w:right="-1"/>
              <w:rPr>
                <w:rFonts w:cs="Arial"/>
                <w:szCs w:val="18"/>
              </w:rPr>
            </w:pPr>
            <w:r>
              <w:rPr>
                <w:rFonts w:cs="Arial"/>
              </w:rPr>
              <w:t>ψ</w:t>
            </w:r>
            <w:r w:rsidR="006F3272" w:rsidRPr="001A6489">
              <w:rPr>
                <w:vertAlign w:val="subscript"/>
              </w:rPr>
              <w:t>j</w:t>
            </w:r>
            <w:r w:rsidR="006F3272" w:rsidRPr="001A6489">
              <w:t>=Q</w:t>
            </w:r>
            <w:r w:rsidR="006F3272" w:rsidRPr="001A6489">
              <w:rPr>
                <w:vertAlign w:val="subscript"/>
              </w:rPr>
              <w:t>j</w:t>
            </w:r>
            <w:r w:rsidR="006F3272" w:rsidRPr="001A6489">
              <w:t xml:space="preserve"> (g H</w:t>
            </w:r>
            <w:r w:rsidR="006F3272" w:rsidRPr="001A6489">
              <w:rPr>
                <w:vertAlign w:val="subscript"/>
              </w:rPr>
              <w:t>Pj</w:t>
            </w:r>
            <w:r w:rsidR="006F3272" w:rsidRPr="001A6489">
              <w:t>)</w:t>
            </w:r>
            <w:r w:rsidR="006F3272" w:rsidRPr="001A6489">
              <w:rPr>
                <w:vertAlign w:val="superscript"/>
              </w:rPr>
              <w:t>½</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r w:rsidRPr="001A6489">
              <w:t>Design-type cost factor (-)</w:t>
            </w:r>
          </w:p>
        </w:tc>
        <w:tc>
          <w:tcPr>
            <w:tcW w:w="5528" w:type="dxa"/>
            <w:shd w:val="clear" w:color="auto" w:fill="FFFFFF"/>
          </w:tcPr>
          <w:p w:rsidR="006F3272" w:rsidRPr="001A6489" w:rsidRDefault="0036366B" w:rsidP="00652F58">
            <w:pPr>
              <w:pStyle w:val="CETBodytext"/>
              <w:tabs>
                <w:tab w:val="clear" w:pos="7100"/>
                <w:tab w:val="left" w:pos="3969"/>
              </w:tabs>
              <w:ind w:right="-1"/>
              <w:rPr>
                <w:rFonts w:cs="Arial"/>
                <w:szCs w:val="18"/>
              </w:rPr>
            </w:pPr>
            <w:r>
              <w:rPr>
                <w:rFonts w:cs="Arial"/>
              </w:rPr>
              <w:t>β</w:t>
            </w:r>
            <w:r w:rsidR="006F3272" w:rsidRPr="001A6489">
              <w:rPr>
                <w:vertAlign w:val="subscript"/>
              </w:rPr>
              <w:t>T</w:t>
            </w:r>
            <w:r w:rsidR="006F3272" w:rsidRPr="001A6489">
              <w:t>=exp{0.7147-0.051 ln(</w:t>
            </w:r>
            <w:r w:rsidR="00652F58">
              <w:rPr>
                <w:rFonts w:cs="Arial"/>
              </w:rPr>
              <w:t>ψ</w:t>
            </w:r>
            <w:r w:rsidR="006F3272" w:rsidRPr="001A6489">
              <w:rPr>
                <w:vertAlign w:val="subscript"/>
              </w:rPr>
              <w:t>j</w:t>
            </w:r>
            <w:r w:rsidR="006F3272" w:rsidRPr="001A6489">
              <w:t>)+0.0102 [ln(</w:t>
            </w:r>
            <w:r w:rsidR="00652F58">
              <w:rPr>
                <w:rFonts w:cs="Arial"/>
              </w:rPr>
              <w:t>ψ</w:t>
            </w:r>
            <w:r w:rsidR="006F3272" w:rsidRPr="001A6489">
              <w:rPr>
                <w:vertAlign w:val="subscript"/>
              </w:rPr>
              <w:t>j</w:t>
            </w:r>
            <w:r w:rsidR="006F3272" w:rsidRPr="001A6489">
              <w:t>)]</w:t>
            </w:r>
            <w:r w:rsidR="006F3272" w:rsidRPr="001A6489">
              <w:rPr>
                <w:vertAlign w:val="superscript"/>
              </w:rPr>
              <w:t>2</w:t>
            </w:r>
            <w:r w:rsidR="006F3272" w:rsidRPr="001A6489">
              <w:t>}</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r w:rsidRPr="001A6489">
              <w:rPr>
                <w:rFonts w:cs="Arial"/>
                <w:szCs w:val="18"/>
              </w:rPr>
              <w:t xml:space="preserve">Bare j-th pump cost </w:t>
            </w:r>
            <w:r w:rsidRPr="001A6489">
              <w:t>(US$)</w:t>
            </w:r>
          </w:p>
        </w:tc>
        <w:tc>
          <w:tcPr>
            <w:tcW w:w="5528" w:type="dxa"/>
            <w:shd w:val="clear" w:color="auto" w:fill="FFFFFF"/>
          </w:tcPr>
          <w:p w:rsidR="006F3272" w:rsidRPr="001A6489" w:rsidRDefault="006F3272" w:rsidP="00652F58">
            <w:pPr>
              <w:pStyle w:val="CETBodytext"/>
              <w:tabs>
                <w:tab w:val="clear" w:pos="7100"/>
                <w:tab w:val="left" w:pos="3969"/>
              </w:tabs>
              <w:ind w:right="-1"/>
              <w:rPr>
                <w:rFonts w:cs="Arial"/>
                <w:szCs w:val="18"/>
              </w:rPr>
            </w:pPr>
            <w:r w:rsidRPr="001A6489">
              <w:t>C*</w:t>
            </w:r>
            <w:r w:rsidRPr="001A6489">
              <w:rPr>
                <w:vertAlign w:val="subscript"/>
              </w:rPr>
              <w:t>PCj</w:t>
            </w:r>
            <w:r w:rsidRPr="001A6489">
              <w:t>=exp{7.223+0.3451 ln(</w:t>
            </w:r>
            <w:r w:rsidR="00652F58">
              <w:rPr>
                <w:rFonts w:cs="Arial"/>
              </w:rPr>
              <w:t>ψ</w:t>
            </w:r>
            <w:r w:rsidRPr="001A6489">
              <w:rPr>
                <w:vertAlign w:val="subscript"/>
              </w:rPr>
              <w:t>j</w:t>
            </w:r>
            <w:r w:rsidRPr="001A6489">
              <w:t>)+0.0519 [ln(</w:t>
            </w:r>
            <w:r w:rsidR="00652F58">
              <w:rPr>
                <w:rFonts w:cs="Arial"/>
              </w:rPr>
              <w:t>ψ</w:t>
            </w:r>
            <w:r w:rsidRPr="001A6489">
              <w:rPr>
                <w:vertAlign w:val="subscript"/>
              </w:rPr>
              <w:t>j</w:t>
            </w:r>
            <w:r w:rsidRPr="001A6489">
              <w:t>)]</w:t>
            </w:r>
            <w:r w:rsidRPr="001A6489">
              <w:rPr>
                <w:vertAlign w:val="superscript"/>
              </w:rPr>
              <w:t>2</w:t>
            </w:r>
            <w:r w:rsidRPr="001A6489">
              <w:t>}</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r w:rsidRPr="001A6489">
              <w:rPr>
                <w:rFonts w:cs="Arial"/>
                <w:szCs w:val="18"/>
              </w:rPr>
              <w:t xml:space="preserve">Bare j-th electric motor cost </w:t>
            </w:r>
            <w:r w:rsidRPr="001A6489">
              <w:t>(US$)</w:t>
            </w:r>
          </w:p>
        </w:tc>
        <w:tc>
          <w:tcPr>
            <w:tcW w:w="5528" w:type="dxa"/>
            <w:shd w:val="clear" w:color="auto" w:fill="FFFFFF"/>
          </w:tcPr>
          <w:p w:rsidR="006F3272" w:rsidRPr="001A6489" w:rsidRDefault="006F3272" w:rsidP="00173D63">
            <w:pPr>
              <w:pStyle w:val="CETBodytext"/>
              <w:tabs>
                <w:tab w:val="clear" w:pos="7100"/>
                <w:tab w:val="left" w:pos="3969"/>
              </w:tabs>
              <w:jc w:val="left"/>
              <w:rPr>
                <w:rFonts w:cs="Arial"/>
                <w:szCs w:val="18"/>
              </w:rPr>
            </w:pPr>
            <w:r w:rsidRPr="001A6489">
              <w:t>C*</w:t>
            </w:r>
            <w:r w:rsidRPr="001A6489">
              <w:rPr>
                <w:vertAlign w:val="subscript"/>
              </w:rPr>
              <w:t>Mj</w:t>
            </w:r>
            <w:r w:rsidRPr="001A6489">
              <w:t>=exp{5.129+0.1234 ln(P</w:t>
            </w:r>
            <w:r w:rsidRPr="001A6489">
              <w:rPr>
                <w:vertAlign w:val="subscript"/>
              </w:rPr>
              <w:t>Mj</w:t>
            </w:r>
            <w:r w:rsidRPr="001A6489">
              <w:t>)+0.154 [ln(P</w:t>
            </w:r>
            <w:r w:rsidRPr="001A6489">
              <w:rPr>
                <w:vertAlign w:val="subscript"/>
              </w:rPr>
              <w:t>Mj</w:t>
            </w:r>
            <w:r w:rsidRPr="001A6489">
              <w:t>)]</w:t>
            </w:r>
            <w:r w:rsidRPr="001A6489">
              <w:rPr>
                <w:vertAlign w:val="superscript"/>
              </w:rPr>
              <w:t>2</w:t>
            </w:r>
            <w:r w:rsidRPr="001A6489">
              <w:t>}  for 0.75</w:t>
            </w:r>
            <w:r w:rsidRPr="001A6489">
              <w:sym w:font="Symbol" w:char="F0A3"/>
            </w:r>
            <w:r w:rsidRPr="001A6489">
              <w:t>P</w:t>
            </w:r>
            <w:r w:rsidRPr="001A6489">
              <w:rPr>
                <w:vertAlign w:val="subscript"/>
              </w:rPr>
              <w:t>Mj</w:t>
            </w:r>
            <w:r w:rsidRPr="001A6489">
              <w:sym w:font="Symbol" w:char="F0A3"/>
            </w:r>
            <w:r w:rsidRPr="001A6489">
              <w:t>5.6 kW</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p>
        </w:tc>
        <w:tc>
          <w:tcPr>
            <w:tcW w:w="5528" w:type="dxa"/>
            <w:shd w:val="clear" w:color="auto" w:fill="FFFFFF"/>
          </w:tcPr>
          <w:p w:rsidR="006F3272" w:rsidRPr="001A6489" w:rsidRDefault="006F3272" w:rsidP="00173D63">
            <w:pPr>
              <w:pStyle w:val="CETBodytext"/>
              <w:tabs>
                <w:tab w:val="clear" w:pos="7100"/>
                <w:tab w:val="left" w:pos="3969"/>
              </w:tabs>
              <w:ind w:right="-1"/>
              <w:rPr>
                <w:rFonts w:cs="Arial"/>
                <w:szCs w:val="18"/>
              </w:rPr>
            </w:pPr>
            <w:r w:rsidRPr="001A6489">
              <w:t>C*</w:t>
            </w:r>
            <w:r w:rsidRPr="001A6489">
              <w:rPr>
                <w:vertAlign w:val="subscript"/>
              </w:rPr>
              <w:t>Mj</w:t>
            </w:r>
            <w:r w:rsidRPr="001A6489">
              <w:t>=exp{4.10+0.8472 ln(P</w:t>
            </w:r>
            <w:r w:rsidRPr="001A6489">
              <w:rPr>
                <w:vertAlign w:val="subscript"/>
              </w:rPr>
              <w:t>Mj</w:t>
            </w:r>
            <w:r w:rsidRPr="001A6489">
              <w:t>)+0.024 [ln(P</w:t>
            </w:r>
            <w:r w:rsidRPr="001A6489">
              <w:rPr>
                <w:vertAlign w:val="subscript"/>
              </w:rPr>
              <w:t>Mj</w:t>
            </w:r>
            <w:r w:rsidRPr="001A6489">
              <w:t>)]</w:t>
            </w:r>
            <w:r w:rsidRPr="001A6489">
              <w:rPr>
                <w:vertAlign w:val="superscript"/>
              </w:rPr>
              <w:t>2</w:t>
            </w:r>
            <w:r w:rsidRPr="001A6489">
              <w:t>}    for 5.6&lt;P</w:t>
            </w:r>
            <w:r w:rsidRPr="001A6489">
              <w:rPr>
                <w:vertAlign w:val="subscript"/>
              </w:rPr>
              <w:t>Mj</w:t>
            </w:r>
            <w:r w:rsidRPr="001A6489">
              <w:t>&lt;186  kW</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r w:rsidRPr="001A6489">
              <w:t>CE pump and compressor index (-)</w:t>
            </w:r>
          </w:p>
        </w:tc>
        <w:tc>
          <w:tcPr>
            <w:tcW w:w="5528" w:type="dxa"/>
            <w:shd w:val="clear" w:color="auto" w:fill="FFFFFF"/>
          </w:tcPr>
          <w:p w:rsidR="006F3272" w:rsidRPr="001A6489" w:rsidRDefault="006F3272" w:rsidP="00173D63">
            <w:pPr>
              <w:pStyle w:val="CETBodytext"/>
              <w:tabs>
                <w:tab w:val="clear" w:pos="7100"/>
                <w:tab w:val="left" w:pos="3969"/>
              </w:tabs>
              <w:ind w:right="-1"/>
              <w:rPr>
                <w:rFonts w:cs="Arial"/>
                <w:szCs w:val="18"/>
              </w:rPr>
            </w:pPr>
            <w:r w:rsidRPr="001A6489">
              <w:t>I</w:t>
            </w:r>
            <w:r w:rsidRPr="001A6489">
              <w:rPr>
                <w:vertAlign w:val="subscript"/>
              </w:rPr>
              <w:t>CEPC</w:t>
            </w:r>
            <w:r w:rsidRPr="001A6489">
              <w:t xml:space="preserve">=985 </w:t>
            </w:r>
          </w:p>
        </w:tc>
      </w:tr>
      <w:tr w:rsidR="006F3272" w:rsidRPr="001A6489" w:rsidTr="006F3272">
        <w:tc>
          <w:tcPr>
            <w:tcW w:w="3114" w:type="dxa"/>
            <w:shd w:val="clear" w:color="auto" w:fill="FFFFFF"/>
          </w:tcPr>
          <w:p w:rsidR="006F3272" w:rsidRPr="001A6489" w:rsidRDefault="006F3272" w:rsidP="00173D63">
            <w:pPr>
              <w:pStyle w:val="CETBodytext"/>
              <w:ind w:right="-1"/>
              <w:rPr>
                <w:rFonts w:cs="Arial"/>
                <w:szCs w:val="18"/>
              </w:rPr>
            </w:pPr>
            <w:r w:rsidRPr="001A6489">
              <w:t>CE electrical equipment index (-)</w:t>
            </w:r>
          </w:p>
        </w:tc>
        <w:tc>
          <w:tcPr>
            <w:tcW w:w="5528" w:type="dxa"/>
            <w:shd w:val="clear" w:color="auto" w:fill="FFFFFF"/>
          </w:tcPr>
          <w:p w:rsidR="006F3272" w:rsidRPr="001A6489" w:rsidRDefault="006F3272" w:rsidP="00173D63">
            <w:pPr>
              <w:pStyle w:val="CETBodytext"/>
              <w:tabs>
                <w:tab w:val="clear" w:pos="7100"/>
                <w:tab w:val="left" w:pos="3969"/>
              </w:tabs>
              <w:ind w:right="-1"/>
              <w:rPr>
                <w:rFonts w:cs="Arial"/>
                <w:szCs w:val="18"/>
              </w:rPr>
            </w:pPr>
            <w:r w:rsidRPr="001A6489">
              <w:t>I</w:t>
            </w:r>
            <w:r w:rsidRPr="001A6489">
              <w:rPr>
                <w:vertAlign w:val="subscript"/>
              </w:rPr>
              <w:t>CEE</w:t>
            </w:r>
            <w:r w:rsidRPr="001A6489">
              <w:t>=521.9</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Overall investment cost (</w:t>
            </w:r>
            <w:r w:rsidRPr="001A6489">
              <w:rPr>
                <w:rFonts w:cs="Arial"/>
                <w:szCs w:val="18"/>
              </w:rPr>
              <w:t>€)</w:t>
            </w:r>
          </w:p>
        </w:tc>
        <w:tc>
          <w:tcPr>
            <w:tcW w:w="5528" w:type="dxa"/>
            <w:shd w:val="clear" w:color="auto" w:fill="FFFFFF"/>
          </w:tcPr>
          <w:p w:rsidR="006F3272" w:rsidRPr="001A6489" w:rsidRDefault="006F3272" w:rsidP="0000023C">
            <w:pPr>
              <w:pStyle w:val="CETBodytext"/>
              <w:tabs>
                <w:tab w:val="clear" w:pos="7100"/>
                <w:tab w:val="left" w:pos="3969"/>
              </w:tabs>
              <w:ind w:right="-1"/>
              <w:rPr>
                <w:rFonts w:cs="Arial"/>
                <w:szCs w:val="18"/>
              </w:rPr>
            </w:pPr>
            <w:r w:rsidRPr="001A6489">
              <w:t>C</w:t>
            </w:r>
            <w:r w:rsidRPr="001A6489">
              <w:rPr>
                <w:vertAlign w:val="subscript"/>
              </w:rPr>
              <w:t>I</w:t>
            </w:r>
            <w:r w:rsidRPr="001A6489">
              <w:t xml:space="preserve">= </w:t>
            </w:r>
            <w:r w:rsidR="0000023C">
              <w:rPr>
                <w:rFonts w:cs="Arial"/>
              </w:rPr>
              <w:t>ς</w:t>
            </w:r>
            <w:r w:rsidRPr="001A6489">
              <w:rPr>
                <w:vertAlign w:val="subscript"/>
              </w:rPr>
              <w:t xml:space="preserve">MM </w:t>
            </w:r>
            <w:r w:rsidRPr="001A6489">
              <w:t>(C</w:t>
            </w:r>
            <w:r w:rsidRPr="001A6489">
              <w:rPr>
                <w:vertAlign w:val="subscript"/>
              </w:rPr>
              <w:t>m</w:t>
            </w:r>
            <w:r w:rsidRPr="001A6489">
              <w:t>+C</w:t>
            </w:r>
            <w:r w:rsidRPr="001A6489">
              <w:rPr>
                <w:vertAlign w:val="subscript"/>
              </w:rPr>
              <w:t>h</w:t>
            </w:r>
            <w:r w:rsidRPr="001A6489">
              <w:t>)+</w:t>
            </w:r>
            <w:r w:rsidR="0000023C">
              <w:rPr>
                <w:rFonts w:cs="Arial"/>
              </w:rPr>
              <w:t>ς</w:t>
            </w:r>
            <w:r w:rsidRPr="001A6489">
              <w:rPr>
                <w:vertAlign w:val="subscript"/>
              </w:rPr>
              <w:t>PC</w:t>
            </w:r>
            <w:r w:rsidRPr="001A6489">
              <w:t xml:space="preserve"> (C</w:t>
            </w:r>
            <w:r w:rsidRPr="001A6489">
              <w:rPr>
                <w:vertAlign w:val="subscript"/>
              </w:rPr>
              <w:t>PC1</w:t>
            </w:r>
            <w:r w:rsidRPr="001A6489">
              <w:t>+C</w:t>
            </w:r>
            <w:r w:rsidRPr="001A6489">
              <w:rPr>
                <w:vertAlign w:val="subscript"/>
              </w:rPr>
              <w:t>PC2</w:t>
            </w:r>
            <w:r w:rsidRPr="001A6489">
              <w:t>)</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Guthrie’s module cost factor for MM (-)</w:t>
            </w:r>
          </w:p>
        </w:tc>
        <w:tc>
          <w:tcPr>
            <w:tcW w:w="5528" w:type="dxa"/>
            <w:shd w:val="clear" w:color="auto" w:fill="FFFFFF"/>
          </w:tcPr>
          <w:p w:rsidR="006F3272" w:rsidRPr="001A6489" w:rsidRDefault="0000023C" w:rsidP="0000023C">
            <w:pPr>
              <w:pStyle w:val="CETBodytext"/>
              <w:tabs>
                <w:tab w:val="clear" w:pos="7100"/>
                <w:tab w:val="left" w:pos="3969"/>
              </w:tabs>
              <w:ind w:right="-1"/>
            </w:pPr>
            <w:r>
              <w:rPr>
                <w:rFonts w:cs="Arial"/>
              </w:rPr>
              <w:t>ς</w:t>
            </w:r>
            <w:r w:rsidR="006F3272" w:rsidRPr="001A6489">
              <w:rPr>
                <w:vertAlign w:val="subscript"/>
              </w:rPr>
              <w:t>MM</w:t>
            </w:r>
            <w:r w:rsidR="006F3272" w:rsidRPr="001A6489">
              <w:t>=2.53</w:t>
            </w:r>
          </w:p>
        </w:tc>
      </w:tr>
      <w:tr w:rsidR="006F3272" w:rsidRPr="001A6489" w:rsidTr="00D84650">
        <w:tc>
          <w:tcPr>
            <w:tcW w:w="3114" w:type="dxa"/>
            <w:shd w:val="clear" w:color="auto" w:fill="FFFFFF"/>
          </w:tcPr>
          <w:p w:rsidR="006F3272" w:rsidRPr="001A6489" w:rsidRDefault="006F3272" w:rsidP="00173D63">
            <w:pPr>
              <w:pStyle w:val="CETBodytext"/>
              <w:ind w:right="-1"/>
            </w:pPr>
            <w:r w:rsidRPr="001A6489">
              <w:t>Guthrie’s module cost factor for PC</w:t>
            </w:r>
            <w:r w:rsidRPr="001A6489">
              <w:rPr>
                <w:vertAlign w:val="subscript"/>
              </w:rPr>
              <w:t>j</w:t>
            </w:r>
            <w:r w:rsidRPr="001A6489">
              <w:t xml:space="preserve"> (-)</w:t>
            </w:r>
          </w:p>
        </w:tc>
        <w:tc>
          <w:tcPr>
            <w:tcW w:w="5528" w:type="dxa"/>
            <w:shd w:val="clear" w:color="auto" w:fill="FFFFFF"/>
          </w:tcPr>
          <w:p w:rsidR="006F3272" w:rsidRPr="001A6489" w:rsidRDefault="0000023C" w:rsidP="0000023C">
            <w:pPr>
              <w:pStyle w:val="CETBodytext"/>
              <w:tabs>
                <w:tab w:val="clear" w:pos="7100"/>
                <w:tab w:val="left" w:pos="3969"/>
              </w:tabs>
              <w:ind w:right="-1"/>
            </w:pPr>
            <w:r>
              <w:rPr>
                <w:rFonts w:cs="Arial"/>
              </w:rPr>
              <w:t>ς</w:t>
            </w:r>
            <w:r w:rsidR="006F3272" w:rsidRPr="001A6489">
              <w:rPr>
                <w:vertAlign w:val="subscript"/>
              </w:rPr>
              <w:t>PC</w:t>
            </w:r>
            <w:r w:rsidR="006F3272" w:rsidRPr="001A6489">
              <w:t>=3.38</w:t>
            </w:r>
          </w:p>
        </w:tc>
      </w:tr>
      <w:tr w:rsidR="00D84650" w:rsidRPr="00D84650" w:rsidTr="00D84650">
        <w:tc>
          <w:tcPr>
            <w:tcW w:w="8642" w:type="dxa"/>
            <w:gridSpan w:val="2"/>
            <w:shd w:val="clear" w:color="auto" w:fill="FFFFFF"/>
          </w:tcPr>
          <w:p w:rsidR="00D84650" w:rsidRPr="0000023C" w:rsidRDefault="00D84650" w:rsidP="00D84650">
            <w:pPr>
              <w:pStyle w:val="CETBodytext"/>
              <w:tabs>
                <w:tab w:val="clear" w:pos="7100"/>
                <w:tab w:val="left" w:pos="3969"/>
              </w:tabs>
              <w:ind w:right="-1"/>
              <w:jc w:val="center"/>
              <w:rPr>
                <w:i/>
              </w:rPr>
            </w:pPr>
            <w:r w:rsidRPr="0000023C">
              <w:rPr>
                <w:i/>
              </w:rPr>
              <w:t>Overall operating costs</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Depreciation cost (</w:t>
            </w:r>
            <w:r w:rsidRPr="001A6489">
              <w:rPr>
                <w:rFonts w:cs="Arial"/>
                <w:szCs w:val="18"/>
              </w:rPr>
              <w:t>€ yr</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d</w:t>
            </w:r>
            <w:r w:rsidRPr="001A6489">
              <w:t>=(C</w:t>
            </w:r>
            <w:r w:rsidRPr="001A6489">
              <w:rPr>
                <w:vertAlign w:val="subscript"/>
              </w:rPr>
              <w:t>m</w:t>
            </w:r>
            <w:r w:rsidRPr="001A6489">
              <w:t>+C</w:t>
            </w:r>
            <w:r w:rsidRPr="001A6489">
              <w:rPr>
                <w:vertAlign w:val="subscript"/>
              </w:rPr>
              <w:t>h</w:t>
            </w:r>
            <w:r w:rsidRPr="001A6489">
              <w:t>)/n</w:t>
            </w:r>
            <w:r w:rsidRPr="001A6489">
              <w:rPr>
                <w:vertAlign w:val="subscript"/>
              </w:rPr>
              <w:t>MM</w:t>
            </w:r>
            <w:r w:rsidRPr="001A6489">
              <w:t>+(C</w:t>
            </w:r>
            <w:r w:rsidRPr="001A6489">
              <w:rPr>
                <w:vertAlign w:val="subscript"/>
              </w:rPr>
              <w:t>PC1</w:t>
            </w:r>
            <w:r w:rsidRPr="001A6489">
              <w:t>+C</w:t>
            </w:r>
            <w:r w:rsidRPr="001A6489">
              <w:rPr>
                <w:vertAlign w:val="subscript"/>
              </w:rPr>
              <w:t>PC2</w:t>
            </w:r>
            <w:r w:rsidRPr="001A6489">
              <w:t>)/n</w:t>
            </w:r>
            <w:r w:rsidRPr="001A6489">
              <w:rPr>
                <w:vertAlign w:val="subscript"/>
              </w:rPr>
              <w:t>PC</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MM unit useful life (yr)</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n</w:t>
            </w:r>
            <w:r w:rsidRPr="001A6489">
              <w:rPr>
                <w:vertAlign w:val="subscript"/>
              </w:rPr>
              <w:t>MM</w:t>
            </w:r>
            <w:r w:rsidRPr="001A6489">
              <w:t xml:space="preserve">=10 </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PC</w:t>
            </w:r>
            <w:r w:rsidRPr="001A6489">
              <w:rPr>
                <w:vertAlign w:val="subscript"/>
              </w:rPr>
              <w:t>j</w:t>
            </w:r>
            <w:r w:rsidRPr="001A6489">
              <w:t xml:space="preserve"> useful life (yr)</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n</w:t>
            </w:r>
            <w:r w:rsidRPr="001A6489">
              <w:rPr>
                <w:vertAlign w:val="subscript"/>
              </w:rPr>
              <w:t>PC</w:t>
            </w:r>
            <w:r w:rsidRPr="001A6489">
              <w:t xml:space="preserve">=5 </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Maintenance cost (</w:t>
            </w:r>
            <w:r w:rsidRPr="001A6489">
              <w:rPr>
                <w:rFonts w:cs="Arial"/>
                <w:szCs w:val="18"/>
              </w:rPr>
              <w:t>€ yr</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main</w:t>
            </w:r>
            <w:r w:rsidRPr="001A6489">
              <w:t>=0.03 C</w:t>
            </w:r>
            <w:r w:rsidRPr="001A6489">
              <w:rPr>
                <w:vertAlign w:val="subscript"/>
              </w:rPr>
              <w:t>I</w:t>
            </w:r>
            <w:r w:rsidRPr="001A6489">
              <w:t>+C</w:t>
            </w:r>
            <w:r w:rsidRPr="001A6489">
              <w:rPr>
                <w:vertAlign w:val="subscript"/>
              </w:rPr>
              <w:t>m</w:t>
            </w:r>
            <w:r w:rsidRPr="001A6489">
              <w:t>/n</w:t>
            </w:r>
            <w:r w:rsidRPr="001A6489">
              <w:rPr>
                <w:vertAlign w:val="subscript"/>
              </w:rPr>
              <w:t>MM</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Investment-related cost (</w:t>
            </w:r>
            <w:r w:rsidRPr="001A6489">
              <w:rPr>
                <w:rFonts w:cs="Arial"/>
                <w:szCs w:val="18"/>
              </w:rPr>
              <w:t>€ yr</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Io</w:t>
            </w:r>
            <w:r w:rsidRPr="001A6489">
              <w:t>=C</w:t>
            </w:r>
            <w:r w:rsidRPr="001A6489">
              <w:rPr>
                <w:vertAlign w:val="subscript"/>
              </w:rPr>
              <w:t>d</w:t>
            </w:r>
            <w:r w:rsidRPr="001A6489">
              <w:t>+C</w:t>
            </w:r>
            <w:r w:rsidRPr="001A6489">
              <w:rPr>
                <w:vertAlign w:val="subscript"/>
              </w:rPr>
              <w:t>main</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Utility cost (</w:t>
            </w:r>
            <w:r w:rsidRPr="001A6489">
              <w:rPr>
                <w:rFonts w:cs="Arial"/>
                <w:szCs w:val="18"/>
              </w:rPr>
              <w:t>€ yr</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36366B">
            <w:pPr>
              <w:pStyle w:val="CETBodytext"/>
              <w:tabs>
                <w:tab w:val="clear" w:pos="7100"/>
                <w:tab w:val="left" w:pos="3969"/>
              </w:tabs>
              <w:ind w:right="-1"/>
            </w:pPr>
            <w:r w:rsidRPr="001A6489">
              <w:t>C</w:t>
            </w:r>
            <w:r w:rsidRPr="001A6489">
              <w:rPr>
                <w:vertAlign w:val="subscript"/>
              </w:rPr>
              <w:t>Uo</w:t>
            </w:r>
            <w:r w:rsidRPr="001A6489">
              <w:t>=(P</w:t>
            </w:r>
            <w:r w:rsidRPr="001A6489">
              <w:rPr>
                <w:vertAlign w:val="subscript"/>
              </w:rPr>
              <w:t>B1</w:t>
            </w:r>
            <w:r w:rsidRPr="001A6489">
              <w:t>+P</w:t>
            </w:r>
            <w:r w:rsidRPr="001A6489">
              <w:rPr>
                <w:vertAlign w:val="subscript"/>
              </w:rPr>
              <w:t>B2</w:t>
            </w:r>
            <w:r w:rsidRPr="001A6489">
              <w:t xml:space="preserve">) </w:t>
            </w:r>
            <w:r w:rsidR="0036366B">
              <w:rPr>
                <w:rFonts w:cs="Arial"/>
              </w:rPr>
              <w:t>Δ</w:t>
            </w:r>
            <w:r w:rsidRPr="001A6489">
              <w:rPr>
                <w:rFonts w:ascii="Symbol" w:hAnsi="Symbol"/>
              </w:rPr>
              <w:t></w:t>
            </w:r>
            <w:r w:rsidRPr="001A6489">
              <w:rPr>
                <w:vertAlign w:val="subscript"/>
              </w:rPr>
              <w:t>a</w:t>
            </w:r>
            <w:r w:rsidRPr="001A6489">
              <w:t xml:space="preserve"> </w:t>
            </w:r>
            <w:r w:rsidR="0036366B">
              <w:rPr>
                <w:rFonts w:cs="Arial"/>
              </w:rPr>
              <w:t>Δ</w:t>
            </w:r>
            <w:r w:rsidRPr="001A6489">
              <w:rPr>
                <w:rFonts w:ascii="Symbol" w:hAnsi="Symbol"/>
              </w:rPr>
              <w:t></w:t>
            </w:r>
            <w:r w:rsidRPr="001A6489">
              <w:rPr>
                <w:vertAlign w:val="subscript"/>
              </w:rPr>
              <w:t>d</w:t>
            </w:r>
            <w:r w:rsidRPr="001A6489">
              <w:t xml:space="preserve"> c</w:t>
            </w:r>
            <w:r w:rsidRPr="001A6489">
              <w:rPr>
                <w:vertAlign w:val="subscript"/>
              </w:rPr>
              <w:t>ep</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Electrical power cost (</w:t>
            </w:r>
            <w:r w:rsidRPr="001A6489">
              <w:rPr>
                <w:rFonts w:cs="Arial"/>
                <w:szCs w:val="18"/>
              </w:rPr>
              <w:t>€ kWh</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ep</w:t>
            </w:r>
            <w:r w:rsidRPr="001A6489">
              <w:t>=0.1872</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Labor cost (</w:t>
            </w:r>
            <w:r w:rsidRPr="001A6489">
              <w:rPr>
                <w:rFonts w:cs="Arial"/>
                <w:szCs w:val="18"/>
              </w:rPr>
              <w:t>€ yr</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Lo</w:t>
            </w:r>
            <w:r w:rsidRPr="001A6489">
              <w:t>=30,000</w:t>
            </w:r>
          </w:p>
        </w:tc>
      </w:tr>
      <w:tr w:rsidR="006F3272" w:rsidRPr="001A6489" w:rsidTr="006F3272">
        <w:tc>
          <w:tcPr>
            <w:tcW w:w="3114" w:type="dxa"/>
            <w:shd w:val="clear" w:color="auto" w:fill="FFFFFF"/>
          </w:tcPr>
          <w:p w:rsidR="006F3272" w:rsidRPr="001A6489" w:rsidRDefault="006F3272" w:rsidP="00173D63">
            <w:pPr>
              <w:pStyle w:val="CETBodytext"/>
              <w:ind w:right="-1"/>
            </w:pPr>
            <w:r w:rsidRPr="001A6489">
              <w:t>Overall operating costs (</w:t>
            </w:r>
            <w:r w:rsidRPr="001A6489">
              <w:rPr>
                <w:rFonts w:cs="Arial"/>
                <w:szCs w:val="18"/>
              </w:rPr>
              <w:t>€ yr</w:t>
            </w:r>
            <w:r w:rsidRPr="001A6489">
              <w:rPr>
                <w:rFonts w:cs="Arial"/>
                <w:szCs w:val="18"/>
                <w:vertAlign w:val="superscript"/>
              </w:rPr>
              <w:t>-1</w:t>
            </w:r>
            <w:r w:rsidRPr="001A6489">
              <w:rPr>
                <w:rFonts w:cs="Arial"/>
                <w:szCs w:val="18"/>
              </w:rPr>
              <w:t>)</w:t>
            </w:r>
          </w:p>
        </w:tc>
        <w:tc>
          <w:tcPr>
            <w:tcW w:w="5528" w:type="dxa"/>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o</w:t>
            </w:r>
            <w:r w:rsidRPr="001A6489">
              <w:t>=C</w:t>
            </w:r>
            <w:r w:rsidRPr="001A6489">
              <w:rPr>
                <w:vertAlign w:val="subscript"/>
              </w:rPr>
              <w:t>Io</w:t>
            </w:r>
            <w:r w:rsidRPr="001A6489">
              <w:t>+C</w:t>
            </w:r>
            <w:r w:rsidRPr="001A6489">
              <w:rPr>
                <w:vertAlign w:val="subscript"/>
              </w:rPr>
              <w:t>Uo</w:t>
            </w:r>
            <w:r w:rsidRPr="001A6489">
              <w:t>+C</w:t>
            </w:r>
            <w:r w:rsidRPr="001A6489">
              <w:rPr>
                <w:vertAlign w:val="subscript"/>
              </w:rPr>
              <w:t>Lo</w:t>
            </w:r>
          </w:p>
        </w:tc>
      </w:tr>
      <w:tr w:rsidR="006F3272" w:rsidRPr="001A6489" w:rsidTr="006F3272">
        <w:tc>
          <w:tcPr>
            <w:tcW w:w="3114" w:type="dxa"/>
            <w:tcBorders>
              <w:bottom w:val="single" w:sz="4" w:space="0" w:color="auto"/>
            </w:tcBorders>
            <w:shd w:val="clear" w:color="auto" w:fill="FFFFFF"/>
          </w:tcPr>
          <w:p w:rsidR="006F3272" w:rsidRPr="001A6489" w:rsidRDefault="006F3272" w:rsidP="00173D63">
            <w:pPr>
              <w:pStyle w:val="CETBodytext"/>
              <w:ind w:right="-1"/>
            </w:pPr>
            <w:r w:rsidRPr="001A6489">
              <w:t>Specific operating costs (</w:t>
            </w:r>
            <w:r w:rsidRPr="001A6489">
              <w:rPr>
                <w:rFonts w:cs="Arial"/>
                <w:szCs w:val="18"/>
              </w:rPr>
              <w:t>€ hL</w:t>
            </w:r>
            <w:r w:rsidRPr="001A6489">
              <w:rPr>
                <w:rFonts w:cs="Arial"/>
                <w:szCs w:val="18"/>
                <w:vertAlign w:val="superscript"/>
              </w:rPr>
              <w:t>-1</w:t>
            </w:r>
            <w:r w:rsidRPr="001A6489">
              <w:rPr>
                <w:rFonts w:cs="Arial"/>
                <w:szCs w:val="18"/>
              </w:rPr>
              <w:t>)</w:t>
            </w:r>
          </w:p>
        </w:tc>
        <w:tc>
          <w:tcPr>
            <w:tcW w:w="5528" w:type="dxa"/>
            <w:tcBorders>
              <w:bottom w:val="single" w:sz="4" w:space="0" w:color="auto"/>
            </w:tcBorders>
            <w:shd w:val="clear" w:color="auto" w:fill="FFFFFF"/>
          </w:tcPr>
          <w:p w:rsidR="006F3272" w:rsidRPr="001A6489" w:rsidRDefault="006F3272" w:rsidP="00173D63">
            <w:pPr>
              <w:pStyle w:val="CETBodytext"/>
              <w:tabs>
                <w:tab w:val="clear" w:pos="7100"/>
                <w:tab w:val="left" w:pos="3969"/>
              </w:tabs>
              <w:ind w:right="-1"/>
            </w:pPr>
            <w:r w:rsidRPr="001A6489">
              <w:t>c</w:t>
            </w:r>
            <w:r w:rsidRPr="001A6489">
              <w:rPr>
                <w:vertAlign w:val="subscript"/>
              </w:rPr>
              <w:t>o</w:t>
            </w:r>
            <w:r w:rsidRPr="001A6489">
              <w:t>=C</w:t>
            </w:r>
            <w:r w:rsidRPr="001A6489">
              <w:rPr>
                <w:vertAlign w:val="subscript"/>
              </w:rPr>
              <w:t>o</w:t>
            </w:r>
            <w:r w:rsidRPr="001A6489">
              <w:t>/Q</w:t>
            </w:r>
            <w:r w:rsidRPr="001A6489">
              <w:rPr>
                <w:vertAlign w:val="subscript"/>
              </w:rPr>
              <w:t xml:space="preserve">B </w:t>
            </w:r>
            <w:r w:rsidRPr="001A6489">
              <w:t xml:space="preserve"> </w:t>
            </w:r>
          </w:p>
        </w:tc>
      </w:tr>
    </w:tbl>
    <w:p w:rsidR="006F3272" w:rsidRPr="001A6489" w:rsidRDefault="006F3272" w:rsidP="00E10B89">
      <w:pPr>
        <w:pStyle w:val="CETBodytext"/>
      </w:pPr>
    </w:p>
    <w:p w:rsidR="0082403B" w:rsidRDefault="00C1137B" w:rsidP="00C1137B">
      <w:pPr>
        <w:pStyle w:val="CETBodytext"/>
      </w:pPr>
      <w:r w:rsidRPr="001A6489">
        <w:t>Fig. 4 shows the specific operating costs of the MF unit (c</w:t>
      </w:r>
      <w:r w:rsidRPr="001A6489">
        <w:rPr>
          <w:vertAlign w:val="subscript"/>
        </w:rPr>
        <w:t>o</w:t>
      </w:r>
      <w:r w:rsidRPr="001A6489">
        <w:t>) as a function of the pressure (P</w:t>
      </w:r>
      <w:r w:rsidRPr="001A6489">
        <w:rPr>
          <w:vertAlign w:val="subscript"/>
        </w:rPr>
        <w:t>F</w:t>
      </w:r>
      <w:r w:rsidRPr="001A6489">
        <w:t>) at the inlet port of the membrane module at different crossflow velocities (v</w:t>
      </w:r>
      <w:r w:rsidRPr="001A6489">
        <w:rPr>
          <w:vertAlign w:val="subscript"/>
        </w:rPr>
        <w:t>s</w:t>
      </w:r>
      <w:r w:rsidRPr="001A6489">
        <w:t xml:space="preserve">). </w:t>
      </w:r>
    </w:p>
    <w:p w:rsidR="00C1137B" w:rsidRDefault="00C1137B" w:rsidP="00C1137B">
      <w:pPr>
        <w:pStyle w:val="CETBodytext"/>
      </w:pPr>
      <w:r w:rsidRPr="001A6489">
        <w:t>As P</w:t>
      </w:r>
      <w:r w:rsidRPr="001A6489">
        <w:rPr>
          <w:vertAlign w:val="subscript"/>
        </w:rPr>
        <w:t>F</w:t>
      </w:r>
      <w:r w:rsidRPr="001A6489">
        <w:t xml:space="preserve"> was increased from 2 to </w:t>
      </w:r>
      <w:r w:rsidR="00C22DE0">
        <w:t>4</w:t>
      </w:r>
      <w:r w:rsidRPr="001A6489">
        <w:t xml:space="preserve"> bar, c</w:t>
      </w:r>
      <w:r w:rsidRPr="001A6489">
        <w:rPr>
          <w:vertAlign w:val="subscript"/>
        </w:rPr>
        <w:t>o</w:t>
      </w:r>
      <w:r w:rsidRPr="001A6489">
        <w:t xml:space="preserve"> tended to decrease whatever the v</w:t>
      </w:r>
      <w:r w:rsidRPr="001A6489">
        <w:rPr>
          <w:vertAlign w:val="subscript"/>
        </w:rPr>
        <w:t>s</w:t>
      </w:r>
      <w:r w:rsidRPr="001A6489">
        <w:t xml:space="preserve"> value preset </w:t>
      </w:r>
      <w:r w:rsidR="0082403B">
        <w:t>(</w:t>
      </w:r>
      <w:r w:rsidRPr="001A6489">
        <w:t>1.5-6.0 m s</w:t>
      </w:r>
      <w:r w:rsidRPr="001A6489">
        <w:rPr>
          <w:vertAlign w:val="superscript"/>
        </w:rPr>
        <w:t>-1</w:t>
      </w:r>
      <w:r w:rsidR="0082403B">
        <w:t>).</w:t>
      </w:r>
    </w:p>
    <w:p w:rsidR="009A5531" w:rsidRDefault="006F3272" w:rsidP="00D84650">
      <w:pPr>
        <w:pStyle w:val="CETBodytext"/>
      </w:pPr>
      <w:r w:rsidRPr="001A6489">
        <w:t>Despite the highest J</w:t>
      </w:r>
      <w:r w:rsidRPr="001A6489">
        <w:rPr>
          <w:vertAlign w:val="subscript"/>
        </w:rPr>
        <w:t>ss</w:t>
      </w:r>
      <w:r w:rsidRPr="001A6489">
        <w:t xml:space="preserve"> value </w:t>
      </w:r>
      <w:r w:rsidR="00FE248C">
        <w:t>(</w:t>
      </w:r>
      <w:r w:rsidR="00FE248C">
        <w:rPr>
          <w:rFonts w:cs="Arial"/>
        </w:rPr>
        <w:t>~</w:t>
      </w:r>
      <w:r w:rsidR="00FE248C">
        <w:t>178 L m</w:t>
      </w:r>
      <w:r w:rsidR="00FE248C" w:rsidRPr="00173D63">
        <w:rPr>
          <w:vertAlign w:val="superscript"/>
        </w:rPr>
        <w:t>-2</w:t>
      </w:r>
      <w:r w:rsidR="00FE248C">
        <w:t xml:space="preserve"> h</w:t>
      </w:r>
      <w:r w:rsidR="00FE248C" w:rsidRPr="00173D63">
        <w:rPr>
          <w:vertAlign w:val="superscript"/>
        </w:rPr>
        <w:t>-1</w:t>
      </w:r>
      <w:r w:rsidR="00FE248C">
        <w:t xml:space="preserve">) </w:t>
      </w:r>
      <w:r w:rsidRPr="001A6489">
        <w:t>achievable at v</w:t>
      </w:r>
      <w:r w:rsidRPr="001A6489">
        <w:rPr>
          <w:vertAlign w:val="subscript"/>
        </w:rPr>
        <w:t>s</w:t>
      </w:r>
      <w:r w:rsidRPr="001A6489">
        <w:t>=6 m s</w:t>
      </w:r>
      <w:r w:rsidRPr="001A6489">
        <w:rPr>
          <w:vertAlign w:val="superscript"/>
        </w:rPr>
        <w:t>-1</w:t>
      </w:r>
      <w:r w:rsidRPr="001A6489">
        <w:t xml:space="preserve"> </w:t>
      </w:r>
      <w:r w:rsidR="00FE248C">
        <w:t>and P</w:t>
      </w:r>
      <w:r w:rsidR="00FE248C" w:rsidRPr="00FE248C">
        <w:rPr>
          <w:vertAlign w:val="subscript"/>
        </w:rPr>
        <w:t>F</w:t>
      </w:r>
      <w:r w:rsidR="00FE248C">
        <w:t xml:space="preserve">=5 bar </w:t>
      </w:r>
      <w:r w:rsidRPr="001A6489">
        <w:t>enabled the MF system to be composed of just two MM5 InoCep® membrane modules (Hyflux Membrane Manufacturing, 201</w:t>
      </w:r>
      <w:r w:rsidR="003D183C">
        <w:t>5</w:t>
      </w:r>
      <w:r w:rsidRPr="001A6489">
        <w:t>), the investment-related costs for PC1 and PC2, as well as the brake power consumed to assure such flow conditions in each hollow fiber, had the greatest contribution to c</w:t>
      </w:r>
      <w:r w:rsidRPr="001A6489">
        <w:rPr>
          <w:vertAlign w:val="subscript"/>
        </w:rPr>
        <w:t>o</w:t>
      </w:r>
      <w:r w:rsidR="00AC351B">
        <w:t>, that was about 0.63 € hL</w:t>
      </w:r>
      <w:r w:rsidR="00AC351B" w:rsidRPr="00AC351B">
        <w:rPr>
          <w:vertAlign w:val="superscript"/>
        </w:rPr>
        <w:t>-1</w:t>
      </w:r>
      <w:r w:rsidR="00AC351B">
        <w:t xml:space="preserve"> </w:t>
      </w:r>
      <w:r w:rsidRPr="001A6489">
        <w:t>(Fig. 4).</w:t>
      </w:r>
      <w:r w:rsidR="00D84650">
        <w:t xml:space="preserve"> </w:t>
      </w:r>
    </w:p>
    <w:p w:rsidR="00D84650" w:rsidRDefault="00D84650" w:rsidP="00D84650">
      <w:pPr>
        <w:pStyle w:val="CETBodytext"/>
      </w:pPr>
      <w:r w:rsidRPr="001A6489">
        <w:t>By setting v</w:t>
      </w:r>
      <w:r w:rsidRPr="001A6489">
        <w:rPr>
          <w:vertAlign w:val="subscript"/>
        </w:rPr>
        <w:t xml:space="preserve">S </w:t>
      </w:r>
      <w:r w:rsidRPr="001A6489">
        <w:t>at 4 m s</w:t>
      </w:r>
      <w:r w:rsidRPr="001A6489">
        <w:rPr>
          <w:vertAlign w:val="superscript"/>
        </w:rPr>
        <w:t>-1</w:t>
      </w:r>
      <w:r w:rsidRPr="001A6489">
        <w:t xml:space="preserve"> and P</w:t>
      </w:r>
      <w:r w:rsidRPr="001A6489">
        <w:rPr>
          <w:vertAlign w:val="subscript"/>
        </w:rPr>
        <w:t>F</w:t>
      </w:r>
      <w:r w:rsidRPr="001A6489">
        <w:t xml:space="preserve"> at 5 bar, </w:t>
      </w:r>
      <w:r>
        <w:t>J</w:t>
      </w:r>
      <w:r w:rsidRPr="00173D63">
        <w:rPr>
          <w:vertAlign w:val="subscript"/>
        </w:rPr>
        <w:t>ss</w:t>
      </w:r>
      <w:r>
        <w:t xml:space="preserve"> reduced to about 138 L m</w:t>
      </w:r>
      <w:r w:rsidRPr="00173D63">
        <w:rPr>
          <w:vertAlign w:val="superscript"/>
        </w:rPr>
        <w:t>-2</w:t>
      </w:r>
      <w:r>
        <w:t xml:space="preserve"> h</w:t>
      </w:r>
      <w:r w:rsidRPr="00173D63">
        <w:rPr>
          <w:vertAlign w:val="superscript"/>
        </w:rPr>
        <w:t>-1</w:t>
      </w:r>
      <w:r>
        <w:t xml:space="preserve">. The </w:t>
      </w:r>
      <w:r w:rsidRPr="001A6489">
        <w:t xml:space="preserve">MF system </w:t>
      </w:r>
      <w:r>
        <w:t xml:space="preserve">was still </w:t>
      </w:r>
      <w:r w:rsidRPr="001A6489">
        <w:t xml:space="preserve">constituted </w:t>
      </w:r>
      <w:r>
        <w:t xml:space="preserve">by </w:t>
      </w:r>
      <w:r w:rsidRPr="001A6489">
        <w:t>two MM5 InoCep® membrane modules</w:t>
      </w:r>
      <w:r>
        <w:t xml:space="preserve">, but </w:t>
      </w:r>
      <w:r w:rsidRPr="001A6489">
        <w:t xml:space="preserve">the specific operating costs </w:t>
      </w:r>
      <w:r>
        <w:t>reached the m</w:t>
      </w:r>
      <w:r w:rsidRPr="001A6489">
        <w:t>inimum value of ~0.51 € hL</w:t>
      </w:r>
      <w:r w:rsidRPr="001A6489">
        <w:rPr>
          <w:vertAlign w:val="superscript"/>
        </w:rPr>
        <w:t>-1</w:t>
      </w:r>
      <w:r w:rsidRPr="001A6489">
        <w:t xml:space="preserve">, the 53% of which being the contribution of labor costs. Such specific operating costs were in line with </w:t>
      </w:r>
      <w:r w:rsidRPr="001A6489">
        <w:lastRenderedPageBreak/>
        <w:t>those (i.e., US$0.28 or €</w:t>
      </w:r>
      <w:r>
        <w:t xml:space="preserve">0.44 </w:t>
      </w:r>
      <w:r w:rsidRPr="001A6489">
        <w:t>hL</w:t>
      </w:r>
      <w:r w:rsidRPr="001A6489">
        <w:rPr>
          <w:vertAlign w:val="superscript"/>
        </w:rPr>
        <w:t>-1</w:t>
      </w:r>
      <w:r w:rsidRPr="001A6489">
        <w:t xml:space="preserve">) reported by Gaub (2014) or Fillaudeau et al. (2006), respectively, even if no information was given about the cost items included in such estimates.  </w:t>
      </w:r>
    </w:p>
    <w:p w:rsidR="009A5531" w:rsidRPr="00722E85" w:rsidRDefault="009A5531" w:rsidP="007102AB">
      <w:pPr>
        <w:pStyle w:val="CETBodytext"/>
        <w:rPr>
          <w:color w:val="000000" w:themeColor="text1"/>
        </w:rPr>
      </w:pPr>
      <w:r w:rsidRPr="00722E85">
        <w:rPr>
          <w:color w:val="000000" w:themeColor="text1"/>
        </w:rPr>
        <w:t>By referring to the operating conditions (v</w:t>
      </w:r>
      <w:r w:rsidRPr="00722E85">
        <w:rPr>
          <w:color w:val="000000" w:themeColor="text1"/>
          <w:vertAlign w:val="subscript"/>
        </w:rPr>
        <w:t>S</w:t>
      </w:r>
      <w:r w:rsidRPr="00722E85">
        <w:rPr>
          <w:color w:val="000000" w:themeColor="text1"/>
        </w:rPr>
        <w:t>=2.5 m s</w:t>
      </w:r>
      <w:r w:rsidRPr="00722E85">
        <w:rPr>
          <w:color w:val="000000" w:themeColor="text1"/>
          <w:vertAlign w:val="superscript"/>
        </w:rPr>
        <w:t>-1</w:t>
      </w:r>
      <w:r w:rsidRPr="00722E85">
        <w:rPr>
          <w:color w:val="000000" w:themeColor="text1"/>
        </w:rPr>
        <w:t>, P</w:t>
      </w:r>
      <w:r w:rsidRPr="00722E85">
        <w:rPr>
          <w:color w:val="000000" w:themeColor="text1"/>
          <w:vertAlign w:val="subscript"/>
        </w:rPr>
        <w:t>F</w:t>
      </w:r>
      <w:r w:rsidRPr="00722E85">
        <w:rPr>
          <w:color w:val="000000" w:themeColor="text1"/>
        </w:rPr>
        <w:t>=3.5 bar) applied in the validation test performed previously (Cimini and Moresi, 2016a), J</w:t>
      </w:r>
      <w:r w:rsidRPr="00722E85">
        <w:rPr>
          <w:color w:val="000000" w:themeColor="text1"/>
          <w:vertAlign w:val="subscript"/>
        </w:rPr>
        <w:t>ss</w:t>
      </w:r>
      <w:r w:rsidRPr="00722E85">
        <w:rPr>
          <w:color w:val="000000" w:themeColor="text1"/>
        </w:rPr>
        <w:t xml:space="preserve"> lessened to 59 L m</w:t>
      </w:r>
      <w:r w:rsidRPr="00722E85">
        <w:rPr>
          <w:color w:val="000000" w:themeColor="text1"/>
          <w:vertAlign w:val="superscript"/>
        </w:rPr>
        <w:t>-2</w:t>
      </w:r>
      <w:r w:rsidRPr="00722E85">
        <w:rPr>
          <w:color w:val="000000" w:themeColor="text1"/>
        </w:rPr>
        <w:t xml:space="preserve"> h</w:t>
      </w:r>
      <w:r w:rsidRPr="00722E85">
        <w:rPr>
          <w:color w:val="000000" w:themeColor="text1"/>
          <w:vertAlign w:val="superscript"/>
        </w:rPr>
        <w:t>-1</w:t>
      </w:r>
      <w:r w:rsidRPr="00722E85">
        <w:rPr>
          <w:color w:val="000000" w:themeColor="text1"/>
        </w:rPr>
        <w:t>. This made the MF unit consisting of six MM5 InoCep® membrane modules</w:t>
      </w:r>
      <w:r w:rsidR="0082403B">
        <w:rPr>
          <w:color w:val="000000" w:themeColor="text1"/>
        </w:rPr>
        <w:t xml:space="preserve"> with </w:t>
      </w:r>
      <w:r w:rsidRPr="00722E85">
        <w:rPr>
          <w:color w:val="000000" w:themeColor="text1"/>
        </w:rPr>
        <w:t>c</w:t>
      </w:r>
      <w:r w:rsidRPr="00722E85">
        <w:rPr>
          <w:color w:val="000000" w:themeColor="text1"/>
          <w:vertAlign w:val="subscript"/>
        </w:rPr>
        <w:t>o</w:t>
      </w:r>
      <w:r w:rsidRPr="00722E85">
        <w:rPr>
          <w:color w:val="000000" w:themeColor="text1"/>
        </w:rPr>
        <w:t xml:space="preserve"> slightly increas</w:t>
      </w:r>
      <w:r w:rsidR="0082403B">
        <w:rPr>
          <w:color w:val="000000" w:themeColor="text1"/>
        </w:rPr>
        <w:t xml:space="preserve">ing </w:t>
      </w:r>
      <w:r w:rsidRPr="00722E85">
        <w:rPr>
          <w:color w:val="000000" w:themeColor="text1"/>
        </w:rPr>
        <w:t>to 0.54 € hL</w:t>
      </w:r>
      <w:r w:rsidRPr="00722E85">
        <w:rPr>
          <w:color w:val="000000" w:themeColor="text1"/>
          <w:vertAlign w:val="superscript"/>
        </w:rPr>
        <w:t>-1</w:t>
      </w:r>
      <w:r w:rsidRPr="00722E85">
        <w:rPr>
          <w:color w:val="000000" w:themeColor="text1"/>
        </w:rPr>
        <w:t>, the 50 % of which being represented by labor costs. Owing to the ±30 % level of accuracy for this rough-grade feasibility study (Westney, 1997), the difference between the above c</w:t>
      </w:r>
      <w:r w:rsidRPr="00722E85">
        <w:rPr>
          <w:color w:val="000000" w:themeColor="text1"/>
          <w:vertAlign w:val="subscript"/>
        </w:rPr>
        <w:t>o</w:t>
      </w:r>
      <w:r w:rsidRPr="00722E85">
        <w:rPr>
          <w:color w:val="000000" w:themeColor="text1"/>
        </w:rPr>
        <w:t xml:space="preserve"> values was regarded as statistically insignificant. Thus, the operation of the 0.8-</w:t>
      </w:r>
      <w:r w:rsidR="00AB12E2">
        <w:rPr>
          <w:rFonts w:cs="Arial"/>
          <w:color w:val="000000" w:themeColor="text1"/>
        </w:rPr>
        <w:t>µ</w:t>
      </w:r>
      <w:r w:rsidRPr="00722E85">
        <w:rPr>
          <w:color w:val="000000" w:themeColor="text1"/>
        </w:rPr>
        <w:t>m ceramic HF membrane module at v</w:t>
      </w:r>
      <w:r w:rsidRPr="00722E85">
        <w:rPr>
          <w:color w:val="000000" w:themeColor="text1"/>
          <w:vertAlign w:val="subscript"/>
        </w:rPr>
        <w:t>S</w:t>
      </w:r>
      <w:r w:rsidRPr="00722E85">
        <w:rPr>
          <w:color w:val="000000" w:themeColor="text1"/>
        </w:rPr>
        <w:t>=2.5 m s</w:t>
      </w:r>
      <w:r w:rsidRPr="00722E85">
        <w:rPr>
          <w:color w:val="000000" w:themeColor="text1"/>
          <w:vertAlign w:val="superscript"/>
        </w:rPr>
        <w:t>-1</w:t>
      </w:r>
      <w:r w:rsidRPr="00722E85">
        <w:rPr>
          <w:color w:val="000000" w:themeColor="text1"/>
        </w:rPr>
        <w:t xml:space="preserve"> and P</w:t>
      </w:r>
      <w:r w:rsidRPr="00722E85">
        <w:rPr>
          <w:color w:val="000000" w:themeColor="text1"/>
          <w:vertAlign w:val="subscript"/>
        </w:rPr>
        <w:t>F</w:t>
      </w:r>
      <w:r w:rsidRPr="00722E85">
        <w:rPr>
          <w:color w:val="000000" w:themeColor="text1"/>
        </w:rPr>
        <w:t>=3.5 bar, appeared to be quite close to the optimal one. By accounting for the positive effect of the CO</w:t>
      </w:r>
      <w:r w:rsidRPr="00722E85">
        <w:rPr>
          <w:color w:val="000000" w:themeColor="text1"/>
          <w:vertAlign w:val="subscript"/>
        </w:rPr>
        <w:t>2</w:t>
      </w:r>
      <w:r w:rsidRPr="00722E85">
        <w:rPr>
          <w:color w:val="000000" w:themeColor="text1"/>
        </w:rPr>
        <w:t xml:space="preserve"> backflushing procedure on J</w:t>
      </w:r>
      <w:r w:rsidRPr="00722E85">
        <w:rPr>
          <w:color w:val="000000" w:themeColor="text1"/>
          <w:vertAlign w:val="subscript"/>
        </w:rPr>
        <w:t>ss</w:t>
      </w:r>
      <w:r w:rsidRPr="00722E85">
        <w:rPr>
          <w:color w:val="000000" w:themeColor="text1"/>
        </w:rPr>
        <w:t>, that increased to 128</w:t>
      </w:r>
      <w:r w:rsidRPr="00722E85">
        <w:rPr>
          <w:rFonts w:cs="Arial"/>
          <w:color w:val="000000" w:themeColor="text1"/>
        </w:rPr>
        <w:t>±</w:t>
      </w:r>
      <w:r w:rsidRPr="00722E85">
        <w:rPr>
          <w:color w:val="000000" w:themeColor="text1"/>
        </w:rPr>
        <w:t>33 L m</w:t>
      </w:r>
      <w:r w:rsidRPr="00722E85">
        <w:rPr>
          <w:color w:val="000000" w:themeColor="text1"/>
          <w:vertAlign w:val="superscript"/>
        </w:rPr>
        <w:t>-2</w:t>
      </w:r>
      <w:r w:rsidRPr="00722E85">
        <w:rPr>
          <w:color w:val="000000" w:themeColor="text1"/>
        </w:rPr>
        <w:t xml:space="preserve"> h</w:t>
      </w:r>
      <w:r w:rsidRPr="00722E85">
        <w:rPr>
          <w:color w:val="000000" w:themeColor="text1"/>
          <w:vertAlign w:val="superscript"/>
        </w:rPr>
        <w:t>-1</w:t>
      </w:r>
      <w:r w:rsidRPr="00722E85">
        <w:rPr>
          <w:color w:val="000000" w:themeColor="text1"/>
        </w:rPr>
        <w:t xml:space="preserve"> (see Table 3 in </w:t>
      </w:r>
      <w:r w:rsidRPr="00722E85">
        <w:rPr>
          <w:rFonts w:cs="Arial"/>
          <w:color w:val="000000" w:themeColor="text1"/>
          <w:szCs w:val="18"/>
        </w:rPr>
        <w:t xml:space="preserve">Cimini and Moresi, </w:t>
      </w:r>
      <w:r w:rsidRPr="00722E85">
        <w:rPr>
          <w:color w:val="000000" w:themeColor="text1"/>
        </w:rPr>
        <w:t>2016a</w:t>
      </w:r>
      <w:r w:rsidRPr="00722E85">
        <w:rPr>
          <w:rFonts w:cs="Arial"/>
          <w:color w:val="000000" w:themeColor="text1"/>
          <w:szCs w:val="18"/>
        </w:rPr>
        <w:t xml:space="preserve">), </w:t>
      </w:r>
      <w:r w:rsidRPr="00722E85">
        <w:rPr>
          <w:color w:val="000000" w:themeColor="text1"/>
        </w:rPr>
        <w:t xml:space="preserve">the number of MM5 InoCep® modules </w:t>
      </w:r>
      <w:r w:rsidR="0082403B">
        <w:rPr>
          <w:color w:val="000000" w:themeColor="text1"/>
        </w:rPr>
        <w:t>r</w:t>
      </w:r>
      <w:r w:rsidRPr="00722E85">
        <w:rPr>
          <w:color w:val="000000" w:themeColor="text1"/>
        </w:rPr>
        <w:t>educe</w:t>
      </w:r>
      <w:r w:rsidR="0082403B">
        <w:rPr>
          <w:color w:val="000000" w:themeColor="text1"/>
        </w:rPr>
        <w:t>d</w:t>
      </w:r>
      <w:r w:rsidRPr="00722E85">
        <w:rPr>
          <w:color w:val="000000" w:themeColor="text1"/>
        </w:rPr>
        <w:t xml:space="preserve"> to 3 and c</w:t>
      </w:r>
      <w:r w:rsidRPr="00722E85">
        <w:rPr>
          <w:color w:val="000000" w:themeColor="text1"/>
          <w:vertAlign w:val="subscript"/>
        </w:rPr>
        <w:t>o</w:t>
      </w:r>
      <w:r w:rsidRPr="00722E85">
        <w:rPr>
          <w:color w:val="000000" w:themeColor="text1"/>
        </w:rPr>
        <w:t xml:space="preserve"> </w:t>
      </w:r>
      <w:r w:rsidR="0082403B">
        <w:rPr>
          <w:color w:val="000000" w:themeColor="text1"/>
        </w:rPr>
        <w:t xml:space="preserve">was </w:t>
      </w:r>
      <w:r w:rsidRPr="00722E85">
        <w:rPr>
          <w:color w:val="000000" w:themeColor="text1"/>
        </w:rPr>
        <w:t>cut by ~13% to 0.47 € hL</w:t>
      </w:r>
      <w:r w:rsidRPr="00722E85">
        <w:rPr>
          <w:color w:val="000000" w:themeColor="text1"/>
          <w:vertAlign w:val="superscript"/>
        </w:rPr>
        <w:t>-1</w:t>
      </w:r>
      <w:r w:rsidRPr="00722E85">
        <w:rPr>
          <w:color w:val="000000" w:themeColor="text1"/>
        </w:rPr>
        <w:t>.</w:t>
      </w:r>
      <w:r w:rsidR="00722E85" w:rsidRPr="00722E85">
        <w:t xml:space="preserve"> Such a working condition paralleled that used to run the 0.45-</w:t>
      </w:r>
      <w:r w:rsidR="00AB12E2">
        <w:rPr>
          <w:rFonts w:cs="Arial"/>
        </w:rPr>
        <w:t>µ</w:t>
      </w:r>
      <w:r w:rsidR="00722E85" w:rsidRPr="00722E85">
        <w:t xml:space="preserve">m </w:t>
      </w:r>
      <w:r w:rsidR="00722E85">
        <w:t xml:space="preserve">PES </w:t>
      </w:r>
      <w:r w:rsidR="00722E85" w:rsidRPr="00722E85">
        <w:t xml:space="preserve">HF modules at the Heineken brewery </w:t>
      </w:r>
      <w:r w:rsidR="001321DD">
        <w:t>(</w:t>
      </w:r>
      <w:r w:rsidR="00722E85" w:rsidRPr="00722E85">
        <w:t>Zoeterwoude</w:t>
      </w:r>
      <w:r w:rsidR="001321DD">
        <w:t xml:space="preserve">, </w:t>
      </w:r>
      <w:r w:rsidR="00722E85" w:rsidRPr="00722E85">
        <w:t>NL)</w:t>
      </w:r>
      <w:r w:rsidR="007102AB">
        <w:t xml:space="preserve">, where </w:t>
      </w:r>
      <w:r w:rsidR="00722E85" w:rsidRPr="00722E85">
        <w:t>10-min periods of back-flushing every 2 h during filtration</w:t>
      </w:r>
      <w:r w:rsidR="007102AB">
        <w:t xml:space="preserve"> </w:t>
      </w:r>
      <w:r w:rsidR="002D6987">
        <w:t xml:space="preserve">kept the </w:t>
      </w:r>
      <w:r w:rsidR="00722E85" w:rsidRPr="00722E85">
        <w:t xml:space="preserve">permeation flux </w:t>
      </w:r>
      <w:r w:rsidR="003444FA">
        <w:t xml:space="preserve">almost steady at </w:t>
      </w:r>
      <w:r w:rsidR="007102AB">
        <w:t>80-</w:t>
      </w:r>
      <w:r w:rsidR="00722E85" w:rsidRPr="00722E85">
        <w:t>100 L m</w:t>
      </w:r>
      <w:r w:rsidR="00722E85" w:rsidRPr="00722E85">
        <w:rPr>
          <w:vertAlign w:val="superscript"/>
        </w:rPr>
        <w:t>-2</w:t>
      </w:r>
      <w:r w:rsidR="00722E85" w:rsidRPr="00722E85">
        <w:t xml:space="preserve"> h</w:t>
      </w:r>
      <w:r w:rsidR="00722E85" w:rsidRPr="00722E85">
        <w:rPr>
          <w:vertAlign w:val="superscript"/>
        </w:rPr>
        <w:t>-1</w:t>
      </w:r>
      <w:r w:rsidR="00722E85" w:rsidRPr="00722E85">
        <w:t>,</w:t>
      </w:r>
      <w:r w:rsidR="007102AB">
        <w:t xml:space="preserve"> and </w:t>
      </w:r>
      <w:r w:rsidR="00722E85" w:rsidRPr="00722E85">
        <w:t xml:space="preserve">beer permeate turbidity </w:t>
      </w:r>
      <w:r w:rsidR="003444FA">
        <w:t xml:space="preserve">at approximately </w:t>
      </w:r>
      <w:r w:rsidR="00722E85" w:rsidRPr="00722E85">
        <w:t xml:space="preserve"> 0.6 EBC unit</w:t>
      </w:r>
      <w:r w:rsidR="007102AB">
        <w:t xml:space="preserve"> </w:t>
      </w:r>
      <w:r w:rsidR="001321DD">
        <w:t>(</w:t>
      </w:r>
      <w:r w:rsidR="001321DD" w:rsidRPr="00EA197D">
        <w:t>Noordman</w:t>
      </w:r>
      <w:r w:rsidR="001321DD">
        <w:t xml:space="preserve"> et al., </w:t>
      </w:r>
      <w:r w:rsidR="001321DD" w:rsidRPr="00EA197D">
        <w:t>2001).</w:t>
      </w:r>
    </w:p>
    <w:p w:rsidR="009A5531" w:rsidRDefault="009A5531" w:rsidP="009A5531">
      <w:pPr>
        <w:pStyle w:val="Didascalia"/>
        <w:keepNext/>
        <w:spacing w:line="264" w:lineRule="auto"/>
        <w:rPr>
          <w:rFonts w:cs="Arial"/>
          <w:b w:val="0"/>
          <w:color w:val="000000" w:themeColor="text1"/>
          <w:lang w:val="en-US"/>
        </w:rPr>
      </w:pPr>
      <w:r w:rsidRPr="00722E85">
        <w:rPr>
          <w:b w:val="0"/>
          <w:color w:val="000000" w:themeColor="text1"/>
          <w:lang w:val="en-US"/>
        </w:rPr>
        <w:t xml:space="preserve">Finally, </w:t>
      </w:r>
      <w:r w:rsidR="008267D6">
        <w:rPr>
          <w:b w:val="0"/>
          <w:color w:val="000000" w:themeColor="text1"/>
          <w:lang w:val="en-US"/>
        </w:rPr>
        <w:t>a</w:t>
      </w:r>
      <w:r w:rsidR="008267D6">
        <w:rPr>
          <w:rFonts w:cs="Arial"/>
          <w:b w:val="0"/>
          <w:iCs/>
          <w:color w:val="000000" w:themeColor="text1"/>
          <w:lang w:val="en-US"/>
        </w:rPr>
        <w:t xml:space="preserve"> </w:t>
      </w:r>
      <w:r w:rsidR="008267D6" w:rsidRPr="00722E85">
        <w:rPr>
          <w:rFonts w:cs="Arial"/>
          <w:b w:val="0"/>
          <w:iCs/>
          <w:color w:val="000000" w:themeColor="text1"/>
          <w:lang w:val="en-US"/>
        </w:rPr>
        <w:t xml:space="preserve">clear and stable beer ready-to-be aseptically packed </w:t>
      </w:r>
      <w:r w:rsidR="008267D6">
        <w:rPr>
          <w:rFonts w:cs="Arial"/>
          <w:b w:val="0"/>
          <w:iCs/>
          <w:color w:val="000000" w:themeColor="text1"/>
          <w:lang w:val="en-US"/>
        </w:rPr>
        <w:t xml:space="preserve">was obtained </w:t>
      </w:r>
      <w:r w:rsidRPr="00722E85">
        <w:rPr>
          <w:b w:val="0"/>
          <w:color w:val="000000" w:themeColor="text1"/>
          <w:lang w:val="en-US"/>
        </w:rPr>
        <w:t xml:space="preserve">by </w:t>
      </w:r>
      <w:r w:rsidR="008267D6">
        <w:rPr>
          <w:b w:val="0"/>
          <w:color w:val="000000" w:themeColor="text1"/>
          <w:lang w:val="en-US"/>
        </w:rPr>
        <w:t xml:space="preserve">using </w:t>
      </w:r>
      <w:r w:rsidRPr="00722E85">
        <w:rPr>
          <w:b w:val="0"/>
          <w:color w:val="000000" w:themeColor="text1"/>
          <w:lang w:val="en-US"/>
        </w:rPr>
        <w:t xml:space="preserve">the </w:t>
      </w:r>
      <w:r w:rsidRPr="00722E85">
        <w:rPr>
          <w:rFonts w:cs="Arial"/>
          <w:b w:val="0"/>
          <w:iCs/>
          <w:color w:val="000000" w:themeColor="text1"/>
          <w:lang w:val="en-US"/>
        </w:rPr>
        <w:t xml:space="preserve">novel Kieselguhr- and PVPP-free beer conditioning process recently proposed by </w:t>
      </w:r>
      <w:r w:rsidRPr="00722E85">
        <w:rPr>
          <w:rFonts w:cs="Arial"/>
          <w:b w:val="0"/>
          <w:color w:val="000000" w:themeColor="text1"/>
          <w:lang w:val="en-US"/>
        </w:rPr>
        <w:t>Cimini and Moresi (201</w:t>
      </w:r>
      <w:r w:rsidR="00DE5010">
        <w:rPr>
          <w:rFonts w:cs="Arial"/>
          <w:b w:val="0"/>
          <w:color w:val="000000" w:themeColor="text1"/>
          <w:lang w:val="en-US"/>
        </w:rPr>
        <w:t>8b</w:t>
      </w:r>
      <w:r w:rsidRPr="00722E85">
        <w:rPr>
          <w:rFonts w:cs="Arial"/>
          <w:b w:val="0"/>
          <w:color w:val="000000" w:themeColor="text1"/>
          <w:lang w:val="en-US"/>
        </w:rPr>
        <w:t>)</w:t>
      </w:r>
      <w:r w:rsidR="008267D6">
        <w:rPr>
          <w:rFonts w:cs="Arial"/>
          <w:b w:val="0"/>
          <w:color w:val="000000" w:themeColor="text1"/>
          <w:lang w:val="en-US"/>
        </w:rPr>
        <w:t xml:space="preserve">. It combined a </w:t>
      </w:r>
      <w:r w:rsidR="00C22DE0" w:rsidRPr="00115EF5">
        <w:rPr>
          <w:b w:val="0"/>
          <w:color w:val="000000" w:themeColor="text1"/>
          <w:lang w:val="en-US"/>
        </w:rPr>
        <w:t>proline-specific proteinase</w:t>
      </w:r>
      <w:r w:rsidR="008267D6">
        <w:rPr>
          <w:rFonts w:cs="Arial"/>
          <w:b w:val="0"/>
          <w:color w:val="000000" w:themeColor="text1"/>
          <w:lang w:val="en-US"/>
        </w:rPr>
        <w:t xml:space="preserve"> pretreatment </w:t>
      </w:r>
      <w:r w:rsidR="006901B5">
        <w:rPr>
          <w:rFonts w:cs="Arial"/>
          <w:b w:val="0"/>
          <w:color w:val="000000" w:themeColor="text1"/>
          <w:lang w:val="en-US"/>
        </w:rPr>
        <w:t>(Brewers Clarex</w:t>
      </w:r>
      <w:r w:rsidR="006901B5" w:rsidRPr="006901B5">
        <w:rPr>
          <w:rFonts w:cs="Arial"/>
          <w:b w:val="0"/>
          <w:color w:val="000000" w:themeColor="text1"/>
          <w:vertAlign w:val="superscript"/>
          <w:lang w:val="en-US"/>
        </w:rPr>
        <w:t>®</w:t>
      </w:r>
      <w:r w:rsidR="006901B5">
        <w:rPr>
          <w:rFonts w:cs="Arial"/>
          <w:b w:val="0"/>
          <w:color w:val="000000" w:themeColor="text1"/>
          <w:lang w:val="en-US"/>
        </w:rPr>
        <w:t xml:space="preserve">, </w:t>
      </w:r>
      <w:r w:rsidR="008267D6" w:rsidRPr="008267D6">
        <w:rPr>
          <w:rFonts w:cs="Arial"/>
          <w:b w:val="0"/>
          <w:color w:val="000000" w:themeColor="text1"/>
          <w:lang w:val="en-US"/>
        </w:rPr>
        <w:t xml:space="preserve">DSM Food Specialities, Delft, NL) </w:t>
      </w:r>
      <w:r w:rsidR="006901B5">
        <w:rPr>
          <w:rFonts w:cs="Arial"/>
          <w:b w:val="0"/>
          <w:color w:val="000000" w:themeColor="text1"/>
          <w:lang w:val="en-US"/>
        </w:rPr>
        <w:t xml:space="preserve">with </w:t>
      </w:r>
      <w:r w:rsidRPr="00722E85">
        <w:rPr>
          <w:rFonts w:cs="Arial"/>
          <w:b w:val="0"/>
          <w:color w:val="000000" w:themeColor="text1"/>
          <w:lang w:val="en-US"/>
        </w:rPr>
        <w:t xml:space="preserve">membrane clarification </w:t>
      </w:r>
      <w:r w:rsidR="008267D6">
        <w:rPr>
          <w:rFonts w:cs="Arial"/>
          <w:b w:val="0"/>
          <w:color w:val="000000" w:themeColor="text1"/>
          <w:lang w:val="en-US"/>
        </w:rPr>
        <w:t xml:space="preserve">using </w:t>
      </w:r>
      <w:r w:rsidRPr="00722E85">
        <w:rPr>
          <w:rFonts w:cs="Arial"/>
          <w:b w:val="0"/>
          <w:color w:val="000000" w:themeColor="text1"/>
          <w:lang w:val="en-US"/>
        </w:rPr>
        <w:t>a 1.4-</w:t>
      </w:r>
      <w:r w:rsidR="00AB12E2">
        <w:rPr>
          <w:rFonts w:cs="Arial"/>
          <w:b w:val="0"/>
          <w:color w:val="000000" w:themeColor="text1"/>
          <w:lang w:val="en-US"/>
        </w:rPr>
        <w:t>µ</w:t>
      </w:r>
      <w:r w:rsidRPr="007D0F1C">
        <w:rPr>
          <w:rFonts w:cs="Arial"/>
          <w:b w:val="0"/>
          <w:color w:val="000000" w:themeColor="text1"/>
          <w:lang w:val="en-US"/>
        </w:rPr>
        <w:t>m ceramic HF membrane module under constant TMP (2.5 bar)</w:t>
      </w:r>
      <w:r>
        <w:rPr>
          <w:rFonts w:cs="Arial"/>
          <w:b w:val="0"/>
          <w:color w:val="000000" w:themeColor="text1"/>
          <w:lang w:val="en-US"/>
        </w:rPr>
        <w:t xml:space="preserve">, </w:t>
      </w:r>
      <w:r w:rsidRPr="007D0F1C">
        <w:rPr>
          <w:rFonts w:cs="Arial"/>
          <w:b w:val="0"/>
          <w:color w:val="000000" w:themeColor="text1"/>
          <w:lang w:val="en-US"/>
        </w:rPr>
        <w:t>v</w:t>
      </w:r>
      <w:r w:rsidRPr="007D0F1C">
        <w:rPr>
          <w:rFonts w:cs="Arial"/>
          <w:b w:val="0"/>
          <w:color w:val="000000" w:themeColor="text1"/>
          <w:vertAlign w:val="subscript"/>
          <w:lang w:val="en-US"/>
        </w:rPr>
        <w:t>S</w:t>
      </w:r>
      <w:r w:rsidRPr="007D0F1C">
        <w:rPr>
          <w:rFonts w:cs="Arial"/>
          <w:b w:val="0"/>
          <w:color w:val="000000" w:themeColor="text1"/>
          <w:lang w:val="en-US"/>
        </w:rPr>
        <w:t xml:space="preserve"> (</w:t>
      </w:r>
      <w:smartTag w:uri="urn:schemas-microsoft-com:office:smarttags" w:element="metricconverter">
        <w:smartTagPr>
          <w:attr w:name="ProductID" w:val="2.5 m"/>
        </w:smartTagPr>
        <w:r w:rsidRPr="007D0F1C">
          <w:rPr>
            <w:rFonts w:cs="Arial"/>
            <w:b w:val="0"/>
            <w:color w:val="000000" w:themeColor="text1"/>
            <w:lang w:val="en-US"/>
          </w:rPr>
          <w:t>2.5 m</w:t>
        </w:r>
      </w:smartTag>
      <w:r w:rsidRPr="007D0F1C">
        <w:rPr>
          <w:rFonts w:cs="Arial"/>
          <w:b w:val="0"/>
          <w:color w:val="000000" w:themeColor="text1"/>
          <w:lang w:val="en-US"/>
        </w:rPr>
        <w:t xml:space="preserve"> s</w:t>
      </w:r>
      <w:r w:rsidRPr="007D0F1C">
        <w:rPr>
          <w:rFonts w:cs="Arial"/>
          <w:b w:val="0"/>
          <w:color w:val="000000" w:themeColor="text1"/>
          <w:vertAlign w:val="superscript"/>
          <w:lang w:val="en-US"/>
        </w:rPr>
        <w:t>-1</w:t>
      </w:r>
      <w:r w:rsidRPr="007D0F1C">
        <w:rPr>
          <w:rFonts w:cs="Arial"/>
          <w:b w:val="0"/>
          <w:color w:val="000000" w:themeColor="text1"/>
          <w:lang w:val="en-US"/>
        </w:rPr>
        <w:t>), and</w:t>
      </w:r>
      <w:r>
        <w:rPr>
          <w:rFonts w:cs="Arial"/>
          <w:b w:val="0"/>
          <w:color w:val="000000" w:themeColor="text1"/>
          <w:lang w:val="en-US"/>
        </w:rPr>
        <w:t xml:space="preserve"> temperature (</w:t>
      </w:r>
      <w:r w:rsidRPr="007D0F1C">
        <w:rPr>
          <w:rFonts w:cs="Arial"/>
          <w:b w:val="0"/>
          <w:color w:val="000000" w:themeColor="text1"/>
          <w:lang w:val="en-US"/>
        </w:rPr>
        <w:t>30 °C</w:t>
      </w:r>
      <w:r>
        <w:rPr>
          <w:rFonts w:cs="Arial"/>
          <w:b w:val="0"/>
          <w:color w:val="000000" w:themeColor="text1"/>
          <w:lang w:val="en-US"/>
        </w:rPr>
        <w:t>). In the circumstances,</w:t>
      </w:r>
      <w:r w:rsidR="006901B5">
        <w:rPr>
          <w:rFonts w:cs="Arial"/>
          <w:b w:val="0"/>
          <w:color w:val="000000" w:themeColor="text1"/>
          <w:lang w:val="en-US"/>
        </w:rPr>
        <w:t xml:space="preserve"> owing to the quite high </w:t>
      </w:r>
      <w:r>
        <w:rPr>
          <w:rFonts w:cs="Arial"/>
          <w:b w:val="0"/>
          <w:color w:val="000000" w:themeColor="text1"/>
          <w:lang w:val="en-US"/>
        </w:rPr>
        <w:t>J</w:t>
      </w:r>
      <w:r w:rsidRPr="00684E73">
        <w:rPr>
          <w:rFonts w:cs="Arial"/>
          <w:b w:val="0"/>
          <w:color w:val="000000" w:themeColor="text1"/>
          <w:vertAlign w:val="subscript"/>
          <w:lang w:val="en-US"/>
        </w:rPr>
        <w:t>ss</w:t>
      </w:r>
      <w:r>
        <w:rPr>
          <w:rFonts w:cs="Arial"/>
          <w:b w:val="0"/>
          <w:color w:val="000000" w:themeColor="text1"/>
          <w:lang w:val="en-US"/>
        </w:rPr>
        <w:t xml:space="preserve"> </w:t>
      </w:r>
      <w:r w:rsidR="006901B5">
        <w:rPr>
          <w:rFonts w:cs="Arial"/>
          <w:b w:val="0"/>
          <w:color w:val="000000" w:themeColor="text1"/>
          <w:lang w:val="en-US"/>
        </w:rPr>
        <w:t>(</w:t>
      </w:r>
      <w:r w:rsidRPr="00684E73">
        <w:rPr>
          <w:rFonts w:cs="Arial"/>
          <w:b w:val="0"/>
          <w:color w:val="000000" w:themeColor="text1"/>
          <w:lang w:val="en-US"/>
        </w:rPr>
        <w:t xml:space="preserve">1382±83 </w:t>
      </w:r>
      <w:r w:rsidRPr="007D0F1C">
        <w:rPr>
          <w:b w:val="0"/>
          <w:color w:val="000000" w:themeColor="text1"/>
        </w:rPr>
        <w:t>L m</w:t>
      </w:r>
      <w:r w:rsidRPr="007D0F1C">
        <w:rPr>
          <w:b w:val="0"/>
          <w:color w:val="000000" w:themeColor="text1"/>
          <w:vertAlign w:val="superscript"/>
        </w:rPr>
        <w:t>-2</w:t>
      </w:r>
      <w:r w:rsidRPr="007D0F1C">
        <w:rPr>
          <w:b w:val="0"/>
          <w:color w:val="000000" w:themeColor="text1"/>
        </w:rPr>
        <w:t xml:space="preserve"> h</w:t>
      </w:r>
      <w:r w:rsidRPr="007D0F1C">
        <w:rPr>
          <w:b w:val="0"/>
          <w:color w:val="000000" w:themeColor="text1"/>
          <w:vertAlign w:val="superscript"/>
        </w:rPr>
        <w:t>-1</w:t>
      </w:r>
      <w:r w:rsidR="006901B5">
        <w:rPr>
          <w:b w:val="0"/>
          <w:color w:val="000000" w:themeColor="text1"/>
        </w:rPr>
        <w:t xml:space="preserve">), </w:t>
      </w:r>
      <w:r>
        <w:rPr>
          <w:b w:val="0"/>
          <w:color w:val="000000" w:themeColor="text1"/>
          <w:lang w:val="en-US"/>
        </w:rPr>
        <w:t xml:space="preserve">just two MM080 </w:t>
      </w:r>
      <w:r w:rsidRPr="007D0F1C">
        <w:rPr>
          <w:b w:val="0"/>
          <w:color w:val="000000" w:themeColor="text1"/>
          <w:lang w:val="en-US"/>
        </w:rPr>
        <w:t xml:space="preserve">InoCep® modules </w:t>
      </w:r>
      <w:r>
        <w:rPr>
          <w:b w:val="0"/>
          <w:color w:val="000000" w:themeColor="text1"/>
          <w:lang w:val="en-US"/>
        </w:rPr>
        <w:t>(each one with a</w:t>
      </w:r>
      <w:r w:rsidR="006901B5" w:rsidRPr="006901B5">
        <w:rPr>
          <w:b w:val="0"/>
          <w:color w:val="000000" w:themeColor="text1"/>
          <w:vertAlign w:val="subscript"/>
          <w:lang w:val="en-US"/>
        </w:rPr>
        <w:t>m</w:t>
      </w:r>
      <w:r w:rsidR="006901B5">
        <w:rPr>
          <w:b w:val="0"/>
          <w:color w:val="000000" w:themeColor="text1"/>
          <w:lang w:val="en-US"/>
        </w:rPr>
        <w:t>=</w:t>
      </w:r>
      <w:r>
        <w:rPr>
          <w:b w:val="0"/>
          <w:color w:val="000000" w:themeColor="text1"/>
          <w:lang w:val="en-US"/>
        </w:rPr>
        <w:t>0.8 m</w:t>
      </w:r>
      <w:r w:rsidRPr="009A0E2F">
        <w:rPr>
          <w:b w:val="0"/>
          <w:color w:val="000000" w:themeColor="text1"/>
          <w:vertAlign w:val="superscript"/>
          <w:lang w:val="en-US"/>
        </w:rPr>
        <w:t>2</w:t>
      </w:r>
      <w:r>
        <w:rPr>
          <w:b w:val="0"/>
          <w:color w:val="000000" w:themeColor="text1"/>
          <w:lang w:val="en-US"/>
        </w:rPr>
        <w:t>, n</w:t>
      </w:r>
      <w:r w:rsidRPr="009A0E2F">
        <w:rPr>
          <w:b w:val="0"/>
          <w:color w:val="000000" w:themeColor="text1"/>
          <w:vertAlign w:val="subscript"/>
          <w:lang w:val="en-US"/>
        </w:rPr>
        <w:t>HF</w:t>
      </w:r>
      <w:r>
        <w:rPr>
          <w:b w:val="0"/>
          <w:color w:val="000000" w:themeColor="text1"/>
          <w:lang w:val="en-US"/>
        </w:rPr>
        <w:t xml:space="preserve">=300, </w:t>
      </w:r>
      <w:r w:rsidR="006901B5">
        <w:rPr>
          <w:b w:val="0"/>
          <w:color w:val="000000" w:themeColor="text1"/>
          <w:lang w:val="en-US"/>
        </w:rPr>
        <w:t xml:space="preserve">and </w:t>
      </w:r>
      <w:r>
        <w:rPr>
          <w:b w:val="0"/>
          <w:color w:val="000000" w:themeColor="text1"/>
          <w:lang w:val="en-US"/>
        </w:rPr>
        <w:t>L</w:t>
      </w:r>
      <w:r w:rsidRPr="009A0E2F">
        <w:rPr>
          <w:b w:val="0"/>
          <w:color w:val="000000" w:themeColor="text1"/>
          <w:vertAlign w:val="subscript"/>
          <w:lang w:val="en-US"/>
        </w:rPr>
        <w:t>HF</w:t>
      </w:r>
      <w:r>
        <w:rPr>
          <w:b w:val="0"/>
          <w:color w:val="000000" w:themeColor="text1"/>
          <w:lang w:val="en-US"/>
        </w:rPr>
        <w:t xml:space="preserve">=0.439 m) </w:t>
      </w:r>
      <w:r w:rsidR="006901B5">
        <w:rPr>
          <w:b w:val="0"/>
          <w:color w:val="000000" w:themeColor="text1"/>
          <w:lang w:val="en-US"/>
        </w:rPr>
        <w:t xml:space="preserve">were needed, this lessening </w:t>
      </w:r>
      <w:r w:rsidRPr="007D0F1C">
        <w:rPr>
          <w:b w:val="0"/>
          <w:color w:val="000000" w:themeColor="text1"/>
          <w:lang w:val="en-US"/>
        </w:rPr>
        <w:t>c</w:t>
      </w:r>
      <w:r w:rsidRPr="007D0F1C">
        <w:rPr>
          <w:b w:val="0"/>
          <w:color w:val="000000" w:themeColor="text1"/>
          <w:vertAlign w:val="subscript"/>
          <w:lang w:val="en-US"/>
        </w:rPr>
        <w:t>o</w:t>
      </w:r>
      <w:r w:rsidRPr="007D0F1C">
        <w:rPr>
          <w:b w:val="0"/>
          <w:color w:val="000000" w:themeColor="text1"/>
          <w:lang w:val="en-US"/>
        </w:rPr>
        <w:t xml:space="preserve"> </w:t>
      </w:r>
      <w:r>
        <w:rPr>
          <w:b w:val="0"/>
          <w:color w:val="000000" w:themeColor="text1"/>
          <w:lang w:val="en-US"/>
        </w:rPr>
        <w:t xml:space="preserve">to </w:t>
      </w:r>
      <w:r>
        <w:rPr>
          <w:rFonts w:cs="Arial"/>
          <w:b w:val="0"/>
          <w:color w:val="000000" w:themeColor="text1"/>
          <w:lang w:val="en-US"/>
        </w:rPr>
        <w:t>0.4 € hL</w:t>
      </w:r>
      <w:r w:rsidRPr="00D84650">
        <w:rPr>
          <w:rFonts w:cs="Arial"/>
          <w:b w:val="0"/>
          <w:color w:val="000000" w:themeColor="text1"/>
          <w:vertAlign w:val="superscript"/>
          <w:lang w:val="en-US"/>
        </w:rPr>
        <w:t>-1</w:t>
      </w:r>
      <w:r>
        <w:rPr>
          <w:rFonts w:cs="Arial"/>
          <w:b w:val="0"/>
          <w:color w:val="000000" w:themeColor="text1"/>
          <w:lang w:val="en-US"/>
        </w:rPr>
        <w:t>.</w:t>
      </w:r>
    </w:p>
    <w:p w:rsidR="0000023C" w:rsidRPr="0000023C" w:rsidRDefault="0000023C" w:rsidP="0000023C">
      <w:pPr>
        <w:rPr>
          <w:lang w:val="en-US"/>
        </w:rPr>
      </w:pPr>
      <w:r w:rsidRPr="0000023C">
        <w:drawing>
          <wp:inline distT="0" distB="0" distL="0" distR="0">
            <wp:extent cx="2570400" cy="2566800"/>
            <wp:effectExtent l="0" t="0" r="190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0400" cy="2566800"/>
                    </a:xfrm>
                    <a:prstGeom prst="rect">
                      <a:avLst/>
                    </a:prstGeom>
                    <a:noFill/>
                    <a:ln>
                      <a:noFill/>
                    </a:ln>
                  </pic:spPr>
                </pic:pic>
              </a:graphicData>
            </a:graphic>
          </wp:inline>
        </w:drawing>
      </w:r>
    </w:p>
    <w:p w:rsidR="002D5239" w:rsidRDefault="002D5239" w:rsidP="002D5239">
      <w:pPr>
        <w:pStyle w:val="CETBodytext"/>
        <w:spacing w:before="120" w:after="120"/>
      </w:pPr>
      <w:r w:rsidRPr="001A6489">
        <w:rPr>
          <w:i/>
        </w:rPr>
        <w:t>Figure 4: Specific operating costs (c</w:t>
      </w:r>
      <w:r w:rsidRPr="001A6489">
        <w:rPr>
          <w:i/>
          <w:vertAlign w:val="subscript"/>
        </w:rPr>
        <w:t>o</w:t>
      </w:r>
      <w:r w:rsidRPr="001A6489">
        <w:rPr>
          <w:i/>
        </w:rPr>
        <w:t>) of the MF unit shown in Fig. 3 against the pressure (P</w:t>
      </w:r>
      <w:r w:rsidRPr="001A6489">
        <w:rPr>
          <w:i/>
          <w:vertAlign w:val="subscript"/>
        </w:rPr>
        <w:t>F</w:t>
      </w:r>
      <w:r w:rsidRPr="001A6489">
        <w:rPr>
          <w:i/>
        </w:rPr>
        <w:t>) at the inlet port of the membrane module under different crossflow velocities (v</w:t>
      </w:r>
      <w:r w:rsidRPr="001A6489">
        <w:rPr>
          <w:i/>
          <w:vertAlign w:val="subscript"/>
        </w:rPr>
        <w:t>s</w:t>
      </w:r>
      <w:r w:rsidRPr="001A6489">
        <w:rPr>
          <w:i/>
        </w:rPr>
        <w:t xml:space="preserve">: </w:t>
      </w:r>
      <w:r w:rsidR="00900C13" w:rsidRPr="001A6489">
        <w:rPr>
          <w:rFonts w:ascii="Wingdings" w:hAnsi="Wingdings"/>
        </w:rPr>
        <w:sym w:font="Wingdings" w:char="F06F"/>
      </w:r>
      <w:r w:rsidRPr="001A6489">
        <w:rPr>
          <w:i/>
        </w:rPr>
        <w:t>, 1.5 m s</w:t>
      </w:r>
      <w:r w:rsidRPr="001A6489">
        <w:rPr>
          <w:i/>
          <w:vertAlign w:val="superscript"/>
        </w:rPr>
        <w:t>-1</w:t>
      </w:r>
      <w:r w:rsidRPr="001A6489">
        <w:rPr>
          <w:i/>
        </w:rPr>
        <w:t xml:space="preserve">; </w:t>
      </w:r>
      <w:r w:rsidR="00900C13" w:rsidRPr="001A6489">
        <w:rPr>
          <w:rFonts w:ascii="Wingdings 3" w:hAnsi="Wingdings 3"/>
        </w:rPr>
        <w:t></w:t>
      </w:r>
      <w:r w:rsidRPr="001A6489">
        <w:rPr>
          <w:i/>
        </w:rPr>
        <w:t>, 2.0 m s</w:t>
      </w:r>
      <w:r w:rsidRPr="001A6489">
        <w:rPr>
          <w:i/>
          <w:vertAlign w:val="superscript"/>
        </w:rPr>
        <w:t>-1</w:t>
      </w:r>
      <w:r w:rsidRPr="001A6489">
        <w:rPr>
          <w:i/>
        </w:rPr>
        <w:t xml:space="preserve">; </w:t>
      </w:r>
      <w:r w:rsidR="00900C13" w:rsidRPr="001A6489">
        <w:rPr>
          <w:rFonts w:ascii="Wingdings" w:hAnsi="Wingdings"/>
        </w:rPr>
        <w:t></w:t>
      </w:r>
      <w:r w:rsidRPr="001A6489">
        <w:rPr>
          <w:i/>
        </w:rPr>
        <w:t>, 2.5 m s</w:t>
      </w:r>
      <w:r w:rsidRPr="001A6489">
        <w:rPr>
          <w:i/>
          <w:vertAlign w:val="superscript"/>
        </w:rPr>
        <w:t>-1</w:t>
      </w:r>
      <w:r w:rsidRPr="001A6489">
        <w:rPr>
          <w:i/>
        </w:rPr>
        <w:t xml:space="preserve">; </w:t>
      </w:r>
      <w:r w:rsidR="00900C13" w:rsidRPr="001A6489">
        <w:rPr>
          <w:rFonts w:ascii="Wingdings 3" w:hAnsi="Wingdings 3"/>
        </w:rPr>
        <w:sym w:font="Wingdings 2" w:char="F0B8"/>
      </w:r>
      <w:r w:rsidRPr="001A6489">
        <w:rPr>
          <w:i/>
        </w:rPr>
        <w:t>, 3.0 m s</w:t>
      </w:r>
      <w:r w:rsidRPr="001A6489">
        <w:rPr>
          <w:i/>
          <w:vertAlign w:val="superscript"/>
        </w:rPr>
        <w:t>-1</w:t>
      </w:r>
      <w:r w:rsidRPr="001A6489">
        <w:rPr>
          <w:i/>
        </w:rPr>
        <w:t xml:space="preserve">; </w:t>
      </w:r>
      <w:r w:rsidR="00900C13" w:rsidRPr="001A6489">
        <w:rPr>
          <w:rFonts w:ascii="Wingdings" w:hAnsi="Wingdings"/>
        </w:rPr>
        <w:t></w:t>
      </w:r>
      <w:r w:rsidRPr="001A6489">
        <w:rPr>
          <w:i/>
        </w:rPr>
        <w:t>, 4 m s</w:t>
      </w:r>
      <w:r w:rsidRPr="001A6489">
        <w:rPr>
          <w:i/>
          <w:vertAlign w:val="superscript"/>
        </w:rPr>
        <w:t>-1</w:t>
      </w:r>
      <w:r w:rsidRPr="001A6489">
        <w:rPr>
          <w:i/>
        </w:rPr>
        <w:t xml:space="preserve">; </w:t>
      </w:r>
      <w:r w:rsidR="00900C13" w:rsidRPr="001A6489">
        <w:rPr>
          <w:rFonts w:ascii="Wingdings 3" w:hAnsi="Wingdings 3"/>
        </w:rPr>
        <w:t></w:t>
      </w:r>
      <w:r w:rsidRPr="001A6489">
        <w:rPr>
          <w:i/>
        </w:rPr>
        <w:t>, 5.0 m s</w:t>
      </w:r>
      <w:r w:rsidRPr="001A6489">
        <w:rPr>
          <w:i/>
          <w:vertAlign w:val="superscript"/>
        </w:rPr>
        <w:t>-1</w:t>
      </w:r>
      <w:r w:rsidRPr="001A6489">
        <w:rPr>
          <w:i/>
        </w:rPr>
        <w:t xml:space="preserve">; </w:t>
      </w:r>
      <w:r w:rsidR="00900C13" w:rsidRPr="001A6489">
        <w:rPr>
          <w:rFonts w:ascii="Wingdings" w:hAnsi="Wingdings"/>
        </w:rPr>
        <w:sym w:font="Wingdings" w:char="F06E"/>
      </w:r>
      <w:r w:rsidRPr="001A6489">
        <w:rPr>
          <w:i/>
        </w:rPr>
        <w:t>, 6.0 m s</w:t>
      </w:r>
      <w:r w:rsidRPr="001A6489">
        <w:rPr>
          <w:i/>
          <w:vertAlign w:val="superscript"/>
        </w:rPr>
        <w:t>-1</w:t>
      </w:r>
      <w:r w:rsidRPr="001A6489">
        <w:rPr>
          <w:i/>
        </w:rPr>
        <w:t>).</w:t>
      </w:r>
      <w:r w:rsidR="00A967F6" w:rsidRPr="001A6489">
        <w:t xml:space="preserve"> </w:t>
      </w:r>
    </w:p>
    <w:p w:rsidR="00600535" w:rsidRPr="001A6489" w:rsidRDefault="00600535" w:rsidP="00600535">
      <w:pPr>
        <w:pStyle w:val="CETHeading1"/>
      </w:pPr>
      <w:r w:rsidRPr="001A6489">
        <w:t>Conclusions</w:t>
      </w:r>
    </w:p>
    <w:p w:rsidR="00491F47" w:rsidRDefault="00C721C5" w:rsidP="00D41CC7">
      <w:pPr>
        <w:pStyle w:val="Didascalia"/>
        <w:keepNext/>
        <w:spacing w:line="264" w:lineRule="auto"/>
        <w:rPr>
          <w:rFonts w:cs="Arial"/>
          <w:b w:val="0"/>
          <w:color w:val="000000"/>
          <w:lang w:val="en-US"/>
        </w:rPr>
      </w:pPr>
      <w:r w:rsidRPr="008D4B2A">
        <w:rPr>
          <w:b w:val="0"/>
          <w:color w:val="000000" w:themeColor="text1"/>
        </w:rPr>
        <w:t>In total recycle MF trials, that were used to simulate pale lager clarification in the continuous mode, the quasi-steady state permeation flux (J</w:t>
      </w:r>
      <w:r w:rsidRPr="008D4B2A">
        <w:rPr>
          <w:b w:val="0"/>
          <w:color w:val="000000" w:themeColor="text1"/>
          <w:vertAlign w:val="subscript"/>
        </w:rPr>
        <w:t>ss</w:t>
      </w:r>
      <w:r w:rsidRPr="008D4B2A">
        <w:rPr>
          <w:b w:val="0"/>
          <w:color w:val="000000" w:themeColor="text1"/>
        </w:rPr>
        <w:t>) exhibited the typical phenomenon of concentration polarization with a limiting flux (J*) increasing with the crossflow velocity (v</w:t>
      </w:r>
      <w:r w:rsidRPr="008D4B2A">
        <w:rPr>
          <w:b w:val="0"/>
          <w:color w:val="000000" w:themeColor="text1"/>
          <w:vertAlign w:val="subscript"/>
        </w:rPr>
        <w:t>S</w:t>
      </w:r>
      <w:r w:rsidRPr="008D4B2A">
        <w:rPr>
          <w:b w:val="0"/>
          <w:color w:val="000000" w:themeColor="text1"/>
        </w:rPr>
        <w:t xml:space="preserve">). </w:t>
      </w:r>
      <w:r w:rsidR="002214F5" w:rsidRPr="008D4B2A">
        <w:rPr>
          <w:b w:val="0"/>
          <w:color w:val="000000" w:themeColor="text1"/>
        </w:rPr>
        <w:t xml:space="preserve">The empirical model of </w:t>
      </w:r>
      <w:r w:rsidRPr="008D4B2A">
        <w:rPr>
          <w:b w:val="0"/>
          <w:color w:val="000000" w:themeColor="text1"/>
        </w:rPr>
        <w:t>J</w:t>
      </w:r>
      <w:r w:rsidRPr="008D4B2A">
        <w:rPr>
          <w:b w:val="0"/>
          <w:color w:val="000000" w:themeColor="text1"/>
          <w:vertAlign w:val="subscript"/>
        </w:rPr>
        <w:t>ss</w:t>
      </w:r>
      <w:r w:rsidRPr="008D4B2A">
        <w:rPr>
          <w:b w:val="0"/>
          <w:color w:val="000000" w:themeColor="text1"/>
        </w:rPr>
        <w:t xml:space="preserve"> was used to design a</w:t>
      </w:r>
      <w:r w:rsidR="006901B5">
        <w:rPr>
          <w:b w:val="0"/>
          <w:color w:val="000000" w:themeColor="text1"/>
        </w:rPr>
        <w:t xml:space="preserve"> </w:t>
      </w:r>
      <w:r w:rsidRPr="008D4B2A">
        <w:rPr>
          <w:b w:val="0"/>
          <w:color w:val="000000" w:themeColor="text1"/>
        </w:rPr>
        <w:t>MF unit</w:t>
      </w:r>
      <w:r w:rsidR="002214F5" w:rsidRPr="008D4B2A">
        <w:rPr>
          <w:b w:val="0"/>
          <w:color w:val="000000" w:themeColor="text1"/>
        </w:rPr>
        <w:t xml:space="preserve"> equipped with ceramic HF membrane modules</w:t>
      </w:r>
      <w:r w:rsidRPr="008D4B2A">
        <w:rPr>
          <w:b w:val="0"/>
          <w:color w:val="000000" w:themeColor="text1"/>
        </w:rPr>
        <w:t xml:space="preserve">. By referring to a medium-sized brewery, a rough-grade feasibility study </w:t>
      </w:r>
      <w:r w:rsidR="008D4B2A" w:rsidRPr="008D4B2A">
        <w:rPr>
          <w:b w:val="0"/>
          <w:color w:val="000000" w:themeColor="text1"/>
        </w:rPr>
        <w:t xml:space="preserve">allowed the operating costs </w:t>
      </w:r>
      <w:r w:rsidR="00D41CC7">
        <w:rPr>
          <w:b w:val="0"/>
          <w:color w:val="000000" w:themeColor="text1"/>
        </w:rPr>
        <w:t>(c</w:t>
      </w:r>
      <w:r w:rsidR="00D41CC7" w:rsidRPr="00D41CC7">
        <w:rPr>
          <w:b w:val="0"/>
          <w:color w:val="000000" w:themeColor="text1"/>
          <w:vertAlign w:val="subscript"/>
        </w:rPr>
        <w:t>o</w:t>
      </w:r>
      <w:r w:rsidR="00D41CC7">
        <w:rPr>
          <w:b w:val="0"/>
          <w:color w:val="000000" w:themeColor="text1"/>
        </w:rPr>
        <w:t xml:space="preserve">) </w:t>
      </w:r>
      <w:r w:rsidR="008D4B2A" w:rsidRPr="008D4B2A">
        <w:rPr>
          <w:b w:val="0"/>
          <w:color w:val="000000" w:themeColor="text1"/>
        </w:rPr>
        <w:t>of the MF unit to be minimized at ~0.50 € hL</w:t>
      </w:r>
      <w:r w:rsidR="008D4B2A" w:rsidRPr="008D4B2A">
        <w:rPr>
          <w:b w:val="0"/>
          <w:color w:val="000000" w:themeColor="text1"/>
          <w:vertAlign w:val="superscript"/>
        </w:rPr>
        <w:t xml:space="preserve">-1 </w:t>
      </w:r>
      <w:r w:rsidR="008D4B2A" w:rsidRPr="008D4B2A">
        <w:rPr>
          <w:b w:val="0"/>
          <w:color w:val="000000" w:themeColor="text1"/>
        </w:rPr>
        <w:t>by setting v</w:t>
      </w:r>
      <w:r w:rsidR="008D4B2A" w:rsidRPr="008D4B2A">
        <w:rPr>
          <w:b w:val="0"/>
          <w:color w:val="000000" w:themeColor="text1"/>
          <w:vertAlign w:val="subscript"/>
        </w:rPr>
        <w:t xml:space="preserve">S </w:t>
      </w:r>
      <w:r w:rsidR="008D4B2A" w:rsidRPr="008D4B2A">
        <w:rPr>
          <w:b w:val="0"/>
          <w:color w:val="000000" w:themeColor="text1"/>
        </w:rPr>
        <w:t>at 4 m s</w:t>
      </w:r>
      <w:r w:rsidR="008D4B2A" w:rsidRPr="008D4B2A">
        <w:rPr>
          <w:b w:val="0"/>
          <w:color w:val="000000" w:themeColor="text1"/>
          <w:vertAlign w:val="superscript"/>
        </w:rPr>
        <w:t>-1</w:t>
      </w:r>
      <w:r w:rsidR="008D4B2A" w:rsidRPr="008D4B2A">
        <w:rPr>
          <w:b w:val="0"/>
          <w:color w:val="000000" w:themeColor="text1"/>
        </w:rPr>
        <w:t xml:space="preserve"> and P</w:t>
      </w:r>
      <w:r w:rsidR="008D4B2A" w:rsidRPr="008D4B2A">
        <w:rPr>
          <w:b w:val="0"/>
          <w:color w:val="000000" w:themeColor="text1"/>
          <w:vertAlign w:val="subscript"/>
        </w:rPr>
        <w:t>F</w:t>
      </w:r>
      <w:r w:rsidR="008D4B2A" w:rsidRPr="008D4B2A">
        <w:rPr>
          <w:b w:val="0"/>
          <w:color w:val="000000" w:themeColor="text1"/>
        </w:rPr>
        <w:t xml:space="preserve"> at 5 bar. </w:t>
      </w:r>
      <w:r w:rsidR="009957C5">
        <w:rPr>
          <w:b w:val="0"/>
          <w:color w:val="000000" w:themeColor="text1"/>
        </w:rPr>
        <w:t xml:space="preserve">The operation </w:t>
      </w:r>
      <w:r w:rsidR="00D41CC7">
        <w:rPr>
          <w:b w:val="0"/>
          <w:color w:val="000000" w:themeColor="text1"/>
          <w:lang w:val="en-US"/>
        </w:rPr>
        <w:t xml:space="preserve">at </w:t>
      </w:r>
      <w:r w:rsidR="00D41CC7" w:rsidRPr="007D0F1C">
        <w:rPr>
          <w:b w:val="0"/>
          <w:color w:val="000000" w:themeColor="text1"/>
          <w:lang w:val="en-US"/>
        </w:rPr>
        <w:t>v</w:t>
      </w:r>
      <w:r w:rsidR="00D41CC7" w:rsidRPr="007D0F1C">
        <w:rPr>
          <w:b w:val="0"/>
          <w:color w:val="000000" w:themeColor="text1"/>
          <w:vertAlign w:val="subscript"/>
          <w:lang w:val="en-US"/>
        </w:rPr>
        <w:t>S</w:t>
      </w:r>
      <w:r w:rsidR="00D41CC7" w:rsidRPr="007D0F1C">
        <w:rPr>
          <w:b w:val="0"/>
          <w:color w:val="000000" w:themeColor="text1"/>
          <w:lang w:val="en-US"/>
        </w:rPr>
        <w:t>=2.5 m s</w:t>
      </w:r>
      <w:r w:rsidR="00D41CC7" w:rsidRPr="007D0F1C">
        <w:rPr>
          <w:b w:val="0"/>
          <w:color w:val="000000" w:themeColor="text1"/>
          <w:vertAlign w:val="superscript"/>
          <w:lang w:val="en-US"/>
        </w:rPr>
        <w:t>-1</w:t>
      </w:r>
      <w:r w:rsidR="00D41CC7">
        <w:rPr>
          <w:b w:val="0"/>
          <w:color w:val="000000" w:themeColor="text1"/>
          <w:lang w:val="en-US"/>
        </w:rPr>
        <w:t xml:space="preserve"> and </w:t>
      </w:r>
      <w:r w:rsidR="00D41CC7" w:rsidRPr="007D0F1C">
        <w:rPr>
          <w:b w:val="0"/>
          <w:color w:val="000000" w:themeColor="text1"/>
          <w:lang w:val="en-US"/>
        </w:rPr>
        <w:t>P</w:t>
      </w:r>
      <w:r w:rsidR="00D41CC7" w:rsidRPr="007D0F1C">
        <w:rPr>
          <w:b w:val="0"/>
          <w:color w:val="000000" w:themeColor="text1"/>
          <w:vertAlign w:val="subscript"/>
          <w:lang w:val="en-US"/>
        </w:rPr>
        <w:t>F</w:t>
      </w:r>
      <w:r w:rsidR="00D41CC7" w:rsidRPr="007D0F1C">
        <w:rPr>
          <w:b w:val="0"/>
          <w:color w:val="000000" w:themeColor="text1"/>
          <w:lang w:val="en-US"/>
        </w:rPr>
        <w:t>=3.5 bar</w:t>
      </w:r>
      <w:r w:rsidR="00D41CC7">
        <w:rPr>
          <w:b w:val="0"/>
          <w:color w:val="000000" w:themeColor="text1"/>
          <w:lang w:val="en-US"/>
        </w:rPr>
        <w:t xml:space="preserve"> with periodic </w:t>
      </w:r>
      <w:r w:rsidR="008D4B2A" w:rsidRPr="007D0F1C">
        <w:rPr>
          <w:b w:val="0"/>
          <w:color w:val="000000" w:themeColor="text1"/>
          <w:lang w:val="en-US"/>
        </w:rPr>
        <w:t>CO</w:t>
      </w:r>
      <w:r w:rsidR="008D4B2A" w:rsidRPr="007D0F1C">
        <w:rPr>
          <w:b w:val="0"/>
          <w:color w:val="000000" w:themeColor="text1"/>
          <w:vertAlign w:val="subscript"/>
          <w:lang w:val="en-US"/>
        </w:rPr>
        <w:t>2</w:t>
      </w:r>
      <w:r w:rsidR="008D4B2A" w:rsidRPr="007D0F1C">
        <w:rPr>
          <w:b w:val="0"/>
          <w:color w:val="000000" w:themeColor="text1"/>
          <w:lang w:val="en-US"/>
        </w:rPr>
        <w:t xml:space="preserve"> backflushing</w:t>
      </w:r>
      <w:r w:rsidR="00D41CC7">
        <w:rPr>
          <w:b w:val="0"/>
          <w:color w:val="000000" w:themeColor="text1"/>
          <w:lang w:val="en-US"/>
        </w:rPr>
        <w:t xml:space="preserve">, </w:t>
      </w:r>
      <w:r w:rsidR="009957C5">
        <w:rPr>
          <w:b w:val="0"/>
          <w:color w:val="000000" w:themeColor="text1"/>
          <w:lang w:val="en-US"/>
        </w:rPr>
        <w:t xml:space="preserve">reduced </w:t>
      </w:r>
      <w:r w:rsidR="00D41CC7">
        <w:rPr>
          <w:b w:val="0"/>
          <w:color w:val="000000" w:themeColor="text1"/>
          <w:lang w:val="en-US"/>
        </w:rPr>
        <w:t>c</w:t>
      </w:r>
      <w:r w:rsidR="00D41CC7" w:rsidRPr="00D41CC7">
        <w:rPr>
          <w:b w:val="0"/>
          <w:color w:val="000000" w:themeColor="text1"/>
          <w:vertAlign w:val="subscript"/>
          <w:lang w:val="en-US"/>
        </w:rPr>
        <w:t>o</w:t>
      </w:r>
      <w:r w:rsidR="00D41CC7">
        <w:rPr>
          <w:b w:val="0"/>
          <w:color w:val="000000" w:themeColor="text1"/>
          <w:lang w:val="en-US"/>
        </w:rPr>
        <w:t xml:space="preserve"> to </w:t>
      </w:r>
      <w:r w:rsidR="008D4B2A" w:rsidRPr="007D0F1C">
        <w:rPr>
          <w:b w:val="0"/>
          <w:color w:val="000000" w:themeColor="text1"/>
          <w:lang w:val="en-US"/>
        </w:rPr>
        <w:t>0.47 € hL</w:t>
      </w:r>
      <w:r w:rsidR="008D4B2A" w:rsidRPr="007D0F1C">
        <w:rPr>
          <w:b w:val="0"/>
          <w:color w:val="000000" w:themeColor="text1"/>
          <w:vertAlign w:val="superscript"/>
          <w:lang w:val="en-US"/>
        </w:rPr>
        <w:t>-1</w:t>
      </w:r>
      <w:r w:rsidR="008D4B2A" w:rsidRPr="007D0F1C">
        <w:rPr>
          <w:b w:val="0"/>
          <w:color w:val="000000" w:themeColor="text1"/>
          <w:lang w:val="en-US"/>
        </w:rPr>
        <w:t>.</w:t>
      </w:r>
      <w:r w:rsidR="00D41CC7">
        <w:rPr>
          <w:b w:val="0"/>
          <w:color w:val="000000" w:themeColor="text1"/>
          <w:lang w:val="en-US"/>
        </w:rPr>
        <w:t xml:space="preserve"> Use of </w:t>
      </w:r>
      <w:r w:rsidR="00115EF5" w:rsidRPr="00115EF5">
        <w:rPr>
          <w:b w:val="0"/>
          <w:color w:val="000000" w:themeColor="text1"/>
          <w:lang w:val="en-US"/>
        </w:rPr>
        <w:t xml:space="preserve">proline-specific proteinases and </w:t>
      </w:r>
      <w:r w:rsidR="00115EF5" w:rsidRPr="007D0F1C">
        <w:rPr>
          <w:rFonts w:cs="Arial"/>
          <w:b w:val="0"/>
          <w:color w:val="000000" w:themeColor="text1"/>
          <w:lang w:val="en-US"/>
        </w:rPr>
        <w:t>1.4-</w:t>
      </w:r>
      <w:r w:rsidR="008D6335">
        <w:rPr>
          <w:rFonts w:cs="Arial"/>
          <w:b w:val="0"/>
          <w:color w:val="000000" w:themeColor="text1"/>
          <w:lang w:val="en-US"/>
        </w:rPr>
        <w:t>µ</w:t>
      </w:r>
      <w:r w:rsidR="00115EF5" w:rsidRPr="007D0F1C">
        <w:rPr>
          <w:rFonts w:cs="Arial"/>
          <w:b w:val="0"/>
          <w:color w:val="000000" w:themeColor="text1"/>
          <w:lang w:val="en-US"/>
        </w:rPr>
        <w:t>m ceramic HF membrane</w:t>
      </w:r>
      <w:r w:rsidR="00115EF5">
        <w:rPr>
          <w:rFonts w:cs="Arial"/>
          <w:b w:val="0"/>
          <w:color w:val="000000" w:themeColor="text1"/>
          <w:lang w:val="en-US"/>
        </w:rPr>
        <w:t xml:space="preserve">s operating at room temperatures </w:t>
      </w:r>
      <w:r w:rsidR="00824F8E">
        <w:rPr>
          <w:rFonts w:cs="Arial"/>
          <w:b w:val="0"/>
          <w:color w:val="000000" w:themeColor="text1"/>
          <w:lang w:val="en-US"/>
        </w:rPr>
        <w:t xml:space="preserve">further </w:t>
      </w:r>
      <w:r w:rsidR="00115EF5">
        <w:rPr>
          <w:rFonts w:cs="Arial"/>
          <w:b w:val="0"/>
          <w:color w:val="000000" w:themeColor="text1"/>
          <w:lang w:val="en-US"/>
        </w:rPr>
        <w:t xml:space="preserve">lessened </w:t>
      </w:r>
      <w:r w:rsidR="00115EF5" w:rsidRPr="007D0F1C">
        <w:rPr>
          <w:b w:val="0"/>
          <w:color w:val="000000" w:themeColor="text1"/>
          <w:lang w:val="en-US"/>
        </w:rPr>
        <w:t>c</w:t>
      </w:r>
      <w:r w:rsidR="00115EF5" w:rsidRPr="007D0F1C">
        <w:rPr>
          <w:b w:val="0"/>
          <w:color w:val="000000" w:themeColor="text1"/>
          <w:vertAlign w:val="subscript"/>
          <w:lang w:val="en-US"/>
        </w:rPr>
        <w:t>o</w:t>
      </w:r>
      <w:r w:rsidR="00115EF5" w:rsidRPr="007D0F1C">
        <w:rPr>
          <w:b w:val="0"/>
          <w:color w:val="000000" w:themeColor="text1"/>
          <w:lang w:val="en-US"/>
        </w:rPr>
        <w:t xml:space="preserve"> </w:t>
      </w:r>
      <w:r w:rsidR="00115EF5">
        <w:rPr>
          <w:b w:val="0"/>
          <w:color w:val="000000" w:themeColor="text1"/>
          <w:lang w:val="en-US"/>
        </w:rPr>
        <w:t xml:space="preserve">to </w:t>
      </w:r>
      <w:r w:rsidR="00115EF5">
        <w:rPr>
          <w:rFonts w:cs="Arial"/>
          <w:b w:val="0"/>
          <w:color w:val="000000" w:themeColor="text1"/>
          <w:lang w:val="en-US"/>
        </w:rPr>
        <w:t>0.4 € hL</w:t>
      </w:r>
      <w:r w:rsidR="00115EF5" w:rsidRPr="00D84650">
        <w:rPr>
          <w:rFonts w:cs="Arial"/>
          <w:b w:val="0"/>
          <w:color w:val="000000" w:themeColor="text1"/>
          <w:vertAlign w:val="superscript"/>
          <w:lang w:val="en-US"/>
        </w:rPr>
        <w:t>-1</w:t>
      </w:r>
      <w:r w:rsidR="00824F8E">
        <w:rPr>
          <w:rFonts w:cs="Arial"/>
          <w:b w:val="0"/>
          <w:color w:val="000000" w:themeColor="text1"/>
          <w:lang w:val="en-US"/>
        </w:rPr>
        <w:t xml:space="preserve">. Thus, </w:t>
      </w:r>
      <w:r w:rsidR="00115EF5">
        <w:rPr>
          <w:rFonts w:cs="Arial"/>
          <w:b w:val="0"/>
          <w:color w:val="000000" w:themeColor="text1"/>
          <w:lang w:val="en-US"/>
        </w:rPr>
        <w:t xml:space="preserve">this novel process </w:t>
      </w:r>
      <w:r w:rsidR="00824F8E">
        <w:rPr>
          <w:rFonts w:cs="Arial"/>
          <w:b w:val="0"/>
          <w:color w:val="000000" w:themeColor="text1"/>
          <w:lang w:val="en-US"/>
        </w:rPr>
        <w:t xml:space="preserve">might be really regarded as the most effective </w:t>
      </w:r>
      <w:r w:rsidR="00115EF5">
        <w:rPr>
          <w:rFonts w:cs="Arial"/>
          <w:b w:val="0"/>
          <w:color w:val="000000" w:themeColor="text1"/>
          <w:lang w:val="en-US"/>
        </w:rPr>
        <w:t xml:space="preserve">alternative </w:t>
      </w:r>
      <w:r w:rsidR="00824F8E">
        <w:rPr>
          <w:rFonts w:cs="Arial"/>
          <w:b w:val="0"/>
          <w:color w:val="000000" w:themeColor="text1"/>
          <w:lang w:val="en-US"/>
        </w:rPr>
        <w:t xml:space="preserve">to </w:t>
      </w:r>
      <w:r w:rsidR="00491F47" w:rsidRPr="00115EF5">
        <w:rPr>
          <w:rFonts w:cs="Arial"/>
          <w:b w:val="0"/>
          <w:color w:val="000000"/>
          <w:lang w:val="en-US"/>
        </w:rPr>
        <w:t xml:space="preserve">the current beer conditioning techniques </w:t>
      </w:r>
      <w:r w:rsidR="00115EF5">
        <w:rPr>
          <w:rFonts w:cs="Arial"/>
          <w:b w:val="0"/>
          <w:color w:val="000000"/>
          <w:lang w:val="en-US"/>
        </w:rPr>
        <w:t xml:space="preserve">based on </w:t>
      </w:r>
      <w:r w:rsidR="00F570DE">
        <w:rPr>
          <w:rFonts w:cs="Arial"/>
          <w:b w:val="0"/>
          <w:color w:val="000000"/>
          <w:lang w:val="en-US"/>
        </w:rPr>
        <w:t>DE</w:t>
      </w:r>
      <w:r w:rsidR="00491F47" w:rsidRPr="00115EF5">
        <w:rPr>
          <w:rFonts w:cs="Arial"/>
          <w:b w:val="0"/>
          <w:color w:val="000000"/>
          <w:lang w:val="en-US"/>
        </w:rPr>
        <w:t xml:space="preserve"> filtration and </w:t>
      </w:r>
      <w:r w:rsidR="00491F47" w:rsidRPr="00115EF5">
        <w:rPr>
          <w:rFonts w:cs="Arial"/>
          <w:b w:val="0"/>
          <w:iCs/>
          <w:color w:val="000000"/>
          <w:lang w:val="en-US"/>
        </w:rPr>
        <w:t xml:space="preserve">PVPP </w:t>
      </w:r>
      <w:r w:rsidR="00491F47" w:rsidRPr="00115EF5">
        <w:rPr>
          <w:rFonts w:cs="Arial"/>
          <w:b w:val="0"/>
          <w:color w:val="000000"/>
          <w:lang w:val="en-US"/>
        </w:rPr>
        <w:t>treatment</w:t>
      </w:r>
      <w:r w:rsidR="00F570DE">
        <w:rPr>
          <w:rFonts w:cs="Arial"/>
          <w:b w:val="0"/>
          <w:color w:val="000000"/>
          <w:lang w:val="en-US"/>
        </w:rPr>
        <w:t>.</w:t>
      </w:r>
    </w:p>
    <w:p w:rsidR="00600535" w:rsidRPr="001A6489" w:rsidRDefault="00600535" w:rsidP="00600535">
      <w:pPr>
        <w:pStyle w:val="CETAcknowledgementstitle"/>
        <w:rPr>
          <w:lang w:val="en-US"/>
        </w:rPr>
      </w:pPr>
      <w:r w:rsidRPr="001A6489">
        <w:rPr>
          <w:lang w:val="en-US"/>
        </w:rPr>
        <w:t>Acknowledgments</w:t>
      </w:r>
    </w:p>
    <w:p w:rsidR="00600535" w:rsidRPr="001A6489" w:rsidRDefault="00C721C5" w:rsidP="00600535">
      <w:pPr>
        <w:pStyle w:val="CETBodytext"/>
      </w:pPr>
      <w:r w:rsidRPr="001A6489">
        <w:t xml:space="preserve">This research was supported by the Italian Ministry of Instruction, University and Research, special grant PRIN 2010-2011 - prot. 2010ST3AMX_003. </w:t>
      </w:r>
    </w:p>
    <w:p w:rsidR="00600535" w:rsidRPr="001A6489" w:rsidRDefault="00600535" w:rsidP="00600535">
      <w:pPr>
        <w:pStyle w:val="CETReference"/>
        <w:rPr>
          <w:lang w:val="en-US"/>
        </w:rPr>
      </w:pPr>
      <w:r w:rsidRPr="001A6489">
        <w:rPr>
          <w:lang w:val="en-US"/>
        </w:rPr>
        <w:lastRenderedPageBreak/>
        <w:t>References</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Anon., 2018. Economic Indicators. Chemical Engineering, 125(12), 160.</w:t>
      </w:r>
    </w:p>
    <w:p w:rsidR="00AB12E2" w:rsidRPr="001A6489" w:rsidRDefault="00AB12E2" w:rsidP="000700EE">
      <w:pPr>
        <w:pStyle w:val="CETHeading1"/>
        <w:numPr>
          <w:ilvl w:val="0"/>
          <w:numId w:val="0"/>
        </w:numPr>
        <w:spacing w:before="0" w:after="0" w:line="252" w:lineRule="auto"/>
        <w:ind w:left="284" w:hanging="284"/>
        <w:jc w:val="both"/>
      </w:pPr>
      <w:r w:rsidRPr="001B6A6C">
        <w:rPr>
          <w:b w:val="0"/>
          <w:sz w:val="18"/>
          <w:szCs w:val="18"/>
        </w:rPr>
        <w:t>Burrell K.J., Gill C., McKechnie M.T., Murray J</w:t>
      </w:r>
      <w:r>
        <w:rPr>
          <w:b w:val="0"/>
          <w:sz w:val="18"/>
          <w:szCs w:val="18"/>
        </w:rPr>
        <w:t xml:space="preserve">, </w:t>
      </w:r>
      <w:r w:rsidRPr="001B6A6C">
        <w:rPr>
          <w:b w:val="0"/>
          <w:sz w:val="18"/>
          <w:szCs w:val="18"/>
        </w:rPr>
        <w:t>1994</w:t>
      </w:r>
      <w:r>
        <w:rPr>
          <w:b w:val="0"/>
          <w:sz w:val="18"/>
          <w:szCs w:val="18"/>
        </w:rPr>
        <w:t xml:space="preserve">, </w:t>
      </w:r>
      <w:r w:rsidRPr="001B6A6C">
        <w:rPr>
          <w:b w:val="0"/>
          <w:sz w:val="18"/>
          <w:szCs w:val="18"/>
        </w:rPr>
        <w:t>Advance in separation technology for the brewer: ceramic cross-flow</w:t>
      </w:r>
      <w:r>
        <w:rPr>
          <w:b w:val="0"/>
          <w:sz w:val="18"/>
          <w:szCs w:val="18"/>
        </w:rPr>
        <w:t xml:space="preserve"> microfiltration of rough beer. </w:t>
      </w:r>
      <w:r w:rsidRPr="001B6A6C">
        <w:rPr>
          <w:b w:val="0"/>
          <w:sz w:val="18"/>
          <w:szCs w:val="18"/>
        </w:rPr>
        <w:t>Master Brewers Association of Americas Tec</w:t>
      </w:r>
      <w:r>
        <w:rPr>
          <w:b w:val="0"/>
          <w:sz w:val="18"/>
          <w:szCs w:val="18"/>
        </w:rPr>
        <w:t>hnical Quarterly</w:t>
      </w:r>
      <w:r w:rsidRPr="001B6A6C">
        <w:rPr>
          <w:b w:val="0"/>
          <w:sz w:val="18"/>
          <w:szCs w:val="18"/>
        </w:rPr>
        <w:t>, 31 (2), 42-50.</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Buttrick P., 2010, Choices, choices. Beer processing and filtration, Brewer and Distiller International 6, 10-16.</w:t>
      </w:r>
    </w:p>
    <w:p w:rsidR="00DE5010" w:rsidRPr="00C76904" w:rsidRDefault="00DE5010" w:rsidP="000700EE">
      <w:pPr>
        <w:pStyle w:val="CETReferencetext"/>
        <w:spacing w:line="252" w:lineRule="auto"/>
        <w:rPr>
          <w:lang w:val="en-US"/>
        </w:rPr>
      </w:pPr>
      <w:r w:rsidRPr="00C76904">
        <w:rPr>
          <w:lang w:val="en-US"/>
        </w:rPr>
        <w:t>Cimini A, Moresi M., 2014, Beer clarification using ceramic tubular membranes, Food and Bioprocess Technology, 7, 2694–2710.</w:t>
      </w:r>
    </w:p>
    <w:p w:rsidR="00DE5010" w:rsidRPr="00C76904" w:rsidRDefault="00DE5010" w:rsidP="000700EE">
      <w:pPr>
        <w:pStyle w:val="CETReferencetext"/>
        <w:spacing w:line="252" w:lineRule="auto"/>
        <w:rPr>
          <w:lang w:val="en-US"/>
        </w:rPr>
      </w:pPr>
      <w:r w:rsidRPr="00C76904">
        <w:rPr>
          <w:lang w:val="en-US"/>
        </w:rPr>
        <w:t>Cimini A., Marconi O., Perretti G., Moresi M., 2014, Novel Procedure for Lager Beer Clarification and Stabilization using Sequential Enzymatic, Centrifugal, Regenerable PVPP and Crossflow Microfiltration Processing, Food and Bioprocess Technology, 7, 3156–3165.</w:t>
      </w:r>
    </w:p>
    <w:p w:rsidR="00DE5010" w:rsidRPr="00C76904" w:rsidRDefault="00DE5010" w:rsidP="000700EE">
      <w:pPr>
        <w:pStyle w:val="CETReferencetext"/>
        <w:spacing w:line="252" w:lineRule="auto"/>
        <w:rPr>
          <w:lang w:val="en-US"/>
        </w:rPr>
      </w:pPr>
      <w:r w:rsidRPr="00C76904">
        <w:rPr>
          <w:lang w:val="en-US"/>
        </w:rPr>
        <w:t>Cimini A., Moresi M, 2015a, Novel cold sterilization and stabilization process applied to a pale lager. Journal of Food Engineering, 145, 1–9.</w:t>
      </w:r>
    </w:p>
    <w:p w:rsidR="00DE5010" w:rsidRPr="00C76904" w:rsidRDefault="00DE5010" w:rsidP="000700EE">
      <w:pPr>
        <w:pStyle w:val="CETReferencetext"/>
        <w:spacing w:line="252" w:lineRule="auto"/>
        <w:rPr>
          <w:lang w:val="en-US"/>
        </w:rPr>
      </w:pPr>
      <w:r w:rsidRPr="00C76904">
        <w:rPr>
          <w:lang w:val="en-US"/>
        </w:rPr>
        <w:t>Cimini A., Moresi M., 2015b, Pale lager clarification using novel ceramic hollow-fiber membranes and CO</w:t>
      </w:r>
      <w:r w:rsidRPr="00C76904">
        <w:rPr>
          <w:vertAlign w:val="subscript"/>
          <w:lang w:val="en-US"/>
        </w:rPr>
        <w:t>2</w:t>
      </w:r>
      <w:r w:rsidRPr="00C76904">
        <w:rPr>
          <w:lang w:val="en-US"/>
        </w:rPr>
        <w:t xml:space="preserve"> backflush program, Food and Bioprocess Technology, 8, 2212–2224. </w:t>
      </w:r>
    </w:p>
    <w:p w:rsidR="00DE5010" w:rsidRPr="00C76904" w:rsidRDefault="00DE5010" w:rsidP="000700EE">
      <w:pPr>
        <w:pStyle w:val="CETReferencetext"/>
        <w:spacing w:line="252" w:lineRule="auto"/>
        <w:rPr>
          <w:lang w:val="en-US"/>
        </w:rPr>
      </w:pPr>
      <w:r w:rsidRPr="00C76904">
        <w:rPr>
          <w:lang w:val="en-US"/>
        </w:rPr>
        <w:t>Cimini A., Moresi M., 2016a, Assessment of the optimal operating conditions for pale lager clarification using novel ceramic hollow-fiber membranes, Journal of Food Engineering, 173, 132-142.</w:t>
      </w:r>
    </w:p>
    <w:p w:rsidR="00DE5010" w:rsidRPr="00C76904" w:rsidRDefault="00DE5010" w:rsidP="000700EE">
      <w:pPr>
        <w:pStyle w:val="CETReferencetext"/>
        <w:spacing w:line="252" w:lineRule="auto"/>
        <w:rPr>
          <w:lang w:val="en-US"/>
        </w:rPr>
      </w:pPr>
      <w:r w:rsidRPr="00C76904">
        <w:rPr>
          <w:lang w:val="en-US"/>
        </w:rPr>
        <w:t>Cimini A., Moresi M., 2016b, Beer clarification by ceramic hollow-fiber membranes: effect of pore size on product quality, Journal of Food Science, 81, E2521-E2528.</w:t>
      </w:r>
    </w:p>
    <w:p w:rsidR="00DE5010" w:rsidRPr="00C76904" w:rsidRDefault="00DE5010" w:rsidP="000700EE">
      <w:pPr>
        <w:pStyle w:val="CETReferencetext"/>
        <w:spacing w:line="252" w:lineRule="auto"/>
        <w:rPr>
          <w:lang w:val="en-US"/>
        </w:rPr>
      </w:pPr>
      <w:r w:rsidRPr="00C76904">
        <w:rPr>
          <w:lang w:val="en-US"/>
        </w:rPr>
        <w:t>Cimini A., Moresi M., 2016c, Carbon footprint of a pale lager packed in different formats: assessment and sensitivity analysis based on transparent data, Journal of Cleaner Production, 112, 4196-4213.</w:t>
      </w:r>
    </w:p>
    <w:p w:rsidR="00DE5010" w:rsidRPr="00C76904" w:rsidRDefault="00DE5010" w:rsidP="000700EE">
      <w:pPr>
        <w:pStyle w:val="CETReferencetext"/>
        <w:spacing w:line="252" w:lineRule="auto"/>
        <w:rPr>
          <w:lang w:val="en-US"/>
        </w:rPr>
      </w:pPr>
      <w:r w:rsidRPr="00C76904">
        <w:rPr>
          <w:lang w:val="en-US"/>
        </w:rPr>
        <w:t>Cimini A., Moresi M., 2018a, Combined enzymatic and crossflow microfiltration process to assure the colloidal stability of beer, LWT - Food Science and Technology, 90, 132-137.</w:t>
      </w:r>
    </w:p>
    <w:p w:rsidR="00DE5010" w:rsidRPr="00C76904" w:rsidRDefault="00DE5010" w:rsidP="000700EE">
      <w:pPr>
        <w:pStyle w:val="CETReferencetext"/>
        <w:spacing w:line="252" w:lineRule="auto"/>
        <w:rPr>
          <w:lang w:val="en-US"/>
        </w:rPr>
      </w:pPr>
      <w:r w:rsidRPr="00C76904">
        <w:rPr>
          <w:lang w:val="en-US"/>
        </w:rPr>
        <w:t>Cimini A., Moresi M., 2018b, Towards a Kieselguhr- and PVPP-Free clarification and stabilization process of rough beer at room-temperature conditions, Journal of Food Science, 83(1), 129-137.</w:t>
      </w:r>
    </w:p>
    <w:p w:rsidR="00DE5010" w:rsidRPr="00C76904" w:rsidRDefault="00DE5010" w:rsidP="000700EE">
      <w:pPr>
        <w:pStyle w:val="CETReferencetext"/>
        <w:spacing w:line="252" w:lineRule="auto"/>
        <w:rPr>
          <w:lang w:val="en-US"/>
        </w:rPr>
      </w:pPr>
      <w:r w:rsidRPr="00C76904">
        <w:rPr>
          <w:lang w:val="en-US"/>
        </w:rPr>
        <w:t>Cimini A., Moresi M., 2018c, Effect of brewery size on the main process parameters and cradle-to-grave carbon footprint of lager beer, Journal of Industrial Ecology, 22 (5), 1139-1155.</w:t>
      </w:r>
    </w:p>
    <w:p w:rsidR="00DE5010" w:rsidRPr="00C76904" w:rsidRDefault="00DE5010" w:rsidP="000700EE">
      <w:pPr>
        <w:pStyle w:val="CETReferencetext"/>
        <w:spacing w:line="252" w:lineRule="auto"/>
        <w:rPr>
          <w:lang w:val="it-IT"/>
        </w:rPr>
      </w:pPr>
      <w:r w:rsidRPr="00C76904">
        <w:rPr>
          <w:lang w:val="it-IT"/>
        </w:rPr>
        <w:t>Confartigianato Imprese, 2018, Studi &lt;</w:t>
      </w:r>
      <w:hyperlink r:id="rId14" w:history="1">
        <w:r w:rsidRPr="00C76904">
          <w:rPr>
            <w:rStyle w:val="Collegamentoipertestuale"/>
            <w:lang w:val="it-IT"/>
          </w:rPr>
          <w:t>www.confartigianato.it/2018/04/studi-nel-ii-trimestre-2018-75-costo-energia-elettrica-per-piccole-imprese-con-energia-a-208-ma-oneri-a-47-lanalisi-dellindice-confartigianato/</w:t>
        </w:r>
      </w:hyperlink>
      <w:r w:rsidRPr="00C76904">
        <w:rPr>
          <w:lang w:val="it-IT"/>
        </w:rPr>
        <w:t>&gt; accessed 01.01.2018.</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Corripio A.B., Chrien K.S., Evans L.B., 1982, Estimate costs of centrifugal pumps and electric motors. Chemical Engineering, Feb. 22, 115–118.</w:t>
      </w:r>
    </w:p>
    <w:p w:rsidR="0085688A" w:rsidRDefault="0085688A" w:rsidP="000700EE">
      <w:pPr>
        <w:pStyle w:val="CETHeading1"/>
        <w:numPr>
          <w:ilvl w:val="0"/>
          <w:numId w:val="0"/>
        </w:numPr>
        <w:spacing w:before="0" w:after="0" w:line="252" w:lineRule="auto"/>
        <w:ind w:left="284" w:hanging="284"/>
        <w:jc w:val="both"/>
        <w:rPr>
          <w:b w:val="0"/>
          <w:sz w:val="18"/>
          <w:szCs w:val="18"/>
        </w:rPr>
      </w:pPr>
      <w:r w:rsidRPr="0085688A">
        <w:rPr>
          <w:b w:val="0"/>
          <w:sz w:val="18"/>
          <w:szCs w:val="18"/>
        </w:rPr>
        <w:t>Doleček P., Cakl J., 1998</w:t>
      </w:r>
      <w:r>
        <w:rPr>
          <w:b w:val="0"/>
          <w:sz w:val="18"/>
          <w:szCs w:val="18"/>
        </w:rPr>
        <w:t>,</w:t>
      </w:r>
      <w:r w:rsidRPr="0085688A">
        <w:rPr>
          <w:b w:val="0"/>
          <w:sz w:val="18"/>
          <w:szCs w:val="18"/>
        </w:rPr>
        <w:t xml:space="preserve"> Permeate flow in hexagonal 19-channel inorganic membrane under filtration and backflush operating modes. Journal of Membrane Science, 149, 171-179.</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European Brewery Convention, 2010, Analytica-EBC, Fachverlag Hans Carl, Nürnberg, Germany.</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Fillaudeau L., Blanpain-Avet P., Daufin G., 2006, Water, wastewater and waste management in brewing industries, Journal of Cleaner Production,14, 463-471.</w:t>
      </w:r>
    </w:p>
    <w:p w:rsidR="00AB12E2" w:rsidRPr="008D6335" w:rsidRDefault="00AB12E2" w:rsidP="000700EE">
      <w:pPr>
        <w:pStyle w:val="CETHeading1"/>
        <w:numPr>
          <w:ilvl w:val="0"/>
          <w:numId w:val="0"/>
        </w:numPr>
        <w:spacing w:before="0" w:after="0" w:line="252" w:lineRule="auto"/>
        <w:ind w:left="284" w:hanging="284"/>
        <w:jc w:val="both"/>
        <w:rPr>
          <w:b w:val="0"/>
          <w:sz w:val="18"/>
          <w:szCs w:val="18"/>
        </w:rPr>
      </w:pPr>
      <w:r w:rsidRPr="008D6335">
        <w:rPr>
          <w:b w:val="0"/>
          <w:sz w:val="18"/>
          <w:szCs w:val="18"/>
        </w:rPr>
        <w:t xml:space="preserve">Fillaudeau L., Lalande M., 1998, A practical method to predict steady-state flux and fouling in the crossflow microfiltration of rough beer with 1.40 </w:t>
      </w:r>
      <w:r w:rsidRPr="008D6335">
        <w:rPr>
          <w:rFonts w:cs="Arial"/>
          <w:b w:val="0"/>
          <w:sz w:val="18"/>
          <w:szCs w:val="18"/>
        </w:rPr>
        <w:t>µ</w:t>
      </w:r>
      <w:r w:rsidRPr="008D6335">
        <w:rPr>
          <w:b w:val="0"/>
          <w:sz w:val="18"/>
          <w:szCs w:val="18"/>
        </w:rPr>
        <w:t>m tubular ceramic membranes. Transaction of the Institution of Chemical Engineers, 76, Part C, 217-223</w:t>
      </w:r>
    </w:p>
    <w:p w:rsidR="000700EE" w:rsidRDefault="000700EE" w:rsidP="000700EE">
      <w:pPr>
        <w:pStyle w:val="CETHeading1"/>
        <w:numPr>
          <w:ilvl w:val="0"/>
          <w:numId w:val="0"/>
        </w:numPr>
        <w:spacing w:before="0" w:after="0" w:line="252" w:lineRule="auto"/>
        <w:ind w:left="284" w:hanging="284"/>
        <w:jc w:val="both"/>
        <w:rPr>
          <w:b w:val="0"/>
          <w:sz w:val="18"/>
          <w:szCs w:val="18"/>
        </w:rPr>
      </w:pPr>
      <w:r w:rsidRPr="0085688A">
        <w:rPr>
          <w:b w:val="0"/>
          <w:sz w:val="18"/>
          <w:szCs w:val="18"/>
        </w:rPr>
        <w:t>Gan Q.,  Field  R.W., Bird M.R., England R., Howell J.A., McKechnie M.T., O'Shaughnessy C.L.</w:t>
      </w:r>
      <w:r>
        <w:rPr>
          <w:b w:val="0"/>
          <w:sz w:val="18"/>
          <w:szCs w:val="18"/>
        </w:rPr>
        <w:t xml:space="preserve">, </w:t>
      </w:r>
      <w:r w:rsidRPr="0085688A">
        <w:rPr>
          <w:b w:val="0"/>
          <w:sz w:val="18"/>
          <w:szCs w:val="18"/>
        </w:rPr>
        <w:t>1997</w:t>
      </w:r>
      <w:r>
        <w:rPr>
          <w:b w:val="0"/>
          <w:sz w:val="18"/>
          <w:szCs w:val="18"/>
        </w:rPr>
        <w:t xml:space="preserve">, </w:t>
      </w:r>
      <w:r w:rsidRPr="0085688A">
        <w:rPr>
          <w:b w:val="0"/>
          <w:sz w:val="18"/>
          <w:szCs w:val="18"/>
        </w:rPr>
        <w:t>Beer clarification by cross-flow microfiltration: fouling  mechanisms and flux enhancement. Chemical Engineering Research and Design, 75A, 3-8.</w:t>
      </w:r>
    </w:p>
    <w:p w:rsidR="00AB12E2" w:rsidRDefault="00AB12E2" w:rsidP="000700EE">
      <w:pPr>
        <w:pStyle w:val="CETHeading1"/>
        <w:numPr>
          <w:ilvl w:val="0"/>
          <w:numId w:val="0"/>
        </w:numPr>
        <w:spacing w:before="0" w:after="0" w:line="252" w:lineRule="auto"/>
        <w:ind w:left="284" w:hanging="284"/>
        <w:jc w:val="both"/>
        <w:rPr>
          <w:b w:val="0"/>
          <w:sz w:val="18"/>
          <w:szCs w:val="18"/>
        </w:rPr>
      </w:pPr>
      <w:r w:rsidRPr="008D6335">
        <w:rPr>
          <w:b w:val="0"/>
          <w:sz w:val="18"/>
          <w:szCs w:val="18"/>
        </w:rPr>
        <w:t>Gan Q., Howell J.A., Field R.W., England R., Bird M.R., McKechinie M.T., 1999, Synergetic cleaning procedure for a ceramic membrane fouled by beer microfiltration. Journal of Membrane Science, 155, 277-289.</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Gaub R., 2014, Continuous processing in beer filtration and stabilization, In Proc.s of the 11th International Trends in Brewing, Ghent, Belgium, April, 13th-17th, 2014.</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Guthrie K.M., 1969, Data and techniques for preliminary capital cost estimating. Chemical Engineering, 76, 114-142.</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Hyflux Membrane Manufacturing, 2015, InoCep®: Ceramic hollow fibre membrane, p. 3</w:t>
      </w:r>
      <w:r w:rsidR="00C76904" w:rsidRPr="00C76904">
        <w:rPr>
          <w:b w:val="0"/>
          <w:sz w:val="18"/>
          <w:szCs w:val="18"/>
        </w:rPr>
        <w:t xml:space="preserve"> </w:t>
      </w:r>
      <w:r w:rsidRPr="00C76904">
        <w:rPr>
          <w:b w:val="0"/>
          <w:sz w:val="18"/>
          <w:szCs w:val="18"/>
        </w:rPr>
        <w:t>&lt;</w:t>
      </w:r>
      <w:hyperlink r:id="rId15" w:history="1">
        <w:r w:rsidRPr="00C76904">
          <w:rPr>
            <w:rStyle w:val="Collegamentoipertestuale"/>
            <w:b w:val="0"/>
            <w:sz w:val="18"/>
            <w:szCs w:val="18"/>
          </w:rPr>
          <w:t>https://services.crmservice.eu/raiminisite?qXiLL%2FFugVMrv7bpqcZqKNzKiVE3jIAwpHpApekQ5cMPhVgoDLaG%2FfZ2%2BY4iSBnk</w:t>
        </w:r>
      </w:hyperlink>
      <w:r w:rsidRPr="00C76904">
        <w:rPr>
          <w:b w:val="0"/>
          <w:sz w:val="18"/>
          <w:szCs w:val="18"/>
        </w:rPr>
        <w:t>&gt;</w:t>
      </w:r>
      <w:r w:rsidR="00C76904" w:rsidRPr="00C76904">
        <w:rPr>
          <w:b w:val="0"/>
          <w:sz w:val="18"/>
          <w:szCs w:val="18"/>
        </w:rPr>
        <w:t xml:space="preserve"> </w:t>
      </w:r>
      <w:r w:rsidRPr="00C76904">
        <w:rPr>
          <w:b w:val="0"/>
          <w:sz w:val="18"/>
          <w:szCs w:val="18"/>
        </w:rPr>
        <w:t xml:space="preserve">accessed </w:t>
      </w:r>
      <w:r w:rsidR="005E5A1E">
        <w:rPr>
          <w:b w:val="0"/>
          <w:sz w:val="18"/>
          <w:szCs w:val="18"/>
        </w:rPr>
        <w:t>29</w:t>
      </w:r>
      <w:r w:rsidRPr="00C76904">
        <w:rPr>
          <w:b w:val="0"/>
          <w:sz w:val="18"/>
          <w:szCs w:val="18"/>
        </w:rPr>
        <w:t>.0</w:t>
      </w:r>
      <w:r w:rsidR="005E5A1E">
        <w:rPr>
          <w:b w:val="0"/>
          <w:sz w:val="18"/>
          <w:szCs w:val="18"/>
        </w:rPr>
        <w:t>3</w:t>
      </w:r>
      <w:r w:rsidRPr="00C76904">
        <w:rPr>
          <w:b w:val="0"/>
          <w:sz w:val="18"/>
          <w:szCs w:val="18"/>
        </w:rPr>
        <w:t>.201</w:t>
      </w:r>
      <w:r w:rsidR="005E5A1E">
        <w:rPr>
          <w:b w:val="0"/>
          <w:sz w:val="18"/>
          <w:szCs w:val="18"/>
        </w:rPr>
        <w:t>9</w:t>
      </w:r>
      <w:r w:rsidRPr="00C76904">
        <w:rPr>
          <w:b w:val="0"/>
          <w:sz w:val="18"/>
          <w:szCs w:val="18"/>
        </w:rPr>
        <w:t>.</w:t>
      </w:r>
    </w:p>
    <w:p w:rsidR="00DE5010" w:rsidRPr="00C76904"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Ng S.C., 2014, Personnel communication, Hyflux Ltd, Singapore.</w:t>
      </w:r>
    </w:p>
    <w:p w:rsidR="00DE5010" w:rsidRPr="00C76904" w:rsidRDefault="00DE5010" w:rsidP="000700EE">
      <w:pPr>
        <w:pStyle w:val="CETReferencetext"/>
        <w:spacing w:line="252" w:lineRule="auto"/>
        <w:rPr>
          <w:lang w:val="en-US"/>
        </w:rPr>
      </w:pPr>
      <w:r w:rsidRPr="00C76904">
        <w:rPr>
          <w:lang w:val="en-US"/>
        </w:rPr>
        <w:t>Noordman T.R., Peet C., Iverson W., Broens L., van Hoof S., 2001</w:t>
      </w:r>
      <w:r w:rsidR="001C0C35">
        <w:rPr>
          <w:lang w:val="en-US"/>
        </w:rPr>
        <w:t>,</w:t>
      </w:r>
      <w:r w:rsidRPr="00C76904">
        <w:rPr>
          <w:lang w:val="en-US"/>
        </w:rPr>
        <w:t xml:space="preserve"> Cross-flow filtration for clarification of lager beer: economic reality. Master Brewers Association of Americas Technical Quarterly, 38(4), 207-210.</w:t>
      </w:r>
    </w:p>
    <w:p w:rsidR="00DE5010"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Toledo R.T., 2007, Fundamentals of Food Process Engineering. 3rd Edn, Springer Science+Business Media, LLC, New York., pp. 199.</w:t>
      </w:r>
    </w:p>
    <w:p w:rsidR="00DE5010" w:rsidRPr="004F4B97" w:rsidRDefault="00DE5010" w:rsidP="000700EE">
      <w:pPr>
        <w:pStyle w:val="CETHeading1"/>
        <w:numPr>
          <w:ilvl w:val="0"/>
          <w:numId w:val="0"/>
        </w:numPr>
        <w:spacing w:before="0" w:after="0" w:line="252" w:lineRule="auto"/>
        <w:ind w:left="284" w:hanging="284"/>
        <w:jc w:val="both"/>
        <w:rPr>
          <w:b w:val="0"/>
          <w:sz w:val="18"/>
          <w:szCs w:val="18"/>
        </w:rPr>
      </w:pPr>
      <w:r w:rsidRPr="00C76904">
        <w:rPr>
          <w:b w:val="0"/>
          <w:sz w:val="18"/>
          <w:szCs w:val="18"/>
        </w:rPr>
        <w:t>Westney R.E., 1997, The engineer's cost handbook: Tools for managing project costs, Marcel Dekker Inc., New York, pp. 44-45</w:t>
      </w:r>
    </w:p>
    <w:p w:rsidR="00AB12E2" w:rsidRPr="001A6489" w:rsidRDefault="00AB12E2">
      <w:pPr>
        <w:pStyle w:val="CETHeading1"/>
        <w:numPr>
          <w:ilvl w:val="0"/>
          <w:numId w:val="0"/>
        </w:numPr>
        <w:spacing w:before="0" w:after="0" w:line="264" w:lineRule="auto"/>
        <w:ind w:left="284" w:hanging="284"/>
        <w:jc w:val="both"/>
      </w:pPr>
    </w:p>
    <w:sectPr w:rsidR="00AB12E2" w:rsidRPr="001A648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C5" w:rsidRDefault="00422CC5" w:rsidP="004F5E36">
      <w:r>
        <w:separator/>
      </w:r>
    </w:p>
  </w:endnote>
  <w:endnote w:type="continuationSeparator" w:id="0">
    <w:p w:rsidR="00422CC5" w:rsidRDefault="00422CC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C5" w:rsidRDefault="00422CC5" w:rsidP="004F5E36">
      <w:r>
        <w:separator/>
      </w:r>
    </w:p>
  </w:footnote>
  <w:footnote w:type="continuationSeparator" w:id="0">
    <w:p w:rsidR="00422CC5" w:rsidRDefault="00422CC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7578F5A0"/>
    <w:lvl w:ilvl="0">
      <w:start w:val="1"/>
      <w:numFmt w:val="decimal"/>
      <w:suff w:val="space"/>
      <w:lvlText w:val="Chapter %1"/>
      <w:lvlJc w:val="left"/>
      <w:pPr>
        <w:ind w:left="2694"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3C"/>
    <w:rsid w:val="000027C0"/>
    <w:rsid w:val="000052FB"/>
    <w:rsid w:val="000060EA"/>
    <w:rsid w:val="00010F40"/>
    <w:rsid w:val="000117CB"/>
    <w:rsid w:val="00016CF3"/>
    <w:rsid w:val="0003148D"/>
    <w:rsid w:val="00047D7F"/>
    <w:rsid w:val="00051566"/>
    <w:rsid w:val="00060312"/>
    <w:rsid w:val="00062A9A"/>
    <w:rsid w:val="00065058"/>
    <w:rsid w:val="000700EE"/>
    <w:rsid w:val="00086C39"/>
    <w:rsid w:val="00092746"/>
    <w:rsid w:val="0009459F"/>
    <w:rsid w:val="000A03B2"/>
    <w:rsid w:val="000A3B79"/>
    <w:rsid w:val="000B7071"/>
    <w:rsid w:val="000C2F4A"/>
    <w:rsid w:val="000C369F"/>
    <w:rsid w:val="000D34BE"/>
    <w:rsid w:val="000D4624"/>
    <w:rsid w:val="000E102F"/>
    <w:rsid w:val="000E36F1"/>
    <w:rsid w:val="000E3A73"/>
    <w:rsid w:val="000E414A"/>
    <w:rsid w:val="000F093C"/>
    <w:rsid w:val="000F16BD"/>
    <w:rsid w:val="000F787B"/>
    <w:rsid w:val="0010522F"/>
    <w:rsid w:val="001154CC"/>
    <w:rsid w:val="00115EF5"/>
    <w:rsid w:val="0012091F"/>
    <w:rsid w:val="00126AF0"/>
    <w:rsid w:val="00126BC2"/>
    <w:rsid w:val="001308B6"/>
    <w:rsid w:val="0013121F"/>
    <w:rsid w:val="00131FAB"/>
    <w:rsid w:val="00131FE6"/>
    <w:rsid w:val="001321DD"/>
    <w:rsid w:val="0013263F"/>
    <w:rsid w:val="00132F1F"/>
    <w:rsid w:val="00134DE4"/>
    <w:rsid w:val="0014034D"/>
    <w:rsid w:val="00146BC7"/>
    <w:rsid w:val="00150E59"/>
    <w:rsid w:val="00152DE3"/>
    <w:rsid w:val="00162F99"/>
    <w:rsid w:val="00164CF9"/>
    <w:rsid w:val="00173D63"/>
    <w:rsid w:val="0018029F"/>
    <w:rsid w:val="00184AD6"/>
    <w:rsid w:val="00196576"/>
    <w:rsid w:val="001A36B6"/>
    <w:rsid w:val="001A399C"/>
    <w:rsid w:val="001A6383"/>
    <w:rsid w:val="001A6489"/>
    <w:rsid w:val="001B0349"/>
    <w:rsid w:val="001B65C1"/>
    <w:rsid w:val="001B6A6C"/>
    <w:rsid w:val="001B7D38"/>
    <w:rsid w:val="001C0C35"/>
    <w:rsid w:val="001C684B"/>
    <w:rsid w:val="001D53FC"/>
    <w:rsid w:val="001F42A5"/>
    <w:rsid w:val="001F776E"/>
    <w:rsid w:val="001F7B9D"/>
    <w:rsid w:val="0021799D"/>
    <w:rsid w:val="002214F5"/>
    <w:rsid w:val="002224B4"/>
    <w:rsid w:val="002325D3"/>
    <w:rsid w:val="0024424C"/>
    <w:rsid w:val="002447EF"/>
    <w:rsid w:val="00251550"/>
    <w:rsid w:val="00252C1A"/>
    <w:rsid w:val="00253D84"/>
    <w:rsid w:val="00263B05"/>
    <w:rsid w:val="0027221A"/>
    <w:rsid w:val="00273F74"/>
    <w:rsid w:val="00275B61"/>
    <w:rsid w:val="00282656"/>
    <w:rsid w:val="0028288A"/>
    <w:rsid w:val="0028402C"/>
    <w:rsid w:val="00296B83"/>
    <w:rsid w:val="002A0F2C"/>
    <w:rsid w:val="002B78CE"/>
    <w:rsid w:val="002C2FB6"/>
    <w:rsid w:val="002D1614"/>
    <w:rsid w:val="002D2807"/>
    <w:rsid w:val="002D5239"/>
    <w:rsid w:val="002D5BCD"/>
    <w:rsid w:val="002D6987"/>
    <w:rsid w:val="002E45CC"/>
    <w:rsid w:val="002F092B"/>
    <w:rsid w:val="003009B7"/>
    <w:rsid w:val="00300E56"/>
    <w:rsid w:val="0030469C"/>
    <w:rsid w:val="00321CA6"/>
    <w:rsid w:val="00330501"/>
    <w:rsid w:val="00332EE3"/>
    <w:rsid w:val="00334C09"/>
    <w:rsid w:val="003365E3"/>
    <w:rsid w:val="003444FA"/>
    <w:rsid w:val="0036366B"/>
    <w:rsid w:val="003723D4"/>
    <w:rsid w:val="00384CC8"/>
    <w:rsid w:val="003871FD"/>
    <w:rsid w:val="00390A8E"/>
    <w:rsid w:val="003A1387"/>
    <w:rsid w:val="003A1E30"/>
    <w:rsid w:val="003A71FC"/>
    <w:rsid w:val="003A7D1C"/>
    <w:rsid w:val="003B304B"/>
    <w:rsid w:val="003B3146"/>
    <w:rsid w:val="003B60F3"/>
    <w:rsid w:val="003D183C"/>
    <w:rsid w:val="003E00B9"/>
    <w:rsid w:val="003E7CE0"/>
    <w:rsid w:val="003F015E"/>
    <w:rsid w:val="00400414"/>
    <w:rsid w:val="0041446B"/>
    <w:rsid w:val="00422CC5"/>
    <w:rsid w:val="004312B0"/>
    <w:rsid w:val="0044329C"/>
    <w:rsid w:val="00453CB0"/>
    <w:rsid w:val="004577FE"/>
    <w:rsid w:val="00457B9C"/>
    <w:rsid w:val="0046164A"/>
    <w:rsid w:val="004628D2"/>
    <w:rsid w:val="0046290C"/>
    <w:rsid w:val="00462DCD"/>
    <w:rsid w:val="004633D2"/>
    <w:rsid w:val="004648AD"/>
    <w:rsid w:val="00464BB2"/>
    <w:rsid w:val="004703A9"/>
    <w:rsid w:val="004760DE"/>
    <w:rsid w:val="00490F33"/>
    <w:rsid w:val="00491F47"/>
    <w:rsid w:val="004A004E"/>
    <w:rsid w:val="004A24CF"/>
    <w:rsid w:val="004B5FBD"/>
    <w:rsid w:val="004B6721"/>
    <w:rsid w:val="004C3D1D"/>
    <w:rsid w:val="004C7913"/>
    <w:rsid w:val="004E4DD6"/>
    <w:rsid w:val="004E536D"/>
    <w:rsid w:val="004E7D6F"/>
    <w:rsid w:val="004F0F81"/>
    <w:rsid w:val="004F1AA2"/>
    <w:rsid w:val="004F5E36"/>
    <w:rsid w:val="004F75BE"/>
    <w:rsid w:val="00507B47"/>
    <w:rsid w:val="00507CC9"/>
    <w:rsid w:val="005119A5"/>
    <w:rsid w:val="00523304"/>
    <w:rsid w:val="005278B7"/>
    <w:rsid w:val="00532016"/>
    <w:rsid w:val="005345D6"/>
    <w:rsid w:val="005346C8"/>
    <w:rsid w:val="00534FC6"/>
    <w:rsid w:val="00540D44"/>
    <w:rsid w:val="00543E7D"/>
    <w:rsid w:val="00546B05"/>
    <w:rsid w:val="00547A68"/>
    <w:rsid w:val="005531C9"/>
    <w:rsid w:val="00571607"/>
    <w:rsid w:val="00575D63"/>
    <w:rsid w:val="00583E32"/>
    <w:rsid w:val="00585994"/>
    <w:rsid w:val="0059737C"/>
    <w:rsid w:val="005A5B73"/>
    <w:rsid w:val="005B2110"/>
    <w:rsid w:val="005B61E6"/>
    <w:rsid w:val="005C4E8C"/>
    <w:rsid w:val="005C77E1"/>
    <w:rsid w:val="005D6A2F"/>
    <w:rsid w:val="005E1A82"/>
    <w:rsid w:val="005E5A1E"/>
    <w:rsid w:val="005E794C"/>
    <w:rsid w:val="005F0A28"/>
    <w:rsid w:val="005F0E5E"/>
    <w:rsid w:val="00600535"/>
    <w:rsid w:val="00600E91"/>
    <w:rsid w:val="00606233"/>
    <w:rsid w:val="00606FF4"/>
    <w:rsid w:val="00610CD6"/>
    <w:rsid w:val="00620DEE"/>
    <w:rsid w:val="00621F92"/>
    <w:rsid w:val="00623972"/>
    <w:rsid w:val="00625639"/>
    <w:rsid w:val="006262CC"/>
    <w:rsid w:val="00631B33"/>
    <w:rsid w:val="0064184D"/>
    <w:rsid w:val="006422CC"/>
    <w:rsid w:val="00646616"/>
    <w:rsid w:val="006479ED"/>
    <w:rsid w:val="00647C9A"/>
    <w:rsid w:val="00652F58"/>
    <w:rsid w:val="00660E3E"/>
    <w:rsid w:val="00662E74"/>
    <w:rsid w:val="00662F05"/>
    <w:rsid w:val="00680C23"/>
    <w:rsid w:val="00684E73"/>
    <w:rsid w:val="006901B5"/>
    <w:rsid w:val="00693766"/>
    <w:rsid w:val="006A3281"/>
    <w:rsid w:val="006B4888"/>
    <w:rsid w:val="006C2E45"/>
    <w:rsid w:val="006C359C"/>
    <w:rsid w:val="006C5579"/>
    <w:rsid w:val="006E28E2"/>
    <w:rsid w:val="006E737D"/>
    <w:rsid w:val="006E73CA"/>
    <w:rsid w:val="006E7EE8"/>
    <w:rsid w:val="006F3272"/>
    <w:rsid w:val="0070195D"/>
    <w:rsid w:val="00704041"/>
    <w:rsid w:val="007102AB"/>
    <w:rsid w:val="00712C13"/>
    <w:rsid w:val="00720A24"/>
    <w:rsid w:val="00722E85"/>
    <w:rsid w:val="00732386"/>
    <w:rsid w:val="00736D78"/>
    <w:rsid w:val="007447F3"/>
    <w:rsid w:val="0075499F"/>
    <w:rsid w:val="00762728"/>
    <w:rsid w:val="007661C8"/>
    <w:rsid w:val="0077098D"/>
    <w:rsid w:val="00780E82"/>
    <w:rsid w:val="00783ED5"/>
    <w:rsid w:val="007931FA"/>
    <w:rsid w:val="00794728"/>
    <w:rsid w:val="007A7BBA"/>
    <w:rsid w:val="007B0C50"/>
    <w:rsid w:val="007C1A43"/>
    <w:rsid w:val="007C7CEC"/>
    <w:rsid w:val="007D0F1C"/>
    <w:rsid w:val="007D3EA9"/>
    <w:rsid w:val="007D5CCE"/>
    <w:rsid w:val="007E1DC6"/>
    <w:rsid w:val="007E4120"/>
    <w:rsid w:val="007E781E"/>
    <w:rsid w:val="00813288"/>
    <w:rsid w:val="008168FC"/>
    <w:rsid w:val="00817E52"/>
    <w:rsid w:val="0082403B"/>
    <w:rsid w:val="00824F8E"/>
    <w:rsid w:val="008267D6"/>
    <w:rsid w:val="00830996"/>
    <w:rsid w:val="00834104"/>
    <w:rsid w:val="008345F1"/>
    <w:rsid w:val="00837BB5"/>
    <w:rsid w:val="008439DD"/>
    <w:rsid w:val="0085688A"/>
    <w:rsid w:val="00856E23"/>
    <w:rsid w:val="008625DB"/>
    <w:rsid w:val="00864D3F"/>
    <w:rsid w:val="00865B07"/>
    <w:rsid w:val="008667EA"/>
    <w:rsid w:val="00872541"/>
    <w:rsid w:val="0087637F"/>
    <w:rsid w:val="008904B9"/>
    <w:rsid w:val="00892AD5"/>
    <w:rsid w:val="008949AD"/>
    <w:rsid w:val="00897686"/>
    <w:rsid w:val="008A1512"/>
    <w:rsid w:val="008A4ABF"/>
    <w:rsid w:val="008A7D3D"/>
    <w:rsid w:val="008B022F"/>
    <w:rsid w:val="008B1967"/>
    <w:rsid w:val="008B6D79"/>
    <w:rsid w:val="008C653D"/>
    <w:rsid w:val="008C78C1"/>
    <w:rsid w:val="008C7F6F"/>
    <w:rsid w:val="008D32B9"/>
    <w:rsid w:val="008D433B"/>
    <w:rsid w:val="008D4B2A"/>
    <w:rsid w:val="008D6335"/>
    <w:rsid w:val="008E3CBE"/>
    <w:rsid w:val="008E3EC3"/>
    <w:rsid w:val="008E566E"/>
    <w:rsid w:val="00900C13"/>
    <w:rsid w:val="0090161A"/>
    <w:rsid w:val="00901EB6"/>
    <w:rsid w:val="00904C62"/>
    <w:rsid w:val="00924DAC"/>
    <w:rsid w:val="009263A3"/>
    <w:rsid w:val="00927058"/>
    <w:rsid w:val="00927573"/>
    <w:rsid w:val="0093008F"/>
    <w:rsid w:val="009364D0"/>
    <w:rsid w:val="009450CE"/>
    <w:rsid w:val="00947179"/>
    <w:rsid w:val="0095164B"/>
    <w:rsid w:val="00952880"/>
    <w:rsid w:val="00954090"/>
    <w:rsid w:val="009573E7"/>
    <w:rsid w:val="009635B9"/>
    <w:rsid w:val="00963E05"/>
    <w:rsid w:val="00967D54"/>
    <w:rsid w:val="009957C5"/>
    <w:rsid w:val="00996483"/>
    <w:rsid w:val="00996F5A"/>
    <w:rsid w:val="009A0A3E"/>
    <w:rsid w:val="009A0E2F"/>
    <w:rsid w:val="009A2F61"/>
    <w:rsid w:val="009A5531"/>
    <w:rsid w:val="009B041A"/>
    <w:rsid w:val="009B1162"/>
    <w:rsid w:val="009C54D7"/>
    <w:rsid w:val="009C7C86"/>
    <w:rsid w:val="009D2FF7"/>
    <w:rsid w:val="009D35AD"/>
    <w:rsid w:val="009D5166"/>
    <w:rsid w:val="009E7884"/>
    <w:rsid w:val="009E788A"/>
    <w:rsid w:val="009F0E08"/>
    <w:rsid w:val="00A04AB4"/>
    <w:rsid w:val="00A12B03"/>
    <w:rsid w:val="00A1763D"/>
    <w:rsid w:val="00A17CEC"/>
    <w:rsid w:val="00A264C7"/>
    <w:rsid w:val="00A27C93"/>
    <w:rsid w:val="00A27EF0"/>
    <w:rsid w:val="00A50B20"/>
    <w:rsid w:val="00A51390"/>
    <w:rsid w:val="00A57DE1"/>
    <w:rsid w:val="00A60D13"/>
    <w:rsid w:val="00A6208E"/>
    <w:rsid w:val="00A63A80"/>
    <w:rsid w:val="00A7025C"/>
    <w:rsid w:val="00A72745"/>
    <w:rsid w:val="00A735C0"/>
    <w:rsid w:val="00A76EFC"/>
    <w:rsid w:val="00A91010"/>
    <w:rsid w:val="00A911F1"/>
    <w:rsid w:val="00A96104"/>
    <w:rsid w:val="00A967F6"/>
    <w:rsid w:val="00A975EC"/>
    <w:rsid w:val="00A97F29"/>
    <w:rsid w:val="00AA0B61"/>
    <w:rsid w:val="00AA702E"/>
    <w:rsid w:val="00AB0964"/>
    <w:rsid w:val="00AB12E2"/>
    <w:rsid w:val="00AB3DEC"/>
    <w:rsid w:val="00AB5011"/>
    <w:rsid w:val="00AC351B"/>
    <w:rsid w:val="00AC7368"/>
    <w:rsid w:val="00AD16B9"/>
    <w:rsid w:val="00AE377D"/>
    <w:rsid w:val="00AF1057"/>
    <w:rsid w:val="00AF31BC"/>
    <w:rsid w:val="00AF68B5"/>
    <w:rsid w:val="00AF7E04"/>
    <w:rsid w:val="00B06A99"/>
    <w:rsid w:val="00B1164A"/>
    <w:rsid w:val="00B13390"/>
    <w:rsid w:val="00B17FBD"/>
    <w:rsid w:val="00B315A6"/>
    <w:rsid w:val="00B31813"/>
    <w:rsid w:val="00B33365"/>
    <w:rsid w:val="00B57976"/>
    <w:rsid w:val="00B57B36"/>
    <w:rsid w:val="00B74071"/>
    <w:rsid w:val="00B8686D"/>
    <w:rsid w:val="00BC07B4"/>
    <w:rsid w:val="00BC30C9"/>
    <w:rsid w:val="00BC7A08"/>
    <w:rsid w:val="00BE1EB1"/>
    <w:rsid w:val="00BE3E58"/>
    <w:rsid w:val="00BF2D0B"/>
    <w:rsid w:val="00C01616"/>
    <w:rsid w:val="00C0162B"/>
    <w:rsid w:val="00C10478"/>
    <w:rsid w:val="00C1137B"/>
    <w:rsid w:val="00C20546"/>
    <w:rsid w:val="00C22DE0"/>
    <w:rsid w:val="00C345B1"/>
    <w:rsid w:val="00C40142"/>
    <w:rsid w:val="00C56D8E"/>
    <w:rsid w:val="00C57182"/>
    <w:rsid w:val="00C57863"/>
    <w:rsid w:val="00C61495"/>
    <w:rsid w:val="00C62A96"/>
    <w:rsid w:val="00C655FD"/>
    <w:rsid w:val="00C721C5"/>
    <w:rsid w:val="00C76904"/>
    <w:rsid w:val="00C870A8"/>
    <w:rsid w:val="00C93D3E"/>
    <w:rsid w:val="00C94434"/>
    <w:rsid w:val="00C96C0D"/>
    <w:rsid w:val="00CA0D75"/>
    <w:rsid w:val="00CA1C95"/>
    <w:rsid w:val="00CA5A9C"/>
    <w:rsid w:val="00CB1157"/>
    <w:rsid w:val="00CC0DD1"/>
    <w:rsid w:val="00CC51C5"/>
    <w:rsid w:val="00CD3517"/>
    <w:rsid w:val="00CD5A00"/>
    <w:rsid w:val="00CD5FE2"/>
    <w:rsid w:val="00CE5333"/>
    <w:rsid w:val="00CE7C68"/>
    <w:rsid w:val="00CF43E6"/>
    <w:rsid w:val="00D02B4C"/>
    <w:rsid w:val="00D040C4"/>
    <w:rsid w:val="00D3262F"/>
    <w:rsid w:val="00D41CC7"/>
    <w:rsid w:val="00D57C84"/>
    <w:rsid w:val="00D6057D"/>
    <w:rsid w:val="00D8361D"/>
    <w:rsid w:val="00D84576"/>
    <w:rsid w:val="00D84650"/>
    <w:rsid w:val="00D95F04"/>
    <w:rsid w:val="00D95F7C"/>
    <w:rsid w:val="00DA1399"/>
    <w:rsid w:val="00DA24C6"/>
    <w:rsid w:val="00DA4D7B"/>
    <w:rsid w:val="00DB5A7F"/>
    <w:rsid w:val="00DE264A"/>
    <w:rsid w:val="00DE5010"/>
    <w:rsid w:val="00E02D18"/>
    <w:rsid w:val="00E041E7"/>
    <w:rsid w:val="00E04627"/>
    <w:rsid w:val="00E10B89"/>
    <w:rsid w:val="00E10C45"/>
    <w:rsid w:val="00E23CA1"/>
    <w:rsid w:val="00E27FCA"/>
    <w:rsid w:val="00E30451"/>
    <w:rsid w:val="00E329C7"/>
    <w:rsid w:val="00E35122"/>
    <w:rsid w:val="00E409A8"/>
    <w:rsid w:val="00E42998"/>
    <w:rsid w:val="00E50C12"/>
    <w:rsid w:val="00E57632"/>
    <w:rsid w:val="00E60C78"/>
    <w:rsid w:val="00E65B91"/>
    <w:rsid w:val="00E7209D"/>
    <w:rsid w:val="00E77223"/>
    <w:rsid w:val="00E8528B"/>
    <w:rsid w:val="00E85B94"/>
    <w:rsid w:val="00E86948"/>
    <w:rsid w:val="00E978D0"/>
    <w:rsid w:val="00EA4613"/>
    <w:rsid w:val="00EA5F2D"/>
    <w:rsid w:val="00EA7F91"/>
    <w:rsid w:val="00EB1523"/>
    <w:rsid w:val="00EC0E49"/>
    <w:rsid w:val="00EC47C4"/>
    <w:rsid w:val="00EC55B1"/>
    <w:rsid w:val="00ED0C8C"/>
    <w:rsid w:val="00EE0131"/>
    <w:rsid w:val="00EF7C40"/>
    <w:rsid w:val="00F00D21"/>
    <w:rsid w:val="00F155B2"/>
    <w:rsid w:val="00F30C64"/>
    <w:rsid w:val="00F31011"/>
    <w:rsid w:val="00F32CDB"/>
    <w:rsid w:val="00F4050B"/>
    <w:rsid w:val="00F452BC"/>
    <w:rsid w:val="00F5184C"/>
    <w:rsid w:val="00F570DE"/>
    <w:rsid w:val="00F63A70"/>
    <w:rsid w:val="00F93224"/>
    <w:rsid w:val="00F93596"/>
    <w:rsid w:val="00FA14CC"/>
    <w:rsid w:val="00FA21D0"/>
    <w:rsid w:val="00FA355F"/>
    <w:rsid w:val="00FA5F5F"/>
    <w:rsid w:val="00FB38B4"/>
    <w:rsid w:val="00FB508E"/>
    <w:rsid w:val="00FB730C"/>
    <w:rsid w:val="00FC2695"/>
    <w:rsid w:val="00FC3E03"/>
    <w:rsid w:val="00FC3FC1"/>
    <w:rsid w:val="00FC5D65"/>
    <w:rsid w:val="00FD67D2"/>
    <w:rsid w:val="00FE248C"/>
    <w:rsid w:val="00FE6610"/>
    <w:rsid w:val="00FF357A"/>
    <w:rsid w:val="00FF391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0B8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0B8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Paragrafoelenco2">
    <w:name w:val="Paragrafo elenco2"/>
    <w:basedOn w:val="Normale"/>
    <w:rsid w:val="00D3262F"/>
    <w:pPr>
      <w:tabs>
        <w:tab w:val="clear" w:pos="7100"/>
      </w:tabs>
      <w:spacing w:after="200" w:line="276" w:lineRule="auto"/>
      <w:ind w:left="720"/>
      <w:contextualSpacing/>
      <w:jc w:val="left"/>
    </w:pPr>
    <w:rPr>
      <w:rFonts w:ascii="Calibri" w:eastAsia="Calibri" w:hAnsi="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540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73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7724">
      <w:bodyDiv w:val="1"/>
      <w:marLeft w:val="0"/>
      <w:marRight w:val="0"/>
      <w:marTop w:val="0"/>
      <w:marBottom w:val="0"/>
      <w:divBdr>
        <w:top w:val="none" w:sz="0" w:space="0" w:color="auto"/>
        <w:left w:val="none" w:sz="0" w:space="0" w:color="auto"/>
        <w:bottom w:val="none" w:sz="0" w:space="0" w:color="auto"/>
        <w:right w:val="none" w:sz="0" w:space="0" w:color="auto"/>
      </w:divBdr>
    </w:div>
    <w:div w:id="192637862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services.crmservice.eu/raiminisite?qXiLL%2FFugVMrv7bpqcZqKNzKiVE3jIAwpHpApekQ5cMPhVgoDLaG%2FfZ2%2BY4iSBnk"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fartigianato.it/2018/04/studi-nel-ii-trimestre-2018-75-costo-energia-elettrica-per-piccole-imprese-con-energia-a-208-ma-oneri-a-47-lanalisi-dellindice-confartigia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B56D-C267-4328-9F7F-D12BDF80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6</Pages>
  <Words>3528</Words>
  <Characters>20113</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Windows User</cp:lastModifiedBy>
  <cp:revision>8</cp:revision>
  <cp:lastPrinted>2015-05-12T18:31:00Z</cp:lastPrinted>
  <dcterms:created xsi:type="dcterms:W3CDTF">2019-03-29T17:43:00Z</dcterms:created>
  <dcterms:modified xsi:type="dcterms:W3CDTF">2019-03-30T05:10:00Z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