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C260F2">
        <w:trPr>
          <w:trHeight w:val="852"/>
          <w:jc w:val="center"/>
        </w:trPr>
        <w:tc>
          <w:tcPr>
            <w:tcW w:w="6946" w:type="dxa"/>
            <w:vMerge w:val="restart"/>
            <w:tcBorders>
              <w:right w:val="single" w:sz="4" w:space="0" w:color="auto"/>
            </w:tcBorders>
          </w:tcPr>
          <w:p w:rsidR="000A03B2" w:rsidRPr="00C260F2" w:rsidRDefault="000A03B2" w:rsidP="00DE264A">
            <w:pPr>
              <w:tabs>
                <w:tab w:val="left" w:pos="-108"/>
              </w:tabs>
              <w:ind w:left="-108"/>
              <w:jc w:val="left"/>
              <w:rPr>
                <w:rFonts w:cs="Arial"/>
                <w:b/>
                <w:bCs/>
                <w:i/>
                <w:iCs/>
                <w:color w:val="000066"/>
                <w:sz w:val="12"/>
                <w:szCs w:val="12"/>
                <w:lang w:val="en-US" w:eastAsia="it-IT"/>
              </w:rPr>
            </w:pPr>
            <w:r w:rsidRPr="00C260F2">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260F2">
              <w:rPr>
                <w:rFonts w:ascii="AdvP6960" w:hAnsi="AdvP6960" w:cs="AdvP6960"/>
                <w:color w:val="241F20"/>
                <w:szCs w:val="18"/>
                <w:lang w:val="en-US" w:eastAsia="it-IT"/>
              </w:rPr>
              <w:t xml:space="preserve"> </w:t>
            </w:r>
            <w:r w:rsidRPr="00C260F2">
              <w:rPr>
                <w:rFonts w:cs="Arial"/>
                <w:b/>
                <w:bCs/>
                <w:i/>
                <w:iCs/>
                <w:color w:val="000066"/>
                <w:sz w:val="24"/>
                <w:szCs w:val="24"/>
                <w:lang w:val="en-US" w:eastAsia="it-IT"/>
              </w:rPr>
              <w:t>CHEMICAL ENGINEERING</w:t>
            </w:r>
            <w:r w:rsidRPr="00C260F2">
              <w:rPr>
                <w:rFonts w:cs="Arial"/>
                <w:b/>
                <w:bCs/>
                <w:i/>
                <w:iCs/>
                <w:color w:val="0033FF"/>
                <w:sz w:val="24"/>
                <w:szCs w:val="24"/>
                <w:lang w:val="en-US" w:eastAsia="it-IT"/>
              </w:rPr>
              <w:t xml:space="preserve"> </w:t>
            </w:r>
            <w:r w:rsidRPr="00C260F2">
              <w:rPr>
                <w:rFonts w:cs="Arial"/>
                <w:b/>
                <w:bCs/>
                <w:i/>
                <w:iCs/>
                <w:color w:val="666666"/>
                <w:sz w:val="24"/>
                <w:szCs w:val="24"/>
                <w:lang w:val="en-US" w:eastAsia="it-IT"/>
              </w:rPr>
              <w:t>TRANSACTIONS</w:t>
            </w:r>
            <w:r w:rsidRPr="00C260F2">
              <w:rPr>
                <w:color w:val="333333"/>
                <w:sz w:val="24"/>
                <w:szCs w:val="24"/>
                <w:lang w:val="en-US" w:eastAsia="it-IT"/>
              </w:rPr>
              <w:t xml:space="preserve"> </w:t>
            </w:r>
            <w:r w:rsidRPr="00C260F2">
              <w:rPr>
                <w:rFonts w:cs="Arial"/>
                <w:b/>
                <w:bCs/>
                <w:i/>
                <w:iCs/>
                <w:color w:val="000066"/>
                <w:sz w:val="27"/>
                <w:szCs w:val="27"/>
                <w:lang w:val="en-US" w:eastAsia="it-IT"/>
              </w:rPr>
              <w:br/>
            </w:r>
          </w:p>
          <w:p w:rsidR="000A03B2" w:rsidRPr="00C260F2" w:rsidRDefault="00A76EFC" w:rsidP="009635B9">
            <w:pPr>
              <w:tabs>
                <w:tab w:val="left" w:pos="-108"/>
              </w:tabs>
              <w:ind w:left="-108"/>
              <w:rPr>
                <w:rFonts w:cs="Arial"/>
                <w:b/>
                <w:bCs/>
                <w:i/>
                <w:iCs/>
                <w:color w:val="000066"/>
                <w:sz w:val="22"/>
                <w:szCs w:val="22"/>
                <w:lang w:val="en-US" w:eastAsia="it-IT"/>
              </w:rPr>
            </w:pPr>
            <w:r w:rsidRPr="00C260F2">
              <w:rPr>
                <w:rFonts w:cs="Arial"/>
                <w:b/>
                <w:bCs/>
                <w:i/>
                <w:iCs/>
                <w:color w:val="000066"/>
                <w:sz w:val="22"/>
                <w:szCs w:val="22"/>
                <w:lang w:val="en-US" w:eastAsia="it-IT"/>
              </w:rPr>
              <w:t xml:space="preserve">VOL. </w:t>
            </w:r>
            <w:r w:rsidR="007931FA" w:rsidRPr="00C260F2">
              <w:rPr>
                <w:rFonts w:cs="Arial"/>
                <w:b/>
                <w:bCs/>
                <w:i/>
                <w:iCs/>
                <w:color w:val="000066"/>
                <w:sz w:val="22"/>
                <w:szCs w:val="22"/>
                <w:lang w:val="en-US" w:eastAsia="it-IT"/>
              </w:rPr>
              <w:t>7</w:t>
            </w:r>
            <w:r w:rsidR="009635B9" w:rsidRPr="00C260F2">
              <w:rPr>
                <w:rFonts w:cs="Arial"/>
                <w:b/>
                <w:bCs/>
                <w:i/>
                <w:iCs/>
                <w:color w:val="000066"/>
                <w:sz w:val="22"/>
                <w:szCs w:val="22"/>
                <w:lang w:val="en-US" w:eastAsia="it-IT"/>
              </w:rPr>
              <w:t>6</w:t>
            </w:r>
            <w:r w:rsidR="00FA5F5F" w:rsidRPr="00C260F2">
              <w:rPr>
                <w:rFonts w:cs="Arial"/>
                <w:b/>
                <w:bCs/>
                <w:i/>
                <w:iCs/>
                <w:color w:val="000066"/>
                <w:sz w:val="22"/>
                <w:szCs w:val="22"/>
                <w:lang w:val="en-US" w:eastAsia="it-IT"/>
              </w:rPr>
              <w:t>, 201</w:t>
            </w:r>
            <w:r w:rsidR="007931FA" w:rsidRPr="00C260F2">
              <w:rPr>
                <w:rFonts w:cs="Arial"/>
                <w:b/>
                <w:bCs/>
                <w:i/>
                <w:iCs/>
                <w:color w:val="000066"/>
                <w:sz w:val="22"/>
                <w:szCs w:val="22"/>
                <w:lang w:val="en-US" w:eastAsia="it-IT"/>
              </w:rPr>
              <w:t>9</w:t>
            </w:r>
          </w:p>
        </w:tc>
        <w:tc>
          <w:tcPr>
            <w:tcW w:w="1843" w:type="dxa"/>
            <w:tcBorders>
              <w:left w:val="single" w:sz="4" w:space="0" w:color="auto"/>
              <w:bottom w:val="nil"/>
              <w:right w:val="single" w:sz="4" w:space="0" w:color="auto"/>
            </w:tcBorders>
          </w:tcPr>
          <w:p w:rsidR="000A03B2" w:rsidRPr="00C260F2" w:rsidRDefault="000A03B2" w:rsidP="00CD5FE2">
            <w:pPr>
              <w:spacing w:line="140" w:lineRule="atLeast"/>
              <w:jc w:val="right"/>
              <w:rPr>
                <w:rFonts w:cs="Arial"/>
                <w:sz w:val="14"/>
                <w:szCs w:val="14"/>
                <w:lang w:val="en-US"/>
              </w:rPr>
            </w:pPr>
            <w:r w:rsidRPr="00C260F2">
              <w:rPr>
                <w:rFonts w:cs="Arial"/>
                <w:sz w:val="14"/>
                <w:szCs w:val="14"/>
                <w:lang w:val="en-US"/>
              </w:rPr>
              <w:t>A publication of</w:t>
            </w:r>
          </w:p>
          <w:p w:rsidR="000A03B2" w:rsidRPr="00C260F2" w:rsidRDefault="000A03B2" w:rsidP="00CD5FE2">
            <w:pPr>
              <w:jc w:val="right"/>
              <w:rPr>
                <w:lang w:val="en-US"/>
              </w:rPr>
            </w:pPr>
            <w:r w:rsidRPr="00C260F2">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260F2">
        <w:trPr>
          <w:trHeight w:val="567"/>
          <w:jc w:val="center"/>
        </w:trPr>
        <w:tc>
          <w:tcPr>
            <w:tcW w:w="6946" w:type="dxa"/>
            <w:vMerge/>
            <w:tcBorders>
              <w:right w:val="single" w:sz="4" w:space="0" w:color="auto"/>
            </w:tcBorders>
          </w:tcPr>
          <w:p w:rsidR="000A03B2" w:rsidRPr="00C260F2" w:rsidRDefault="000A03B2" w:rsidP="00CD5FE2">
            <w:pPr>
              <w:tabs>
                <w:tab w:val="left" w:pos="-108"/>
              </w:tabs>
              <w:rPr>
                <w:lang w:val="en-US"/>
              </w:rPr>
            </w:pPr>
          </w:p>
        </w:tc>
        <w:tc>
          <w:tcPr>
            <w:tcW w:w="1843" w:type="dxa"/>
            <w:tcBorders>
              <w:left w:val="single" w:sz="4" w:space="0" w:color="auto"/>
              <w:bottom w:val="nil"/>
              <w:right w:val="single" w:sz="4" w:space="0" w:color="auto"/>
            </w:tcBorders>
          </w:tcPr>
          <w:p w:rsidR="000A03B2" w:rsidRPr="00C260F2" w:rsidRDefault="000A03B2" w:rsidP="00CD5FE2">
            <w:pPr>
              <w:spacing w:line="140" w:lineRule="atLeast"/>
              <w:jc w:val="right"/>
              <w:rPr>
                <w:rFonts w:cs="Arial"/>
                <w:sz w:val="14"/>
                <w:szCs w:val="14"/>
                <w:lang w:val="en-US"/>
              </w:rPr>
            </w:pPr>
            <w:r w:rsidRPr="00C260F2">
              <w:rPr>
                <w:rFonts w:cs="Arial"/>
                <w:sz w:val="14"/>
                <w:szCs w:val="14"/>
                <w:lang w:val="en-US"/>
              </w:rPr>
              <w:t>The Italian Association</w:t>
            </w:r>
          </w:p>
          <w:p w:rsidR="000A03B2" w:rsidRPr="00C260F2" w:rsidRDefault="000A03B2" w:rsidP="00CD5FE2">
            <w:pPr>
              <w:spacing w:line="140" w:lineRule="atLeast"/>
              <w:jc w:val="right"/>
              <w:rPr>
                <w:rFonts w:cs="Arial"/>
                <w:sz w:val="14"/>
                <w:szCs w:val="14"/>
                <w:lang w:val="en-US"/>
              </w:rPr>
            </w:pPr>
            <w:r w:rsidRPr="00C260F2">
              <w:rPr>
                <w:rFonts w:cs="Arial"/>
                <w:sz w:val="14"/>
                <w:szCs w:val="14"/>
                <w:lang w:val="en-US"/>
              </w:rPr>
              <w:t>of Chemical Engineering</w:t>
            </w:r>
          </w:p>
          <w:p w:rsidR="000A03B2" w:rsidRPr="00C260F2" w:rsidRDefault="000A03B2" w:rsidP="00CD5FE2">
            <w:pPr>
              <w:spacing w:line="140" w:lineRule="atLeast"/>
              <w:jc w:val="right"/>
              <w:rPr>
                <w:rFonts w:cs="Arial"/>
                <w:sz w:val="14"/>
                <w:szCs w:val="14"/>
                <w:lang w:val="en-US"/>
              </w:rPr>
            </w:pPr>
            <w:r w:rsidRPr="00C260F2">
              <w:rPr>
                <w:rFonts w:cs="Arial"/>
                <w:sz w:val="14"/>
                <w:szCs w:val="14"/>
                <w:lang w:val="en-US"/>
              </w:rPr>
              <w:t xml:space="preserve">Online at </w:t>
            </w:r>
            <w:r w:rsidR="00892AD5" w:rsidRPr="00C260F2">
              <w:rPr>
                <w:rFonts w:cs="Arial"/>
                <w:sz w:val="14"/>
                <w:szCs w:val="14"/>
                <w:lang w:val="en-US"/>
              </w:rPr>
              <w:t>www.aidic.it/cet</w:t>
            </w:r>
          </w:p>
        </w:tc>
      </w:tr>
      <w:tr w:rsidR="000A03B2" w:rsidRPr="00C260F2">
        <w:trPr>
          <w:trHeight w:val="68"/>
          <w:jc w:val="center"/>
        </w:trPr>
        <w:tc>
          <w:tcPr>
            <w:tcW w:w="8789" w:type="dxa"/>
            <w:gridSpan w:val="2"/>
          </w:tcPr>
          <w:p w:rsidR="00300E56" w:rsidRPr="008A3A77" w:rsidRDefault="00300E56" w:rsidP="003365E3">
            <w:pPr>
              <w:ind w:left="-107"/>
              <w:rPr>
                <w:lang w:val="it-IT"/>
              </w:rPr>
            </w:pPr>
            <w:r w:rsidRPr="008A3A77">
              <w:rPr>
                <w:rFonts w:ascii="Tahoma" w:hAnsi="Tahoma" w:cs="Tahoma"/>
                <w:iCs/>
                <w:color w:val="333333"/>
                <w:sz w:val="14"/>
                <w:szCs w:val="14"/>
                <w:lang w:val="it-IT" w:eastAsia="it-IT"/>
              </w:rPr>
              <w:t>Guest Editors:</w:t>
            </w:r>
            <w:r w:rsidR="00904C62" w:rsidRPr="008A3A77">
              <w:rPr>
                <w:rFonts w:ascii="Tahoma" w:hAnsi="Tahoma" w:cs="Tahoma"/>
                <w:iCs/>
                <w:color w:val="333333"/>
                <w:sz w:val="14"/>
                <w:szCs w:val="14"/>
                <w:lang w:val="it-IT" w:eastAsia="it-IT"/>
              </w:rPr>
              <w:t xml:space="preserve"> </w:t>
            </w:r>
            <w:r w:rsidR="009635B9" w:rsidRPr="008A3A77">
              <w:rPr>
                <w:rFonts w:ascii="Tahoma" w:hAnsi="Tahoma" w:cs="Tahoma"/>
                <w:sz w:val="14"/>
                <w:szCs w:val="14"/>
                <w:lang w:val="it-IT"/>
              </w:rPr>
              <w:t>Sauro Pierucci,</w:t>
            </w:r>
            <w:r w:rsidR="003B60F3" w:rsidRPr="008A3A77">
              <w:rPr>
                <w:rFonts w:ascii="Tahoma" w:hAnsi="Tahoma" w:cs="Tahoma"/>
                <w:sz w:val="14"/>
                <w:szCs w:val="14"/>
                <w:lang w:val="it-IT"/>
              </w:rPr>
              <w:t xml:space="preserve"> </w:t>
            </w:r>
            <w:r w:rsidR="00047D7F" w:rsidRPr="008A3A77">
              <w:rPr>
                <w:rFonts w:ascii="Tahoma" w:hAnsi="Tahoma" w:cs="Tahoma"/>
                <w:sz w:val="14"/>
                <w:szCs w:val="14"/>
                <w:shd w:val="clear" w:color="auto" w:fill="FFFFFF"/>
                <w:lang w:val="it-IT"/>
              </w:rPr>
              <w:t>Jiří Jaromír Klemeš</w:t>
            </w:r>
            <w:r w:rsidR="00252C1A" w:rsidRPr="008A3A77">
              <w:rPr>
                <w:rFonts w:ascii="Tahoma" w:hAnsi="Tahoma" w:cs="Tahoma"/>
                <w:sz w:val="14"/>
                <w:szCs w:val="14"/>
                <w:shd w:val="clear" w:color="auto" w:fill="FFFFFF"/>
                <w:lang w:val="it-IT"/>
              </w:rPr>
              <w:t>, Laura Piazza</w:t>
            </w:r>
          </w:p>
          <w:p w:rsidR="000A03B2" w:rsidRPr="00C260F2" w:rsidRDefault="00FA5F5F" w:rsidP="00131FAB">
            <w:pPr>
              <w:tabs>
                <w:tab w:val="left" w:pos="-108"/>
              </w:tabs>
              <w:spacing w:line="140" w:lineRule="atLeast"/>
              <w:ind w:left="-107"/>
              <w:jc w:val="left"/>
              <w:rPr>
                <w:lang w:val="en-US"/>
              </w:rPr>
            </w:pPr>
            <w:r w:rsidRPr="00C260F2">
              <w:rPr>
                <w:rFonts w:ascii="Tahoma" w:hAnsi="Tahoma" w:cs="Tahoma"/>
                <w:iCs/>
                <w:color w:val="333333"/>
                <w:sz w:val="14"/>
                <w:szCs w:val="14"/>
                <w:lang w:val="en-US" w:eastAsia="it-IT"/>
              </w:rPr>
              <w:t>Copyright © 201</w:t>
            </w:r>
            <w:r w:rsidR="007931FA" w:rsidRPr="00C260F2">
              <w:rPr>
                <w:rFonts w:ascii="Tahoma" w:hAnsi="Tahoma" w:cs="Tahoma"/>
                <w:iCs/>
                <w:color w:val="333333"/>
                <w:sz w:val="14"/>
                <w:szCs w:val="14"/>
                <w:lang w:val="en-US" w:eastAsia="it-IT"/>
              </w:rPr>
              <w:t>9</w:t>
            </w:r>
            <w:r w:rsidR="00904C62" w:rsidRPr="00C260F2">
              <w:rPr>
                <w:rFonts w:ascii="Tahoma" w:hAnsi="Tahoma" w:cs="Tahoma"/>
                <w:iCs/>
                <w:color w:val="333333"/>
                <w:sz w:val="14"/>
                <w:szCs w:val="14"/>
                <w:lang w:val="en-US" w:eastAsia="it-IT"/>
              </w:rPr>
              <w:t>, AIDIC Servizi S.r.l.</w:t>
            </w:r>
            <w:r w:rsidR="00300E56" w:rsidRPr="00C260F2">
              <w:rPr>
                <w:rFonts w:ascii="Tahoma" w:hAnsi="Tahoma" w:cs="Tahoma"/>
                <w:iCs/>
                <w:color w:val="333333"/>
                <w:sz w:val="14"/>
                <w:szCs w:val="14"/>
                <w:lang w:val="en-US" w:eastAsia="it-IT"/>
              </w:rPr>
              <w:br/>
            </w:r>
            <w:r w:rsidR="00300E56" w:rsidRPr="00C260F2">
              <w:rPr>
                <w:rFonts w:ascii="Tahoma" w:hAnsi="Tahoma" w:cs="Tahoma"/>
                <w:b/>
                <w:iCs/>
                <w:color w:val="000000"/>
                <w:sz w:val="14"/>
                <w:szCs w:val="14"/>
                <w:lang w:val="en-US" w:eastAsia="it-IT"/>
              </w:rPr>
              <w:t>ISBN</w:t>
            </w:r>
            <w:r w:rsidR="00300E56" w:rsidRPr="00C260F2">
              <w:rPr>
                <w:rFonts w:ascii="Tahoma" w:hAnsi="Tahoma" w:cs="Tahoma"/>
                <w:iCs/>
                <w:color w:val="000000"/>
                <w:sz w:val="14"/>
                <w:szCs w:val="14"/>
                <w:lang w:val="en-US" w:eastAsia="it-IT"/>
              </w:rPr>
              <w:t xml:space="preserve"> </w:t>
            </w:r>
            <w:r w:rsidR="008D32B9" w:rsidRPr="00C260F2">
              <w:rPr>
                <w:rFonts w:ascii="Tahoma" w:hAnsi="Tahoma" w:cs="Tahoma"/>
                <w:sz w:val="14"/>
                <w:szCs w:val="14"/>
                <w:lang w:val="en-US"/>
              </w:rPr>
              <w:t>978-88-95608-</w:t>
            </w:r>
            <w:r w:rsidR="009635B9" w:rsidRPr="00C260F2">
              <w:rPr>
                <w:rFonts w:ascii="Tahoma" w:hAnsi="Tahoma" w:cs="Tahoma"/>
                <w:sz w:val="14"/>
                <w:szCs w:val="14"/>
                <w:lang w:val="en-US"/>
              </w:rPr>
              <w:t>73</w:t>
            </w:r>
            <w:r w:rsidR="008D32B9" w:rsidRPr="00C260F2">
              <w:rPr>
                <w:rFonts w:ascii="Tahoma" w:hAnsi="Tahoma" w:cs="Tahoma"/>
                <w:sz w:val="14"/>
                <w:szCs w:val="14"/>
                <w:lang w:val="en-US"/>
              </w:rPr>
              <w:t>-</w:t>
            </w:r>
            <w:r w:rsidR="009635B9" w:rsidRPr="00C260F2">
              <w:rPr>
                <w:rFonts w:ascii="Tahoma" w:hAnsi="Tahoma" w:cs="Tahoma"/>
                <w:sz w:val="14"/>
                <w:szCs w:val="14"/>
                <w:lang w:val="en-US"/>
              </w:rPr>
              <w:t>0</w:t>
            </w:r>
            <w:r w:rsidR="00300E56" w:rsidRPr="00C260F2">
              <w:rPr>
                <w:rFonts w:ascii="Tahoma" w:hAnsi="Tahoma" w:cs="Tahoma"/>
                <w:iCs/>
                <w:color w:val="333333"/>
                <w:sz w:val="14"/>
                <w:szCs w:val="14"/>
                <w:lang w:val="en-US" w:eastAsia="it-IT"/>
              </w:rPr>
              <w:t xml:space="preserve">; </w:t>
            </w:r>
            <w:r w:rsidR="00300E56" w:rsidRPr="00C260F2">
              <w:rPr>
                <w:rFonts w:ascii="Tahoma" w:hAnsi="Tahoma" w:cs="Tahoma"/>
                <w:b/>
                <w:iCs/>
                <w:color w:val="333333"/>
                <w:sz w:val="14"/>
                <w:szCs w:val="14"/>
                <w:lang w:val="en-US" w:eastAsia="it-IT"/>
              </w:rPr>
              <w:t>ISSN</w:t>
            </w:r>
            <w:r w:rsidR="00300E56" w:rsidRPr="00C260F2">
              <w:rPr>
                <w:rFonts w:ascii="Tahoma" w:hAnsi="Tahoma" w:cs="Tahoma"/>
                <w:iCs/>
                <w:color w:val="333333"/>
                <w:sz w:val="14"/>
                <w:szCs w:val="14"/>
                <w:lang w:val="en-US" w:eastAsia="it-IT"/>
              </w:rPr>
              <w:t xml:space="preserve"> 2283-9216</w:t>
            </w:r>
          </w:p>
        </w:tc>
      </w:tr>
    </w:tbl>
    <w:p w:rsidR="000A03B2" w:rsidRPr="00C260F2" w:rsidRDefault="000A03B2" w:rsidP="000A03B2">
      <w:pPr>
        <w:pStyle w:val="CETAuthors"/>
        <w:rPr>
          <w:lang w:val="en-US"/>
        </w:rPr>
        <w:sectPr w:rsidR="000A03B2" w:rsidRPr="00C260F2">
          <w:type w:val="continuous"/>
          <w:pgSz w:w="11906" w:h="16838" w:code="9"/>
          <w:pgMar w:top="1701" w:right="1418" w:bottom="1701" w:left="1701" w:header="1701" w:footer="0" w:gutter="0"/>
          <w:cols w:space="708"/>
          <w:titlePg/>
          <w:docGrid w:linePitch="360"/>
        </w:sectPr>
      </w:pPr>
    </w:p>
    <w:p w:rsidR="00E978D0" w:rsidRPr="00C260F2" w:rsidRDefault="00F375A9" w:rsidP="00F375A9">
      <w:pPr>
        <w:pStyle w:val="CETTitle"/>
        <w:rPr>
          <w:lang w:val="en-US"/>
        </w:rPr>
      </w:pPr>
      <w:r w:rsidRPr="00C260F2">
        <w:rPr>
          <w:lang w:val="en-US"/>
        </w:rPr>
        <w:lastRenderedPageBreak/>
        <w:t>A progressive approach                                                             towards a more sustainable food industry</w:t>
      </w:r>
    </w:p>
    <w:p w:rsidR="00E978D0" w:rsidRPr="00C260F2" w:rsidRDefault="00F375A9" w:rsidP="00AB5011">
      <w:pPr>
        <w:pStyle w:val="CETAuthors"/>
        <w:rPr>
          <w:lang w:val="en-US"/>
        </w:rPr>
      </w:pPr>
      <w:r w:rsidRPr="00C260F2">
        <w:rPr>
          <w:lang w:val="en-US"/>
        </w:rPr>
        <w:t xml:space="preserve">Alessio Cimini, Mauro Moresi* </w:t>
      </w:r>
    </w:p>
    <w:p w:rsidR="00E978D0" w:rsidRPr="00C260F2" w:rsidRDefault="00F375A9" w:rsidP="00F375A9">
      <w:pPr>
        <w:pStyle w:val="CETAddress"/>
        <w:rPr>
          <w:lang w:val="en-US"/>
        </w:rPr>
      </w:pPr>
      <w:r w:rsidRPr="00C260F2">
        <w:rPr>
          <w:lang w:val="en-US"/>
        </w:rPr>
        <w:t xml:space="preserve">Department for Innovation in the Biological, Agrofood and Forestry Systems, University of Tuscia, Viterbo, Italy </w:t>
      </w:r>
    </w:p>
    <w:p w:rsidR="00E978D0" w:rsidRPr="00C260F2" w:rsidRDefault="00F375A9" w:rsidP="00E978D0">
      <w:pPr>
        <w:pStyle w:val="CETemail"/>
        <w:rPr>
          <w:lang w:val="en-US"/>
        </w:rPr>
      </w:pPr>
      <w:r w:rsidRPr="00C260F2">
        <w:rPr>
          <w:lang w:val="en-US"/>
        </w:rPr>
        <w:t xml:space="preserve">mmoresi@unitus.it </w:t>
      </w:r>
    </w:p>
    <w:p w:rsidR="002144D0" w:rsidRPr="00855423" w:rsidRDefault="004F14B6" w:rsidP="009912FD">
      <w:pPr>
        <w:pStyle w:val="CETBodytext"/>
      </w:pPr>
      <w:r w:rsidRPr="00855423">
        <w:t>In this work</w:t>
      </w:r>
      <w:r w:rsidR="00F02F7F" w:rsidRPr="00855423">
        <w:t>,</w:t>
      </w:r>
      <w:r w:rsidR="00F375A9" w:rsidRPr="00855423">
        <w:t xml:space="preserve"> the main direct environmental impacts of the food industry, as well as greenhouse gas (GHG) emissions for the agro-food system in industrialized countries</w:t>
      </w:r>
      <w:r w:rsidRPr="00855423">
        <w:t>, were</w:t>
      </w:r>
      <w:r w:rsidR="0027772D" w:rsidRPr="00855423">
        <w:t xml:space="preserve"> </w:t>
      </w:r>
      <w:r w:rsidRPr="00855423">
        <w:t>pointed</w:t>
      </w:r>
      <w:r w:rsidR="00D23B63">
        <w:t xml:space="preserve"> </w:t>
      </w:r>
      <w:r w:rsidRPr="00855423">
        <w:t>out</w:t>
      </w:r>
      <w:r w:rsidR="00F375A9" w:rsidRPr="00855423">
        <w:t xml:space="preserve">. </w:t>
      </w:r>
      <w:r w:rsidR="00D23B63">
        <w:t xml:space="preserve">A </w:t>
      </w:r>
      <w:r w:rsidR="00F375A9" w:rsidRPr="00855423">
        <w:t>simple and stepwise approach, based on the mere assessment of the</w:t>
      </w:r>
      <w:r w:rsidRPr="00855423">
        <w:t xml:space="preserve"> p</w:t>
      </w:r>
      <w:r w:rsidR="00F375A9" w:rsidRPr="00855423">
        <w:t>roduct Carbon Footprint (CF),</w:t>
      </w:r>
      <w:r w:rsidR="0027772D" w:rsidRPr="00855423">
        <w:t xml:space="preserve"> </w:t>
      </w:r>
      <w:r w:rsidRPr="00855423">
        <w:t>was</w:t>
      </w:r>
      <w:r w:rsidR="00D751C6" w:rsidRPr="00855423">
        <w:t xml:space="preserve"> </w:t>
      </w:r>
      <w:r w:rsidR="00D23B63">
        <w:t xml:space="preserve">used </w:t>
      </w:r>
      <w:r w:rsidR="00F375A9" w:rsidRPr="00855423">
        <w:t xml:space="preserve">to improve the sustainability of </w:t>
      </w:r>
      <w:r w:rsidRPr="00855423">
        <w:t xml:space="preserve">small- and medium-sized </w:t>
      </w:r>
      <w:r w:rsidR="00F375A9" w:rsidRPr="00855423">
        <w:t xml:space="preserve">food and drink </w:t>
      </w:r>
      <w:r w:rsidRPr="00855423">
        <w:t xml:space="preserve">enterprises </w:t>
      </w:r>
      <w:r w:rsidR="00F375A9" w:rsidRPr="00855423">
        <w:t xml:space="preserve">before analyzing the impact of other impact categories than climate change. </w:t>
      </w:r>
      <w:bookmarkStart w:id="0" w:name="_Hlk495475023"/>
      <w:r w:rsidR="00F02F7F" w:rsidRPr="00855423">
        <w:t>By applying previously developed LCA models,</w:t>
      </w:r>
      <w:r w:rsidR="0027772D" w:rsidRPr="00855423">
        <w:t xml:space="preserve"> </w:t>
      </w:r>
      <w:r w:rsidR="00F02F7F" w:rsidRPr="00855423">
        <w:t xml:space="preserve">the </w:t>
      </w:r>
      <w:r w:rsidR="00035760" w:rsidRPr="00855423">
        <w:t xml:space="preserve">cradle-to-grave </w:t>
      </w:r>
      <w:r w:rsidR="00F02F7F" w:rsidRPr="00855423">
        <w:t xml:space="preserve">carbon footprint of dry pasta </w:t>
      </w:r>
      <w:r w:rsidR="00035760" w:rsidRPr="00855423">
        <w:t xml:space="preserve">and malt </w:t>
      </w:r>
      <w:r w:rsidR="00F02F7F" w:rsidRPr="00855423">
        <w:t>beer</w:t>
      </w:r>
      <w:r w:rsidR="008F2627" w:rsidRPr="00855423">
        <w:t xml:space="preserve"> </w:t>
      </w:r>
      <w:r w:rsidR="00F02F7F" w:rsidRPr="00855423">
        <w:t>was</w:t>
      </w:r>
      <w:r w:rsidR="00D751C6" w:rsidRPr="00855423">
        <w:t xml:space="preserve"> </w:t>
      </w:r>
      <w:r w:rsidR="00F02F7F" w:rsidRPr="00855423">
        <w:t>estimated</w:t>
      </w:r>
      <w:r w:rsidR="00047814" w:rsidRPr="00855423">
        <w:t xml:space="preserve"> and practically halved by resorting to a series of mitigation options</w:t>
      </w:r>
      <w:r w:rsidR="002C36B7" w:rsidRPr="00855423">
        <w:t>.</w:t>
      </w:r>
      <w:r w:rsidR="00047814" w:rsidRPr="00855423">
        <w:t xml:space="preserve"> </w:t>
      </w:r>
      <w:r w:rsidR="002C36B7" w:rsidRPr="00855423">
        <w:t xml:space="preserve">A cost/benefit analysis </w:t>
      </w:r>
      <w:r w:rsidR="00D23B63">
        <w:t xml:space="preserve">is required </w:t>
      </w:r>
      <w:r w:rsidR="00773121" w:rsidRPr="00855423">
        <w:t>t</w:t>
      </w:r>
      <w:r w:rsidR="002C36B7" w:rsidRPr="00855423">
        <w:t xml:space="preserve">o assess the feasibility of </w:t>
      </w:r>
      <w:r w:rsidR="00D23B63">
        <w:t xml:space="preserve">each </w:t>
      </w:r>
      <w:r w:rsidR="00AA140F" w:rsidRPr="00855423">
        <w:t>selected option</w:t>
      </w:r>
      <w:r w:rsidR="002144D0" w:rsidRPr="00855423">
        <w:t>.</w:t>
      </w:r>
    </w:p>
    <w:bookmarkEnd w:id="0"/>
    <w:p w:rsidR="00600535" w:rsidRPr="00855423" w:rsidRDefault="00600535" w:rsidP="00600535">
      <w:pPr>
        <w:pStyle w:val="CETHeading1"/>
      </w:pPr>
      <w:r w:rsidRPr="00855423">
        <w:t>Introduction</w:t>
      </w:r>
    </w:p>
    <w:p w:rsidR="001B749D" w:rsidRPr="00855423" w:rsidRDefault="004235DE" w:rsidP="001C291C">
      <w:pPr>
        <w:pStyle w:val="CETBodytext"/>
      </w:pPr>
      <w:r w:rsidRPr="00855423">
        <w:t xml:space="preserve">The current food system </w:t>
      </w:r>
      <w:r w:rsidR="008D7DB1">
        <w:t xml:space="preserve">was </w:t>
      </w:r>
      <w:r w:rsidR="00500306" w:rsidRPr="00855423">
        <w:t>regarded a</w:t>
      </w:r>
      <w:r w:rsidRPr="00855423">
        <w:t>s ecologically unsustainable (</w:t>
      </w:r>
      <w:r w:rsidR="00500306" w:rsidRPr="00855423">
        <w:t>Church, 2005</w:t>
      </w:r>
      <w:r w:rsidRPr="00855423">
        <w:t xml:space="preserve">). </w:t>
      </w:r>
      <w:r w:rsidR="008D7DB1">
        <w:t>F</w:t>
      </w:r>
      <w:r w:rsidR="008D7DB1" w:rsidRPr="00855423">
        <w:t xml:space="preserve">ossil fuels </w:t>
      </w:r>
      <w:r w:rsidR="008D7DB1">
        <w:t>a</w:t>
      </w:r>
      <w:r w:rsidR="00500306" w:rsidRPr="00855423">
        <w:t>re</w:t>
      </w:r>
      <w:r w:rsidR="006F4089" w:rsidRPr="00855423">
        <w:t xml:space="preserve"> </w:t>
      </w:r>
      <w:r w:rsidR="001B749D" w:rsidRPr="00855423">
        <w:t xml:space="preserve">essential to afford </w:t>
      </w:r>
      <w:r w:rsidRPr="00855423">
        <w:t>crop production</w:t>
      </w:r>
      <w:r w:rsidR="001B749D" w:rsidRPr="00855423">
        <w:t xml:space="preserve">, </w:t>
      </w:r>
      <w:r w:rsidRPr="00855423">
        <w:t>animal husbandry,</w:t>
      </w:r>
      <w:r w:rsidR="00773121" w:rsidRPr="00855423">
        <w:t xml:space="preserve"> </w:t>
      </w:r>
      <w:r w:rsidR="006D5C36" w:rsidRPr="00855423">
        <w:t>a</w:t>
      </w:r>
      <w:r w:rsidR="001B749D" w:rsidRPr="00855423">
        <w:t xml:space="preserve">nd food production </w:t>
      </w:r>
      <w:r w:rsidRPr="00855423">
        <w:t>and distribution</w:t>
      </w:r>
      <w:r w:rsidR="008D7DB1">
        <w:t xml:space="preserve">, as well as </w:t>
      </w:r>
      <w:r w:rsidR="001B749D" w:rsidRPr="00855423">
        <w:t xml:space="preserve">to </w:t>
      </w:r>
      <w:r w:rsidRPr="00855423">
        <w:t>construct</w:t>
      </w:r>
      <w:r w:rsidR="00952084" w:rsidRPr="00855423">
        <w:t xml:space="preserve"> </w:t>
      </w:r>
      <w:r w:rsidRPr="00855423">
        <w:t>and maint</w:t>
      </w:r>
      <w:r w:rsidR="006D5C36" w:rsidRPr="00855423">
        <w:t xml:space="preserve">ain </w:t>
      </w:r>
      <w:r w:rsidRPr="00855423">
        <w:t>machinery</w:t>
      </w:r>
      <w:r w:rsidR="008D7DB1">
        <w:t xml:space="preserve"> and</w:t>
      </w:r>
      <w:r w:rsidRPr="00855423">
        <w:t xml:space="preserve"> processing equipment</w:t>
      </w:r>
      <w:r w:rsidR="00952084" w:rsidRPr="00855423">
        <w:t xml:space="preserve">, </w:t>
      </w:r>
      <w:r w:rsidRPr="00855423">
        <w:t>transportation vehicles</w:t>
      </w:r>
      <w:r w:rsidR="00952084" w:rsidRPr="00855423">
        <w:t>,</w:t>
      </w:r>
      <w:r w:rsidRPr="00855423">
        <w:t xml:space="preserve"> </w:t>
      </w:r>
      <w:r w:rsidR="008D7DB1">
        <w:t xml:space="preserve">and </w:t>
      </w:r>
      <w:r w:rsidRPr="00855423">
        <w:t>infrastructures.</w:t>
      </w:r>
    </w:p>
    <w:p w:rsidR="001F3CC0" w:rsidRDefault="00762375" w:rsidP="00B24D9F">
      <w:pPr>
        <w:pStyle w:val="CETBodytext"/>
      </w:pPr>
      <w:r w:rsidRPr="00855423">
        <w:t xml:space="preserve">Although </w:t>
      </w:r>
      <w:r w:rsidR="0091148E" w:rsidRPr="00855423">
        <w:t xml:space="preserve">from the millenary climate observations </w:t>
      </w:r>
      <w:r w:rsidR="00C631B0" w:rsidRPr="00855423">
        <w:t>the warming since the middle of the 20</w:t>
      </w:r>
      <w:r w:rsidR="00C631B0" w:rsidRPr="00855423">
        <w:rPr>
          <w:vertAlign w:val="superscript"/>
        </w:rPr>
        <w:t>th</w:t>
      </w:r>
      <w:r w:rsidR="00C631B0" w:rsidRPr="00855423">
        <w:t xml:space="preserve"> century </w:t>
      </w:r>
      <w:r w:rsidR="00C631B0">
        <w:t xml:space="preserve">might </w:t>
      </w:r>
      <w:r w:rsidR="003634DB" w:rsidRPr="00855423">
        <w:t xml:space="preserve">be </w:t>
      </w:r>
      <w:r w:rsidR="0091148E" w:rsidRPr="00855423">
        <w:t>primarily attributed to natural causes</w:t>
      </w:r>
      <w:r w:rsidR="007E4B46" w:rsidRPr="00855423">
        <w:t xml:space="preserve">, such as </w:t>
      </w:r>
      <w:r w:rsidR="0091148E" w:rsidRPr="00855423">
        <w:t>solar activity and random variations</w:t>
      </w:r>
      <w:r w:rsidR="007E4B46" w:rsidRPr="00855423">
        <w:t xml:space="preserve"> (de Larminat, 2016)</w:t>
      </w:r>
      <w:r w:rsidR="0091148E" w:rsidRPr="00855423">
        <w:t>, the human contribution cannot be re</w:t>
      </w:r>
      <w:r w:rsidR="007E4B46" w:rsidRPr="00855423">
        <w:t>tained as negligible</w:t>
      </w:r>
      <w:r w:rsidR="00C631B0" w:rsidRPr="00C631B0">
        <w:t xml:space="preserve"> </w:t>
      </w:r>
      <w:r w:rsidR="00BA355E">
        <w:t>(</w:t>
      </w:r>
      <w:r w:rsidR="00C631B0" w:rsidRPr="00855423">
        <w:t>IPCC</w:t>
      </w:r>
      <w:r w:rsidR="00BA355E">
        <w:t xml:space="preserve">, </w:t>
      </w:r>
      <w:r w:rsidR="00C631B0" w:rsidRPr="00855423">
        <w:t>2013)</w:t>
      </w:r>
      <w:r w:rsidR="0091148E" w:rsidRPr="00855423">
        <w:t>.</w:t>
      </w:r>
      <w:r w:rsidR="00952084" w:rsidRPr="00855423">
        <w:t xml:space="preserve"> The human population has grown from about 3.03 to 7.67 billion people since 1960 (Anon, n.d.), </w:t>
      </w:r>
      <w:r w:rsidR="00BA355E">
        <w:t xml:space="preserve">and </w:t>
      </w:r>
      <w:r w:rsidR="00A06411" w:rsidRPr="00855423">
        <w:t>in all probability</w:t>
      </w:r>
      <w:r w:rsidR="00E46299" w:rsidRPr="00855423">
        <w:t xml:space="preserve"> </w:t>
      </w:r>
      <w:r w:rsidR="00BA355E" w:rsidRPr="00855423">
        <w:t xml:space="preserve">has </w:t>
      </w:r>
      <w:r w:rsidR="00E46299" w:rsidRPr="00855423">
        <w:t xml:space="preserve">exerted a </w:t>
      </w:r>
      <w:r w:rsidR="006F4089" w:rsidRPr="00855423">
        <w:t>primary impact on the environment</w:t>
      </w:r>
      <w:r w:rsidR="00E46299" w:rsidRPr="00855423">
        <w:t xml:space="preserve">. It is, indeed, responsible for the huge </w:t>
      </w:r>
      <w:r w:rsidR="003634DB" w:rsidRPr="00855423">
        <w:t xml:space="preserve">release of the so-called greenhouse gases (GHG), </w:t>
      </w:r>
      <w:r w:rsidR="00F3164D" w:rsidRPr="00855423">
        <w:t xml:space="preserve">namely </w:t>
      </w:r>
      <w:r w:rsidR="000868B9">
        <w:t>CO</w:t>
      </w:r>
      <w:r w:rsidR="000868B9" w:rsidRPr="000868B9">
        <w:rPr>
          <w:vertAlign w:val="subscript"/>
        </w:rPr>
        <w:t>2</w:t>
      </w:r>
      <w:r w:rsidR="003634DB" w:rsidRPr="00855423">
        <w:t xml:space="preserve">, </w:t>
      </w:r>
      <w:r w:rsidR="000868B9">
        <w:t>CH</w:t>
      </w:r>
      <w:r w:rsidR="000868B9" w:rsidRPr="000868B9">
        <w:rPr>
          <w:vertAlign w:val="subscript"/>
        </w:rPr>
        <w:t>4</w:t>
      </w:r>
      <w:r w:rsidR="000868B9">
        <w:t>, N</w:t>
      </w:r>
      <w:r w:rsidR="000868B9" w:rsidRPr="000868B9">
        <w:rPr>
          <w:vertAlign w:val="subscript"/>
        </w:rPr>
        <w:t>2</w:t>
      </w:r>
      <w:r w:rsidR="000868B9">
        <w:t>O</w:t>
      </w:r>
      <w:r w:rsidR="003634DB" w:rsidRPr="00855423">
        <w:t>,</w:t>
      </w:r>
      <w:r w:rsidR="000868B9">
        <w:t xml:space="preserve"> </w:t>
      </w:r>
      <w:r w:rsidR="003634DB" w:rsidRPr="00855423">
        <w:t>hydrochlorofluorocarbons</w:t>
      </w:r>
      <w:r w:rsidR="000868B9">
        <w:t xml:space="preserve"> </w:t>
      </w:r>
      <w:r w:rsidR="00852EC8">
        <w:t>(HFCs)</w:t>
      </w:r>
      <w:r w:rsidR="003634DB" w:rsidRPr="00855423">
        <w:t>, perfluorinated chemicals</w:t>
      </w:r>
      <w:r w:rsidR="00BA355E">
        <w:t xml:space="preserve"> (PFCs)</w:t>
      </w:r>
      <w:r w:rsidR="003634DB" w:rsidRPr="00855423">
        <w:t xml:space="preserve"> and SF</w:t>
      </w:r>
      <w:r w:rsidR="003634DB" w:rsidRPr="00855423">
        <w:rPr>
          <w:vertAlign w:val="subscript"/>
        </w:rPr>
        <w:t>6</w:t>
      </w:r>
      <w:r w:rsidR="007E4B46" w:rsidRPr="00855423">
        <w:t xml:space="preserve">, in the atmosphere. </w:t>
      </w:r>
      <w:r w:rsidR="0043070A" w:rsidRPr="00855423">
        <w:t>Since 1980 the volumetric concentration</w:t>
      </w:r>
      <w:r w:rsidR="00F3164D" w:rsidRPr="00855423">
        <w:t>s</w:t>
      </w:r>
      <w:r w:rsidR="0043070A" w:rsidRPr="00855423">
        <w:t xml:space="preserve"> of CO</w:t>
      </w:r>
      <w:r w:rsidR="0043070A" w:rsidRPr="00855423">
        <w:rPr>
          <w:vertAlign w:val="subscript"/>
        </w:rPr>
        <w:t>2</w:t>
      </w:r>
      <w:r w:rsidR="0043070A" w:rsidRPr="00855423">
        <w:t>, CH</w:t>
      </w:r>
      <w:r w:rsidR="0043070A" w:rsidRPr="00855423">
        <w:rPr>
          <w:vertAlign w:val="subscript"/>
        </w:rPr>
        <w:t>4</w:t>
      </w:r>
      <w:r w:rsidR="0043070A" w:rsidRPr="00855423">
        <w:t xml:space="preserve"> and N</w:t>
      </w:r>
      <w:r w:rsidR="0043070A" w:rsidRPr="00855423">
        <w:rPr>
          <w:vertAlign w:val="subscript"/>
        </w:rPr>
        <w:t>2</w:t>
      </w:r>
      <w:r w:rsidR="0043070A" w:rsidRPr="00855423">
        <w:t>O in the atmosphere over marine surface sites ha</w:t>
      </w:r>
      <w:r w:rsidR="00E46299" w:rsidRPr="00855423">
        <w:t xml:space="preserve">ve </w:t>
      </w:r>
      <w:r w:rsidR="0090685B">
        <w:t xml:space="preserve">definitely </w:t>
      </w:r>
      <w:r w:rsidR="00E46299" w:rsidRPr="00855423">
        <w:t>i</w:t>
      </w:r>
      <w:r w:rsidR="0043070A" w:rsidRPr="00855423">
        <w:t>ncreased from about 380 to 405 ppm (</w:t>
      </w:r>
      <w:r w:rsidR="002546D5" w:rsidRPr="00855423">
        <w:t>NOAA, n.d.</w:t>
      </w:r>
      <w:r w:rsidR="0043070A" w:rsidRPr="00855423">
        <w:t>), 1566 to 1835 ppb and 301 to 328 ppb (EEA, 2017), respectively.</w:t>
      </w:r>
      <w:r w:rsidR="00C048BB" w:rsidRPr="00855423">
        <w:t xml:space="preserve"> </w:t>
      </w:r>
      <w:r w:rsidR="006F4089" w:rsidRPr="00855423">
        <w:t>In the great majority of studies</w:t>
      </w:r>
      <w:r w:rsidR="003A4C89">
        <w:t>,</w:t>
      </w:r>
      <w:r w:rsidR="006F4089" w:rsidRPr="00855423">
        <w:t xml:space="preserve"> </w:t>
      </w:r>
      <w:r w:rsidR="003A4C89" w:rsidRPr="00855423">
        <w:t xml:space="preserve">the climate change </w:t>
      </w:r>
      <w:r w:rsidR="000868B9">
        <w:t xml:space="preserve">and several </w:t>
      </w:r>
      <w:r w:rsidR="003A4C89" w:rsidRPr="00855423">
        <w:t xml:space="preserve">other impact categories </w:t>
      </w:r>
      <w:r w:rsidR="003A4C89">
        <w:t>(</w:t>
      </w:r>
      <w:r w:rsidR="003A4C89" w:rsidRPr="00855423">
        <w:t>Table 1</w:t>
      </w:r>
      <w:r w:rsidR="003A4C89">
        <w:t xml:space="preserve">) </w:t>
      </w:r>
      <w:r w:rsidR="003A4C89" w:rsidRPr="00855423">
        <w:t>have been used</w:t>
      </w:r>
      <w:r w:rsidR="003A4C89">
        <w:t xml:space="preserve"> </w:t>
      </w:r>
      <w:r w:rsidR="00407369" w:rsidRPr="00855423">
        <w:t xml:space="preserve">to assess </w:t>
      </w:r>
      <w:r w:rsidR="003A4C89">
        <w:t xml:space="preserve">the environmental performance of </w:t>
      </w:r>
      <w:r w:rsidR="006F4089" w:rsidRPr="00855423">
        <w:t>the food supply chain</w:t>
      </w:r>
      <w:r w:rsidR="00C048BB" w:rsidRPr="00855423">
        <w:t>.</w:t>
      </w:r>
      <w:r w:rsidR="00BC173F" w:rsidRPr="00855423">
        <w:t xml:space="preserve"> </w:t>
      </w:r>
      <w:r w:rsidR="003A4C89">
        <w:t>T</w:t>
      </w:r>
      <w:r w:rsidR="005229B9" w:rsidRPr="00855423">
        <w:t>he food, drink, tobacco and narcotics area of consumption in the EU-25 account</w:t>
      </w:r>
      <w:r w:rsidR="001F3CC0">
        <w:t>ed</w:t>
      </w:r>
      <w:r w:rsidR="005229B9" w:rsidRPr="00855423">
        <w:t xml:space="preserve"> for 22-31% for climate change and 20-30% for most of the other impact categories, with the exception of 59% for eutrophication</w:t>
      </w:r>
      <w:r w:rsidR="003A4C89">
        <w:t xml:space="preserve"> (</w:t>
      </w:r>
      <w:r w:rsidR="003A4C89" w:rsidRPr="00855423">
        <w:t>Tukker et al.</w:t>
      </w:r>
      <w:r w:rsidR="003A4C89">
        <w:t xml:space="preserve">, </w:t>
      </w:r>
      <w:r w:rsidR="003A4C89" w:rsidRPr="00855423">
        <w:t>2006)</w:t>
      </w:r>
      <w:r w:rsidR="005229B9" w:rsidRPr="00855423">
        <w:t>.</w:t>
      </w:r>
      <w:r w:rsidR="003A4C89">
        <w:t xml:space="preserve"> </w:t>
      </w:r>
    </w:p>
    <w:p w:rsidR="00B24D9F" w:rsidRDefault="003A4C89" w:rsidP="00B24D9F">
      <w:pPr>
        <w:pStyle w:val="CETBodytext"/>
      </w:pPr>
      <w:r>
        <w:t>T</w:t>
      </w:r>
      <w:r w:rsidR="005229B9" w:rsidRPr="00855423">
        <w:t xml:space="preserve">he food and beverage industry is </w:t>
      </w:r>
      <w:r>
        <w:t xml:space="preserve">thus </w:t>
      </w:r>
      <w:r w:rsidR="005229B9" w:rsidRPr="00855423">
        <w:t>seeking to improve its environmental</w:t>
      </w:r>
      <w:r w:rsidR="000C1619" w:rsidRPr="00855423">
        <w:t xml:space="preserve"> </w:t>
      </w:r>
      <w:r w:rsidR="005229B9" w:rsidRPr="00855423">
        <w:t xml:space="preserve">performance </w:t>
      </w:r>
      <w:r w:rsidR="000868B9">
        <w:t xml:space="preserve">by </w:t>
      </w:r>
      <w:r w:rsidR="005229B9" w:rsidRPr="00855423">
        <w:t>identify</w:t>
      </w:r>
      <w:r w:rsidR="000868B9">
        <w:t xml:space="preserve">ing </w:t>
      </w:r>
      <w:r w:rsidR="005229B9" w:rsidRPr="00855423">
        <w:t xml:space="preserve">which </w:t>
      </w:r>
      <w:r w:rsidR="00FE668F" w:rsidRPr="00855423">
        <w:t xml:space="preserve">actions </w:t>
      </w:r>
      <w:r w:rsidR="008A3A77" w:rsidRPr="00855423">
        <w:t xml:space="preserve">are </w:t>
      </w:r>
      <w:r w:rsidR="00A06411" w:rsidRPr="00855423">
        <w:t>really</w:t>
      </w:r>
      <w:r w:rsidR="00010196">
        <w:t xml:space="preserve"> </w:t>
      </w:r>
      <w:r w:rsidR="00010196" w:rsidRPr="00855423">
        <w:t>suitable</w:t>
      </w:r>
      <w:r w:rsidR="00B62539" w:rsidRPr="00855423">
        <w:t xml:space="preserve"> for </w:t>
      </w:r>
      <w:r w:rsidR="00FE668F" w:rsidRPr="00855423">
        <w:t>a</w:t>
      </w:r>
      <w:r w:rsidR="005229B9" w:rsidRPr="00855423">
        <w:t xml:space="preserve"> more sustainable production</w:t>
      </w:r>
      <w:r w:rsidR="000C1619" w:rsidRPr="00855423">
        <w:t xml:space="preserve"> (Moresi, 2014)</w:t>
      </w:r>
      <w:r w:rsidR="005229B9" w:rsidRPr="00855423">
        <w:t>.</w:t>
      </w:r>
      <w:r w:rsidR="007E69CF" w:rsidRPr="00855423">
        <w:t xml:space="preserve"> </w:t>
      </w:r>
      <w:r w:rsidR="000465A8" w:rsidRPr="00855423">
        <w:t>L</w:t>
      </w:r>
      <w:r w:rsidR="00FE668F" w:rsidRPr="00855423">
        <w:rPr>
          <w:color w:val="000000"/>
        </w:rPr>
        <w:t>ife cycle assessment</w:t>
      </w:r>
      <w:r w:rsidR="00740936" w:rsidRPr="00855423">
        <w:rPr>
          <w:color w:val="000000"/>
        </w:rPr>
        <w:t xml:space="preserve"> (LCA)</w:t>
      </w:r>
      <w:r w:rsidR="00E15A25" w:rsidRPr="00855423">
        <w:rPr>
          <w:color w:val="000000"/>
        </w:rPr>
        <w:t>, as standardized by ISO</w:t>
      </w:r>
      <w:r w:rsidR="000562BF" w:rsidRPr="00855423">
        <w:rPr>
          <w:color w:val="000000"/>
        </w:rPr>
        <w:t xml:space="preserve"> (</w:t>
      </w:r>
      <w:r w:rsidR="00E15A25" w:rsidRPr="00855423">
        <w:rPr>
          <w:color w:val="000000"/>
        </w:rPr>
        <w:t>2006),</w:t>
      </w:r>
      <w:r w:rsidR="008C0938" w:rsidRPr="00855423">
        <w:rPr>
          <w:color w:val="000000"/>
        </w:rPr>
        <w:t xml:space="preserve"> </w:t>
      </w:r>
      <w:r w:rsidR="00FE668F" w:rsidRPr="00855423">
        <w:rPr>
          <w:color w:val="000000"/>
        </w:rPr>
        <w:t>provide</w:t>
      </w:r>
      <w:r w:rsidR="000465A8" w:rsidRPr="00855423">
        <w:rPr>
          <w:color w:val="000000"/>
        </w:rPr>
        <w:t>d</w:t>
      </w:r>
      <w:r w:rsidR="00FE668F" w:rsidRPr="00855423">
        <w:rPr>
          <w:color w:val="000000"/>
        </w:rPr>
        <w:t xml:space="preserve"> a way to </w:t>
      </w:r>
      <w:r w:rsidR="001F3CC0" w:rsidRPr="00855423">
        <w:t>categorize the environmental impacts of each phase of the food supply chain</w:t>
      </w:r>
      <w:r w:rsidR="001F3CC0">
        <w:t xml:space="preserve"> </w:t>
      </w:r>
      <w:r w:rsidR="00FE668F" w:rsidRPr="00855423">
        <w:rPr>
          <w:color w:val="000000"/>
        </w:rPr>
        <w:t>(Minkov et al., 2016)</w:t>
      </w:r>
      <w:r w:rsidR="0075046D" w:rsidRPr="00855423">
        <w:rPr>
          <w:color w:val="000000"/>
        </w:rPr>
        <w:t xml:space="preserve">, </w:t>
      </w:r>
      <w:r w:rsidR="000465A8" w:rsidRPr="00855423">
        <w:rPr>
          <w:color w:val="000000"/>
        </w:rPr>
        <w:t xml:space="preserve">and is </w:t>
      </w:r>
      <w:r w:rsidR="0075046D" w:rsidRPr="00855423">
        <w:rPr>
          <w:color w:val="000000"/>
        </w:rPr>
        <w:t xml:space="preserve">the basic procedure for </w:t>
      </w:r>
      <w:r w:rsidR="0075046D" w:rsidRPr="00855423">
        <w:t>several international standard methods</w:t>
      </w:r>
      <w:r w:rsidR="0075046D" w:rsidRPr="00855423">
        <w:rPr>
          <w:color w:val="000000"/>
        </w:rPr>
        <w:t xml:space="preserve"> </w:t>
      </w:r>
      <w:r w:rsidR="00133117" w:rsidRPr="00855423">
        <w:rPr>
          <w:color w:val="000000"/>
        </w:rPr>
        <w:t>(Table 2)</w:t>
      </w:r>
      <w:r w:rsidR="00FE668F" w:rsidRPr="00855423">
        <w:rPr>
          <w:color w:val="000000"/>
        </w:rPr>
        <w:t xml:space="preserve">. </w:t>
      </w:r>
      <w:r w:rsidR="001C291C" w:rsidRPr="00855423">
        <w:t>Except the Environmental Product Declaration</w:t>
      </w:r>
      <w:r w:rsidR="001C291C" w:rsidRPr="00855423">
        <w:rPr>
          <w:vertAlign w:val="superscript"/>
        </w:rPr>
        <w:t>®</w:t>
      </w:r>
      <w:r w:rsidR="001C291C" w:rsidRPr="00855423">
        <w:t xml:space="preserve"> and Product Environmental Footprint (PEF) methods, </w:t>
      </w:r>
      <w:r w:rsidR="000465A8" w:rsidRPr="00855423">
        <w:t xml:space="preserve">the great majority of the </w:t>
      </w:r>
      <w:r w:rsidR="001C291C" w:rsidRPr="00855423">
        <w:t xml:space="preserve">international standards account for the single impact category of climate change. </w:t>
      </w:r>
      <w:r w:rsidR="000465A8" w:rsidRPr="00855423">
        <w:t>Since t</w:t>
      </w:r>
      <w:r w:rsidR="001C291C" w:rsidRPr="00855423">
        <w:t xml:space="preserve">he PEF method requires the estimation of </w:t>
      </w:r>
      <w:r w:rsidR="000465A8" w:rsidRPr="00855423">
        <w:t xml:space="preserve">as many as 14 impact categories, it was </w:t>
      </w:r>
      <w:r w:rsidR="000E47B9" w:rsidRPr="00855423">
        <w:t xml:space="preserve">severely criticized by </w:t>
      </w:r>
      <w:r w:rsidR="001F3CC0" w:rsidRPr="00855423">
        <w:t>numerous</w:t>
      </w:r>
      <w:r w:rsidR="000E47B9" w:rsidRPr="00855423">
        <w:t xml:space="preserve"> stakeholders </w:t>
      </w:r>
      <w:r w:rsidR="008C0938" w:rsidRPr="00855423">
        <w:t xml:space="preserve">for </w:t>
      </w:r>
      <w:r w:rsidR="000E47B9" w:rsidRPr="00855423">
        <w:t xml:space="preserve">being </w:t>
      </w:r>
      <w:r w:rsidR="001C291C" w:rsidRPr="00855423">
        <w:t>uselessly complex and very expensive</w:t>
      </w:r>
      <w:r w:rsidR="000E47B9" w:rsidRPr="00855423">
        <w:t>, especially for the 99% EU food and drink enterprises (Cimini and Moresi, 2018</w:t>
      </w:r>
      <w:r w:rsidR="008C7628" w:rsidRPr="00855423">
        <w:t>a</w:t>
      </w:r>
      <w:r w:rsidR="000E47B9" w:rsidRPr="00855423">
        <w:t>)</w:t>
      </w:r>
      <w:r w:rsidR="001C291C" w:rsidRPr="00855423">
        <w:t xml:space="preserve">. </w:t>
      </w:r>
    </w:p>
    <w:p w:rsidR="00B24D9F" w:rsidRPr="00855423" w:rsidRDefault="00B24D9F" w:rsidP="00B24D9F">
      <w:pPr>
        <w:pStyle w:val="CETBodytext"/>
      </w:pPr>
      <w:r w:rsidRPr="00855423">
        <w:t>The aims of this work were to point out the main direct environmental impacts of the food industry</w:t>
      </w:r>
      <w:r w:rsidR="003A4C89">
        <w:t xml:space="preserve"> and</w:t>
      </w:r>
      <w:r w:rsidRPr="00855423">
        <w:t xml:space="preserve"> GHG emissions for the agro-food system in industrialized countries, and outline a stepwise approach</w:t>
      </w:r>
      <w:r w:rsidR="00570085">
        <w:t xml:space="preserve"> directed to reduce t</w:t>
      </w:r>
      <w:r w:rsidRPr="00855423">
        <w:t xml:space="preserve">he product Carbon Footprint (CF) of food and drink </w:t>
      </w:r>
      <w:r>
        <w:t>products</w:t>
      </w:r>
      <w:r w:rsidRPr="00855423">
        <w:t xml:space="preserve"> before analyzing the </w:t>
      </w:r>
      <w:r w:rsidR="001F3CC0">
        <w:t xml:space="preserve">effect </w:t>
      </w:r>
      <w:r w:rsidRPr="00855423">
        <w:t>of other impact categories than climate change</w:t>
      </w:r>
      <w:r>
        <w:t xml:space="preserve">. </w:t>
      </w:r>
    </w:p>
    <w:p w:rsidR="0088492F" w:rsidRPr="00E3085B" w:rsidRDefault="00407369" w:rsidP="00B277BC">
      <w:pPr>
        <w:pStyle w:val="CETBodytext"/>
        <w:spacing w:before="120" w:after="120" w:line="240" w:lineRule="auto"/>
        <w:rPr>
          <w:i/>
        </w:rPr>
      </w:pPr>
      <w:r w:rsidRPr="00E3085B">
        <w:rPr>
          <w:i/>
        </w:rPr>
        <w:lastRenderedPageBreak/>
        <w:t>Table 1: Main impact categories used in several LCA standard methods</w:t>
      </w:r>
      <w:r w:rsidR="0075046D" w:rsidRPr="00E3085B">
        <w:rPr>
          <w:i/>
        </w:rPr>
        <w:t>, as extracted from Cimini and Moresi (2018</w:t>
      </w:r>
      <w:r w:rsidR="008C7628" w:rsidRPr="00E3085B">
        <w:rPr>
          <w:i/>
        </w:rPr>
        <w:t>a</w:t>
      </w:r>
      <w:r w:rsidR="0075046D" w:rsidRPr="00E3085B">
        <w:rPr>
          <w:i/>
        </w:rPr>
        <w:t>)</w:t>
      </w:r>
      <w:r w:rsidRPr="00E3085B">
        <w:rPr>
          <w:i/>
        </w:rPr>
        <w:t xml:space="preserve">: impact </w:t>
      </w:r>
      <w:r w:rsidR="0088492F" w:rsidRPr="00E3085B">
        <w:rPr>
          <w:i/>
        </w:rPr>
        <w:t xml:space="preserve">category (IC) </w:t>
      </w:r>
      <w:r w:rsidRPr="00E3085B">
        <w:rPr>
          <w:i/>
        </w:rPr>
        <w:t xml:space="preserve">definition, </w:t>
      </w:r>
      <w:r w:rsidR="001B7EAE" w:rsidRPr="00E3085B">
        <w:rPr>
          <w:i/>
        </w:rPr>
        <w:t xml:space="preserve">and </w:t>
      </w:r>
      <w:r w:rsidRPr="00E3085B">
        <w:rPr>
          <w:i/>
        </w:rPr>
        <w:t xml:space="preserve">indicator unit </w:t>
      </w:r>
      <w:r w:rsidR="00CA536B" w:rsidRPr="00E3085B">
        <w:rPr>
          <w:i/>
        </w:rPr>
        <w:t>(ICIU)</w:t>
      </w:r>
      <w:r w:rsidR="0075046D" w:rsidRPr="00E3085B">
        <w:rPr>
          <w:i/>
        </w:rP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30"/>
        <w:gridCol w:w="26"/>
        <w:gridCol w:w="97"/>
        <w:gridCol w:w="4399"/>
        <w:gridCol w:w="1835"/>
      </w:tblGrid>
      <w:tr w:rsidR="008F2812" w:rsidRPr="00855423" w:rsidTr="009C0287">
        <w:tc>
          <w:tcPr>
            <w:tcW w:w="1453" w:type="pct"/>
            <w:gridSpan w:val="3"/>
            <w:tcBorders>
              <w:top w:val="single" w:sz="12" w:space="0" w:color="008000"/>
              <w:bottom w:val="single" w:sz="6" w:space="0" w:color="008000"/>
            </w:tcBorders>
            <w:shd w:val="clear" w:color="auto" w:fill="FFFFFF"/>
          </w:tcPr>
          <w:p w:rsidR="008F2812" w:rsidRPr="00855423" w:rsidRDefault="008F2812" w:rsidP="00B24D9F">
            <w:pPr>
              <w:pStyle w:val="CETBodytext"/>
              <w:jc w:val="left"/>
              <w:rPr>
                <w:b/>
              </w:rPr>
            </w:pPr>
            <w:r w:rsidRPr="00855423">
              <w:rPr>
                <w:b/>
              </w:rPr>
              <w:t>Impact category</w:t>
            </w:r>
          </w:p>
        </w:tc>
        <w:tc>
          <w:tcPr>
            <w:tcW w:w="2503" w:type="pct"/>
            <w:tcBorders>
              <w:top w:val="single" w:sz="12" w:space="0" w:color="008000"/>
              <w:bottom w:val="single" w:sz="6" w:space="0" w:color="008000"/>
            </w:tcBorders>
            <w:shd w:val="clear" w:color="auto" w:fill="FFFFFF"/>
          </w:tcPr>
          <w:p w:rsidR="008F2812" w:rsidRPr="00855423" w:rsidRDefault="008F2812" w:rsidP="00887EB3">
            <w:pPr>
              <w:pStyle w:val="CETBodytext"/>
              <w:jc w:val="left"/>
              <w:rPr>
                <w:b/>
              </w:rPr>
            </w:pPr>
            <w:r w:rsidRPr="00855423">
              <w:rPr>
                <w:b/>
              </w:rPr>
              <w:t>Category definition</w:t>
            </w:r>
          </w:p>
        </w:tc>
        <w:tc>
          <w:tcPr>
            <w:tcW w:w="1044" w:type="pct"/>
            <w:tcBorders>
              <w:top w:val="single" w:sz="12" w:space="0" w:color="008000"/>
              <w:bottom w:val="single" w:sz="6" w:space="0" w:color="008000"/>
            </w:tcBorders>
            <w:shd w:val="clear" w:color="auto" w:fill="FFFFFF"/>
          </w:tcPr>
          <w:p w:rsidR="008F2812" w:rsidRPr="00855423" w:rsidRDefault="008F2812" w:rsidP="00CA536B">
            <w:pPr>
              <w:pStyle w:val="CETBodytext"/>
              <w:ind w:right="-1"/>
              <w:jc w:val="left"/>
              <w:rPr>
                <w:rFonts w:cs="Arial"/>
                <w:b/>
                <w:szCs w:val="18"/>
              </w:rPr>
            </w:pPr>
            <w:r w:rsidRPr="00855423">
              <w:rPr>
                <w:b/>
              </w:rPr>
              <w:t>ICIU</w:t>
            </w:r>
          </w:p>
        </w:tc>
      </w:tr>
      <w:tr w:rsidR="008F2812" w:rsidRPr="00855423" w:rsidTr="00FA0764">
        <w:tc>
          <w:tcPr>
            <w:tcW w:w="1383" w:type="pct"/>
            <w:tcBorders>
              <w:top w:val="single" w:sz="12" w:space="0" w:color="008000"/>
              <w:bottom w:val="nil"/>
            </w:tcBorders>
            <w:shd w:val="clear" w:color="auto" w:fill="FFFFFF"/>
          </w:tcPr>
          <w:p w:rsidR="008F2812" w:rsidRPr="00855423" w:rsidRDefault="008F2812" w:rsidP="00B24D9F">
            <w:pPr>
              <w:pStyle w:val="CETBodytext"/>
              <w:spacing w:line="240" w:lineRule="auto"/>
              <w:jc w:val="left"/>
            </w:pPr>
            <w:r w:rsidRPr="00855423">
              <w:rPr>
                <w:rFonts w:cs="Arial"/>
                <w:color w:val="000000"/>
                <w:szCs w:val="18"/>
              </w:rPr>
              <w:t>Climate Change (CC</w:t>
            </w:r>
            <w:r w:rsidRPr="00855423">
              <w:t>)</w:t>
            </w:r>
          </w:p>
        </w:tc>
        <w:tc>
          <w:tcPr>
            <w:tcW w:w="2573" w:type="pct"/>
            <w:gridSpan w:val="3"/>
            <w:tcBorders>
              <w:top w:val="single" w:sz="12" w:space="0" w:color="008000"/>
              <w:bottom w:val="nil"/>
            </w:tcBorders>
            <w:shd w:val="clear" w:color="auto" w:fill="FFFFFF"/>
          </w:tcPr>
          <w:p w:rsidR="008F2812" w:rsidRPr="00855423" w:rsidRDefault="008F2812" w:rsidP="00B24D9F">
            <w:pPr>
              <w:pStyle w:val="CETBodytext"/>
              <w:spacing w:line="240" w:lineRule="auto"/>
              <w:jc w:val="left"/>
            </w:pPr>
            <w:r w:rsidRPr="00855423">
              <w:t>It represents the potential change on the Earth climate as due to human activity and GHG release.</w:t>
            </w:r>
          </w:p>
        </w:tc>
        <w:tc>
          <w:tcPr>
            <w:tcW w:w="1044" w:type="pct"/>
            <w:tcBorders>
              <w:top w:val="single" w:sz="12" w:space="0" w:color="008000"/>
              <w:bottom w:val="nil"/>
            </w:tcBorders>
            <w:shd w:val="clear" w:color="auto" w:fill="FFFFFF"/>
          </w:tcPr>
          <w:p w:rsidR="008F2812" w:rsidRPr="00855423" w:rsidRDefault="008F2812" w:rsidP="00B277BC">
            <w:pPr>
              <w:pStyle w:val="CETBodytext"/>
              <w:spacing w:line="240" w:lineRule="auto"/>
              <w:ind w:right="-1"/>
              <w:jc w:val="left"/>
              <w:rPr>
                <w:rFonts w:cs="Arial"/>
                <w:szCs w:val="18"/>
              </w:rPr>
            </w:pPr>
            <w:r w:rsidRPr="00855423">
              <w:t>kg CO</w:t>
            </w:r>
            <w:r w:rsidRPr="00855423">
              <w:rPr>
                <w:vertAlign w:val="subscript"/>
              </w:rPr>
              <w:t>2e</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B24D9F">
            <w:pPr>
              <w:pStyle w:val="PreformattatoHTML"/>
              <w:jc w:val="left"/>
              <w:rPr>
                <w:rFonts w:ascii="Arial" w:hAnsi="Arial" w:cs="Arial"/>
                <w:color w:val="000000"/>
                <w:szCs w:val="18"/>
                <w:lang w:val="en-US"/>
              </w:rPr>
            </w:pPr>
            <w:r w:rsidRPr="00855423">
              <w:rPr>
                <w:rFonts w:ascii="Arial" w:hAnsi="Arial" w:cs="Arial"/>
                <w:color w:val="000000"/>
                <w:szCs w:val="18"/>
                <w:lang w:val="en-US"/>
              </w:rPr>
              <w:t>Ozone Depletion (OD)</w:t>
            </w:r>
          </w:p>
        </w:tc>
        <w:tc>
          <w:tcPr>
            <w:tcW w:w="2573" w:type="pct"/>
            <w:gridSpan w:val="3"/>
            <w:tcBorders>
              <w:top w:val="nil"/>
              <w:left w:val="nil"/>
              <w:bottom w:val="nil"/>
              <w:right w:val="nil"/>
            </w:tcBorders>
            <w:shd w:val="clear" w:color="auto" w:fill="FFFFFF"/>
          </w:tcPr>
          <w:p w:rsidR="008F2812" w:rsidRPr="00855423" w:rsidRDefault="008F2812" w:rsidP="00B24D9F">
            <w:pPr>
              <w:autoSpaceDE w:val="0"/>
              <w:autoSpaceDN w:val="0"/>
              <w:adjustRightInd w:val="0"/>
              <w:spacing w:line="240" w:lineRule="auto"/>
              <w:jc w:val="left"/>
              <w:rPr>
                <w:rFonts w:cs="Arial"/>
                <w:color w:val="000000"/>
                <w:szCs w:val="18"/>
                <w:lang w:val="en-US"/>
              </w:rPr>
            </w:pPr>
            <w:r w:rsidRPr="00855423">
              <w:rPr>
                <w:rFonts w:cs="Arial"/>
                <w:szCs w:val="18"/>
                <w:lang w:val="en-US"/>
              </w:rPr>
              <w:t>It measures the industrial gas concentrations accelerating O</w:t>
            </w:r>
            <w:r w:rsidRPr="00855423">
              <w:rPr>
                <w:rFonts w:cs="Arial"/>
                <w:szCs w:val="18"/>
                <w:vertAlign w:val="subscript"/>
                <w:lang w:val="en-US"/>
              </w:rPr>
              <w:t xml:space="preserve">3 </w:t>
            </w:r>
            <w:r w:rsidRPr="00855423">
              <w:rPr>
                <w:rFonts w:cs="Arial"/>
                <w:szCs w:val="18"/>
                <w:lang w:val="en-US"/>
              </w:rPr>
              <w:t>decomposition in the Earth’s stratosphere, this affecting living organisms</w:t>
            </w:r>
            <w:r w:rsidR="0075679A">
              <w:rPr>
                <w:rFonts w:cs="Arial"/>
                <w:szCs w:val="18"/>
                <w:lang w:val="en-US"/>
              </w:rPr>
              <w:t>.</w:t>
            </w:r>
          </w:p>
        </w:tc>
        <w:tc>
          <w:tcPr>
            <w:tcW w:w="1044" w:type="pct"/>
            <w:tcBorders>
              <w:top w:val="nil"/>
              <w:left w:val="nil"/>
              <w:bottom w:val="nil"/>
              <w:right w:val="nil"/>
            </w:tcBorders>
            <w:shd w:val="clear" w:color="auto" w:fill="FFFFFF"/>
          </w:tcPr>
          <w:p w:rsidR="008F2812" w:rsidRPr="00855423" w:rsidRDefault="008F2812" w:rsidP="00B277BC">
            <w:pPr>
              <w:pStyle w:val="PreformattatoHTML"/>
              <w:jc w:val="left"/>
              <w:rPr>
                <w:rFonts w:ascii="Arial" w:hAnsi="Arial" w:cs="Arial"/>
                <w:color w:val="000000"/>
                <w:szCs w:val="18"/>
                <w:lang w:val="en-US"/>
              </w:rPr>
            </w:pPr>
            <w:r w:rsidRPr="00855423">
              <w:rPr>
                <w:rFonts w:ascii="Arial" w:hAnsi="Arial" w:cs="Arial"/>
                <w:color w:val="000000"/>
                <w:szCs w:val="18"/>
                <w:lang w:val="en-US"/>
              </w:rPr>
              <w:t>kg CFC-11</w:t>
            </w:r>
            <w:r w:rsidRPr="00855423">
              <w:rPr>
                <w:rFonts w:ascii="Arial" w:hAnsi="Arial" w:cs="Arial"/>
                <w:color w:val="000000"/>
                <w:szCs w:val="18"/>
                <w:vertAlign w:val="subscript"/>
                <w:lang w:val="en-US"/>
              </w:rPr>
              <w:t>e</w:t>
            </w:r>
            <w:r w:rsidRPr="00855423">
              <w:rPr>
                <w:rFonts w:ascii="Arial" w:hAnsi="Arial" w:cs="Arial"/>
                <w:color w:val="000000"/>
                <w:szCs w:val="18"/>
                <w:lang w:val="en-US"/>
              </w:rPr>
              <w:t xml:space="preserve"> </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B24D9F">
            <w:pPr>
              <w:pStyle w:val="PreformattatoHTML"/>
              <w:jc w:val="left"/>
              <w:rPr>
                <w:rFonts w:ascii="Arial" w:hAnsi="Arial" w:cs="Arial"/>
                <w:color w:val="000000"/>
                <w:szCs w:val="18"/>
                <w:lang w:val="en-US"/>
              </w:rPr>
            </w:pPr>
            <w:r w:rsidRPr="00855423">
              <w:rPr>
                <w:rFonts w:ascii="Arial" w:hAnsi="Arial" w:cs="Arial"/>
                <w:color w:val="000000"/>
                <w:szCs w:val="18"/>
                <w:lang w:val="en-US"/>
              </w:rPr>
              <w:t>Acidification (A)</w:t>
            </w:r>
          </w:p>
        </w:tc>
        <w:tc>
          <w:tcPr>
            <w:tcW w:w="2573" w:type="pct"/>
            <w:gridSpan w:val="3"/>
            <w:tcBorders>
              <w:top w:val="nil"/>
              <w:left w:val="nil"/>
              <w:bottom w:val="nil"/>
              <w:right w:val="nil"/>
            </w:tcBorders>
            <w:shd w:val="clear" w:color="auto" w:fill="FFFFFF"/>
          </w:tcPr>
          <w:p w:rsidR="008F2812" w:rsidRPr="00855423" w:rsidRDefault="008F2812" w:rsidP="00B24D9F">
            <w:pPr>
              <w:autoSpaceDE w:val="0"/>
              <w:autoSpaceDN w:val="0"/>
              <w:adjustRightInd w:val="0"/>
              <w:spacing w:line="240" w:lineRule="auto"/>
              <w:jc w:val="left"/>
              <w:rPr>
                <w:rFonts w:cs="Arial"/>
                <w:color w:val="000000"/>
                <w:szCs w:val="18"/>
                <w:lang w:val="en-US"/>
              </w:rPr>
            </w:pPr>
            <w:r w:rsidRPr="00855423">
              <w:rPr>
                <w:rFonts w:cs="Arial"/>
                <w:szCs w:val="18"/>
                <w:lang w:val="en-US"/>
              </w:rPr>
              <w:t>It measures the release of NO</w:t>
            </w:r>
            <w:r w:rsidRPr="00855423">
              <w:rPr>
                <w:rFonts w:cs="Arial"/>
                <w:szCs w:val="18"/>
                <w:vertAlign w:val="subscript"/>
                <w:lang w:val="en-US"/>
              </w:rPr>
              <w:t xml:space="preserve">X </w:t>
            </w:r>
            <w:r w:rsidRPr="00855423">
              <w:rPr>
                <w:rFonts w:cs="Arial"/>
                <w:szCs w:val="18"/>
                <w:lang w:val="en-US"/>
              </w:rPr>
              <w:t>and SO</w:t>
            </w:r>
            <w:r w:rsidRPr="00855423">
              <w:rPr>
                <w:rFonts w:cs="Arial"/>
                <w:szCs w:val="18"/>
                <w:vertAlign w:val="subscript"/>
                <w:lang w:val="en-US"/>
              </w:rPr>
              <w:t>2</w:t>
            </w:r>
            <w:r w:rsidRPr="00855423">
              <w:rPr>
                <w:rFonts w:cs="Arial"/>
                <w:szCs w:val="18"/>
                <w:lang w:val="en-US"/>
              </w:rPr>
              <w:t xml:space="preserve"> which combine with water in the atmosphere forming HNO</w:t>
            </w:r>
            <w:r w:rsidRPr="00855423">
              <w:rPr>
                <w:rFonts w:cs="Arial"/>
                <w:szCs w:val="18"/>
                <w:vertAlign w:val="subscript"/>
                <w:lang w:val="en-US"/>
              </w:rPr>
              <w:t xml:space="preserve">3 </w:t>
            </w:r>
            <w:r w:rsidRPr="00855423">
              <w:rPr>
                <w:rFonts w:cs="Arial"/>
                <w:szCs w:val="18"/>
                <w:lang w:val="en-US"/>
              </w:rPr>
              <w:t>and H</w:t>
            </w:r>
            <w:r w:rsidRPr="00855423">
              <w:rPr>
                <w:rFonts w:cs="Arial"/>
                <w:szCs w:val="18"/>
                <w:vertAlign w:val="subscript"/>
                <w:lang w:val="en-US"/>
              </w:rPr>
              <w:t>2</w:t>
            </w:r>
            <w:r w:rsidRPr="00855423">
              <w:rPr>
                <w:rFonts w:cs="Arial"/>
                <w:szCs w:val="18"/>
                <w:lang w:val="en-US"/>
              </w:rPr>
              <w:t>SO</w:t>
            </w:r>
            <w:r w:rsidRPr="00855423">
              <w:rPr>
                <w:rFonts w:cs="Arial"/>
                <w:szCs w:val="18"/>
                <w:vertAlign w:val="subscript"/>
                <w:lang w:val="en-US"/>
              </w:rPr>
              <w:t>3</w:t>
            </w:r>
            <w:r w:rsidRPr="00855423">
              <w:rPr>
                <w:rFonts w:cs="Arial"/>
                <w:szCs w:val="18"/>
                <w:lang w:val="en-US"/>
              </w:rPr>
              <w:t xml:space="preserve">. </w:t>
            </w:r>
          </w:p>
        </w:tc>
        <w:tc>
          <w:tcPr>
            <w:tcW w:w="1044" w:type="pct"/>
            <w:tcBorders>
              <w:top w:val="nil"/>
              <w:left w:val="nil"/>
              <w:bottom w:val="nil"/>
              <w:right w:val="nil"/>
            </w:tcBorders>
            <w:shd w:val="clear" w:color="auto" w:fill="FFFFFF"/>
          </w:tcPr>
          <w:p w:rsidR="008F2812" w:rsidRPr="00855423" w:rsidRDefault="008F2812" w:rsidP="00B277BC">
            <w:pPr>
              <w:autoSpaceDE w:val="0"/>
              <w:autoSpaceDN w:val="0"/>
              <w:adjustRightInd w:val="0"/>
              <w:spacing w:line="240" w:lineRule="auto"/>
              <w:jc w:val="left"/>
              <w:rPr>
                <w:rFonts w:cs="Arial"/>
                <w:color w:val="000000"/>
                <w:szCs w:val="18"/>
                <w:lang w:val="en-US"/>
              </w:rPr>
            </w:pPr>
            <w:r w:rsidRPr="00855423">
              <w:rPr>
                <w:rFonts w:cs="Arial"/>
                <w:color w:val="000000"/>
                <w:szCs w:val="18"/>
                <w:lang w:val="en-US"/>
              </w:rPr>
              <w:t>mol H</w:t>
            </w:r>
            <w:r w:rsidRPr="00855423">
              <w:rPr>
                <w:rFonts w:cs="Arial"/>
                <w:color w:val="000000"/>
                <w:szCs w:val="18"/>
                <w:vertAlign w:val="superscript"/>
                <w:lang w:val="en-US"/>
              </w:rPr>
              <w:t>+</w:t>
            </w:r>
            <w:r w:rsidRPr="00855423">
              <w:rPr>
                <w:rFonts w:cs="Arial"/>
                <w:color w:val="000000"/>
                <w:szCs w:val="18"/>
                <w:vertAlign w:val="subscript"/>
                <w:lang w:val="en-US"/>
              </w:rPr>
              <w:t>e</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B24D9F">
            <w:pPr>
              <w:pStyle w:val="PreformattatoHTML"/>
              <w:jc w:val="left"/>
              <w:rPr>
                <w:rFonts w:ascii="Arial" w:hAnsi="Arial" w:cs="Arial"/>
                <w:color w:val="000000"/>
                <w:szCs w:val="18"/>
                <w:lang w:val="en-US"/>
              </w:rPr>
            </w:pPr>
            <w:r w:rsidRPr="00855423">
              <w:rPr>
                <w:rFonts w:ascii="Arial" w:hAnsi="Arial" w:cs="Arial"/>
                <w:color w:val="000000"/>
                <w:szCs w:val="18"/>
                <w:lang w:val="en-US"/>
              </w:rPr>
              <w:t>Eutrophication- aquatic (NPA)</w:t>
            </w:r>
          </w:p>
        </w:tc>
        <w:tc>
          <w:tcPr>
            <w:tcW w:w="2573" w:type="pct"/>
            <w:gridSpan w:val="3"/>
            <w:tcBorders>
              <w:top w:val="nil"/>
              <w:left w:val="nil"/>
              <w:bottom w:val="nil"/>
              <w:right w:val="nil"/>
            </w:tcBorders>
            <w:shd w:val="clear" w:color="auto" w:fill="FFFFFF"/>
          </w:tcPr>
          <w:p w:rsidR="008F2812" w:rsidRPr="00855423" w:rsidRDefault="008F2812" w:rsidP="00B24D9F">
            <w:pPr>
              <w:autoSpaceDE w:val="0"/>
              <w:autoSpaceDN w:val="0"/>
              <w:adjustRightInd w:val="0"/>
              <w:spacing w:line="240" w:lineRule="auto"/>
              <w:jc w:val="left"/>
              <w:rPr>
                <w:rFonts w:cs="Arial"/>
                <w:color w:val="000000"/>
                <w:szCs w:val="18"/>
                <w:lang w:val="en-US"/>
              </w:rPr>
            </w:pPr>
            <w:r w:rsidRPr="00855423">
              <w:rPr>
                <w:rFonts w:cs="Arial"/>
                <w:szCs w:val="18"/>
                <w:lang w:val="en-US"/>
              </w:rPr>
              <w:t>It measures the release of N- and P-rich nutrients in surface waters resulting in excessive plant growth.</w:t>
            </w:r>
          </w:p>
        </w:tc>
        <w:tc>
          <w:tcPr>
            <w:tcW w:w="1044" w:type="pct"/>
            <w:tcBorders>
              <w:top w:val="nil"/>
              <w:left w:val="nil"/>
              <w:bottom w:val="nil"/>
              <w:right w:val="nil"/>
            </w:tcBorders>
            <w:shd w:val="clear" w:color="auto" w:fill="FFFFFF"/>
          </w:tcPr>
          <w:p w:rsidR="008F2812" w:rsidRPr="00855423" w:rsidRDefault="008F2812" w:rsidP="00B277BC">
            <w:pPr>
              <w:autoSpaceDE w:val="0"/>
              <w:autoSpaceDN w:val="0"/>
              <w:adjustRightInd w:val="0"/>
              <w:spacing w:line="240" w:lineRule="auto"/>
              <w:jc w:val="left"/>
              <w:rPr>
                <w:rFonts w:cs="Arial"/>
                <w:color w:val="000000"/>
                <w:szCs w:val="18"/>
                <w:lang w:val="en-US"/>
              </w:rPr>
            </w:pPr>
            <w:r w:rsidRPr="00855423">
              <w:rPr>
                <w:rFonts w:cs="Arial"/>
                <w:color w:val="000000"/>
                <w:szCs w:val="18"/>
                <w:lang w:val="en-US"/>
              </w:rPr>
              <w:t>Fresh water: kg P</w:t>
            </w:r>
            <w:r w:rsidRPr="00855423">
              <w:rPr>
                <w:rFonts w:cs="Arial"/>
                <w:color w:val="000000"/>
                <w:szCs w:val="18"/>
                <w:vertAlign w:val="subscript"/>
                <w:lang w:val="en-US"/>
              </w:rPr>
              <w:t>e</w:t>
            </w:r>
            <w:r w:rsidRPr="00855423">
              <w:rPr>
                <w:rFonts w:cs="Arial"/>
                <w:color w:val="000000"/>
                <w:szCs w:val="18"/>
                <w:lang w:val="en-US"/>
              </w:rPr>
              <w:t xml:space="preserve">; </w:t>
            </w:r>
          </w:p>
          <w:p w:rsidR="008F2812" w:rsidRPr="00855423" w:rsidRDefault="008F2812" w:rsidP="00B277BC">
            <w:pPr>
              <w:autoSpaceDE w:val="0"/>
              <w:autoSpaceDN w:val="0"/>
              <w:adjustRightInd w:val="0"/>
              <w:spacing w:line="240" w:lineRule="auto"/>
              <w:jc w:val="left"/>
              <w:rPr>
                <w:rFonts w:cs="Arial"/>
                <w:color w:val="000000"/>
                <w:szCs w:val="18"/>
                <w:lang w:val="en-US"/>
              </w:rPr>
            </w:pPr>
            <w:r w:rsidRPr="00855423">
              <w:rPr>
                <w:rFonts w:cs="Arial"/>
                <w:color w:val="000000"/>
                <w:szCs w:val="18"/>
                <w:lang w:val="en-US"/>
              </w:rPr>
              <w:t>Marine water: kg N</w:t>
            </w:r>
            <w:r w:rsidRPr="00855423">
              <w:rPr>
                <w:rFonts w:cs="Arial"/>
                <w:color w:val="000000"/>
                <w:szCs w:val="18"/>
                <w:vertAlign w:val="subscript"/>
                <w:lang w:val="en-US"/>
              </w:rPr>
              <w:t>e</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Eutrophication- terrestrial (NPT)</w:t>
            </w:r>
          </w:p>
        </w:tc>
        <w:tc>
          <w:tcPr>
            <w:tcW w:w="2573" w:type="pct"/>
            <w:gridSpan w:val="3"/>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rFonts w:cs="Arial"/>
                <w:szCs w:val="18"/>
                <w:lang w:val="en-US"/>
              </w:rPr>
              <w:t>The deposition of N from the emissions released by N-rich nutrients affects terrestrial ecosystems too.</w:t>
            </w:r>
          </w:p>
        </w:tc>
        <w:tc>
          <w:tcPr>
            <w:tcW w:w="1044" w:type="pct"/>
            <w:tcBorders>
              <w:top w:val="nil"/>
              <w:left w:val="nil"/>
              <w:bottom w:val="nil"/>
              <w:right w:val="nil"/>
            </w:tcBorders>
            <w:shd w:val="clear" w:color="auto" w:fill="FFFFFF"/>
          </w:tcPr>
          <w:p w:rsidR="008F2812" w:rsidRPr="00855423" w:rsidRDefault="008F2812" w:rsidP="00B277BC">
            <w:pPr>
              <w:spacing w:line="240" w:lineRule="auto"/>
              <w:jc w:val="left"/>
              <w:rPr>
                <w:lang w:val="en-US"/>
              </w:rPr>
            </w:pPr>
            <w:r w:rsidRPr="00855423">
              <w:rPr>
                <w:lang w:val="en-US"/>
              </w:rPr>
              <w:t>mol N</w:t>
            </w:r>
            <w:r w:rsidRPr="00855423">
              <w:rPr>
                <w:vertAlign w:val="subscript"/>
                <w:lang w:val="en-US"/>
              </w:rPr>
              <w:t>e</w:t>
            </w:r>
            <w:r w:rsidRPr="00855423">
              <w:rPr>
                <w:lang w:val="en-US"/>
              </w:rPr>
              <w:t xml:space="preserve"> </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75679A">
            <w:pPr>
              <w:spacing w:line="240" w:lineRule="auto"/>
              <w:ind w:left="142" w:hanging="142"/>
              <w:jc w:val="left"/>
              <w:rPr>
                <w:lang w:val="en-US"/>
              </w:rPr>
            </w:pPr>
            <w:r w:rsidRPr="00855423">
              <w:rPr>
                <w:lang w:val="en-US"/>
              </w:rPr>
              <w:t>Photochemical Ozone Creation (POC)</w:t>
            </w:r>
          </w:p>
        </w:tc>
        <w:tc>
          <w:tcPr>
            <w:tcW w:w="2573" w:type="pct"/>
            <w:gridSpan w:val="3"/>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It measures the formation of ground-level O</w:t>
            </w:r>
            <w:r w:rsidRPr="00855423">
              <w:rPr>
                <w:vertAlign w:val="subscript"/>
                <w:lang w:val="en-US"/>
              </w:rPr>
              <w:t>3</w:t>
            </w:r>
            <w:r w:rsidRPr="00855423">
              <w:rPr>
                <w:lang w:val="en-US"/>
              </w:rPr>
              <w:t xml:space="preserve"> as due to the reaction of NO</w:t>
            </w:r>
            <w:r w:rsidRPr="00855423">
              <w:rPr>
                <w:vertAlign w:val="subscript"/>
                <w:lang w:val="en-US"/>
              </w:rPr>
              <w:t>X</w:t>
            </w:r>
            <w:r w:rsidRPr="00855423">
              <w:rPr>
                <w:lang w:val="en-US"/>
              </w:rPr>
              <w:t xml:space="preserve"> and volatile organic compounds that causes irritation for humans and damage for plants.</w:t>
            </w:r>
          </w:p>
        </w:tc>
        <w:tc>
          <w:tcPr>
            <w:tcW w:w="1044" w:type="pct"/>
            <w:tcBorders>
              <w:top w:val="nil"/>
              <w:left w:val="nil"/>
              <w:bottom w:val="nil"/>
              <w:right w:val="nil"/>
            </w:tcBorders>
            <w:shd w:val="clear" w:color="auto" w:fill="FFFFFF"/>
          </w:tcPr>
          <w:p w:rsidR="008F2812" w:rsidRPr="00855423" w:rsidRDefault="008F2812" w:rsidP="00B277BC">
            <w:pPr>
              <w:spacing w:line="240" w:lineRule="auto"/>
              <w:jc w:val="left"/>
              <w:rPr>
                <w:lang w:val="en-US"/>
              </w:rPr>
            </w:pPr>
            <w:r w:rsidRPr="00855423">
              <w:rPr>
                <w:lang w:val="en-US"/>
              </w:rPr>
              <w:t>kg NMVOC</w:t>
            </w:r>
            <w:r w:rsidRPr="00855423">
              <w:rPr>
                <w:vertAlign w:val="subscript"/>
                <w:lang w:val="en-US"/>
              </w:rPr>
              <w:t>e</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FA0764">
            <w:pPr>
              <w:spacing w:line="240" w:lineRule="auto"/>
              <w:ind w:left="142" w:hanging="142"/>
              <w:jc w:val="left"/>
              <w:rPr>
                <w:lang w:val="en-US"/>
              </w:rPr>
            </w:pPr>
            <w:r w:rsidRPr="00855423">
              <w:rPr>
                <w:lang w:val="en-US"/>
              </w:rPr>
              <w:t>Ecotoxicity-aquatic, freshwater (ET)</w:t>
            </w:r>
          </w:p>
        </w:tc>
        <w:tc>
          <w:tcPr>
            <w:tcW w:w="2573" w:type="pct"/>
            <w:gridSpan w:val="3"/>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It measures how chemical compounds interact with organisms in the environment.</w:t>
            </w:r>
          </w:p>
        </w:tc>
        <w:tc>
          <w:tcPr>
            <w:tcW w:w="1044" w:type="pct"/>
            <w:tcBorders>
              <w:top w:val="nil"/>
              <w:left w:val="nil"/>
              <w:bottom w:val="nil"/>
              <w:right w:val="nil"/>
            </w:tcBorders>
            <w:shd w:val="clear" w:color="auto" w:fill="FFFFFF"/>
          </w:tcPr>
          <w:p w:rsidR="008F2812" w:rsidRPr="00855423" w:rsidRDefault="008F2812" w:rsidP="00B277BC">
            <w:pPr>
              <w:spacing w:line="240" w:lineRule="auto"/>
              <w:jc w:val="left"/>
              <w:rPr>
                <w:lang w:val="en-US"/>
              </w:rPr>
            </w:pPr>
            <w:r w:rsidRPr="00855423">
              <w:rPr>
                <w:lang w:val="en-US"/>
              </w:rPr>
              <w:t>CTU</w:t>
            </w:r>
            <w:r w:rsidRPr="00855423">
              <w:rPr>
                <w:vertAlign w:val="subscript"/>
                <w:lang w:val="en-US"/>
              </w:rPr>
              <w:t>e</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CB4047" w:rsidRDefault="008F2812" w:rsidP="00B24D9F">
            <w:pPr>
              <w:spacing w:line="240" w:lineRule="auto"/>
              <w:jc w:val="left"/>
              <w:rPr>
                <w:lang w:val="en-US"/>
              </w:rPr>
            </w:pPr>
            <w:r w:rsidRPr="00855423">
              <w:rPr>
                <w:lang w:val="en-US"/>
              </w:rPr>
              <w:t xml:space="preserve">Human Toxicity- </w:t>
            </w:r>
          </w:p>
          <w:p w:rsidR="008F2812" w:rsidRPr="00855423" w:rsidRDefault="00CB4047" w:rsidP="00B24D9F">
            <w:pPr>
              <w:spacing w:line="240" w:lineRule="auto"/>
              <w:jc w:val="left"/>
              <w:rPr>
                <w:lang w:val="en-US"/>
              </w:rPr>
            </w:pPr>
            <w:r>
              <w:rPr>
                <w:lang w:val="en-US"/>
              </w:rPr>
              <w:t xml:space="preserve">   </w:t>
            </w:r>
            <w:r w:rsidR="008F2812" w:rsidRPr="001B7EAE">
              <w:rPr>
                <w:i/>
                <w:lang w:val="en-US"/>
              </w:rPr>
              <w:t>cancer effects</w:t>
            </w:r>
            <w:r w:rsidR="008F2812" w:rsidRPr="00855423">
              <w:rPr>
                <w:lang w:val="en-US"/>
              </w:rPr>
              <w:t xml:space="preserve">  (HTC)</w:t>
            </w:r>
          </w:p>
        </w:tc>
        <w:tc>
          <w:tcPr>
            <w:tcW w:w="2573" w:type="pct"/>
            <w:gridSpan w:val="3"/>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It measures how chemical compounds may cause a variety of types of cancer in humans</w:t>
            </w:r>
            <w:r w:rsidR="001F3CC0">
              <w:rPr>
                <w:lang w:val="en-US"/>
              </w:rPr>
              <w:t xml:space="preserve"> </w:t>
            </w:r>
            <w:r w:rsidR="001F3CC0" w:rsidRPr="00855423">
              <w:rPr>
                <w:lang w:val="en-US"/>
              </w:rPr>
              <w:t>or chronic</w:t>
            </w:r>
          </w:p>
        </w:tc>
        <w:tc>
          <w:tcPr>
            <w:tcW w:w="1044" w:type="pct"/>
            <w:tcBorders>
              <w:top w:val="nil"/>
              <w:left w:val="nil"/>
              <w:bottom w:val="nil"/>
              <w:right w:val="nil"/>
            </w:tcBorders>
            <w:shd w:val="clear" w:color="auto" w:fill="FFFFFF"/>
          </w:tcPr>
          <w:p w:rsidR="008F2812" w:rsidRPr="00855423" w:rsidRDefault="008F2812" w:rsidP="00B277BC">
            <w:pPr>
              <w:spacing w:line="240" w:lineRule="auto"/>
              <w:jc w:val="left"/>
              <w:rPr>
                <w:lang w:val="en-US"/>
              </w:rPr>
            </w:pPr>
            <w:r w:rsidRPr="00855423">
              <w:rPr>
                <w:lang w:val="en-US"/>
              </w:rPr>
              <w:t>CTU</w:t>
            </w:r>
            <w:r w:rsidRPr="00855423">
              <w:rPr>
                <w:vertAlign w:val="subscript"/>
                <w:lang w:val="en-US"/>
              </w:rPr>
              <w:t>h</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 xml:space="preserve">   </w:t>
            </w:r>
            <w:r w:rsidRPr="001B7EAE">
              <w:rPr>
                <w:i/>
                <w:lang w:val="en-US"/>
              </w:rPr>
              <w:t>non-cancer effects</w:t>
            </w:r>
            <w:r w:rsidRPr="00855423">
              <w:rPr>
                <w:lang w:val="en-US"/>
              </w:rPr>
              <w:t xml:space="preserve"> (HTNC)</w:t>
            </w:r>
          </w:p>
        </w:tc>
        <w:tc>
          <w:tcPr>
            <w:tcW w:w="2573" w:type="pct"/>
            <w:gridSpan w:val="3"/>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non-cancer effects including mutagenicity, toxicity, etc.</w:t>
            </w:r>
          </w:p>
        </w:tc>
        <w:tc>
          <w:tcPr>
            <w:tcW w:w="1044" w:type="pct"/>
            <w:tcBorders>
              <w:top w:val="nil"/>
              <w:left w:val="nil"/>
              <w:bottom w:val="nil"/>
              <w:right w:val="nil"/>
            </w:tcBorders>
            <w:shd w:val="clear" w:color="auto" w:fill="FFFFFF"/>
          </w:tcPr>
          <w:p w:rsidR="008F2812" w:rsidRPr="00855423" w:rsidRDefault="008F2812" w:rsidP="00B277BC">
            <w:pPr>
              <w:spacing w:line="240" w:lineRule="auto"/>
              <w:jc w:val="left"/>
              <w:rPr>
                <w:lang w:val="en-US"/>
              </w:rPr>
            </w:pPr>
            <w:r w:rsidRPr="00855423">
              <w:rPr>
                <w:lang w:val="en-US"/>
              </w:rPr>
              <w:t>CTU</w:t>
            </w:r>
            <w:r w:rsidRPr="00855423">
              <w:rPr>
                <w:vertAlign w:val="subscript"/>
                <w:lang w:val="en-US"/>
              </w:rPr>
              <w:t>h</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Particulate Matter (PM)</w:t>
            </w:r>
          </w:p>
        </w:tc>
        <w:tc>
          <w:tcPr>
            <w:tcW w:w="2573" w:type="pct"/>
            <w:gridSpan w:val="3"/>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It measures how particulate matter may cause respiratory problems.</w:t>
            </w:r>
          </w:p>
        </w:tc>
        <w:tc>
          <w:tcPr>
            <w:tcW w:w="1044" w:type="pct"/>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kg PM</w:t>
            </w:r>
            <w:r w:rsidRPr="00855423">
              <w:rPr>
                <w:vertAlign w:val="subscript"/>
                <w:lang w:val="en-US"/>
              </w:rPr>
              <w:t>2.5e</w:t>
            </w:r>
            <w:r w:rsidRPr="00855423">
              <w:rPr>
                <w:lang w:val="en-US"/>
              </w:rPr>
              <w:t xml:space="preserve"> </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FA0764">
            <w:pPr>
              <w:spacing w:line="240" w:lineRule="auto"/>
              <w:ind w:left="142" w:hanging="142"/>
              <w:jc w:val="left"/>
              <w:rPr>
                <w:lang w:val="en-US"/>
              </w:rPr>
            </w:pPr>
            <w:r w:rsidRPr="00855423">
              <w:rPr>
                <w:lang w:val="en-US"/>
              </w:rPr>
              <w:t>Ionizing Radiation- human health effects  (IR)</w:t>
            </w:r>
          </w:p>
        </w:tc>
        <w:tc>
          <w:tcPr>
            <w:tcW w:w="2573" w:type="pct"/>
            <w:gridSpan w:val="3"/>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It measures how ionizing radiation affects the risk for human cancer incidence and mortality increase.</w:t>
            </w:r>
          </w:p>
        </w:tc>
        <w:tc>
          <w:tcPr>
            <w:tcW w:w="1044" w:type="pct"/>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kg U</w:t>
            </w:r>
            <w:r w:rsidRPr="00855423">
              <w:rPr>
                <w:vertAlign w:val="subscript"/>
                <w:lang w:val="en-US"/>
              </w:rPr>
              <w:t>235e</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1B7EAE" w:rsidRDefault="008F2812" w:rsidP="00B24D9F">
            <w:pPr>
              <w:spacing w:line="240" w:lineRule="auto"/>
              <w:jc w:val="left"/>
              <w:rPr>
                <w:lang w:val="en-US"/>
              </w:rPr>
            </w:pPr>
            <w:r w:rsidRPr="00855423">
              <w:rPr>
                <w:lang w:val="en-US"/>
              </w:rPr>
              <w:t xml:space="preserve">Resource Depletion- </w:t>
            </w:r>
          </w:p>
          <w:p w:rsidR="008F2812" w:rsidRPr="00855423" w:rsidRDefault="001B7EAE" w:rsidP="0075679A">
            <w:pPr>
              <w:spacing w:line="240" w:lineRule="auto"/>
              <w:jc w:val="left"/>
              <w:rPr>
                <w:lang w:val="en-US"/>
              </w:rPr>
            </w:pPr>
            <w:r>
              <w:rPr>
                <w:lang w:val="en-US"/>
              </w:rPr>
              <w:t xml:space="preserve">  </w:t>
            </w:r>
            <w:r w:rsidR="008F2812" w:rsidRPr="001B7EAE">
              <w:rPr>
                <w:i/>
                <w:lang w:val="en-US"/>
              </w:rPr>
              <w:t xml:space="preserve">water </w:t>
            </w:r>
            <w:r w:rsidR="008F2812" w:rsidRPr="00855423">
              <w:rPr>
                <w:lang w:val="en-US"/>
              </w:rPr>
              <w:t>(RDW)</w:t>
            </w:r>
          </w:p>
        </w:tc>
        <w:tc>
          <w:tcPr>
            <w:tcW w:w="2573" w:type="pct"/>
            <w:gridSpan w:val="3"/>
            <w:vMerge w:val="restart"/>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 xml:space="preserve">It measures the use and depletion of fresh water, minerals and fossil resources, this impacting ecosystems and the survival of many species. </w:t>
            </w:r>
          </w:p>
        </w:tc>
        <w:tc>
          <w:tcPr>
            <w:tcW w:w="1044" w:type="pct"/>
            <w:tcBorders>
              <w:top w:val="nil"/>
              <w:left w:val="nil"/>
              <w:bottom w:val="nil"/>
              <w:right w:val="nil"/>
            </w:tcBorders>
            <w:shd w:val="clear" w:color="auto" w:fill="FFFFFF"/>
          </w:tcPr>
          <w:p w:rsidR="008F2812" w:rsidRPr="00855423" w:rsidRDefault="008F2812" w:rsidP="009C0287">
            <w:pPr>
              <w:spacing w:line="240" w:lineRule="auto"/>
              <w:ind w:left="136" w:hanging="136"/>
              <w:jc w:val="left"/>
              <w:rPr>
                <w:lang w:val="en-US"/>
              </w:rPr>
            </w:pPr>
            <w:r w:rsidRPr="00855423">
              <w:rPr>
                <w:lang w:val="en-US"/>
              </w:rPr>
              <w:t>m</w:t>
            </w:r>
            <w:r w:rsidRPr="00855423">
              <w:rPr>
                <w:vertAlign w:val="superscript"/>
                <w:lang w:val="en-US"/>
              </w:rPr>
              <w:t>3</w:t>
            </w:r>
            <w:r w:rsidRPr="00855423">
              <w:rPr>
                <w:lang w:val="en-US"/>
              </w:rPr>
              <w:t xml:space="preserve"> of water related to </w:t>
            </w:r>
            <w:r w:rsidR="009C0287">
              <w:rPr>
                <w:lang w:val="en-US"/>
              </w:rPr>
              <w:t xml:space="preserve">  </w:t>
            </w:r>
            <w:r w:rsidRPr="00855423">
              <w:rPr>
                <w:lang w:val="en-US"/>
              </w:rPr>
              <w:t xml:space="preserve">local water scarcity </w:t>
            </w:r>
          </w:p>
        </w:tc>
      </w:tr>
      <w:tr w:rsidR="008F2812" w:rsidRPr="00855423" w:rsidTr="00FA0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nil"/>
              <w:left w:val="nil"/>
              <w:bottom w:val="nil"/>
              <w:right w:val="nil"/>
            </w:tcBorders>
            <w:shd w:val="clear" w:color="auto" w:fill="FFFFFF"/>
          </w:tcPr>
          <w:p w:rsidR="008F2812" w:rsidRPr="00855423" w:rsidRDefault="008F2812" w:rsidP="0075679A">
            <w:pPr>
              <w:spacing w:line="240" w:lineRule="auto"/>
              <w:jc w:val="left"/>
              <w:rPr>
                <w:lang w:val="en-US"/>
              </w:rPr>
            </w:pPr>
            <w:r w:rsidRPr="00855423">
              <w:rPr>
                <w:lang w:val="en-US"/>
              </w:rPr>
              <w:t xml:space="preserve">  </w:t>
            </w:r>
            <w:r w:rsidRPr="001B7EAE">
              <w:rPr>
                <w:i/>
                <w:lang w:val="en-US"/>
              </w:rPr>
              <w:t>mineral/fossil</w:t>
            </w:r>
            <w:r w:rsidRPr="00855423">
              <w:rPr>
                <w:lang w:val="en-US"/>
              </w:rPr>
              <w:t xml:space="preserve"> (RDMF)</w:t>
            </w:r>
          </w:p>
        </w:tc>
        <w:tc>
          <w:tcPr>
            <w:tcW w:w="2573" w:type="pct"/>
            <w:gridSpan w:val="3"/>
            <w:vMerge/>
            <w:tcBorders>
              <w:top w:val="nil"/>
              <w:left w:val="nil"/>
              <w:bottom w:val="nil"/>
              <w:right w:val="nil"/>
            </w:tcBorders>
            <w:shd w:val="clear" w:color="auto" w:fill="FFFFFF"/>
          </w:tcPr>
          <w:p w:rsidR="008F2812" w:rsidRPr="00855423" w:rsidRDefault="008F2812" w:rsidP="00B24D9F">
            <w:pPr>
              <w:spacing w:line="240" w:lineRule="auto"/>
              <w:jc w:val="left"/>
              <w:rPr>
                <w:lang w:val="en-US"/>
              </w:rPr>
            </w:pPr>
          </w:p>
        </w:tc>
        <w:tc>
          <w:tcPr>
            <w:tcW w:w="1044" w:type="pct"/>
            <w:tcBorders>
              <w:top w:val="nil"/>
              <w:left w:val="nil"/>
              <w:bottom w:val="nil"/>
              <w:right w:val="nil"/>
            </w:tcBorders>
            <w:shd w:val="clear" w:color="auto" w:fill="FFFFFF"/>
          </w:tcPr>
          <w:p w:rsidR="008F2812" w:rsidRPr="00855423" w:rsidRDefault="008F2812" w:rsidP="00B24D9F">
            <w:pPr>
              <w:spacing w:line="240" w:lineRule="auto"/>
              <w:jc w:val="left"/>
              <w:rPr>
                <w:lang w:val="en-US"/>
              </w:rPr>
            </w:pPr>
            <w:r w:rsidRPr="00855423">
              <w:rPr>
                <w:lang w:val="en-US"/>
              </w:rPr>
              <w:t>kg Sb</w:t>
            </w:r>
            <w:r w:rsidRPr="00855423">
              <w:rPr>
                <w:vertAlign w:val="subscript"/>
                <w:lang w:val="en-US"/>
              </w:rPr>
              <w:t>e</w:t>
            </w:r>
          </w:p>
        </w:tc>
      </w:tr>
      <w:tr w:rsidR="008F2812" w:rsidRPr="00855423" w:rsidTr="009C0287">
        <w:tc>
          <w:tcPr>
            <w:tcW w:w="1398" w:type="pct"/>
            <w:gridSpan w:val="2"/>
            <w:tcBorders>
              <w:top w:val="nil"/>
            </w:tcBorders>
            <w:shd w:val="clear" w:color="auto" w:fill="FFFFFF"/>
          </w:tcPr>
          <w:p w:rsidR="008F2812" w:rsidRPr="00855423" w:rsidRDefault="008F2812" w:rsidP="00B24D9F">
            <w:pPr>
              <w:autoSpaceDE w:val="0"/>
              <w:autoSpaceDN w:val="0"/>
              <w:adjustRightInd w:val="0"/>
              <w:spacing w:line="240" w:lineRule="auto"/>
              <w:jc w:val="left"/>
              <w:rPr>
                <w:color w:val="000000"/>
                <w:lang w:val="en-US"/>
              </w:rPr>
            </w:pPr>
            <w:r w:rsidRPr="00855423">
              <w:rPr>
                <w:color w:val="000000"/>
                <w:lang w:val="en-US"/>
              </w:rPr>
              <w:t>Land Transformation (LT)</w:t>
            </w:r>
          </w:p>
        </w:tc>
        <w:tc>
          <w:tcPr>
            <w:tcW w:w="2558" w:type="pct"/>
            <w:gridSpan w:val="2"/>
            <w:tcBorders>
              <w:top w:val="nil"/>
            </w:tcBorders>
            <w:shd w:val="clear" w:color="auto" w:fill="FFFFFF"/>
          </w:tcPr>
          <w:p w:rsidR="008F2812" w:rsidRPr="00855423" w:rsidRDefault="008F2812" w:rsidP="008E5067">
            <w:pPr>
              <w:autoSpaceDE w:val="0"/>
              <w:autoSpaceDN w:val="0"/>
              <w:adjustRightInd w:val="0"/>
              <w:spacing w:line="240" w:lineRule="auto"/>
              <w:jc w:val="left"/>
              <w:rPr>
                <w:color w:val="000000"/>
                <w:lang w:val="en-US"/>
              </w:rPr>
            </w:pPr>
            <w:r w:rsidRPr="00855423">
              <w:rPr>
                <w:lang w:val="en-US"/>
              </w:rPr>
              <w:t>It considers the extent of changes in land properties</w:t>
            </w:r>
            <w:r w:rsidR="008E5067">
              <w:rPr>
                <w:lang w:val="en-US"/>
              </w:rPr>
              <w:t xml:space="preserve"> &amp; </w:t>
            </w:r>
            <w:r w:rsidRPr="00855423">
              <w:rPr>
                <w:lang w:val="en-US"/>
              </w:rPr>
              <w:t>the area affected</w:t>
            </w:r>
            <w:r w:rsidR="00FA0764">
              <w:rPr>
                <w:lang w:val="en-US"/>
              </w:rPr>
              <w:t>.</w:t>
            </w:r>
          </w:p>
        </w:tc>
        <w:tc>
          <w:tcPr>
            <w:tcW w:w="1044" w:type="pct"/>
            <w:tcBorders>
              <w:top w:val="nil"/>
            </w:tcBorders>
            <w:shd w:val="clear" w:color="auto" w:fill="FFFFFF"/>
          </w:tcPr>
          <w:p w:rsidR="008F2812" w:rsidRPr="00855423" w:rsidRDefault="008F2812" w:rsidP="00B24D9F">
            <w:pPr>
              <w:autoSpaceDE w:val="0"/>
              <w:autoSpaceDN w:val="0"/>
              <w:adjustRightInd w:val="0"/>
              <w:spacing w:line="240" w:lineRule="auto"/>
              <w:jc w:val="left"/>
              <w:rPr>
                <w:color w:val="000000"/>
                <w:lang w:val="en-US"/>
              </w:rPr>
            </w:pPr>
            <w:r w:rsidRPr="00855423">
              <w:rPr>
                <w:color w:val="000000"/>
                <w:lang w:val="en-US"/>
              </w:rPr>
              <w:t>kg Soil Organic Matter</w:t>
            </w:r>
          </w:p>
        </w:tc>
      </w:tr>
    </w:tbl>
    <w:p w:rsidR="008130C5" w:rsidRPr="00E3085B" w:rsidRDefault="0075046D" w:rsidP="001F3CC0">
      <w:pPr>
        <w:pStyle w:val="CETBodytext"/>
        <w:spacing w:before="240" w:after="120" w:line="240" w:lineRule="auto"/>
        <w:rPr>
          <w:i/>
        </w:rPr>
      </w:pPr>
      <w:r w:rsidRPr="00E3085B">
        <w:rPr>
          <w:i/>
        </w:rPr>
        <w:t>Table 2: Brief description of some international standard methods for product and service environmental assessment</w:t>
      </w:r>
      <w:r w:rsidR="008130C5" w:rsidRPr="00E3085B">
        <w:rPr>
          <w:i/>
        </w:rPr>
        <w:t xml:space="preserve"> together with their m</w:t>
      </w:r>
      <w:r w:rsidR="008130C5" w:rsidRPr="00E3085B">
        <w:rPr>
          <w:i/>
          <w:color w:val="000000"/>
        </w:rPr>
        <w:t>id-point impact categories (IC) accounted for (same labels as in Table 1)</w:t>
      </w:r>
      <w:r w:rsidRPr="00E3085B">
        <w:rPr>
          <w:i/>
        </w:rPr>
        <w:t>, as extracted from Cimini and Moresi (2018</w:t>
      </w:r>
      <w:r w:rsidR="008C7628" w:rsidRPr="00E3085B">
        <w:rPr>
          <w:i/>
        </w:rPr>
        <w:t>a</w:t>
      </w:r>
      <w:r w:rsidRPr="00E3085B">
        <w:rPr>
          <w:i/>
        </w:rPr>
        <w:t>)</w:t>
      </w:r>
      <w:r w:rsidR="008130C5" w:rsidRPr="00E3085B">
        <w:rPr>
          <w:i/>
        </w:rPr>
        <w:t>.</w:t>
      </w:r>
    </w:p>
    <w:tbl>
      <w:tblPr>
        <w:tblW w:w="500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3544"/>
        <w:gridCol w:w="3260"/>
      </w:tblGrid>
      <w:tr w:rsidR="008650A2" w:rsidRPr="00B24D9F" w:rsidTr="001755E1">
        <w:tc>
          <w:tcPr>
            <w:tcW w:w="1985" w:type="dxa"/>
            <w:tcBorders>
              <w:top w:val="single" w:sz="12" w:space="0" w:color="008000"/>
              <w:bottom w:val="single" w:sz="4" w:space="0" w:color="auto"/>
            </w:tcBorders>
            <w:shd w:val="clear" w:color="auto" w:fill="FFFFFF"/>
          </w:tcPr>
          <w:p w:rsidR="008650A2" w:rsidRPr="00B24D9F" w:rsidRDefault="008650A2" w:rsidP="00FA0764">
            <w:pPr>
              <w:autoSpaceDE w:val="0"/>
              <w:autoSpaceDN w:val="0"/>
              <w:adjustRightInd w:val="0"/>
              <w:spacing w:line="240" w:lineRule="auto"/>
              <w:ind w:left="142" w:hanging="142"/>
              <w:jc w:val="left"/>
              <w:rPr>
                <w:b/>
                <w:color w:val="000000"/>
                <w:lang w:val="en-US"/>
              </w:rPr>
            </w:pPr>
            <w:r w:rsidRPr="00B24D9F">
              <w:rPr>
                <w:b/>
                <w:color w:val="000000"/>
                <w:lang w:val="en-US"/>
              </w:rPr>
              <w:t>Standard method</w:t>
            </w:r>
          </w:p>
        </w:tc>
        <w:tc>
          <w:tcPr>
            <w:tcW w:w="3544" w:type="dxa"/>
            <w:tcBorders>
              <w:top w:val="single" w:sz="12" w:space="0" w:color="008000"/>
              <w:bottom w:val="single" w:sz="4" w:space="0" w:color="auto"/>
            </w:tcBorders>
            <w:shd w:val="clear" w:color="auto" w:fill="FFFFFF"/>
          </w:tcPr>
          <w:p w:rsidR="008650A2" w:rsidRPr="00B24D9F" w:rsidRDefault="008650A2" w:rsidP="0085475A">
            <w:pPr>
              <w:autoSpaceDE w:val="0"/>
              <w:autoSpaceDN w:val="0"/>
              <w:adjustRightInd w:val="0"/>
              <w:spacing w:line="240" w:lineRule="auto"/>
              <w:jc w:val="left"/>
              <w:rPr>
                <w:b/>
                <w:color w:val="000000"/>
                <w:lang w:val="en-US"/>
              </w:rPr>
            </w:pPr>
            <w:r w:rsidRPr="00B24D9F">
              <w:rPr>
                <w:b/>
                <w:color w:val="000000"/>
                <w:lang w:val="en-US"/>
              </w:rPr>
              <w:t>Description</w:t>
            </w:r>
          </w:p>
        </w:tc>
        <w:tc>
          <w:tcPr>
            <w:tcW w:w="3260" w:type="dxa"/>
            <w:tcBorders>
              <w:top w:val="single" w:sz="12" w:space="0" w:color="008000"/>
              <w:bottom w:val="single" w:sz="4" w:space="0" w:color="auto"/>
            </w:tcBorders>
            <w:shd w:val="clear" w:color="auto" w:fill="FFFFFF"/>
          </w:tcPr>
          <w:p w:rsidR="008650A2" w:rsidRPr="00B24D9F" w:rsidRDefault="008650A2" w:rsidP="0085475A">
            <w:pPr>
              <w:autoSpaceDE w:val="0"/>
              <w:autoSpaceDN w:val="0"/>
              <w:adjustRightInd w:val="0"/>
              <w:spacing w:line="240" w:lineRule="auto"/>
              <w:jc w:val="left"/>
              <w:rPr>
                <w:b/>
                <w:color w:val="000000"/>
                <w:lang w:val="en-US"/>
              </w:rPr>
            </w:pPr>
            <w:r w:rsidRPr="00B24D9F">
              <w:rPr>
                <w:b/>
                <w:color w:val="000000"/>
                <w:lang w:val="en-US"/>
              </w:rPr>
              <w:t>Mid-point ICs</w:t>
            </w:r>
          </w:p>
        </w:tc>
      </w:tr>
      <w:tr w:rsidR="008650A2" w:rsidRPr="00855423" w:rsidTr="001755E1">
        <w:trPr>
          <w:trHeight w:val="20"/>
        </w:trPr>
        <w:tc>
          <w:tcPr>
            <w:tcW w:w="1985" w:type="dxa"/>
            <w:tcBorders>
              <w:top w:val="single" w:sz="4" w:space="0" w:color="auto"/>
              <w:left w:val="nil"/>
              <w:bottom w:val="nil"/>
              <w:right w:val="nil"/>
            </w:tcBorders>
            <w:shd w:val="clear" w:color="auto" w:fill="FFFFFF"/>
          </w:tcPr>
          <w:p w:rsidR="008650A2" w:rsidRPr="00855423" w:rsidRDefault="008650A2" w:rsidP="00FA0764">
            <w:pPr>
              <w:autoSpaceDE w:val="0"/>
              <w:autoSpaceDN w:val="0"/>
              <w:adjustRightInd w:val="0"/>
              <w:spacing w:line="240" w:lineRule="auto"/>
              <w:ind w:left="142" w:hanging="142"/>
              <w:jc w:val="left"/>
              <w:rPr>
                <w:color w:val="000000"/>
                <w:lang w:val="en-US"/>
              </w:rPr>
            </w:pPr>
            <w:r w:rsidRPr="00855423">
              <w:rPr>
                <w:color w:val="000000"/>
                <w:lang w:val="en-US"/>
              </w:rPr>
              <w:t>Life Cycle Assessment (LCA)</w:t>
            </w:r>
          </w:p>
        </w:tc>
        <w:tc>
          <w:tcPr>
            <w:tcW w:w="3544" w:type="dxa"/>
            <w:tcBorders>
              <w:top w:val="single" w:sz="4" w:space="0" w:color="auto"/>
              <w:left w:val="nil"/>
              <w:bottom w:val="nil"/>
              <w:right w:val="nil"/>
            </w:tcBorders>
            <w:shd w:val="clear" w:color="auto" w:fill="FFFFFF"/>
          </w:tcPr>
          <w:p w:rsidR="008650A2" w:rsidRPr="00855423" w:rsidRDefault="008650A2" w:rsidP="00FA0764">
            <w:pPr>
              <w:autoSpaceDE w:val="0"/>
              <w:autoSpaceDN w:val="0"/>
              <w:adjustRightInd w:val="0"/>
              <w:spacing w:line="240" w:lineRule="auto"/>
              <w:ind w:left="142" w:hanging="142"/>
              <w:jc w:val="left"/>
              <w:rPr>
                <w:color w:val="000000"/>
                <w:lang w:val="en-US"/>
              </w:rPr>
            </w:pPr>
            <w:r w:rsidRPr="00855423">
              <w:rPr>
                <w:color w:val="000000"/>
                <w:lang w:val="en-US"/>
              </w:rPr>
              <w:t>It specifies requirements and provides guidelines for LCA studies.</w:t>
            </w:r>
          </w:p>
        </w:tc>
        <w:tc>
          <w:tcPr>
            <w:tcW w:w="3260" w:type="dxa"/>
            <w:tcBorders>
              <w:top w:val="single" w:sz="4" w:space="0" w:color="auto"/>
              <w:left w:val="nil"/>
              <w:bottom w:val="nil"/>
              <w:right w:val="nil"/>
            </w:tcBorders>
            <w:shd w:val="clear" w:color="auto" w:fill="FFFFFF"/>
          </w:tcPr>
          <w:p w:rsidR="008650A2" w:rsidRPr="00855423" w:rsidRDefault="008650A2" w:rsidP="00FA0764">
            <w:pPr>
              <w:autoSpaceDE w:val="0"/>
              <w:autoSpaceDN w:val="0"/>
              <w:adjustRightInd w:val="0"/>
              <w:spacing w:line="240" w:lineRule="auto"/>
              <w:jc w:val="left"/>
              <w:rPr>
                <w:color w:val="000000"/>
                <w:lang w:val="en-US"/>
              </w:rPr>
            </w:pPr>
            <w:r w:rsidRPr="00855423">
              <w:rPr>
                <w:color w:val="000000"/>
                <w:lang w:val="en-US"/>
              </w:rPr>
              <w:t xml:space="preserve">CC; OD; A; NP; POC; </w:t>
            </w:r>
          </w:p>
          <w:p w:rsidR="008650A2" w:rsidRPr="00855423" w:rsidRDefault="008650A2" w:rsidP="00FA0764">
            <w:pPr>
              <w:autoSpaceDE w:val="0"/>
              <w:autoSpaceDN w:val="0"/>
              <w:adjustRightInd w:val="0"/>
              <w:spacing w:line="240" w:lineRule="auto"/>
              <w:jc w:val="left"/>
              <w:rPr>
                <w:color w:val="000000"/>
                <w:lang w:val="en-US"/>
              </w:rPr>
            </w:pPr>
            <w:r w:rsidRPr="00855423">
              <w:rPr>
                <w:color w:val="000000"/>
                <w:lang w:val="en-US"/>
              </w:rPr>
              <w:t>RD; LU</w:t>
            </w:r>
            <w:r w:rsidR="00B24D9F">
              <w:rPr>
                <w:color w:val="000000"/>
                <w:lang w:val="en-US"/>
              </w:rPr>
              <w:t>.</w:t>
            </w:r>
          </w:p>
        </w:tc>
      </w:tr>
      <w:tr w:rsidR="0085475A" w:rsidRPr="00855423" w:rsidTr="001755E1">
        <w:trPr>
          <w:trHeight w:val="20"/>
        </w:trPr>
        <w:tc>
          <w:tcPr>
            <w:tcW w:w="1985" w:type="dxa"/>
            <w:tcBorders>
              <w:top w:val="nil"/>
              <w:left w:val="nil"/>
              <w:bottom w:val="nil"/>
              <w:right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Carbon Footprint of</w:t>
            </w:r>
            <w:r w:rsidR="00FA0764">
              <w:rPr>
                <w:lang w:val="en-US"/>
              </w:rPr>
              <w:t xml:space="preserve">  </w:t>
            </w:r>
            <w:r w:rsidRPr="00855423">
              <w:rPr>
                <w:lang w:val="en-US"/>
              </w:rPr>
              <w:t>Product (CF)</w:t>
            </w:r>
          </w:p>
        </w:tc>
        <w:tc>
          <w:tcPr>
            <w:tcW w:w="3544" w:type="dxa"/>
            <w:tcBorders>
              <w:top w:val="nil"/>
              <w:left w:val="nil"/>
              <w:bottom w:val="nil"/>
              <w:right w:val="nil"/>
            </w:tcBorders>
            <w:shd w:val="clear" w:color="auto" w:fill="FFFFFF"/>
          </w:tcPr>
          <w:p w:rsidR="008650A2" w:rsidRPr="00855423" w:rsidRDefault="008650A2" w:rsidP="00BA09BE">
            <w:pPr>
              <w:spacing w:line="240" w:lineRule="auto"/>
              <w:ind w:left="142" w:hanging="142"/>
              <w:jc w:val="left"/>
              <w:rPr>
                <w:lang w:val="en-US"/>
              </w:rPr>
            </w:pPr>
            <w:r w:rsidRPr="00855423">
              <w:rPr>
                <w:lang w:val="en-US"/>
              </w:rPr>
              <w:t>It allows the calculation of CF, based on LCA specified in ISO (2006).</w:t>
            </w:r>
          </w:p>
        </w:tc>
        <w:tc>
          <w:tcPr>
            <w:tcW w:w="3260" w:type="dxa"/>
            <w:tcBorders>
              <w:top w:val="nil"/>
              <w:left w:val="nil"/>
              <w:bottom w:val="nil"/>
              <w:right w:val="nil"/>
            </w:tcBorders>
            <w:shd w:val="clear" w:color="auto" w:fill="FFFFFF"/>
          </w:tcPr>
          <w:p w:rsidR="008650A2" w:rsidRPr="00855423" w:rsidRDefault="008650A2" w:rsidP="00FA0764">
            <w:pPr>
              <w:spacing w:line="240" w:lineRule="auto"/>
              <w:jc w:val="left"/>
              <w:rPr>
                <w:lang w:val="en-US"/>
              </w:rPr>
            </w:pPr>
            <w:r w:rsidRPr="00855423">
              <w:rPr>
                <w:lang w:val="en-US"/>
              </w:rPr>
              <w:t>CC</w:t>
            </w:r>
            <w:r w:rsidR="00B24D9F">
              <w:rPr>
                <w:lang w:val="en-US"/>
              </w:rPr>
              <w:t xml:space="preserve">; </w:t>
            </w:r>
            <w:r w:rsidRPr="00855423">
              <w:rPr>
                <w:lang w:val="en-US"/>
              </w:rPr>
              <w:t>LUC</w:t>
            </w:r>
            <w:r w:rsidR="00B24D9F">
              <w:rPr>
                <w:lang w:val="en-US"/>
              </w:rPr>
              <w:t>.</w:t>
            </w:r>
          </w:p>
        </w:tc>
      </w:tr>
      <w:tr w:rsidR="008650A2" w:rsidRPr="00855423" w:rsidTr="001755E1">
        <w:trPr>
          <w:trHeight w:val="20"/>
        </w:trPr>
        <w:tc>
          <w:tcPr>
            <w:tcW w:w="1985" w:type="dxa"/>
            <w:tcBorders>
              <w:top w:val="nil"/>
              <w:left w:val="nil"/>
              <w:bottom w:val="nil"/>
              <w:right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PAS 2050</w:t>
            </w:r>
          </w:p>
        </w:tc>
        <w:tc>
          <w:tcPr>
            <w:tcW w:w="3544" w:type="dxa"/>
            <w:tcBorders>
              <w:top w:val="nil"/>
              <w:left w:val="nil"/>
              <w:bottom w:val="nil"/>
              <w:right w:val="nil"/>
            </w:tcBorders>
            <w:shd w:val="clear" w:color="auto" w:fill="FFFFFF"/>
          </w:tcPr>
          <w:p w:rsidR="008650A2" w:rsidRPr="00855423" w:rsidRDefault="008650A2" w:rsidP="001755E1">
            <w:pPr>
              <w:spacing w:line="240" w:lineRule="auto"/>
              <w:ind w:left="142" w:hanging="142"/>
              <w:jc w:val="left"/>
              <w:rPr>
                <w:lang w:val="en-US"/>
              </w:rPr>
            </w:pPr>
            <w:r w:rsidRPr="00855423">
              <w:rPr>
                <w:lang w:val="en-US"/>
              </w:rPr>
              <w:t>It provides a standardized guidance for calculating the CF of goods</w:t>
            </w:r>
            <w:r w:rsidR="001755E1">
              <w:rPr>
                <w:lang w:val="en-US"/>
              </w:rPr>
              <w:t xml:space="preserve"> &amp; </w:t>
            </w:r>
            <w:r w:rsidRPr="00855423">
              <w:rPr>
                <w:lang w:val="en-US"/>
              </w:rPr>
              <w:t>services</w:t>
            </w:r>
            <w:r w:rsidR="00B24D9F">
              <w:rPr>
                <w:lang w:val="en-US"/>
              </w:rPr>
              <w:t>.</w:t>
            </w:r>
            <w:r w:rsidRPr="00855423">
              <w:rPr>
                <w:lang w:val="en-US"/>
              </w:rPr>
              <w:t xml:space="preserve"> </w:t>
            </w:r>
          </w:p>
        </w:tc>
        <w:tc>
          <w:tcPr>
            <w:tcW w:w="3260" w:type="dxa"/>
            <w:tcBorders>
              <w:top w:val="nil"/>
              <w:left w:val="nil"/>
              <w:bottom w:val="nil"/>
              <w:right w:val="nil"/>
            </w:tcBorders>
            <w:shd w:val="clear" w:color="auto" w:fill="FFFFFF"/>
          </w:tcPr>
          <w:p w:rsidR="008650A2" w:rsidRPr="00855423" w:rsidRDefault="008650A2" w:rsidP="00FA0764">
            <w:pPr>
              <w:spacing w:line="240" w:lineRule="auto"/>
              <w:jc w:val="left"/>
              <w:rPr>
                <w:lang w:val="en-US"/>
              </w:rPr>
            </w:pPr>
            <w:r w:rsidRPr="00855423">
              <w:rPr>
                <w:lang w:val="en-US"/>
              </w:rPr>
              <w:t>CC</w:t>
            </w:r>
            <w:r w:rsidR="00B24D9F">
              <w:rPr>
                <w:lang w:val="en-US"/>
              </w:rPr>
              <w:t xml:space="preserve">; </w:t>
            </w:r>
            <w:r w:rsidRPr="00855423">
              <w:rPr>
                <w:lang w:val="en-US"/>
              </w:rPr>
              <w:t>LUC</w:t>
            </w:r>
            <w:r w:rsidR="00B24D9F">
              <w:rPr>
                <w:lang w:val="en-US"/>
              </w:rPr>
              <w:t>.</w:t>
            </w:r>
          </w:p>
        </w:tc>
      </w:tr>
      <w:tr w:rsidR="008650A2" w:rsidRPr="00855423" w:rsidTr="001755E1">
        <w:trPr>
          <w:trHeight w:val="20"/>
        </w:trPr>
        <w:tc>
          <w:tcPr>
            <w:tcW w:w="1985" w:type="dxa"/>
            <w:tcBorders>
              <w:top w:val="nil"/>
              <w:left w:val="nil"/>
              <w:bottom w:val="nil"/>
              <w:right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Bilan Carbone®</w:t>
            </w:r>
          </w:p>
        </w:tc>
        <w:tc>
          <w:tcPr>
            <w:tcW w:w="3544" w:type="dxa"/>
            <w:tcBorders>
              <w:top w:val="nil"/>
              <w:left w:val="nil"/>
              <w:bottom w:val="nil"/>
              <w:right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It is a GHG emissions assessment tool developed by ADEME</w:t>
            </w:r>
            <w:r w:rsidR="00B24D9F">
              <w:rPr>
                <w:lang w:val="en-US"/>
              </w:rPr>
              <w:t xml:space="preserve"> (2007)</w:t>
            </w:r>
            <w:r w:rsidRPr="00855423">
              <w:rPr>
                <w:lang w:val="en-US"/>
              </w:rPr>
              <w:t>.</w:t>
            </w:r>
          </w:p>
        </w:tc>
        <w:tc>
          <w:tcPr>
            <w:tcW w:w="3260" w:type="dxa"/>
            <w:tcBorders>
              <w:top w:val="nil"/>
              <w:left w:val="nil"/>
              <w:bottom w:val="nil"/>
              <w:right w:val="nil"/>
            </w:tcBorders>
            <w:shd w:val="clear" w:color="auto" w:fill="FFFFFF"/>
          </w:tcPr>
          <w:p w:rsidR="008650A2" w:rsidRPr="00855423" w:rsidRDefault="008650A2" w:rsidP="00FA0764">
            <w:pPr>
              <w:spacing w:line="240" w:lineRule="auto"/>
              <w:jc w:val="left"/>
              <w:rPr>
                <w:lang w:val="en-US"/>
              </w:rPr>
            </w:pPr>
            <w:r w:rsidRPr="00855423">
              <w:rPr>
                <w:lang w:val="en-US"/>
              </w:rPr>
              <w:t>CC</w:t>
            </w:r>
            <w:r w:rsidR="00B24D9F">
              <w:rPr>
                <w:lang w:val="en-US"/>
              </w:rPr>
              <w:t xml:space="preserve">; </w:t>
            </w:r>
            <w:r w:rsidRPr="00855423">
              <w:rPr>
                <w:lang w:val="en-US"/>
              </w:rPr>
              <w:t>LUC</w:t>
            </w:r>
            <w:r w:rsidR="00B24D9F">
              <w:rPr>
                <w:lang w:val="en-US"/>
              </w:rPr>
              <w:t>.</w:t>
            </w:r>
          </w:p>
        </w:tc>
      </w:tr>
      <w:tr w:rsidR="008650A2" w:rsidRPr="00855423" w:rsidTr="001755E1">
        <w:trPr>
          <w:trHeight w:val="20"/>
        </w:trPr>
        <w:tc>
          <w:tcPr>
            <w:tcW w:w="1985" w:type="dxa"/>
            <w:tcBorders>
              <w:top w:val="nil"/>
              <w:left w:val="nil"/>
              <w:bottom w:val="nil"/>
              <w:right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Environmental Product Declaration (EPD</w:t>
            </w:r>
            <w:r w:rsidRPr="00855423">
              <w:rPr>
                <w:vertAlign w:val="superscript"/>
                <w:lang w:val="en-US"/>
              </w:rPr>
              <w:t>®</w:t>
            </w:r>
            <w:r w:rsidRPr="00855423">
              <w:rPr>
                <w:lang w:val="en-US"/>
              </w:rPr>
              <w:t>)</w:t>
            </w:r>
          </w:p>
        </w:tc>
        <w:tc>
          <w:tcPr>
            <w:tcW w:w="3544" w:type="dxa"/>
            <w:tcBorders>
              <w:top w:val="nil"/>
              <w:left w:val="nil"/>
              <w:bottom w:val="nil"/>
              <w:right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 xml:space="preserve">It was </w:t>
            </w:r>
            <w:r w:rsidR="00B24D9F">
              <w:rPr>
                <w:lang w:val="en-US"/>
              </w:rPr>
              <w:t xml:space="preserve">supported by </w:t>
            </w:r>
            <w:r w:rsidRPr="00855423">
              <w:rPr>
                <w:lang w:val="en-US"/>
              </w:rPr>
              <w:t>the Swedish government</w:t>
            </w:r>
            <w:r w:rsidR="00B24D9F">
              <w:rPr>
                <w:lang w:val="en-US"/>
              </w:rPr>
              <w:t>.</w:t>
            </w:r>
          </w:p>
        </w:tc>
        <w:tc>
          <w:tcPr>
            <w:tcW w:w="3260" w:type="dxa"/>
            <w:tcBorders>
              <w:top w:val="nil"/>
              <w:left w:val="nil"/>
              <w:bottom w:val="nil"/>
              <w:right w:val="nil"/>
            </w:tcBorders>
            <w:shd w:val="clear" w:color="auto" w:fill="FFFFFF"/>
          </w:tcPr>
          <w:p w:rsidR="008650A2" w:rsidRPr="00855423" w:rsidRDefault="008650A2" w:rsidP="00FA0764">
            <w:pPr>
              <w:spacing w:line="240" w:lineRule="auto"/>
              <w:jc w:val="left"/>
              <w:rPr>
                <w:lang w:val="en-US"/>
              </w:rPr>
            </w:pPr>
            <w:r w:rsidRPr="00855423">
              <w:rPr>
                <w:lang w:val="en-US"/>
              </w:rPr>
              <w:t xml:space="preserve">CC; OD; A; NP; </w:t>
            </w:r>
          </w:p>
          <w:p w:rsidR="008650A2" w:rsidRPr="00855423" w:rsidRDefault="008650A2" w:rsidP="00FA0764">
            <w:pPr>
              <w:spacing w:line="240" w:lineRule="auto"/>
              <w:jc w:val="left"/>
              <w:rPr>
                <w:lang w:val="en-US"/>
              </w:rPr>
            </w:pPr>
            <w:r w:rsidRPr="00855423">
              <w:rPr>
                <w:lang w:val="en-US"/>
              </w:rPr>
              <w:t xml:space="preserve">POC; RD; LU. </w:t>
            </w:r>
          </w:p>
        </w:tc>
      </w:tr>
      <w:tr w:rsidR="008650A2" w:rsidRPr="00855423" w:rsidTr="001755E1">
        <w:trPr>
          <w:trHeight w:val="20"/>
        </w:trPr>
        <w:tc>
          <w:tcPr>
            <w:tcW w:w="1985" w:type="dxa"/>
            <w:tcBorders>
              <w:top w:val="nil"/>
              <w:left w:val="nil"/>
              <w:bottom w:val="nil"/>
              <w:right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 xml:space="preserve">GHG Protocol </w:t>
            </w:r>
          </w:p>
        </w:tc>
        <w:tc>
          <w:tcPr>
            <w:tcW w:w="3544" w:type="dxa"/>
            <w:tcBorders>
              <w:top w:val="nil"/>
              <w:left w:val="nil"/>
              <w:bottom w:val="nil"/>
              <w:right w:val="nil"/>
            </w:tcBorders>
            <w:shd w:val="clear" w:color="auto" w:fill="FFFFFF"/>
          </w:tcPr>
          <w:p w:rsidR="008650A2" w:rsidRPr="00855423" w:rsidRDefault="008650A2" w:rsidP="00F46E79">
            <w:pPr>
              <w:spacing w:line="240" w:lineRule="auto"/>
              <w:ind w:left="142" w:hanging="142"/>
              <w:jc w:val="left"/>
              <w:rPr>
                <w:lang w:val="en-US"/>
              </w:rPr>
            </w:pPr>
            <w:r w:rsidRPr="00855423">
              <w:rPr>
                <w:lang w:val="en-US"/>
              </w:rPr>
              <w:t xml:space="preserve">This standard defines how measuring, </w:t>
            </w:r>
            <w:r w:rsidR="00F46E79">
              <w:rPr>
                <w:lang w:val="en-US"/>
              </w:rPr>
              <w:t>&amp;</w:t>
            </w:r>
            <w:r w:rsidRPr="00855423">
              <w:rPr>
                <w:lang w:val="en-US"/>
              </w:rPr>
              <w:t xml:space="preserve"> reporting GHG emissions in the USA. </w:t>
            </w:r>
          </w:p>
        </w:tc>
        <w:tc>
          <w:tcPr>
            <w:tcW w:w="3260" w:type="dxa"/>
            <w:tcBorders>
              <w:top w:val="nil"/>
              <w:left w:val="nil"/>
              <w:bottom w:val="nil"/>
              <w:right w:val="nil"/>
            </w:tcBorders>
            <w:shd w:val="clear" w:color="auto" w:fill="FFFFFF"/>
          </w:tcPr>
          <w:p w:rsidR="008650A2" w:rsidRPr="00855423" w:rsidRDefault="008650A2" w:rsidP="00FA0764">
            <w:pPr>
              <w:spacing w:line="240" w:lineRule="auto"/>
              <w:jc w:val="left"/>
              <w:rPr>
                <w:lang w:val="en-US"/>
              </w:rPr>
            </w:pPr>
            <w:r w:rsidRPr="00855423">
              <w:rPr>
                <w:lang w:val="en-US"/>
              </w:rPr>
              <w:t>CC</w:t>
            </w:r>
          </w:p>
        </w:tc>
      </w:tr>
      <w:tr w:rsidR="008650A2" w:rsidRPr="00855423" w:rsidTr="001755E1">
        <w:trPr>
          <w:trHeight w:val="20"/>
        </w:trPr>
        <w:tc>
          <w:tcPr>
            <w:tcW w:w="1985" w:type="dxa"/>
            <w:tcBorders>
              <w:top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Product Environmental Footprint (PEF)</w:t>
            </w:r>
          </w:p>
        </w:tc>
        <w:tc>
          <w:tcPr>
            <w:tcW w:w="3544" w:type="dxa"/>
            <w:tcBorders>
              <w:top w:val="nil"/>
            </w:tcBorders>
            <w:shd w:val="clear" w:color="auto" w:fill="FFFFFF"/>
          </w:tcPr>
          <w:p w:rsidR="008650A2" w:rsidRPr="00855423" w:rsidRDefault="008650A2" w:rsidP="00FA0764">
            <w:pPr>
              <w:spacing w:line="240" w:lineRule="auto"/>
              <w:ind w:left="142" w:hanging="142"/>
              <w:jc w:val="left"/>
              <w:rPr>
                <w:lang w:val="en-US"/>
              </w:rPr>
            </w:pPr>
            <w:r w:rsidRPr="00855423">
              <w:rPr>
                <w:lang w:val="en-US"/>
              </w:rPr>
              <w:t xml:space="preserve">It is </w:t>
            </w:r>
            <w:r w:rsidR="00B24D9F">
              <w:rPr>
                <w:lang w:val="en-US"/>
              </w:rPr>
              <w:t xml:space="preserve">a </w:t>
            </w:r>
            <w:r w:rsidRPr="00855423">
              <w:rPr>
                <w:lang w:val="en-US"/>
              </w:rPr>
              <w:t xml:space="preserve">novel European Community methodology under development. </w:t>
            </w:r>
          </w:p>
        </w:tc>
        <w:tc>
          <w:tcPr>
            <w:tcW w:w="3260" w:type="dxa"/>
            <w:tcBorders>
              <w:top w:val="nil"/>
            </w:tcBorders>
            <w:shd w:val="clear" w:color="auto" w:fill="FFFFFF"/>
          </w:tcPr>
          <w:p w:rsidR="008650A2" w:rsidRPr="00855423" w:rsidRDefault="008650A2" w:rsidP="009B39F5">
            <w:pPr>
              <w:spacing w:line="240" w:lineRule="auto"/>
              <w:jc w:val="left"/>
              <w:rPr>
                <w:lang w:val="en-US"/>
              </w:rPr>
            </w:pPr>
            <w:r w:rsidRPr="00855423">
              <w:rPr>
                <w:lang w:val="en-US"/>
              </w:rPr>
              <w:t>CC; OD; A; NPA; NPT; POC; ET;</w:t>
            </w:r>
            <w:r w:rsidR="004F75A4">
              <w:rPr>
                <w:lang w:val="en-US"/>
              </w:rPr>
              <w:t xml:space="preserve"> HTC;</w:t>
            </w:r>
            <w:r w:rsidRPr="00855423">
              <w:rPr>
                <w:lang w:val="en-US"/>
              </w:rPr>
              <w:t xml:space="preserve"> HTNC; PM; IR; RDW; RDMF; </w:t>
            </w:r>
            <w:r w:rsidR="004F75A4">
              <w:rPr>
                <w:lang w:val="en-US"/>
              </w:rPr>
              <w:t>L</w:t>
            </w:r>
            <w:r w:rsidRPr="00855423">
              <w:rPr>
                <w:lang w:val="en-US"/>
              </w:rPr>
              <w:t>T.</w:t>
            </w:r>
          </w:p>
        </w:tc>
      </w:tr>
    </w:tbl>
    <w:p w:rsidR="001232D5" w:rsidRPr="00855423" w:rsidRDefault="001232D5" w:rsidP="00F46E79">
      <w:pPr>
        <w:pStyle w:val="CETHeading1"/>
        <w:tabs>
          <w:tab w:val="right" w:pos="7100"/>
        </w:tabs>
        <w:jc w:val="both"/>
      </w:pPr>
      <w:r w:rsidRPr="00855423">
        <w:t>The environmental impact of food processing</w:t>
      </w:r>
    </w:p>
    <w:p w:rsidR="001232D5" w:rsidRPr="00855423" w:rsidRDefault="001232D5" w:rsidP="001232D5">
      <w:pPr>
        <w:pStyle w:val="CETBodytext"/>
      </w:pPr>
      <w:r w:rsidRPr="00855423">
        <w:t xml:space="preserve">The complete supply chain of the food industry from the production of raw materials via food processing to the consumption and disposal by the consumer is quite complex, as schematically sketched in Fig. 1. </w:t>
      </w:r>
    </w:p>
    <w:p w:rsidR="00F46E79" w:rsidRDefault="00F46E79" w:rsidP="00F46E79">
      <w:pPr>
        <w:pStyle w:val="CETBodytext"/>
      </w:pPr>
      <w:r w:rsidRPr="00855423">
        <w:t xml:space="preserve">The main direct impacts of food processing derive from </w:t>
      </w:r>
      <w:r w:rsidRPr="00855423">
        <w:tab/>
        <w:t>waste generation,</w:t>
      </w:r>
      <w:r>
        <w:t xml:space="preserve"> </w:t>
      </w:r>
      <w:r w:rsidRPr="00855423">
        <w:t>water use, and energy use (</w:t>
      </w:r>
      <w:r w:rsidRPr="00855423">
        <w:rPr>
          <w:rFonts w:cs="Arial"/>
          <w:color w:val="000000"/>
          <w:szCs w:val="18"/>
        </w:rPr>
        <w:t>Dieu, 2009</w:t>
      </w:r>
      <w:r w:rsidRPr="00855423">
        <w:t xml:space="preserve">). </w:t>
      </w:r>
      <w:r w:rsidRPr="00120E93">
        <w:t>Food waste</w:t>
      </w:r>
      <w:r w:rsidRPr="00855423">
        <w:t xml:space="preserve"> is intense in the farm due to spoilage (~21% of supply), but limited to ~7 % throughout food processing. Food solid waste may be inedible materials or rejected products from sorting, grading, peeling, trimming, and squeezing</w:t>
      </w:r>
      <w:r>
        <w:t>. It may a</w:t>
      </w:r>
      <w:r w:rsidRPr="00855423">
        <w:t>mount to the 50-70% of fresh citrus fruits or crab and shrimp processed (</w:t>
      </w:r>
      <w:r w:rsidRPr="00855423">
        <w:rPr>
          <w:rFonts w:cs="Arial"/>
          <w:color w:val="000000"/>
          <w:szCs w:val="18"/>
        </w:rPr>
        <w:t>Dieu, 2009</w:t>
      </w:r>
      <w:r w:rsidRPr="00855423">
        <w:t xml:space="preserve">). Packaging materials (i.e., paper- and card-board, plastics, glass, metals, and wood) are largely used to protect processed foods not only from deterioration and/or contamination (primary packaging), but also from mechanical damage through the distribution and retailing operations (secondary and tertiary packaging). </w:t>
      </w:r>
    </w:p>
    <w:p w:rsidR="001232D5" w:rsidRDefault="00F6268F" w:rsidP="00120E93">
      <w:pPr>
        <w:pStyle w:val="CETBodytext"/>
        <w:jc w:val="center"/>
      </w:pPr>
      <w:r>
        <w:rPr>
          <w:noProof/>
          <w:lang w:val="it-IT" w:eastAsia="it-IT"/>
        </w:rPr>
        <w:lastRenderedPageBreak/>
        <w:drawing>
          <wp:inline distT="0" distB="0" distL="0" distR="0">
            <wp:extent cx="5579745" cy="1419860"/>
            <wp:effectExtent l="0" t="0" r="190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Moresi-re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1419860"/>
                    </a:xfrm>
                    <a:prstGeom prst="rect">
                      <a:avLst/>
                    </a:prstGeom>
                  </pic:spPr>
                </pic:pic>
              </a:graphicData>
            </a:graphic>
          </wp:inline>
        </w:drawing>
      </w:r>
    </w:p>
    <w:p w:rsidR="00A16C42" w:rsidRPr="00E3085B" w:rsidRDefault="00A16C42" w:rsidP="00120E93">
      <w:pPr>
        <w:spacing w:before="120" w:after="120" w:line="240" w:lineRule="auto"/>
        <w:rPr>
          <w:rFonts w:cs="Arial"/>
          <w:i/>
          <w:color w:val="000000"/>
          <w:szCs w:val="18"/>
          <w:lang w:val="en-US"/>
        </w:rPr>
      </w:pPr>
      <w:r w:rsidRPr="00E3085B">
        <w:rPr>
          <w:i/>
          <w:lang w:val="en-US"/>
        </w:rPr>
        <w:t xml:space="preserve">Figure 1: </w:t>
      </w:r>
      <w:r w:rsidRPr="00E3085B">
        <w:rPr>
          <w:rFonts w:cs="Arial"/>
          <w:i/>
          <w:color w:val="000000"/>
          <w:szCs w:val="18"/>
        </w:rPr>
        <w:t xml:space="preserve">Simplified flow sheet of the </w:t>
      </w:r>
      <w:r w:rsidRPr="00E3085B">
        <w:rPr>
          <w:rFonts w:cs="Arial"/>
          <w:i/>
          <w:color w:val="000000"/>
          <w:szCs w:val="18"/>
          <w:lang w:val="en-US"/>
        </w:rPr>
        <w:t>supply chain of the food industry, as adapted from Moresi (2014).</w:t>
      </w:r>
    </w:p>
    <w:p w:rsidR="00F46E79" w:rsidRDefault="00F46E79" w:rsidP="00930A22">
      <w:pPr>
        <w:pStyle w:val="CETBodytext"/>
      </w:pPr>
    </w:p>
    <w:p w:rsidR="00930A22" w:rsidRPr="00855423" w:rsidRDefault="00930A22" w:rsidP="00930A22">
      <w:pPr>
        <w:pStyle w:val="CETBodytext"/>
      </w:pPr>
      <w:r w:rsidRPr="00855423">
        <w:t>In food</w:t>
      </w:r>
      <w:r w:rsidR="00841716" w:rsidRPr="00855423">
        <w:t xml:space="preserve"> processing </w:t>
      </w:r>
      <w:r w:rsidR="003A7C85" w:rsidRPr="00855423">
        <w:t xml:space="preserve">large volumes </w:t>
      </w:r>
      <w:r w:rsidR="00B277BC" w:rsidRPr="00855423">
        <w:t>of water are</w:t>
      </w:r>
      <w:r w:rsidR="009C0287">
        <w:t xml:space="preserve"> </w:t>
      </w:r>
      <w:r w:rsidRPr="00855423">
        <w:t>used as</w:t>
      </w:r>
      <w:r w:rsidR="005642CA" w:rsidRPr="00855423">
        <w:t xml:space="preserve"> </w:t>
      </w:r>
      <w:r w:rsidRPr="00855423">
        <w:tab/>
        <w:t>the</w:t>
      </w:r>
      <w:r w:rsidR="00841716" w:rsidRPr="00855423">
        <w:t xml:space="preserve"> main </w:t>
      </w:r>
      <w:r w:rsidRPr="00855423">
        <w:t xml:space="preserve">ingredient in </w:t>
      </w:r>
      <w:r w:rsidR="00841716" w:rsidRPr="00855423">
        <w:t>drink f</w:t>
      </w:r>
      <w:r w:rsidRPr="00855423">
        <w:t>ormulation, initial and intermediate cleaning source, transportation conveyor of raw materials, and principal agent used in sanitizing plant areas and machinery (</w:t>
      </w:r>
      <w:r w:rsidR="005642CA" w:rsidRPr="00855423">
        <w:t>Dieu, 2009</w:t>
      </w:r>
      <w:r w:rsidRPr="00855423">
        <w:t xml:space="preserve">). The water consumption in fruit and vegetable processing </w:t>
      </w:r>
      <w:r w:rsidR="005642CA" w:rsidRPr="00855423">
        <w:t>range</w:t>
      </w:r>
      <w:r w:rsidR="00B277BC" w:rsidRPr="00855423">
        <w:t>s</w:t>
      </w:r>
      <w:r w:rsidR="005642CA" w:rsidRPr="00855423">
        <w:t xml:space="preserve"> </w:t>
      </w:r>
      <w:r w:rsidRPr="00855423">
        <w:t>from 4 to 32 m</w:t>
      </w:r>
      <w:r w:rsidRPr="00855423">
        <w:rPr>
          <w:vertAlign w:val="superscript"/>
        </w:rPr>
        <w:t>3</w:t>
      </w:r>
      <w:r w:rsidR="00AF16B4" w:rsidRPr="00855423">
        <w:t xml:space="preserve"> </w:t>
      </w:r>
      <w:r w:rsidRPr="00855423">
        <w:t xml:space="preserve">per Mg of product treated, the 50% of which being approximately used </w:t>
      </w:r>
      <w:r w:rsidR="00B277BC" w:rsidRPr="00855423">
        <w:t xml:space="preserve">just </w:t>
      </w:r>
      <w:r w:rsidRPr="00855423">
        <w:t>for washing and rinsing</w:t>
      </w:r>
      <w:r w:rsidR="00841716" w:rsidRPr="00855423">
        <w:t>.</w:t>
      </w:r>
      <w:r w:rsidRPr="00855423">
        <w:t xml:space="preserve"> The water used to make beer or milk products </w:t>
      </w:r>
      <w:r w:rsidR="009C0287">
        <w:t xml:space="preserve">may </w:t>
      </w:r>
      <w:r w:rsidRPr="00855423">
        <w:t>var</w:t>
      </w:r>
      <w:r w:rsidR="009C0287">
        <w:t>y</w:t>
      </w:r>
      <w:r w:rsidRPr="00855423">
        <w:t xml:space="preserve"> from</w:t>
      </w:r>
      <w:r w:rsidR="00841716" w:rsidRPr="00855423">
        <w:t xml:space="preserve"> </w:t>
      </w:r>
      <w:r w:rsidRPr="00855423">
        <w:t>9 to 18 m</w:t>
      </w:r>
      <w:r w:rsidRPr="00855423">
        <w:rPr>
          <w:vertAlign w:val="superscript"/>
        </w:rPr>
        <w:t>3</w:t>
      </w:r>
      <w:r w:rsidRPr="00855423">
        <w:t xml:space="preserve"> Mg</w:t>
      </w:r>
      <w:r w:rsidRPr="00855423">
        <w:rPr>
          <w:vertAlign w:val="superscript"/>
        </w:rPr>
        <w:t>-1</w:t>
      </w:r>
      <w:r w:rsidR="00841716" w:rsidRPr="00855423">
        <w:t xml:space="preserve">. </w:t>
      </w:r>
      <w:r w:rsidR="003A7C85" w:rsidRPr="00855423">
        <w:t>T</w:t>
      </w:r>
      <w:r w:rsidR="00841716" w:rsidRPr="00855423">
        <w:t xml:space="preserve">he resulting </w:t>
      </w:r>
      <w:r w:rsidRPr="00855423">
        <w:t>wastewaters</w:t>
      </w:r>
      <w:r w:rsidR="00841716" w:rsidRPr="00855423">
        <w:t xml:space="preserve"> </w:t>
      </w:r>
      <w:r w:rsidR="00B277BC" w:rsidRPr="00855423">
        <w:t xml:space="preserve">are generally </w:t>
      </w:r>
      <w:r w:rsidR="003A7C85" w:rsidRPr="00855423">
        <w:t xml:space="preserve">rich in </w:t>
      </w:r>
      <w:r w:rsidR="006E4189" w:rsidRPr="00855423">
        <w:t>organic matter</w:t>
      </w:r>
      <w:r w:rsidR="00120E93">
        <w:t xml:space="preserve">, sometimes </w:t>
      </w:r>
      <w:r w:rsidR="009C0287">
        <w:t xml:space="preserve">being </w:t>
      </w:r>
      <w:r w:rsidRPr="00855423">
        <w:t>contaminated with pesticide residues from raw material treatments</w:t>
      </w:r>
      <w:r w:rsidR="003A7C85" w:rsidRPr="00855423">
        <w:t xml:space="preserve">. Up to </w:t>
      </w:r>
      <w:r w:rsidRPr="00855423">
        <w:t>50-60</w:t>
      </w:r>
      <w:r w:rsidR="006E4189" w:rsidRPr="00855423">
        <w:t xml:space="preserve"> </w:t>
      </w:r>
      <w:r w:rsidRPr="00855423">
        <w:t>% of their amount m</w:t>
      </w:r>
      <w:r w:rsidR="006E4189" w:rsidRPr="00855423">
        <w:t xml:space="preserve">ight </w:t>
      </w:r>
      <w:r w:rsidRPr="00855423">
        <w:t xml:space="preserve">be reclaimed and reused </w:t>
      </w:r>
      <w:r w:rsidR="006E4189" w:rsidRPr="00855423">
        <w:t>after screening, filtering or dilution with fresh water</w:t>
      </w:r>
      <w:r w:rsidRPr="00855423">
        <w:t xml:space="preserve">. </w:t>
      </w:r>
      <w:r w:rsidR="00444FD9" w:rsidRPr="00855423">
        <w:t>A</w:t>
      </w:r>
      <w:r w:rsidRPr="00855423">
        <w:t xml:space="preserve">ir emissions </w:t>
      </w:r>
      <w:r w:rsidR="00444FD9" w:rsidRPr="00855423">
        <w:t xml:space="preserve">during food processing </w:t>
      </w:r>
      <w:r w:rsidR="006E4189" w:rsidRPr="00855423">
        <w:t xml:space="preserve">may </w:t>
      </w:r>
      <w:r w:rsidR="00444FD9" w:rsidRPr="00855423">
        <w:t>contain fine p</w:t>
      </w:r>
      <w:r w:rsidRPr="00855423">
        <w:t>articles, combustion products (CO, CO</w:t>
      </w:r>
      <w:r w:rsidRPr="00855423">
        <w:rPr>
          <w:vertAlign w:val="subscript"/>
        </w:rPr>
        <w:t>2</w:t>
      </w:r>
      <w:r w:rsidRPr="00855423">
        <w:t>, NO</w:t>
      </w:r>
      <w:r w:rsidRPr="00855423">
        <w:rPr>
          <w:vertAlign w:val="subscript"/>
        </w:rPr>
        <w:t>X</w:t>
      </w:r>
      <w:r w:rsidRPr="00855423">
        <w:t xml:space="preserve">), volatile organic compounds, </w:t>
      </w:r>
      <w:r w:rsidR="00626EF4">
        <w:t xml:space="preserve">and </w:t>
      </w:r>
      <w:r w:rsidR="00626EF4" w:rsidRPr="00855423">
        <w:t xml:space="preserve">in the case of fish by-products </w:t>
      </w:r>
      <w:r w:rsidRPr="00855423">
        <w:t>unpleasant odorous contaminants, such as H</w:t>
      </w:r>
      <w:r w:rsidRPr="00855423">
        <w:rPr>
          <w:vertAlign w:val="subscript"/>
        </w:rPr>
        <w:t>2</w:t>
      </w:r>
      <w:r w:rsidRPr="00855423">
        <w:t>S, and (CH</w:t>
      </w:r>
      <w:r w:rsidRPr="00855423">
        <w:rPr>
          <w:vertAlign w:val="subscript"/>
        </w:rPr>
        <w:t>3</w:t>
      </w:r>
      <w:r w:rsidRPr="00855423">
        <w:t>)</w:t>
      </w:r>
      <w:r w:rsidRPr="00855423">
        <w:rPr>
          <w:vertAlign w:val="subscript"/>
        </w:rPr>
        <w:t>3</w:t>
      </w:r>
      <w:r w:rsidRPr="00855423">
        <w:t xml:space="preserve">N </w:t>
      </w:r>
      <w:r w:rsidR="006E4189" w:rsidRPr="00855423">
        <w:t>(Dieu, 2009)</w:t>
      </w:r>
      <w:r w:rsidRPr="00855423">
        <w:t xml:space="preserve">. The </w:t>
      </w:r>
      <w:r w:rsidR="00444FD9" w:rsidRPr="00855423">
        <w:t xml:space="preserve">energy needs of </w:t>
      </w:r>
      <w:r w:rsidRPr="00855423">
        <w:t xml:space="preserve">food industry </w:t>
      </w:r>
      <w:r w:rsidR="00444FD9" w:rsidRPr="00855423">
        <w:t xml:space="preserve">are </w:t>
      </w:r>
      <w:r w:rsidRPr="00855423">
        <w:t xml:space="preserve">of low or medium intensity. </w:t>
      </w:r>
      <w:r w:rsidR="00626EF4">
        <w:t>S</w:t>
      </w:r>
      <w:r w:rsidR="00C77AA2" w:rsidRPr="00855423">
        <w:t>ome sectors</w:t>
      </w:r>
      <w:r w:rsidR="00626EF4">
        <w:t xml:space="preserve"> (e.g., </w:t>
      </w:r>
      <w:r w:rsidRPr="00855423">
        <w:t xml:space="preserve">wet corn milling, beet sugar, soybean oil mills, malt beverages, meat packaging, canned </w:t>
      </w:r>
      <w:r w:rsidR="00626EF4">
        <w:t xml:space="preserve">and </w:t>
      </w:r>
      <w:r w:rsidR="00626EF4" w:rsidRPr="00855423">
        <w:t>froz</w:t>
      </w:r>
      <w:r w:rsidR="00626EF4">
        <w:t xml:space="preserve">en </w:t>
      </w:r>
      <w:r w:rsidRPr="00855423">
        <w:t>fruits and vegetables, br</w:t>
      </w:r>
      <w:r w:rsidR="00C77AA2" w:rsidRPr="00855423">
        <w:t>ead, and baked products</w:t>
      </w:r>
      <w:r w:rsidR="00626EF4">
        <w:t xml:space="preserve">) </w:t>
      </w:r>
      <w:r w:rsidR="00626EF4" w:rsidRPr="00855423">
        <w:t xml:space="preserve">are </w:t>
      </w:r>
      <w:r w:rsidR="00626EF4">
        <w:t xml:space="preserve">however </w:t>
      </w:r>
      <w:r w:rsidR="00626EF4" w:rsidRPr="00855423">
        <w:t xml:space="preserve">high-energy users </w:t>
      </w:r>
      <w:r w:rsidR="00626EF4">
        <w:t>(</w:t>
      </w:r>
      <w:r w:rsidR="00C77AA2" w:rsidRPr="00855423">
        <w:t>Dieu, 2009</w:t>
      </w:r>
      <w:r w:rsidRPr="00855423">
        <w:t xml:space="preserve">). </w:t>
      </w:r>
      <w:r w:rsidR="00626EF4">
        <w:t>T</w:t>
      </w:r>
      <w:r w:rsidR="0083122E" w:rsidRPr="00855423">
        <w:t xml:space="preserve">he 38% </w:t>
      </w:r>
      <w:r w:rsidRPr="00855423">
        <w:t xml:space="preserve">of all the energy consumed by the </w:t>
      </w:r>
      <w:r w:rsidR="00DA2A1B" w:rsidRPr="00855423">
        <w:t xml:space="preserve">Italian agro-food industry </w:t>
      </w:r>
      <w:r w:rsidR="00626EF4">
        <w:t xml:space="preserve">is </w:t>
      </w:r>
      <w:r w:rsidRPr="00855423">
        <w:t xml:space="preserve">of the </w:t>
      </w:r>
      <w:r w:rsidR="0083122E" w:rsidRPr="00855423">
        <w:t xml:space="preserve">electric </w:t>
      </w:r>
      <w:r w:rsidRPr="00855423">
        <w:t xml:space="preserve">type, while the remainder of the </w:t>
      </w:r>
      <w:r w:rsidR="0083122E" w:rsidRPr="00855423">
        <w:t>thermal one</w:t>
      </w:r>
      <w:r w:rsidRPr="00855423">
        <w:t xml:space="preserve"> (</w:t>
      </w:r>
      <w:r w:rsidR="00DA2A1B" w:rsidRPr="00855423">
        <w:t>MISE, n</w:t>
      </w:r>
      <w:r w:rsidR="00783BE9" w:rsidRPr="00855423">
        <w:t>.</w:t>
      </w:r>
      <w:r w:rsidR="00DA2A1B" w:rsidRPr="00855423">
        <w:t>d.)</w:t>
      </w:r>
      <w:r w:rsidRPr="00855423">
        <w:t xml:space="preserve">. The total impact of energy use </w:t>
      </w:r>
      <w:r w:rsidR="00444FD9" w:rsidRPr="00855423">
        <w:t xml:space="preserve">might </w:t>
      </w:r>
      <w:r w:rsidRPr="00855423">
        <w:t>be</w:t>
      </w:r>
      <w:r w:rsidR="00CD46C9">
        <w:t xml:space="preserve"> lessened </w:t>
      </w:r>
      <w:r w:rsidRPr="00855423">
        <w:t xml:space="preserve">by </w:t>
      </w:r>
      <w:r w:rsidR="00CD46C9">
        <w:t xml:space="preserve">minimizing the </w:t>
      </w:r>
      <w:r w:rsidRPr="00855423">
        <w:t xml:space="preserve">energy needs, producing energy from waste, and using renewable energy sources. </w:t>
      </w:r>
    </w:p>
    <w:p w:rsidR="004F14B6" w:rsidRPr="00855423" w:rsidRDefault="00F861AB" w:rsidP="00F861AB">
      <w:pPr>
        <w:pStyle w:val="CETHeading1"/>
      </w:pPr>
      <w:r w:rsidRPr="00855423">
        <w:t>GHG emissions for the agro-food system in industrialized countries</w:t>
      </w:r>
    </w:p>
    <w:p w:rsidR="004F14B6" w:rsidRPr="00855423" w:rsidRDefault="00120E93" w:rsidP="004F14B6">
      <w:pPr>
        <w:pStyle w:val="CETBodytext"/>
      </w:pPr>
      <w:r>
        <w:t>T</w:t>
      </w:r>
      <w:r w:rsidR="004F14B6" w:rsidRPr="00855423">
        <w:t>he GHG emission space per capita and year should be limited to 2400 kg of CO</w:t>
      </w:r>
      <w:r w:rsidR="004F14B6" w:rsidRPr="00855423">
        <w:rPr>
          <w:vertAlign w:val="subscript"/>
        </w:rPr>
        <w:t>2</w:t>
      </w:r>
      <w:r w:rsidR="004F14B6" w:rsidRPr="00855423">
        <w:t>, 59 kg of CH</w:t>
      </w:r>
      <w:r w:rsidR="004F14B6" w:rsidRPr="00855423">
        <w:rPr>
          <w:vertAlign w:val="subscript"/>
        </w:rPr>
        <w:t>4</w:t>
      </w:r>
      <w:r w:rsidR="004F14B6" w:rsidRPr="00855423">
        <w:t>, and 0.67 kg of N</w:t>
      </w:r>
      <w:r w:rsidR="004F14B6" w:rsidRPr="00855423">
        <w:rPr>
          <w:vertAlign w:val="subscript"/>
        </w:rPr>
        <w:t>2</w:t>
      </w:r>
      <w:r w:rsidR="004F14B6" w:rsidRPr="00855423">
        <w:t>O</w:t>
      </w:r>
      <w:r w:rsidRPr="00120E93">
        <w:t xml:space="preserve"> </w:t>
      </w:r>
      <w:r>
        <w:t>(</w:t>
      </w:r>
      <w:r w:rsidRPr="00855423">
        <w:t>Carlsson-Kanyama</w:t>
      </w:r>
      <w:r w:rsidR="00F75827">
        <w:t xml:space="preserve">, </w:t>
      </w:r>
      <w:r w:rsidRPr="00855423">
        <w:t>1998</w:t>
      </w:r>
      <w:r>
        <w:t xml:space="preserve">; </w:t>
      </w:r>
      <w:r w:rsidRPr="00855423">
        <w:t>IPCC</w:t>
      </w:r>
      <w:r>
        <w:t xml:space="preserve">, </w:t>
      </w:r>
      <w:r w:rsidRPr="00855423">
        <w:t>1996)</w:t>
      </w:r>
      <w:r w:rsidR="00CD46C9">
        <w:t xml:space="preserve"> to allow a</w:t>
      </w:r>
      <w:r w:rsidR="004F14B6" w:rsidRPr="00855423">
        <w:t xml:space="preserve">ny person now living on the Earth and those expected to live until 2100 </w:t>
      </w:r>
      <w:r w:rsidR="00CD46C9">
        <w:t xml:space="preserve">to </w:t>
      </w:r>
      <w:r w:rsidR="0089271A" w:rsidRPr="00855423">
        <w:t>e</w:t>
      </w:r>
      <w:r w:rsidR="004F14B6" w:rsidRPr="00855423">
        <w:t>xer</w:t>
      </w:r>
      <w:r w:rsidR="00F861AB" w:rsidRPr="00855423">
        <w:t>t the same rights to emit GHGs</w:t>
      </w:r>
      <w:r w:rsidR="00AB3409" w:rsidRPr="00855423">
        <w:t xml:space="preserve">, </w:t>
      </w:r>
      <w:r w:rsidR="00F75827" w:rsidRPr="00855423">
        <w:t>if</w:t>
      </w:r>
      <w:r w:rsidR="00F861AB" w:rsidRPr="00855423">
        <w:t xml:space="preserve"> </w:t>
      </w:r>
      <w:r w:rsidR="004F14B6" w:rsidRPr="00855423">
        <w:t>the atmospheric concentration of CO</w:t>
      </w:r>
      <w:r w:rsidR="004F14B6" w:rsidRPr="00855423">
        <w:rPr>
          <w:vertAlign w:val="subscript"/>
        </w:rPr>
        <w:t>2</w:t>
      </w:r>
      <w:r w:rsidR="004F14B6" w:rsidRPr="00855423">
        <w:t xml:space="preserve"> </w:t>
      </w:r>
      <w:r w:rsidR="004F0D73" w:rsidRPr="00855423">
        <w:t xml:space="preserve">be </w:t>
      </w:r>
      <w:r w:rsidR="004F14B6" w:rsidRPr="00855423">
        <w:t>less than 450 ppm</w:t>
      </w:r>
      <w:r w:rsidR="002C619E" w:rsidRPr="00855423">
        <w:t xml:space="preserve"> with </w:t>
      </w:r>
      <w:r w:rsidR="004F14B6" w:rsidRPr="00855423">
        <w:t>CH</w:t>
      </w:r>
      <w:r w:rsidR="004F14B6" w:rsidRPr="00855423">
        <w:rPr>
          <w:vertAlign w:val="subscript"/>
        </w:rPr>
        <w:t>4</w:t>
      </w:r>
      <w:r w:rsidR="004F14B6" w:rsidRPr="00855423">
        <w:t xml:space="preserve"> and N</w:t>
      </w:r>
      <w:r w:rsidR="004F14B6" w:rsidRPr="00855423">
        <w:rPr>
          <w:vertAlign w:val="subscript"/>
        </w:rPr>
        <w:t>2</w:t>
      </w:r>
      <w:r w:rsidR="004F14B6" w:rsidRPr="00855423">
        <w:t>O emissions</w:t>
      </w:r>
      <w:r w:rsidR="00F63315" w:rsidRPr="00855423">
        <w:t xml:space="preserve"> </w:t>
      </w:r>
      <w:r w:rsidR="00CD46C9">
        <w:t xml:space="preserve">kept at </w:t>
      </w:r>
      <w:r w:rsidR="004F14B6" w:rsidRPr="00855423">
        <w:t>the</w:t>
      </w:r>
      <w:r w:rsidR="00CD46C9">
        <w:t xml:space="preserve"> same</w:t>
      </w:r>
      <w:r w:rsidR="00F63315" w:rsidRPr="00855423">
        <w:t xml:space="preserve"> </w:t>
      </w:r>
      <w:r w:rsidR="004F14B6" w:rsidRPr="00855423">
        <w:t>levels measured in 1995</w:t>
      </w:r>
      <w:r w:rsidR="00F63315" w:rsidRPr="00855423">
        <w:t>. T</w:t>
      </w:r>
      <w:r w:rsidR="004F14B6" w:rsidRPr="00855423">
        <w:t xml:space="preserve">he </w:t>
      </w:r>
      <w:r w:rsidR="004F0D73" w:rsidRPr="00855423">
        <w:t>pe</w:t>
      </w:r>
      <w:r w:rsidR="004F14B6" w:rsidRPr="00855423">
        <w:t xml:space="preserve">rmitted </w:t>
      </w:r>
      <w:r w:rsidR="00CD46C9" w:rsidRPr="00855423">
        <w:t xml:space="preserve">GHG </w:t>
      </w:r>
      <w:r w:rsidR="004F14B6" w:rsidRPr="00855423">
        <w:t xml:space="preserve">emissions per capita and year </w:t>
      </w:r>
      <w:r w:rsidR="004F0D73" w:rsidRPr="00855423">
        <w:t xml:space="preserve">within a 20-yr time perspective were </w:t>
      </w:r>
      <w:r w:rsidR="004F14B6" w:rsidRPr="00855423">
        <w:t xml:space="preserve">estimated by </w:t>
      </w:r>
      <w:r w:rsidR="00131BC7" w:rsidRPr="00855423">
        <w:t>summing t</w:t>
      </w:r>
      <w:r w:rsidR="004F14B6" w:rsidRPr="00855423">
        <w:t xml:space="preserve">he mass of </w:t>
      </w:r>
      <w:r w:rsidR="004F0D73" w:rsidRPr="00855423">
        <w:t>each</w:t>
      </w:r>
      <w:r w:rsidR="004F14B6" w:rsidRPr="00855423">
        <w:t xml:space="preserve"> GHG times its corresponding global warming potential </w:t>
      </w:r>
      <w:r w:rsidR="002C619E" w:rsidRPr="00855423">
        <w:t>as</w:t>
      </w:r>
      <w:r w:rsidR="00131BC7" w:rsidRPr="00855423">
        <w:t xml:space="preserve"> </w:t>
      </w:r>
      <w:r w:rsidR="002C619E" w:rsidRPr="00855423">
        <w:t>(</w:t>
      </w:r>
      <w:r w:rsidR="004F14B6" w:rsidRPr="00855423">
        <w:rPr>
          <w:noProof/>
          <w:lang w:eastAsia="it-IT"/>
        </w:rPr>
        <w:t>1x2400+72x59+289x0.67=</w:t>
      </w:r>
      <w:r w:rsidR="002C619E" w:rsidRPr="00855423">
        <w:rPr>
          <w:noProof/>
          <w:lang w:eastAsia="it-IT"/>
        </w:rPr>
        <w:t xml:space="preserve">) </w:t>
      </w:r>
      <w:r w:rsidR="004F14B6" w:rsidRPr="00855423">
        <w:rPr>
          <w:noProof/>
          <w:lang w:eastAsia="it-IT"/>
        </w:rPr>
        <w:t>6842 kg CO</w:t>
      </w:r>
      <w:r w:rsidR="004F14B6" w:rsidRPr="00855423">
        <w:rPr>
          <w:noProof/>
          <w:vertAlign w:val="subscript"/>
          <w:lang w:eastAsia="it-IT"/>
        </w:rPr>
        <w:t>2e</w:t>
      </w:r>
      <w:r w:rsidR="004F0D73" w:rsidRPr="00855423">
        <w:rPr>
          <w:noProof/>
          <w:lang w:eastAsia="it-IT"/>
        </w:rPr>
        <w:t>.</w:t>
      </w:r>
      <w:r w:rsidR="00CD46C9">
        <w:rPr>
          <w:noProof/>
          <w:lang w:eastAsia="it-IT"/>
        </w:rPr>
        <w:t xml:space="preserve"> </w:t>
      </w:r>
      <w:r w:rsidR="004F14B6" w:rsidRPr="00855423">
        <w:t xml:space="preserve">To assess whether </w:t>
      </w:r>
      <w:r w:rsidR="00CD46C9">
        <w:t xml:space="preserve">such </w:t>
      </w:r>
      <w:r w:rsidR="004F14B6" w:rsidRPr="00855423">
        <w:t xml:space="preserve">GHG emissions </w:t>
      </w:r>
      <w:r w:rsidR="00CD46C9">
        <w:t xml:space="preserve">were </w:t>
      </w:r>
      <w:r w:rsidR="004F14B6" w:rsidRPr="00855423">
        <w:t xml:space="preserve">congruent with the current ones, </w:t>
      </w:r>
      <w:r w:rsidR="00CD46C9">
        <w:t xml:space="preserve">one has to refer to </w:t>
      </w:r>
      <w:r w:rsidR="004F14B6" w:rsidRPr="00855423">
        <w:t>the national inventory report</w:t>
      </w:r>
      <w:r w:rsidR="00131BC7" w:rsidRPr="00855423">
        <w:t>s</w:t>
      </w:r>
      <w:r w:rsidR="004F14B6" w:rsidRPr="00855423">
        <w:t xml:space="preserve"> (NIR)</w:t>
      </w:r>
      <w:r w:rsidR="00131BC7" w:rsidRPr="00855423">
        <w:t xml:space="preserve"> </w:t>
      </w:r>
      <w:r w:rsidR="004F14B6" w:rsidRPr="00855423">
        <w:t xml:space="preserve">published </w:t>
      </w:r>
      <w:r w:rsidR="00F75827">
        <w:t xml:space="preserve">by </w:t>
      </w:r>
      <w:r w:rsidR="00A54C1F" w:rsidRPr="00855423">
        <w:t>UNCC</w:t>
      </w:r>
      <w:r w:rsidR="00F75827">
        <w:t xml:space="preserve"> (</w:t>
      </w:r>
      <w:r w:rsidR="00A54C1F" w:rsidRPr="00855423">
        <w:t>2018</w:t>
      </w:r>
      <w:r w:rsidR="00F75827">
        <w:t xml:space="preserve">). </w:t>
      </w:r>
      <w:r w:rsidR="009541DD">
        <w:t>T</w:t>
      </w:r>
      <w:r w:rsidR="004F14B6" w:rsidRPr="00855423">
        <w:t>he direct per capita emissions in the year 2007 ranged from as high as 24.0 Mg CO</w:t>
      </w:r>
      <w:r w:rsidR="004F14B6" w:rsidRPr="00855423">
        <w:rPr>
          <w:vertAlign w:val="subscript"/>
        </w:rPr>
        <w:t>2e</w:t>
      </w:r>
      <w:r w:rsidR="004F14B6" w:rsidRPr="00855423">
        <w:t xml:space="preserve"> for the USA to as low as 1.6 Mg CO</w:t>
      </w:r>
      <w:r w:rsidR="004F14B6" w:rsidRPr="00855423">
        <w:rPr>
          <w:vertAlign w:val="subscript"/>
        </w:rPr>
        <w:t xml:space="preserve">2e </w:t>
      </w:r>
      <w:r w:rsidR="004F14B6" w:rsidRPr="00855423">
        <w:t>for India</w:t>
      </w:r>
      <w:r w:rsidR="009541DD" w:rsidRPr="009541DD">
        <w:t xml:space="preserve"> </w:t>
      </w:r>
      <w:r w:rsidR="009541DD">
        <w:t>(</w:t>
      </w:r>
      <w:r w:rsidR="009541DD" w:rsidRPr="00855423">
        <w:t>Berners-Lee</w:t>
      </w:r>
      <w:r w:rsidR="009541DD">
        <w:t xml:space="preserve">, </w:t>
      </w:r>
      <w:r w:rsidR="009541DD" w:rsidRPr="00855423">
        <w:t>2010)</w:t>
      </w:r>
      <w:r w:rsidR="004F14B6" w:rsidRPr="00855423">
        <w:t>.</w:t>
      </w:r>
      <w:r w:rsidR="009541DD">
        <w:t xml:space="preserve"> The current </w:t>
      </w:r>
      <w:r w:rsidR="00AD704E" w:rsidRPr="00855423">
        <w:t>Italian GHG emissions (including those adsorbed by land use, land use change and forestry, LULUCF) amount to circa 398 Tg CO</w:t>
      </w:r>
      <w:r w:rsidR="00AD704E" w:rsidRPr="00855423">
        <w:rPr>
          <w:vertAlign w:val="subscript"/>
        </w:rPr>
        <w:t>2e</w:t>
      </w:r>
      <w:r w:rsidR="00AD704E" w:rsidRPr="00855423">
        <w:t xml:space="preserve"> (</w:t>
      </w:r>
      <w:r w:rsidR="004F14B6" w:rsidRPr="00855423">
        <w:t>ISPRA</w:t>
      </w:r>
      <w:r w:rsidR="00AD704E" w:rsidRPr="00855423">
        <w:t xml:space="preserve">, </w:t>
      </w:r>
      <w:r w:rsidR="004F14B6" w:rsidRPr="00855423">
        <w:t xml:space="preserve">2018), </w:t>
      </w:r>
      <w:r w:rsidR="0089271A" w:rsidRPr="00855423">
        <w:t xml:space="preserve">this </w:t>
      </w:r>
      <w:r w:rsidR="002C619E" w:rsidRPr="00855423">
        <w:t xml:space="preserve">resulting in </w:t>
      </w:r>
      <w:r w:rsidR="0089271A" w:rsidRPr="00855423">
        <w:t>an Italian per capita CF of about 6.7 Mg CO</w:t>
      </w:r>
      <w:r w:rsidR="0089271A" w:rsidRPr="00855423">
        <w:rPr>
          <w:vertAlign w:val="subscript"/>
        </w:rPr>
        <w:t>2e</w:t>
      </w:r>
      <w:r w:rsidR="0089271A" w:rsidRPr="00855423">
        <w:t xml:space="preserve"> yr</w:t>
      </w:r>
      <w:r w:rsidR="0089271A" w:rsidRPr="00855423">
        <w:rPr>
          <w:vertAlign w:val="superscript"/>
        </w:rPr>
        <w:t>-1</w:t>
      </w:r>
      <w:r w:rsidR="0089271A" w:rsidRPr="00855423">
        <w:t>.</w:t>
      </w:r>
      <w:r w:rsidR="00F75827">
        <w:t xml:space="preserve"> Altogether, t</w:t>
      </w:r>
      <w:r w:rsidR="00AD704E" w:rsidRPr="00855423">
        <w:t>he</w:t>
      </w:r>
      <w:r w:rsidR="009541DD">
        <w:t xml:space="preserve">se </w:t>
      </w:r>
      <w:r w:rsidR="00AC695E" w:rsidRPr="00855423">
        <w:t>emissions were mainly composed of CO</w:t>
      </w:r>
      <w:r w:rsidR="00AC695E" w:rsidRPr="00855423">
        <w:rPr>
          <w:vertAlign w:val="subscript"/>
        </w:rPr>
        <w:t>2</w:t>
      </w:r>
      <w:r w:rsidR="00AC695E" w:rsidRPr="00855423">
        <w:t>, followed by CH</w:t>
      </w:r>
      <w:r w:rsidR="00AC695E" w:rsidRPr="00855423">
        <w:rPr>
          <w:vertAlign w:val="subscript"/>
        </w:rPr>
        <w:t>4</w:t>
      </w:r>
      <w:r w:rsidR="00AC695E" w:rsidRPr="00855423">
        <w:t xml:space="preserve"> and N</w:t>
      </w:r>
      <w:r w:rsidR="00AC695E" w:rsidRPr="00855423">
        <w:rPr>
          <w:vertAlign w:val="subscript"/>
        </w:rPr>
        <w:t>2</w:t>
      </w:r>
      <w:r w:rsidR="00AC695E" w:rsidRPr="00855423">
        <w:t>O, while the contribution of HFCs, PFCs and SF</w:t>
      </w:r>
      <w:r w:rsidR="00AC695E" w:rsidRPr="00855423">
        <w:rPr>
          <w:vertAlign w:val="subscript"/>
        </w:rPr>
        <w:t>6</w:t>
      </w:r>
      <w:r w:rsidR="00AC695E" w:rsidRPr="00855423">
        <w:t xml:space="preserve"> was of minor importance. The main GHG source </w:t>
      </w:r>
      <w:r w:rsidR="00C94893">
        <w:t>wa</w:t>
      </w:r>
      <w:r w:rsidR="00AC695E" w:rsidRPr="00855423">
        <w:t>s the energy sector (347.1 Tg CO</w:t>
      </w:r>
      <w:r w:rsidR="00AC695E" w:rsidRPr="00855423">
        <w:rPr>
          <w:vertAlign w:val="subscript"/>
        </w:rPr>
        <w:t>2e</w:t>
      </w:r>
      <w:r w:rsidR="00AC695E" w:rsidRPr="00855423">
        <w:t>), followed by the industr</w:t>
      </w:r>
      <w:r w:rsidR="002C619E" w:rsidRPr="00855423">
        <w:t xml:space="preserve">y </w:t>
      </w:r>
      <w:r w:rsidR="00AC695E" w:rsidRPr="00855423">
        <w:t>(32.1 Tg CO</w:t>
      </w:r>
      <w:r w:rsidR="00AC695E" w:rsidRPr="00855423">
        <w:rPr>
          <w:vertAlign w:val="subscript"/>
        </w:rPr>
        <w:t>2e</w:t>
      </w:r>
      <w:r w:rsidR="00AC695E" w:rsidRPr="00855423">
        <w:t>), agriculture (30.4 Tg CO</w:t>
      </w:r>
      <w:r w:rsidR="00AC695E" w:rsidRPr="00855423">
        <w:rPr>
          <w:vertAlign w:val="subscript"/>
        </w:rPr>
        <w:t>2e</w:t>
      </w:r>
      <w:r w:rsidR="00AC695E" w:rsidRPr="00855423">
        <w:t>), and waste (18.3 Tg CO</w:t>
      </w:r>
      <w:r w:rsidR="00AC695E" w:rsidRPr="00855423">
        <w:rPr>
          <w:vertAlign w:val="subscript"/>
        </w:rPr>
        <w:t>2e</w:t>
      </w:r>
      <w:r w:rsidR="00AC695E" w:rsidRPr="00855423">
        <w:t xml:space="preserve">) sectors, while the category LULUCF </w:t>
      </w:r>
      <w:r w:rsidR="00C94893">
        <w:t>was</w:t>
      </w:r>
      <w:r w:rsidR="00AC695E" w:rsidRPr="00855423">
        <w:t xml:space="preserve"> the main GHG sink (-29.9 Tg CO</w:t>
      </w:r>
      <w:r w:rsidR="00AC695E" w:rsidRPr="00855423">
        <w:rPr>
          <w:vertAlign w:val="subscript"/>
        </w:rPr>
        <w:t>2e</w:t>
      </w:r>
      <w:r w:rsidR="00AC695E" w:rsidRPr="00855423">
        <w:t xml:space="preserve">). More specifically, the agriculture sector mainly </w:t>
      </w:r>
      <w:r w:rsidR="009541DD">
        <w:t xml:space="preserve">emitted </w:t>
      </w:r>
      <w:r w:rsidR="00AC695E" w:rsidRPr="00855423">
        <w:t>CH</w:t>
      </w:r>
      <w:r w:rsidR="00AC695E" w:rsidRPr="00855423">
        <w:rPr>
          <w:vertAlign w:val="subscript"/>
        </w:rPr>
        <w:t>4</w:t>
      </w:r>
      <w:r w:rsidR="00AC695E" w:rsidRPr="00855423">
        <w:t xml:space="preserve"> from animal husbandry [i.e., enteric fermentation (14.0 Tg CO</w:t>
      </w:r>
      <w:r w:rsidR="00AC695E" w:rsidRPr="00855423">
        <w:rPr>
          <w:vertAlign w:val="subscript"/>
        </w:rPr>
        <w:t>2e</w:t>
      </w:r>
      <w:r w:rsidR="00AC695E" w:rsidRPr="00855423">
        <w:t>) and manure management (3.1 Tg CO</w:t>
      </w:r>
      <w:r w:rsidR="00AC695E" w:rsidRPr="00855423">
        <w:rPr>
          <w:vertAlign w:val="subscript"/>
        </w:rPr>
        <w:t>2e</w:t>
      </w:r>
      <w:r w:rsidR="00AC695E" w:rsidRPr="00855423">
        <w:t>) and rice cultivation (1.7 Tg CO</w:t>
      </w:r>
      <w:r w:rsidR="00AC695E" w:rsidRPr="00855423">
        <w:rPr>
          <w:vertAlign w:val="subscript"/>
        </w:rPr>
        <w:t>2e</w:t>
      </w:r>
      <w:r w:rsidR="00AC695E" w:rsidRPr="00855423">
        <w:t>]</w:t>
      </w:r>
      <w:r w:rsidR="00CC42A2" w:rsidRPr="00855423">
        <w:t xml:space="preserve">, </w:t>
      </w:r>
      <w:r w:rsidR="00AC695E" w:rsidRPr="00855423">
        <w:t>and N</w:t>
      </w:r>
      <w:r w:rsidR="00AC695E" w:rsidRPr="00855423">
        <w:rPr>
          <w:vertAlign w:val="subscript"/>
        </w:rPr>
        <w:t>2</w:t>
      </w:r>
      <w:r w:rsidR="00AC695E" w:rsidRPr="00855423">
        <w:t>O from agricultural soils (8.9 Tg CO</w:t>
      </w:r>
      <w:r w:rsidR="00AC695E" w:rsidRPr="00855423">
        <w:rPr>
          <w:vertAlign w:val="subscript"/>
        </w:rPr>
        <w:t>2e</w:t>
      </w:r>
      <w:r w:rsidR="00AC695E" w:rsidRPr="00855423">
        <w:t>) and manure management (2.1 Tg CO</w:t>
      </w:r>
      <w:r w:rsidR="00AC695E" w:rsidRPr="00855423">
        <w:rPr>
          <w:vertAlign w:val="subscript"/>
        </w:rPr>
        <w:t>2e</w:t>
      </w:r>
      <w:r w:rsidR="00AC695E" w:rsidRPr="00855423">
        <w:t>).</w:t>
      </w:r>
      <w:r w:rsidR="0023631E" w:rsidRPr="00855423">
        <w:t xml:space="preserve"> </w:t>
      </w:r>
      <w:r w:rsidR="009541DD">
        <w:t>T</w:t>
      </w:r>
      <w:r w:rsidR="004F14B6" w:rsidRPr="00855423">
        <w:t xml:space="preserve">he industrial processing </w:t>
      </w:r>
      <w:r w:rsidR="009541DD">
        <w:t xml:space="preserve">ones </w:t>
      </w:r>
      <w:r w:rsidR="004F14B6" w:rsidRPr="00855423">
        <w:t xml:space="preserve">were mainly due to the iron and steel industry, followed by the chemical, and pulp, paper and print ones. </w:t>
      </w:r>
      <w:r w:rsidR="009541DD">
        <w:t>T</w:t>
      </w:r>
      <w:r w:rsidR="004F14B6" w:rsidRPr="00855423">
        <w:t xml:space="preserve">he food processing, beverages and tobacco sector </w:t>
      </w:r>
      <w:r w:rsidR="009541DD">
        <w:t xml:space="preserve">emitted </w:t>
      </w:r>
      <w:r w:rsidR="004F14B6" w:rsidRPr="00855423">
        <w:t>~</w:t>
      </w:r>
      <w:r w:rsidR="0023631E" w:rsidRPr="00855423">
        <w:t xml:space="preserve">3.7 </w:t>
      </w:r>
      <w:r w:rsidR="004F14B6" w:rsidRPr="00855423">
        <w:t>Tg CO</w:t>
      </w:r>
      <w:r w:rsidR="004F14B6" w:rsidRPr="00855423">
        <w:rPr>
          <w:vertAlign w:val="subscript"/>
        </w:rPr>
        <w:t>2e</w:t>
      </w:r>
      <w:r w:rsidR="004F14B6" w:rsidRPr="00855423">
        <w:t xml:space="preserve"> (</w:t>
      </w:r>
      <w:r w:rsidR="0023631E" w:rsidRPr="00855423">
        <w:t>ISPRA (2018)</w:t>
      </w:r>
      <w:r w:rsidR="004F14B6" w:rsidRPr="00855423">
        <w:t>.</w:t>
      </w:r>
    </w:p>
    <w:p w:rsidR="0013058E" w:rsidRDefault="004F14B6" w:rsidP="004F14B6">
      <w:pPr>
        <w:pStyle w:val="CETBodytext"/>
      </w:pPr>
      <w:r w:rsidRPr="00855423">
        <w:t>The contribution of the agro-food sector to the overall direct GHG emissions cannot be directly extracted from any NIR, since most of its subsectors</w:t>
      </w:r>
      <w:r w:rsidR="00CC42A2" w:rsidRPr="00855423">
        <w:t xml:space="preserve"> (namely, </w:t>
      </w:r>
      <w:r w:rsidRPr="00855423">
        <w:t>agro-food product transportation</w:t>
      </w:r>
      <w:r w:rsidR="00CC42A2" w:rsidRPr="00855423">
        <w:t>;</w:t>
      </w:r>
      <w:r w:rsidRPr="00855423">
        <w:t xml:space="preserve"> production and transportation</w:t>
      </w:r>
      <w:r w:rsidR="00CC42A2" w:rsidRPr="00855423">
        <w:t xml:space="preserve"> of packaging materials;</w:t>
      </w:r>
      <w:r w:rsidRPr="00855423">
        <w:t xml:space="preserve"> food transport from retailer to </w:t>
      </w:r>
      <w:r w:rsidR="00CC42A2" w:rsidRPr="00855423">
        <w:t xml:space="preserve">consumer’s </w:t>
      </w:r>
      <w:r w:rsidRPr="00855423">
        <w:t>house</w:t>
      </w:r>
      <w:r w:rsidR="00CC42A2" w:rsidRPr="00855423">
        <w:t>;</w:t>
      </w:r>
      <w:r w:rsidRPr="00855423">
        <w:t xml:space="preserve"> electric energy consum</w:t>
      </w:r>
      <w:r w:rsidR="00CC42A2" w:rsidRPr="00855423">
        <w:t xml:space="preserve">ed </w:t>
      </w:r>
      <w:r w:rsidRPr="00855423">
        <w:t>to preserve foods in the home freezer, fridge, etc.</w:t>
      </w:r>
      <w:r w:rsidR="00CC42A2" w:rsidRPr="00855423">
        <w:t>;</w:t>
      </w:r>
      <w:r w:rsidRPr="00855423">
        <w:t xml:space="preserve"> gas and</w:t>
      </w:r>
      <w:r w:rsidR="00CC42A2" w:rsidRPr="00855423">
        <w:t>/or</w:t>
      </w:r>
      <w:r w:rsidRPr="00855423">
        <w:t xml:space="preserve"> electric energy consum</w:t>
      </w:r>
      <w:r w:rsidR="00CC42A2" w:rsidRPr="00855423">
        <w:t xml:space="preserve">ed </w:t>
      </w:r>
      <w:r w:rsidRPr="00855423">
        <w:t>to cook foods</w:t>
      </w:r>
      <w:r w:rsidR="00FA2E86" w:rsidRPr="00855423">
        <w:t xml:space="preserve">; </w:t>
      </w:r>
      <w:r w:rsidRPr="00855423">
        <w:t xml:space="preserve">disposal of food </w:t>
      </w:r>
      <w:r w:rsidR="00CC42A2" w:rsidRPr="00855423">
        <w:t xml:space="preserve">losses </w:t>
      </w:r>
      <w:r w:rsidRPr="00855423">
        <w:t xml:space="preserve">or wastes) are aggregated in other sectors. </w:t>
      </w:r>
      <w:r w:rsidR="0013058E">
        <w:t xml:space="preserve">The Italian </w:t>
      </w:r>
      <w:r w:rsidRPr="00855423">
        <w:t xml:space="preserve">contribution was </w:t>
      </w:r>
      <w:r w:rsidR="0013058E">
        <w:t xml:space="preserve">found to be </w:t>
      </w:r>
      <w:r w:rsidR="00521522" w:rsidRPr="00855423">
        <w:t>a</w:t>
      </w:r>
      <w:r w:rsidRPr="00855423">
        <w:t xml:space="preserve">bout </w:t>
      </w:r>
      <w:r w:rsidR="0013058E">
        <w:t xml:space="preserve">the </w:t>
      </w:r>
      <w:r w:rsidRPr="00855423">
        <w:t>19% of the overall GHG emissions</w:t>
      </w:r>
      <w:r w:rsidR="000F1C4D" w:rsidRPr="00855423">
        <w:t xml:space="preserve"> (Moresi, 2014)</w:t>
      </w:r>
      <w:r w:rsidR="0013058E">
        <w:t xml:space="preserve">, this </w:t>
      </w:r>
      <w:r w:rsidR="00F50A4D" w:rsidRPr="00855423">
        <w:t>fall</w:t>
      </w:r>
      <w:r w:rsidR="0013058E">
        <w:t xml:space="preserve">ing </w:t>
      </w:r>
      <w:r w:rsidR="00F50A4D" w:rsidRPr="00855423">
        <w:t>within the range estimated by Tukker et al. (2006)</w:t>
      </w:r>
      <w:r w:rsidR="0013058E">
        <w:t>.</w:t>
      </w:r>
    </w:p>
    <w:p w:rsidR="00EC55D0" w:rsidRPr="00855423" w:rsidRDefault="00EC55D0" w:rsidP="00EC55D0">
      <w:pPr>
        <w:pStyle w:val="CETHeading1"/>
        <w:tabs>
          <w:tab w:val="right" w:pos="7100"/>
        </w:tabs>
        <w:jc w:val="both"/>
      </w:pPr>
      <w:r w:rsidRPr="00855423">
        <w:lastRenderedPageBreak/>
        <w:t>Key elements for sustainable food processing</w:t>
      </w:r>
    </w:p>
    <w:p w:rsidR="00EC55D0" w:rsidRPr="00855423" w:rsidRDefault="006E20AF" w:rsidP="00EC55D0">
      <w:pPr>
        <w:pStyle w:val="CETBodytext"/>
      </w:pPr>
      <w:r w:rsidRPr="00855423">
        <w:t xml:space="preserve">No </w:t>
      </w:r>
      <w:r w:rsidR="00EC55D0" w:rsidRPr="00855423">
        <w:t>food processi</w:t>
      </w:r>
      <w:r w:rsidRPr="00855423">
        <w:t>ng is nowadays 100% sustainable</w:t>
      </w:r>
      <w:r w:rsidR="00DA2A1B" w:rsidRPr="00855423">
        <w:t xml:space="preserve"> owing to the </w:t>
      </w:r>
      <w:r w:rsidR="00EC55D0" w:rsidRPr="00855423">
        <w:t>lack of energy</w:t>
      </w:r>
      <w:r w:rsidR="007C1BDF" w:rsidRPr="00855423">
        <w:t xml:space="preserve">, </w:t>
      </w:r>
      <w:r w:rsidR="00EC55D0" w:rsidRPr="00855423">
        <w:t>ingredients and packaging materials</w:t>
      </w:r>
      <w:r w:rsidR="007C1BDF" w:rsidRPr="00855423">
        <w:t xml:space="preserve"> derived </w:t>
      </w:r>
      <w:r w:rsidR="00EC55D0" w:rsidRPr="00855423">
        <w:t>from renewable resources</w:t>
      </w:r>
      <w:r w:rsidR="007C1BDF" w:rsidRPr="00855423">
        <w:t xml:space="preserve">; </w:t>
      </w:r>
      <w:r w:rsidR="00EC55D0" w:rsidRPr="00855423">
        <w:t>excessive water use;</w:t>
      </w:r>
      <w:r w:rsidR="007C1BDF" w:rsidRPr="00855423">
        <w:t xml:space="preserve"> the </w:t>
      </w:r>
      <w:r w:rsidRPr="00855423">
        <w:t>CH</w:t>
      </w:r>
      <w:r w:rsidRPr="00855423">
        <w:rPr>
          <w:vertAlign w:val="subscript"/>
        </w:rPr>
        <w:t>4</w:t>
      </w:r>
      <w:r w:rsidRPr="00855423">
        <w:t xml:space="preserve"> and N</w:t>
      </w:r>
      <w:r w:rsidRPr="00855423">
        <w:rPr>
          <w:vertAlign w:val="subscript"/>
        </w:rPr>
        <w:t>2</w:t>
      </w:r>
      <w:r w:rsidRPr="00855423">
        <w:t xml:space="preserve">O emissions associated with </w:t>
      </w:r>
      <w:r w:rsidR="00EC55D0" w:rsidRPr="00855423">
        <w:t>crop production and animal husbandry</w:t>
      </w:r>
      <w:r w:rsidRPr="00855423">
        <w:t xml:space="preserve">; and </w:t>
      </w:r>
      <w:r w:rsidR="00EC55D0" w:rsidRPr="00855423">
        <w:t>lack</w:t>
      </w:r>
      <w:r w:rsidRPr="00855423">
        <w:t xml:space="preserve"> </w:t>
      </w:r>
      <w:r w:rsidR="00F50A4D">
        <w:t xml:space="preserve">of </w:t>
      </w:r>
      <w:r w:rsidRPr="00855423">
        <w:t>bio</w:t>
      </w:r>
      <w:r w:rsidR="00EC55D0" w:rsidRPr="00855423">
        <w:t>degradable packaging materials</w:t>
      </w:r>
      <w:r w:rsidR="00AD4D44" w:rsidRPr="00855423">
        <w:t xml:space="preserve"> (</w:t>
      </w:r>
      <w:r w:rsidRPr="00855423">
        <w:t>Morawicki</w:t>
      </w:r>
      <w:r w:rsidR="00AD4D44" w:rsidRPr="00855423">
        <w:t xml:space="preserve">, </w:t>
      </w:r>
      <w:r w:rsidRPr="00855423">
        <w:t>2012)</w:t>
      </w:r>
      <w:r w:rsidR="00AD4D44" w:rsidRPr="00855423">
        <w:t>.</w:t>
      </w:r>
      <w:r w:rsidR="00E02E97" w:rsidRPr="00855423">
        <w:t xml:space="preserve"> </w:t>
      </w:r>
      <w:r w:rsidR="00327738" w:rsidRPr="00855423">
        <w:t>Nevertheless, t</w:t>
      </w:r>
      <w:r w:rsidR="00AD4D44" w:rsidRPr="00855423">
        <w:t xml:space="preserve">o relieve its environmental impact a </w:t>
      </w:r>
      <w:r w:rsidR="00EC55D0" w:rsidRPr="00855423">
        <w:t xml:space="preserve">food company might </w:t>
      </w:r>
      <w:r w:rsidR="00AD4D44" w:rsidRPr="00855423">
        <w:t xml:space="preserve">resort to a </w:t>
      </w:r>
      <w:r w:rsidR="00EC55D0" w:rsidRPr="00855423">
        <w:t>simple and progressive approach to sustainability</w:t>
      </w:r>
      <w:r w:rsidR="00327738" w:rsidRPr="00855423">
        <w:t xml:space="preserve">. Firstly, </w:t>
      </w:r>
      <w:r w:rsidR="00EC55D0" w:rsidRPr="00855423">
        <w:t>food</w:t>
      </w:r>
      <w:r w:rsidR="00AD4D44" w:rsidRPr="00855423">
        <w:t xml:space="preserve"> processing plant efficiencies </w:t>
      </w:r>
      <w:r w:rsidR="00E02E97" w:rsidRPr="00855423">
        <w:t xml:space="preserve">for </w:t>
      </w:r>
      <w:r w:rsidR="00AD4D44" w:rsidRPr="00855423">
        <w:t>energy, water, and raw and packaging material</w:t>
      </w:r>
      <w:r w:rsidR="00E02E97" w:rsidRPr="00855423">
        <w:t xml:space="preserve"> consumption </w:t>
      </w:r>
      <w:r w:rsidR="00327738" w:rsidRPr="00855423">
        <w:t xml:space="preserve">should be </w:t>
      </w:r>
      <w:r w:rsidR="00E02E97" w:rsidRPr="00855423">
        <w:t>improved</w:t>
      </w:r>
      <w:r w:rsidR="00327738" w:rsidRPr="00855423">
        <w:t xml:space="preserve"> </w:t>
      </w:r>
      <w:r w:rsidR="00AD4D44" w:rsidRPr="00855423">
        <w:t xml:space="preserve">and </w:t>
      </w:r>
      <w:r w:rsidR="00EC55D0" w:rsidRPr="00855423">
        <w:t xml:space="preserve">fossil energy usage </w:t>
      </w:r>
      <w:r w:rsidR="00327738" w:rsidRPr="00855423">
        <w:t xml:space="preserve">replaced </w:t>
      </w:r>
      <w:r w:rsidR="00EC55D0" w:rsidRPr="00855423">
        <w:t xml:space="preserve">with renewable </w:t>
      </w:r>
      <w:r w:rsidR="00D32ACA" w:rsidRPr="00855423">
        <w:t xml:space="preserve">one </w:t>
      </w:r>
      <w:r w:rsidR="00EC55D0" w:rsidRPr="00855423">
        <w:t>by purchase or self-</w:t>
      </w:r>
      <w:r w:rsidR="00E02E97" w:rsidRPr="00855423">
        <w:t xml:space="preserve"> </w:t>
      </w:r>
      <w:r w:rsidR="00EC55D0" w:rsidRPr="00855423">
        <w:t xml:space="preserve">generation. </w:t>
      </w:r>
      <w:r w:rsidR="002F4D80" w:rsidRPr="00855423">
        <w:t xml:space="preserve">Then, </w:t>
      </w:r>
      <w:r w:rsidR="00EC55D0" w:rsidRPr="00855423">
        <w:t xml:space="preserve">the </w:t>
      </w:r>
      <w:r w:rsidR="000F676A" w:rsidRPr="00855423">
        <w:t xml:space="preserve">GHG emissions associated with the </w:t>
      </w:r>
      <w:r w:rsidR="00EC55D0" w:rsidRPr="00855423">
        <w:t>transportation of raw materials and final product</w:t>
      </w:r>
      <w:r w:rsidR="00E02E97" w:rsidRPr="00855423">
        <w:t>s</w:t>
      </w:r>
      <w:r w:rsidR="002F4D80" w:rsidRPr="00855423">
        <w:t xml:space="preserve">, field phase, and post-consumer </w:t>
      </w:r>
      <w:r w:rsidR="00E02E97" w:rsidRPr="00855423">
        <w:t xml:space="preserve">disposal of </w:t>
      </w:r>
      <w:r w:rsidR="002F4D80" w:rsidRPr="00855423">
        <w:t>packaging materials and food loss</w:t>
      </w:r>
      <w:r w:rsidR="00E02E97" w:rsidRPr="00855423">
        <w:t xml:space="preserve"> </w:t>
      </w:r>
      <w:r w:rsidR="000F676A" w:rsidRPr="00855423">
        <w:t>should be reduced</w:t>
      </w:r>
      <w:r w:rsidR="002405E8" w:rsidRPr="00855423">
        <w:t>.</w:t>
      </w:r>
      <w:r w:rsidR="000B389E" w:rsidRPr="00855423">
        <w:t xml:space="preserve"> Despite firm-oriented, such an approach might result in mitigation actions exerting a minimum reduction in the product carbon footprint</w:t>
      </w:r>
      <w:r w:rsidR="006468C2" w:rsidRPr="00855423">
        <w:t xml:space="preserve">. </w:t>
      </w:r>
      <w:r w:rsidR="000B389E" w:rsidRPr="00855423">
        <w:t xml:space="preserve">Thus, </w:t>
      </w:r>
      <w:r w:rsidR="008C7628" w:rsidRPr="00855423">
        <w:t xml:space="preserve">the </w:t>
      </w:r>
      <w:r w:rsidR="000B389E" w:rsidRPr="00855423">
        <w:t xml:space="preserve">mitigation opportunities </w:t>
      </w:r>
      <w:r w:rsidR="008C7628" w:rsidRPr="00855423">
        <w:t xml:space="preserve">should be </w:t>
      </w:r>
      <w:r w:rsidR="000B389E" w:rsidRPr="00855423">
        <w:t>prioritiz</w:t>
      </w:r>
      <w:r w:rsidR="00AD704E" w:rsidRPr="00855423">
        <w:t>e</w:t>
      </w:r>
      <w:r w:rsidR="006468C2" w:rsidRPr="00855423">
        <w:t xml:space="preserve">d starting from </w:t>
      </w:r>
      <w:r w:rsidR="000B389E" w:rsidRPr="00855423">
        <w:t xml:space="preserve">the life cycle stages with the highest contribution to the product </w:t>
      </w:r>
      <w:r w:rsidR="00412769">
        <w:t>CF</w:t>
      </w:r>
      <w:r w:rsidR="006468C2" w:rsidRPr="00855423">
        <w:t>, as previously assessed (Cimini and Moresi, 2018b).</w:t>
      </w:r>
    </w:p>
    <w:p w:rsidR="00EC55D0" w:rsidRPr="00855423" w:rsidRDefault="00EC55D0" w:rsidP="00EC55D0">
      <w:pPr>
        <w:pStyle w:val="CETHeading1"/>
        <w:tabs>
          <w:tab w:val="right" w:pos="7100"/>
        </w:tabs>
        <w:jc w:val="both"/>
      </w:pPr>
      <w:r w:rsidRPr="00855423">
        <w:t>Case stud</w:t>
      </w:r>
      <w:r w:rsidR="009F1C34" w:rsidRPr="00855423">
        <w:t>ies</w:t>
      </w:r>
      <w:r w:rsidRPr="00855423">
        <w:t xml:space="preserve">: Lager beer </w:t>
      </w:r>
      <w:r w:rsidR="009F1C34" w:rsidRPr="00855423">
        <w:t xml:space="preserve">and dry pasta </w:t>
      </w:r>
      <w:r w:rsidRPr="00855423">
        <w:t xml:space="preserve">production </w:t>
      </w:r>
    </w:p>
    <w:p w:rsidR="00394DB8" w:rsidRDefault="008B45C3" w:rsidP="00394DB8">
      <w:pPr>
        <w:pStyle w:val="CETBodytext"/>
      </w:pPr>
      <w:r w:rsidRPr="00855423">
        <w:t>T</w:t>
      </w:r>
      <w:r w:rsidR="00EC55D0" w:rsidRPr="00855423">
        <w:t xml:space="preserve">he </w:t>
      </w:r>
      <w:r w:rsidRPr="00855423">
        <w:t xml:space="preserve">cradle-to-grave </w:t>
      </w:r>
      <w:r w:rsidR="0013058E">
        <w:t>CF</w:t>
      </w:r>
      <w:r w:rsidR="00EC55D0" w:rsidRPr="00855423">
        <w:t xml:space="preserve"> of a </w:t>
      </w:r>
      <w:r w:rsidR="009F1C34" w:rsidRPr="00855423">
        <w:t xml:space="preserve">malt lager </w:t>
      </w:r>
      <w:r w:rsidR="00EC55D0" w:rsidRPr="00855423">
        <w:t>beer</w:t>
      </w:r>
      <w:r w:rsidR="009F1C34" w:rsidRPr="00855423">
        <w:t xml:space="preserve"> (Cimini and Moresi, 2016, 201</w:t>
      </w:r>
      <w:r w:rsidR="00FA4BC4" w:rsidRPr="00855423">
        <w:t>8c</w:t>
      </w:r>
      <w:r w:rsidR="009F1C34" w:rsidRPr="00855423">
        <w:t xml:space="preserve">), </w:t>
      </w:r>
      <w:r w:rsidR="00F50A4D">
        <w:t xml:space="preserve">or </w:t>
      </w:r>
      <w:r w:rsidR="002A42C8" w:rsidRPr="00855423">
        <w:t xml:space="preserve">an </w:t>
      </w:r>
      <w:r w:rsidR="009F1C34" w:rsidRPr="00855423">
        <w:t>organic durum wheat semolina pasta</w:t>
      </w:r>
      <w:r w:rsidR="00FA4BC4" w:rsidRPr="00855423">
        <w:t xml:space="preserve"> (C</w:t>
      </w:r>
      <w:r w:rsidR="00F50A4D">
        <w:t>ib</w:t>
      </w:r>
      <w:r w:rsidR="00805240" w:rsidRPr="00855423">
        <w:t>elli et al</w:t>
      </w:r>
      <w:r w:rsidR="00F50A4D">
        <w:t>.</w:t>
      </w:r>
      <w:r w:rsidR="00805240" w:rsidRPr="00855423">
        <w:t xml:space="preserve">, </w:t>
      </w:r>
      <w:r w:rsidR="00FA4BC4" w:rsidRPr="00855423">
        <w:t>201</w:t>
      </w:r>
      <w:r w:rsidR="00805240" w:rsidRPr="00855423">
        <w:t>7</w:t>
      </w:r>
      <w:r w:rsidR="00FA4BC4" w:rsidRPr="00855423">
        <w:t>)</w:t>
      </w:r>
      <w:r w:rsidR="00805240" w:rsidRPr="00855423">
        <w:t xml:space="preserve"> </w:t>
      </w:r>
      <w:r w:rsidRPr="00855423">
        <w:t>w</w:t>
      </w:r>
      <w:r w:rsidR="00F50A4D">
        <w:t xml:space="preserve">as </w:t>
      </w:r>
      <w:r w:rsidRPr="00855423">
        <w:t xml:space="preserve">previously estimated </w:t>
      </w:r>
      <w:r w:rsidR="00EC55D0" w:rsidRPr="00855423">
        <w:t xml:space="preserve">by applying the PAS 2050 standard method (BSI, 2008). All the </w:t>
      </w:r>
      <w:r w:rsidRPr="00855423">
        <w:t xml:space="preserve">LCA </w:t>
      </w:r>
      <w:r w:rsidR="00EC55D0" w:rsidRPr="00855423">
        <w:t>canonical stages</w:t>
      </w:r>
      <w:r w:rsidRPr="00855423">
        <w:t xml:space="preserve"> </w:t>
      </w:r>
      <w:r w:rsidR="00EC55D0" w:rsidRPr="00855423">
        <w:t xml:space="preserve">(i.e., goal and scope definition, inventory analysis, impact assessment, and interpretation of results) were </w:t>
      </w:r>
      <w:r w:rsidRPr="00855423">
        <w:t>referr</w:t>
      </w:r>
      <w:r w:rsidR="0013058E">
        <w:t xml:space="preserve">ed </w:t>
      </w:r>
      <w:r w:rsidRPr="00855423">
        <w:t xml:space="preserve">to a functional unit consisting of </w:t>
      </w:r>
      <w:r w:rsidR="00EC55D0" w:rsidRPr="00855423">
        <w:t xml:space="preserve">1 hL of beer </w:t>
      </w:r>
      <w:r w:rsidR="002A42C8" w:rsidRPr="00855423">
        <w:t xml:space="preserve">or 1 kg of dry pasta, as packed in 66-cL glass bottles or 0.5-kg polypropylene </w:t>
      </w:r>
      <w:r w:rsidR="00F50A4D">
        <w:t xml:space="preserve">(PP)  </w:t>
      </w:r>
      <w:r w:rsidR="002A42C8" w:rsidRPr="00855423">
        <w:t>bags</w:t>
      </w:r>
      <w:r w:rsidRPr="00855423">
        <w:t>, respectively</w:t>
      </w:r>
      <w:r w:rsidR="00EC55D0" w:rsidRPr="00855423">
        <w:t>. The system boundar</w:t>
      </w:r>
      <w:r w:rsidR="002A42C8" w:rsidRPr="00855423">
        <w:t>ies for these case</w:t>
      </w:r>
      <w:r w:rsidR="00EC55D0" w:rsidRPr="00855423">
        <w:t xml:space="preserve"> stud</w:t>
      </w:r>
      <w:r w:rsidR="002A42C8" w:rsidRPr="00855423">
        <w:t xml:space="preserve">ies </w:t>
      </w:r>
      <w:r w:rsidR="00AB38AC" w:rsidRPr="00855423">
        <w:t>are</w:t>
      </w:r>
      <w:r w:rsidR="00855423">
        <w:t xml:space="preserve"> </w:t>
      </w:r>
      <w:r w:rsidR="00AB38AC" w:rsidRPr="00855423">
        <w:t xml:space="preserve">shown </w:t>
      </w:r>
      <w:r w:rsidR="00EC55D0" w:rsidRPr="00855423">
        <w:t xml:space="preserve">in Fig. </w:t>
      </w:r>
      <w:r w:rsidR="00FA4BC4" w:rsidRPr="00855423">
        <w:t>2</w:t>
      </w:r>
      <w:r w:rsidR="00EC55D0" w:rsidRPr="00855423">
        <w:t>.</w:t>
      </w:r>
      <w:r w:rsidR="00394DB8">
        <w:t xml:space="preserve"> </w:t>
      </w:r>
      <w:r w:rsidR="00394DB8" w:rsidRPr="00855423">
        <w:t>According to PAS 2050 (Section 7.2), the geographic and time scopes of this LCA study were referred to Western Europe and to the years 2006-2016. Finally, process data were of the primary type (Cibelli et al., 2017</w:t>
      </w:r>
      <w:r w:rsidR="00394DB8">
        <w:t xml:space="preserve">; </w:t>
      </w:r>
      <w:r w:rsidR="00394DB8" w:rsidRPr="00855423">
        <w:t>Cimini and Moresi, 2018c).</w:t>
      </w:r>
    </w:p>
    <w:p w:rsidR="002D02CD" w:rsidRDefault="002D02CD" w:rsidP="00394DB8">
      <w:pPr>
        <w:pStyle w:val="CETBodytext"/>
      </w:pPr>
    </w:p>
    <w:p w:rsidR="00600535" w:rsidRPr="00855423" w:rsidRDefault="002D02CD" w:rsidP="00600535">
      <w:pPr>
        <w:pStyle w:val="CETBodytext"/>
      </w:pPr>
      <w:r>
        <w:rPr>
          <w:noProof/>
          <w:lang w:val="it-IT" w:eastAsia="it-IT"/>
        </w:rPr>
        <w:drawing>
          <wp:inline distT="0" distB="0" distL="0" distR="0">
            <wp:extent cx="5553075" cy="2209046"/>
            <wp:effectExtent l="0" t="0" r="0" b="127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CAHQ-rev.jpg"/>
                    <pic:cNvPicPr/>
                  </pic:nvPicPr>
                  <pic:blipFill rotWithShape="1">
                    <a:blip r:embed="rId11" cstate="print">
                      <a:extLst>
                        <a:ext uri="{28A0092B-C50C-407E-A947-70E740481C1C}">
                          <a14:useLocalDpi xmlns:a14="http://schemas.microsoft.com/office/drawing/2010/main" val="0"/>
                        </a:ext>
                      </a:extLst>
                    </a:blip>
                    <a:srcRect l="2275" t="1822" r="994" b="2878"/>
                    <a:stretch/>
                  </pic:blipFill>
                  <pic:spPr bwMode="auto">
                    <a:xfrm>
                      <a:off x="0" y="0"/>
                      <a:ext cx="6989638" cy="2780519"/>
                    </a:xfrm>
                    <a:prstGeom prst="rect">
                      <a:avLst/>
                    </a:prstGeom>
                    <a:ln>
                      <a:noFill/>
                    </a:ln>
                    <a:extLst>
                      <a:ext uri="{53640926-AAD7-44D8-BBD7-CCE9431645EC}">
                        <a14:shadowObscured xmlns:a14="http://schemas.microsoft.com/office/drawing/2010/main"/>
                      </a:ext>
                    </a:extLst>
                  </pic:spPr>
                </pic:pic>
              </a:graphicData>
            </a:graphic>
          </wp:inline>
        </w:drawing>
      </w:r>
    </w:p>
    <w:p w:rsidR="00117836" w:rsidRPr="00855423" w:rsidRDefault="00805240" w:rsidP="00E240E3">
      <w:pPr>
        <w:pStyle w:val="CETCaption"/>
        <w:spacing w:before="120" w:after="120"/>
        <w:rPr>
          <w:lang w:val="en-US"/>
        </w:rPr>
      </w:pPr>
      <w:r w:rsidRPr="00855423">
        <w:rPr>
          <w:lang w:val="en-US"/>
        </w:rPr>
        <w:t>Figure 2</w:t>
      </w:r>
      <w:r w:rsidR="00600535" w:rsidRPr="00855423">
        <w:rPr>
          <w:lang w:val="en-US"/>
        </w:rPr>
        <w:t xml:space="preserve">: </w:t>
      </w:r>
      <w:r w:rsidR="00117836" w:rsidRPr="00855423">
        <w:rPr>
          <w:lang w:val="en-US"/>
        </w:rPr>
        <w:t xml:space="preserve">Beer and dry pasta system boundaries, as </w:t>
      </w:r>
      <w:r w:rsidR="00FA4BC4" w:rsidRPr="00855423">
        <w:rPr>
          <w:lang w:val="en-US"/>
        </w:rPr>
        <w:t xml:space="preserve">adapted </w:t>
      </w:r>
      <w:r w:rsidR="00117836" w:rsidRPr="00855423">
        <w:rPr>
          <w:lang w:val="en-US"/>
        </w:rPr>
        <w:t>from Cimini and Moresi (201</w:t>
      </w:r>
      <w:r w:rsidR="00AB38AC" w:rsidRPr="00855423">
        <w:rPr>
          <w:lang w:val="en-US"/>
        </w:rPr>
        <w:t>8c</w:t>
      </w:r>
      <w:r w:rsidR="00117836" w:rsidRPr="00855423">
        <w:rPr>
          <w:lang w:val="en-US"/>
        </w:rPr>
        <w:t>) and Ci</w:t>
      </w:r>
      <w:r w:rsidR="00C07265">
        <w:rPr>
          <w:lang w:val="en-US"/>
        </w:rPr>
        <w:t xml:space="preserve">belli et </w:t>
      </w:r>
      <w:r w:rsidR="00117836" w:rsidRPr="00855423">
        <w:rPr>
          <w:lang w:val="en-US"/>
        </w:rPr>
        <w:t>al.</w:t>
      </w:r>
      <w:r w:rsidR="00AB38AC" w:rsidRPr="00855423">
        <w:rPr>
          <w:lang w:val="en-US"/>
        </w:rPr>
        <w:t xml:space="preserve"> </w:t>
      </w:r>
      <w:r w:rsidR="00117836" w:rsidRPr="00855423">
        <w:rPr>
          <w:lang w:val="en-US"/>
        </w:rPr>
        <w:t>(201</w:t>
      </w:r>
      <w:r w:rsidR="0013058E">
        <w:rPr>
          <w:lang w:val="en-US"/>
        </w:rPr>
        <w:t>7</w:t>
      </w:r>
      <w:r w:rsidR="00117836" w:rsidRPr="00855423">
        <w:rPr>
          <w:lang w:val="en-US"/>
        </w:rPr>
        <w:t xml:space="preserve">). </w:t>
      </w:r>
      <w:r w:rsidR="00FA4BC4" w:rsidRPr="00855423">
        <w:rPr>
          <w:lang w:val="en-US"/>
        </w:rPr>
        <w:t>Main identification items: E</w:t>
      </w:r>
      <w:r w:rsidR="00E240E3" w:rsidRPr="00855423">
        <w:rPr>
          <w:lang w:val="en-US"/>
        </w:rPr>
        <w:t>E</w:t>
      </w:r>
      <w:r w:rsidR="00FA4BC4" w:rsidRPr="00855423">
        <w:rPr>
          <w:lang w:val="en-US"/>
        </w:rPr>
        <w:t>, electr</w:t>
      </w:r>
      <w:r w:rsidR="00E240E3" w:rsidRPr="00855423">
        <w:rPr>
          <w:lang w:val="en-US"/>
        </w:rPr>
        <w:t>i</w:t>
      </w:r>
      <w:r w:rsidR="00FA4BC4" w:rsidRPr="00855423">
        <w:rPr>
          <w:lang w:val="en-US"/>
        </w:rPr>
        <w:t xml:space="preserve">c energy; EoL, end of life; </w:t>
      </w:r>
      <w:r w:rsidR="00E240E3" w:rsidRPr="00855423">
        <w:rPr>
          <w:lang w:val="en-US"/>
        </w:rPr>
        <w:t>Q</w:t>
      </w:r>
      <w:r w:rsidR="00FA4BC4" w:rsidRPr="00855423">
        <w:rPr>
          <w:lang w:val="en-US"/>
        </w:rPr>
        <w:t>, thermal energy; TR, transport; TW, process water</w:t>
      </w:r>
      <w:r w:rsidR="00E240E3" w:rsidRPr="00855423">
        <w:rPr>
          <w:lang w:val="en-US"/>
        </w:rPr>
        <w:t>.</w:t>
      </w:r>
      <w:r w:rsidR="00FA4BC4" w:rsidRPr="00855423">
        <w:rPr>
          <w:lang w:val="en-US"/>
        </w:rPr>
        <w:t xml:space="preserve"> </w:t>
      </w:r>
    </w:p>
    <w:p w:rsidR="006128CA" w:rsidRDefault="006128CA" w:rsidP="0013058E">
      <w:pPr>
        <w:pStyle w:val="CETBodytext"/>
      </w:pPr>
    </w:p>
    <w:p w:rsidR="00805EBE" w:rsidRDefault="0013058E" w:rsidP="00805EBE">
      <w:pPr>
        <w:pStyle w:val="CETBodytext"/>
      </w:pPr>
      <w:r w:rsidRPr="00855423">
        <w:t xml:space="preserve">In this work, to explain better the mitigation strategy extracted from LCA using the single impact category of climate change, a large-sized brewery with an annual beer capacity of </w:t>
      </w:r>
      <w:r>
        <w:t>3</w:t>
      </w:r>
      <w:r w:rsidRPr="00855423">
        <w:t>x10</w:t>
      </w:r>
      <w:r w:rsidRPr="00855423">
        <w:rPr>
          <w:vertAlign w:val="superscript"/>
        </w:rPr>
        <w:t>6</w:t>
      </w:r>
      <w:r w:rsidRPr="00855423">
        <w:t xml:space="preserve"> hL was assumed as reference case (RC). The essential data used to run the LCA model were </w:t>
      </w:r>
      <w:r>
        <w:t>given previously (</w:t>
      </w:r>
      <w:r w:rsidRPr="00855423">
        <w:t>Cimini and Moresi</w:t>
      </w:r>
      <w:r>
        <w:t xml:space="preserve">, </w:t>
      </w:r>
      <w:r w:rsidRPr="00855423">
        <w:t>2018</w:t>
      </w:r>
      <w:r>
        <w:t>b</w:t>
      </w:r>
      <w:r w:rsidRPr="00855423">
        <w:t>). The beer CF value was of about 1</w:t>
      </w:r>
      <w:r>
        <w:t>2</w:t>
      </w:r>
      <w:r w:rsidRPr="00855423">
        <w:t>7 kg CO</w:t>
      </w:r>
      <w:r w:rsidRPr="00855423">
        <w:rPr>
          <w:vertAlign w:val="subscript"/>
        </w:rPr>
        <w:t>2e</w:t>
      </w:r>
      <w:r w:rsidRPr="00855423">
        <w:t xml:space="preserve"> hL</w:t>
      </w:r>
      <w:r w:rsidRPr="00855423">
        <w:rPr>
          <w:vertAlign w:val="superscript"/>
        </w:rPr>
        <w:t>-1</w:t>
      </w:r>
      <w:r>
        <w:t>. T</w:t>
      </w:r>
      <w:r w:rsidRPr="00855423">
        <w:t xml:space="preserve">he life cycle phases </w:t>
      </w:r>
      <w:r w:rsidR="0070710D">
        <w:t xml:space="preserve">most contributing to CF </w:t>
      </w:r>
      <w:r>
        <w:t>were</w:t>
      </w:r>
      <w:r w:rsidRPr="00855423">
        <w:t>, in descending order, associated with packaging material manufacture (~</w:t>
      </w:r>
      <w:r>
        <w:t>56</w:t>
      </w:r>
      <w:r w:rsidRPr="00855423">
        <w:t xml:space="preserve"> kg CO</w:t>
      </w:r>
      <w:r w:rsidRPr="00855423">
        <w:rPr>
          <w:vertAlign w:val="subscript"/>
        </w:rPr>
        <w:t>2e</w:t>
      </w:r>
      <w:r w:rsidRPr="00855423">
        <w:t xml:space="preserve"> hL</w:t>
      </w:r>
      <w:r w:rsidRPr="00855423">
        <w:rPr>
          <w:vertAlign w:val="superscript"/>
        </w:rPr>
        <w:t>-1</w:t>
      </w:r>
      <w:r w:rsidRPr="00855423">
        <w:t>), transportation (~</w:t>
      </w:r>
      <w:r>
        <w:t>29</w:t>
      </w:r>
      <w:r w:rsidRPr="00855423">
        <w:t xml:space="preserve"> kg CO</w:t>
      </w:r>
      <w:r w:rsidRPr="00855423">
        <w:rPr>
          <w:vertAlign w:val="subscript"/>
        </w:rPr>
        <w:t>2e</w:t>
      </w:r>
      <w:r w:rsidRPr="00855423">
        <w:t xml:space="preserve"> hL</w:t>
      </w:r>
      <w:r w:rsidRPr="00855423">
        <w:rPr>
          <w:vertAlign w:val="superscript"/>
        </w:rPr>
        <w:t>-1</w:t>
      </w:r>
      <w:r w:rsidRPr="00855423">
        <w:t>), production of malted barley and processing aids (~2</w:t>
      </w:r>
      <w:r>
        <w:t>3</w:t>
      </w:r>
      <w:r w:rsidRPr="00855423">
        <w:t xml:space="preserve"> kg CO</w:t>
      </w:r>
      <w:r w:rsidRPr="00855423">
        <w:rPr>
          <w:vertAlign w:val="subscript"/>
        </w:rPr>
        <w:t>2e</w:t>
      </w:r>
      <w:r w:rsidRPr="00855423">
        <w:t xml:space="preserve"> hL</w:t>
      </w:r>
      <w:r w:rsidRPr="00855423">
        <w:rPr>
          <w:vertAlign w:val="superscript"/>
        </w:rPr>
        <w:t>-1</w:t>
      </w:r>
      <w:r w:rsidRPr="00855423">
        <w:t>), consumer use (~1</w:t>
      </w:r>
      <w:r>
        <w:t>9</w:t>
      </w:r>
      <w:r w:rsidRPr="00855423">
        <w:t xml:space="preserve"> kg CO</w:t>
      </w:r>
      <w:r w:rsidRPr="00855423">
        <w:rPr>
          <w:vertAlign w:val="subscript"/>
        </w:rPr>
        <w:t>2e</w:t>
      </w:r>
      <w:r w:rsidRPr="00855423">
        <w:t xml:space="preserve"> hL</w:t>
      </w:r>
      <w:r w:rsidRPr="00855423">
        <w:rPr>
          <w:vertAlign w:val="superscript"/>
        </w:rPr>
        <w:t>-1</w:t>
      </w:r>
      <w:r w:rsidRPr="00855423">
        <w:t xml:space="preserve">), </w:t>
      </w:r>
      <w:r>
        <w:t>beer production and packaging (</w:t>
      </w:r>
      <w:r w:rsidRPr="00855423">
        <w:t>~</w:t>
      </w:r>
      <w:r>
        <w:t>12</w:t>
      </w:r>
      <w:r w:rsidRPr="002649BD">
        <w:t xml:space="preserve"> </w:t>
      </w:r>
      <w:r w:rsidRPr="00855423">
        <w:t>kg CO</w:t>
      </w:r>
      <w:r w:rsidRPr="00855423">
        <w:rPr>
          <w:vertAlign w:val="subscript"/>
        </w:rPr>
        <w:t>2e</w:t>
      </w:r>
      <w:r w:rsidRPr="00855423">
        <w:t xml:space="preserve"> hL</w:t>
      </w:r>
      <w:r w:rsidRPr="00855423">
        <w:rPr>
          <w:vertAlign w:val="superscript"/>
        </w:rPr>
        <w:t>-1</w:t>
      </w:r>
      <w:r w:rsidRPr="00855423">
        <w:t>)</w:t>
      </w:r>
      <w:r>
        <w:t xml:space="preserve">, </w:t>
      </w:r>
      <w:r w:rsidRPr="00855423">
        <w:t>and waste disposal (1.</w:t>
      </w:r>
      <w:r>
        <w:t>2</w:t>
      </w:r>
      <w:r w:rsidRPr="00855423">
        <w:t xml:space="preserve"> kg CO</w:t>
      </w:r>
      <w:r w:rsidRPr="00855423">
        <w:rPr>
          <w:vertAlign w:val="subscript"/>
        </w:rPr>
        <w:t>2e</w:t>
      </w:r>
      <w:r w:rsidRPr="00855423">
        <w:t xml:space="preserve"> hL</w:t>
      </w:r>
      <w:r w:rsidRPr="00855423">
        <w:rPr>
          <w:vertAlign w:val="superscript"/>
        </w:rPr>
        <w:t>-1</w:t>
      </w:r>
      <w:r w:rsidRPr="00855423">
        <w:t>). C</w:t>
      </w:r>
      <w:r w:rsidR="0070710D">
        <w:t>O</w:t>
      </w:r>
      <w:r w:rsidR="0070710D" w:rsidRPr="0070710D">
        <w:rPr>
          <w:vertAlign w:val="subscript"/>
        </w:rPr>
        <w:t>2e</w:t>
      </w:r>
      <w:r w:rsidR="0070710D">
        <w:t xml:space="preserve"> </w:t>
      </w:r>
      <w:r w:rsidRPr="00855423">
        <w:t xml:space="preserve">credits </w:t>
      </w:r>
      <w:r w:rsidR="0070710D">
        <w:t xml:space="preserve">derived </w:t>
      </w:r>
      <w:r w:rsidRPr="00855423">
        <w:t>from the use of spent grains and surplus yeast as animal feed (2.</w:t>
      </w:r>
      <w:r>
        <w:t>1</w:t>
      </w:r>
      <w:r w:rsidRPr="00855423">
        <w:t xml:space="preserve"> kg CO</w:t>
      </w:r>
      <w:r w:rsidRPr="00855423">
        <w:rPr>
          <w:vertAlign w:val="subscript"/>
        </w:rPr>
        <w:t>2e</w:t>
      </w:r>
      <w:r w:rsidRPr="00855423">
        <w:t xml:space="preserve"> hL</w:t>
      </w:r>
      <w:r w:rsidRPr="00855423">
        <w:rPr>
          <w:vertAlign w:val="superscript"/>
        </w:rPr>
        <w:t>-1</w:t>
      </w:r>
      <w:r w:rsidRPr="00855423">
        <w:t>) and</w:t>
      </w:r>
      <w:r>
        <w:t xml:space="preserve"> from </w:t>
      </w:r>
      <w:r w:rsidRPr="00855423">
        <w:t>recycling of glass bottles</w:t>
      </w:r>
      <w:r>
        <w:t xml:space="preserve">, </w:t>
      </w:r>
      <w:r w:rsidRPr="00855423">
        <w:t>paper and cardboard wastes (11 kg CO</w:t>
      </w:r>
      <w:r w:rsidRPr="00855423">
        <w:rPr>
          <w:vertAlign w:val="subscript"/>
        </w:rPr>
        <w:t>2e</w:t>
      </w:r>
      <w:r w:rsidRPr="00855423">
        <w:t xml:space="preserve"> hL</w:t>
      </w:r>
      <w:r w:rsidRPr="00855423">
        <w:rPr>
          <w:vertAlign w:val="superscript"/>
        </w:rPr>
        <w:t>-1</w:t>
      </w:r>
      <w:r w:rsidRPr="00855423">
        <w:t xml:space="preserve"> (Cimini and Moresi, 2018</w:t>
      </w:r>
      <w:r>
        <w:t>b</w:t>
      </w:r>
      <w:r w:rsidRPr="00855423">
        <w:t xml:space="preserve">). Instead of adopting the aforementioned Morawicki’s approach to sustainability, </w:t>
      </w:r>
      <w:r w:rsidR="00805EBE">
        <w:t xml:space="preserve">a series of </w:t>
      </w:r>
      <w:r w:rsidRPr="00855423">
        <w:t>sequential improvement opportunities w</w:t>
      </w:r>
      <w:r w:rsidR="00805EBE">
        <w:t xml:space="preserve">as </w:t>
      </w:r>
      <w:r w:rsidRPr="00855423">
        <w:t>scheduled</w:t>
      </w:r>
      <w:r w:rsidR="00805EBE" w:rsidRPr="00805EBE">
        <w:t xml:space="preserve"> </w:t>
      </w:r>
      <w:r w:rsidR="00805EBE">
        <w:t>to re</w:t>
      </w:r>
      <w:r w:rsidR="003A7AEF">
        <w:t xml:space="preserve">lieve </w:t>
      </w:r>
      <w:r w:rsidR="00805EBE">
        <w:t>the GHG emissions</w:t>
      </w:r>
      <w:r w:rsidR="003A7AEF">
        <w:t xml:space="preserve"> associated with </w:t>
      </w:r>
      <w:r w:rsidR="00805EBE">
        <w:t>the hotspot l</w:t>
      </w:r>
      <w:r w:rsidR="00805EBE" w:rsidRPr="00855423">
        <w:t>ife cycle stages</w:t>
      </w:r>
      <w:r w:rsidRPr="00855423">
        <w:t>. Firstly, the replacement of 10% recycled glass bottles with 100% recycled ones reduced CF by about 21% with respect to the reference case. By shifting the transportation mode from 100% of road freight to 100% of rail freight to manage logistics flows, a</w:t>
      </w:r>
      <w:r>
        <w:t>n</w:t>
      </w:r>
      <w:r w:rsidRPr="00855423">
        <w:t xml:space="preserve"> additional 10% decrease in CF was achieved. The use of organic instead of conventional barley grown </w:t>
      </w:r>
      <w:r w:rsidRPr="00855423">
        <w:lastRenderedPageBreak/>
        <w:t xml:space="preserve">locally had the effect of decreasing CF by another 9%. A quasi zero-carbon alternative for electricity generation is solar-photovoltaic electricity. </w:t>
      </w:r>
      <w:r w:rsidR="0070710D">
        <w:t>S</w:t>
      </w:r>
      <w:r w:rsidRPr="00855423">
        <w:t xml:space="preserve">uch a shift </w:t>
      </w:r>
      <w:r>
        <w:t xml:space="preserve">further </w:t>
      </w:r>
      <w:r w:rsidRPr="00855423">
        <w:t xml:space="preserve">lessened CF by 13%. As shown in Table </w:t>
      </w:r>
      <w:r>
        <w:t>3</w:t>
      </w:r>
      <w:r w:rsidRPr="00855423">
        <w:t xml:space="preserve">, </w:t>
      </w:r>
      <w:r w:rsidR="0070710D">
        <w:t xml:space="preserve">the above </w:t>
      </w:r>
      <w:r w:rsidRPr="00855423">
        <w:t>sequential series of mitigation options allowed the beer carbon footprint to be practically halved from about 127 to 60 kg CO</w:t>
      </w:r>
      <w:r w:rsidRPr="00855423">
        <w:rPr>
          <w:vertAlign w:val="subscript"/>
        </w:rPr>
        <w:t>2e</w:t>
      </w:r>
      <w:r w:rsidRPr="00855423">
        <w:t xml:space="preserve"> hL</w:t>
      </w:r>
      <w:r w:rsidRPr="00855423">
        <w:rPr>
          <w:vertAlign w:val="superscript"/>
        </w:rPr>
        <w:t>-1</w:t>
      </w:r>
      <w:r w:rsidRPr="00855423">
        <w:t xml:space="preserve">. </w:t>
      </w:r>
    </w:p>
    <w:p w:rsidR="00AF3208" w:rsidRPr="00855423" w:rsidRDefault="00AF3208" w:rsidP="00805EBE">
      <w:pPr>
        <w:pStyle w:val="CETBodytext"/>
      </w:pPr>
    </w:p>
    <w:p w:rsidR="00600535" w:rsidRDefault="00DE45B1" w:rsidP="00DE45B1">
      <w:pPr>
        <w:pStyle w:val="CETBodytext"/>
        <w:spacing w:before="120" w:after="120"/>
      </w:pPr>
      <w:r w:rsidRPr="000F1451">
        <w:rPr>
          <w:i/>
        </w:rPr>
        <w:t xml:space="preserve">Table 3: Effect of the sequential mitigation strategies used to minimize the </w:t>
      </w:r>
      <w:r w:rsidR="0070710D">
        <w:rPr>
          <w:i/>
        </w:rPr>
        <w:t xml:space="preserve">cradle-to-grave </w:t>
      </w:r>
      <w:r w:rsidRPr="000F1451">
        <w:rPr>
          <w:i/>
        </w:rPr>
        <w:t xml:space="preserve">beer and dry pasta carbon footprint (CF) and its </w:t>
      </w:r>
      <w:r w:rsidR="00FC1497">
        <w:rPr>
          <w:i/>
        </w:rPr>
        <w:t xml:space="preserve">cumulative </w:t>
      </w:r>
      <w:r w:rsidRPr="000F1451">
        <w:rPr>
          <w:i/>
        </w:rPr>
        <w:t>percentage variation with respect to that pertaining to the reference case (</w:t>
      </w:r>
      <w:r w:rsidRPr="000F1451">
        <w:rPr>
          <w:rFonts w:ascii="Symbol" w:hAnsi="Symbol"/>
          <w:i/>
        </w:rPr>
        <w:t></w:t>
      </w:r>
      <w:r w:rsidRPr="000F1451">
        <w:rPr>
          <w:i/>
        </w:rPr>
        <w:t>CF/CF</w:t>
      </w:r>
      <w:r w:rsidRPr="000F1451">
        <w:rPr>
          <w:i/>
          <w:vertAlign w:val="subscript"/>
        </w:rPr>
        <w:t>RC</w:t>
      </w:r>
      <w:r w:rsidRPr="000F1451">
        <w:rPr>
          <w:i/>
        </w:rPr>
        <w:t>). The sequential step-wise procedure started from the most impact</w:t>
      </w:r>
      <w:r w:rsidR="000F1451">
        <w:rPr>
          <w:i/>
        </w:rPr>
        <w:t>ing</w:t>
      </w:r>
      <w:r w:rsidRPr="000F1451">
        <w:rPr>
          <w:i/>
        </w:rPr>
        <w:t xml:space="preserve"> life cycle phase as resulting from the single</w:t>
      </w:r>
      <w:r w:rsidR="0070710D">
        <w:rPr>
          <w:i/>
        </w:rPr>
        <w:t>-</w:t>
      </w:r>
      <w:r w:rsidRPr="000F1451">
        <w:rPr>
          <w:i/>
        </w:rPr>
        <w:t>issue LCA procedure used.</w:t>
      </w:r>
    </w:p>
    <w:tbl>
      <w:tblPr>
        <w:tblW w:w="508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8"/>
        <w:gridCol w:w="707"/>
        <w:gridCol w:w="1561"/>
        <w:gridCol w:w="1559"/>
        <w:gridCol w:w="1275"/>
        <w:gridCol w:w="1116"/>
        <w:gridCol w:w="13"/>
      </w:tblGrid>
      <w:tr w:rsidR="007F0266" w:rsidRPr="00AE0725" w:rsidTr="007853A9">
        <w:trPr>
          <w:gridAfter w:val="1"/>
          <w:wAfter w:w="7" w:type="pct"/>
        </w:trPr>
        <w:tc>
          <w:tcPr>
            <w:tcW w:w="1511" w:type="pct"/>
            <w:tcBorders>
              <w:top w:val="single" w:sz="12" w:space="0" w:color="008000"/>
              <w:bottom w:val="nil"/>
            </w:tcBorders>
            <w:shd w:val="clear" w:color="auto" w:fill="FFFFFF"/>
          </w:tcPr>
          <w:p w:rsidR="007F0266" w:rsidRPr="007F0266" w:rsidRDefault="007F0266" w:rsidP="007F0266">
            <w:pPr>
              <w:pStyle w:val="CETBodytext"/>
              <w:rPr>
                <w:b/>
                <w:lang w:val="en-GB"/>
              </w:rPr>
            </w:pPr>
            <w:r w:rsidRPr="007F0266">
              <w:rPr>
                <w:b/>
                <w:lang w:val="en-GB"/>
              </w:rPr>
              <w:t xml:space="preserve">Mitigation strategy  </w:t>
            </w:r>
          </w:p>
        </w:tc>
        <w:tc>
          <w:tcPr>
            <w:tcW w:w="1270" w:type="pct"/>
            <w:gridSpan w:val="2"/>
            <w:tcBorders>
              <w:top w:val="single" w:sz="12" w:space="0" w:color="008000"/>
              <w:bottom w:val="nil"/>
            </w:tcBorders>
            <w:shd w:val="clear" w:color="auto" w:fill="FFFFFF"/>
          </w:tcPr>
          <w:p w:rsidR="007F0266" w:rsidRPr="007F0266" w:rsidRDefault="007F0266" w:rsidP="007F0266">
            <w:pPr>
              <w:pStyle w:val="CETBodytext"/>
              <w:rPr>
                <w:b/>
                <w:lang w:val="en-GB"/>
              </w:rPr>
            </w:pPr>
            <w:r w:rsidRPr="007F0266">
              <w:rPr>
                <w:b/>
                <w:lang w:val="en-GB"/>
              </w:rPr>
              <w:t xml:space="preserve">Parameter varied </w:t>
            </w:r>
          </w:p>
        </w:tc>
        <w:tc>
          <w:tcPr>
            <w:tcW w:w="873" w:type="pct"/>
            <w:tcBorders>
              <w:top w:val="single" w:sz="12" w:space="0" w:color="008000"/>
              <w:bottom w:val="nil"/>
            </w:tcBorders>
            <w:shd w:val="clear" w:color="auto" w:fill="FFFFFF"/>
          </w:tcPr>
          <w:p w:rsidR="007F0266" w:rsidRPr="007F0266" w:rsidRDefault="007F0266" w:rsidP="007F0266">
            <w:pPr>
              <w:pStyle w:val="CETBodytext"/>
              <w:rPr>
                <w:b/>
                <w:lang w:val="en-GB"/>
              </w:rPr>
            </w:pPr>
            <w:r w:rsidRPr="007F0266">
              <w:rPr>
                <w:b/>
                <w:lang w:val="en-GB"/>
              </w:rPr>
              <w:t>Unit</w:t>
            </w:r>
          </w:p>
        </w:tc>
        <w:tc>
          <w:tcPr>
            <w:tcW w:w="714" w:type="pct"/>
            <w:tcBorders>
              <w:top w:val="single" w:sz="12" w:space="0" w:color="008000"/>
              <w:bottom w:val="nil"/>
            </w:tcBorders>
            <w:shd w:val="clear" w:color="auto" w:fill="FFFFFF"/>
          </w:tcPr>
          <w:p w:rsidR="007F0266" w:rsidRPr="007F0266" w:rsidRDefault="007F0266" w:rsidP="007F0266">
            <w:pPr>
              <w:pStyle w:val="CETBodytext"/>
              <w:rPr>
                <w:b/>
                <w:lang w:val="en-GB"/>
              </w:rPr>
            </w:pPr>
            <w:r w:rsidRPr="007F0266">
              <w:rPr>
                <w:b/>
                <w:lang w:val="en-GB"/>
              </w:rPr>
              <w:t>CF</w:t>
            </w:r>
          </w:p>
        </w:tc>
        <w:tc>
          <w:tcPr>
            <w:tcW w:w="625" w:type="pct"/>
            <w:tcBorders>
              <w:top w:val="single" w:sz="12" w:space="0" w:color="008000"/>
              <w:bottom w:val="nil"/>
            </w:tcBorders>
            <w:shd w:val="clear" w:color="auto" w:fill="FFFFFF"/>
          </w:tcPr>
          <w:p w:rsidR="007F0266" w:rsidRPr="00914259" w:rsidRDefault="00914259" w:rsidP="007778CF">
            <w:pPr>
              <w:pStyle w:val="CETTabletitle"/>
              <w:spacing w:before="0" w:after="0" w:line="240" w:lineRule="auto"/>
              <w:rPr>
                <w:b/>
                <w:i w:val="0"/>
                <w:lang w:val="en-US"/>
              </w:rPr>
            </w:pPr>
            <w:r w:rsidRPr="00914259">
              <w:rPr>
                <w:rFonts w:cs="Arial"/>
                <w:b/>
                <w:i w:val="0"/>
                <w:lang w:val="en-US"/>
              </w:rPr>
              <w:t>∆</w:t>
            </w:r>
            <w:r w:rsidR="007F0266" w:rsidRPr="00914259">
              <w:rPr>
                <w:b/>
                <w:i w:val="0"/>
                <w:lang w:val="en-US"/>
              </w:rPr>
              <w:t>CF/CF</w:t>
            </w:r>
            <w:r w:rsidR="007F0266" w:rsidRPr="00914259">
              <w:rPr>
                <w:b/>
                <w:i w:val="0"/>
                <w:vertAlign w:val="subscript"/>
                <w:lang w:val="en-US"/>
              </w:rPr>
              <w:t>RC</w:t>
            </w:r>
            <w:r w:rsidR="007778CF">
              <w:rPr>
                <w:b/>
                <w:i w:val="0"/>
                <w:vertAlign w:val="subscript"/>
                <w:lang w:val="en-US"/>
              </w:rPr>
              <w:t xml:space="preserve"> </w:t>
            </w:r>
            <w:r w:rsidR="007778CF" w:rsidRPr="00DE45B1">
              <w:rPr>
                <w:i w:val="0"/>
                <w:lang w:val="en-US"/>
              </w:rPr>
              <w:t>[%]</w:t>
            </w:r>
          </w:p>
        </w:tc>
      </w:tr>
      <w:tr w:rsidR="00DE45B1" w:rsidRPr="006128CA" w:rsidTr="007778CF">
        <w:trPr>
          <w:gridAfter w:val="1"/>
          <w:wAfter w:w="7" w:type="pct"/>
        </w:trPr>
        <w:tc>
          <w:tcPr>
            <w:tcW w:w="1511" w:type="pct"/>
            <w:tcBorders>
              <w:top w:val="single" w:sz="4" w:space="0" w:color="auto"/>
              <w:left w:val="nil"/>
              <w:bottom w:val="nil"/>
              <w:right w:val="nil"/>
            </w:tcBorders>
            <w:shd w:val="clear" w:color="auto" w:fill="FFFFFF"/>
          </w:tcPr>
          <w:p w:rsidR="004A21F6" w:rsidRPr="007853A9" w:rsidRDefault="004A21F6" w:rsidP="004A21F6">
            <w:pPr>
              <w:pStyle w:val="CETTabletitle"/>
              <w:spacing w:before="0" w:after="0" w:line="240" w:lineRule="auto"/>
              <w:rPr>
                <w:b/>
                <w:lang w:val="en-US"/>
              </w:rPr>
            </w:pPr>
            <w:r w:rsidRPr="007853A9">
              <w:rPr>
                <w:b/>
                <w:lang w:val="en-US"/>
              </w:rPr>
              <w:t xml:space="preserve">Beer reference case (RC) </w:t>
            </w:r>
          </w:p>
        </w:tc>
        <w:tc>
          <w:tcPr>
            <w:tcW w:w="396" w:type="pct"/>
            <w:tcBorders>
              <w:top w:val="single" w:sz="4" w:space="0" w:color="auto"/>
              <w:left w:val="nil"/>
              <w:bottom w:val="nil"/>
              <w:right w:val="nil"/>
            </w:tcBorders>
            <w:shd w:val="clear" w:color="auto" w:fill="FFFFFF"/>
          </w:tcPr>
          <w:p w:rsidR="004A21F6" w:rsidRPr="006128CA" w:rsidRDefault="004A21F6" w:rsidP="004A21F6">
            <w:pPr>
              <w:pStyle w:val="CETTabletitle"/>
              <w:spacing w:before="0" w:after="0" w:line="240" w:lineRule="auto"/>
              <w:rPr>
                <w:lang w:val="en-US"/>
              </w:rPr>
            </w:pPr>
          </w:p>
        </w:tc>
        <w:tc>
          <w:tcPr>
            <w:tcW w:w="874" w:type="pct"/>
            <w:tcBorders>
              <w:top w:val="single" w:sz="4" w:space="0" w:color="auto"/>
              <w:left w:val="nil"/>
              <w:bottom w:val="nil"/>
              <w:right w:val="nil"/>
            </w:tcBorders>
            <w:shd w:val="clear" w:color="auto" w:fill="FFFFFF"/>
          </w:tcPr>
          <w:p w:rsidR="004A21F6" w:rsidRPr="006128CA" w:rsidRDefault="004A21F6" w:rsidP="004A21F6">
            <w:pPr>
              <w:pStyle w:val="CETTabletitle"/>
              <w:spacing w:before="0" w:after="0" w:line="240" w:lineRule="auto"/>
              <w:rPr>
                <w:lang w:val="en-US"/>
              </w:rPr>
            </w:pPr>
          </w:p>
        </w:tc>
        <w:tc>
          <w:tcPr>
            <w:tcW w:w="873" w:type="pct"/>
            <w:tcBorders>
              <w:top w:val="single" w:sz="4" w:space="0" w:color="auto"/>
              <w:left w:val="nil"/>
              <w:bottom w:val="nil"/>
              <w:right w:val="nil"/>
            </w:tcBorders>
            <w:shd w:val="clear" w:color="auto" w:fill="FFFFFF"/>
          </w:tcPr>
          <w:p w:rsidR="004A21F6" w:rsidRPr="006128CA" w:rsidRDefault="004A21F6" w:rsidP="004A21F6">
            <w:pPr>
              <w:pStyle w:val="CETTabletitle"/>
              <w:spacing w:before="0" w:after="0" w:line="240" w:lineRule="auto"/>
              <w:rPr>
                <w:lang w:val="en-US"/>
              </w:rPr>
            </w:pPr>
          </w:p>
        </w:tc>
        <w:tc>
          <w:tcPr>
            <w:tcW w:w="714" w:type="pct"/>
            <w:tcBorders>
              <w:top w:val="single" w:sz="4" w:space="0" w:color="auto"/>
              <w:left w:val="nil"/>
              <w:bottom w:val="nil"/>
              <w:right w:val="nil"/>
            </w:tcBorders>
            <w:shd w:val="clear" w:color="auto" w:fill="FFFFFF"/>
          </w:tcPr>
          <w:p w:rsidR="004A21F6" w:rsidRPr="006128CA" w:rsidRDefault="004A21F6" w:rsidP="007778CF">
            <w:pPr>
              <w:pStyle w:val="CETTabletitle"/>
              <w:spacing w:before="0" w:after="0" w:line="240" w:lineRule="auto"/>
              <w:rPr>
                <w:lang w:val="en-US"/>
              </w:rPr>
            </w:pPr>
            <w:r w:rsidRPr="007853A9">
              <w:rPr>
                <w:b/>
                <w:lang w:val="en-US"/>
              </w:rPr>
              <w:t>127.2</w:t>
            </w:r>
            <w:r w:rsidR="007778CF">
              <w:rPr>
                <w:lang w:val="en-US"/>
              </w:rPr>
              <w:t>*</w:t>
            </w:r>
          </w:p>
        </w:tc>
        <w:tc>
          <w:tcPr>
            <w:tcW w:w="625" w:type="pct"/>
            <w:tcBorders>
              <w:top w:val="single" w:sz="4" w:space="0" w:color="auto"/>
              <w:left w:val="nil"/>
              <w:bottom w:val="nil"/>
              <w:right w:val="nil"/>
            </w:tcBorders>
            <w:shd w:val="clear" w:color="auto" w:fill="FFFFFF"/>
          </w:tcPr>
          <w:p w:rsidR="004A21F6" w:rsidRPr="007853A9" w:rsidRDefault="004A21F6" w:rsidP="007778CF">
            <w:pPr>
              <w:pStyle w:val="CETTabletitle"/>
              <w:spacing w:before="0" w:after="0" w:line="240" w:lineRule="auto"/>
              <w:ind w:right="216"/>
              <w:rPr>
                <w:b/>
                <w:lang w:val="en-US"/>
              </w:rPr>
            </w:pPr>
            <w:r w:rsidRPr="007853A9">
              <w:rPr>
                <w:b/>
                <w:lang w:val="en-US"/>
              </w:rPr>
              <w:t>0</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100% recycled glass bottles</w:t>
            </w:r>
            <w:r w:rsidRPr="00DE45B1">
              <w:rPr>
                <w:i w:val="0"/>
                <w:lang w:val="en-US"/>
              </w:rPr>
              <w:tab/>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EF</w:t>
            </w:r>
            <w:r w:rsidR="00914259" w:rsidRPr="00914259">
              <w:rPr>
                <w:i w:val="0"/>
                <w:vertAlign w:val="subscript"/>
                <w:lang w:val="en-US"/>
              </w:rPr>
              <w:t>R</w:t>
            </w:r>
            <w:r w:rsidRPr="00DE45B1">
              <w:rPr>
                <w:i w:val="0"/>
                <w:vertAlign w:val="subscript"/>
                <w:lang w:val="en-US"/>
              </w:rPr>
              <w:t>B</w:t>
            </w:r>
          </w:p>
        </w:tc>
        <w:tc>
          <w:tcPr>
            <w:tcW w:w="874"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1.08</w:t>
            </w:r>
            <w:r w:rsidRPr="00DE45B1">
              <w:rPr>
                <w:i w:val="0"/>
                <w:lang w:val="en-US"/>
              </w:rPr>
              <w:tab/>
            </w:r>
            <w:r w:rsidRPr="00DE45B1">
              <w:rPr>
                <w:rFonts w:ascii="Wingdings" w:hAnsi="Wingdings"/>
                <w:i w:val="0"/>
                <w:lang w:val="en-US"/>
              </w:rPr>
              <w:t></w:t>
            </w:r>
            <w:r w:rsidR="00DE45B1">
              <w:rPr>
                <w:rFonts w:ascii="Wingdings" w:hAnsi="Wingdings"/>
                <w:i w:val="0"/>
                <w:lang w:val="en-US"/>
              </w:rPr>
              <w:t></w:t>
            </w:r>
            <w:r w:rsidRPr="00DE45B1">
              <w:rPr>
                <w:i w:val="0"/>
                <w:lang w:val="en-US"/>
              </w:rPr>
              <w:t>0.48</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kg CO</w:t>
            </w:r>
            <w:r w:rsidRPr="00DE45B1">
              <w:rPr>
                <w:i w:val="0"/>
                <w:vertAlign w:val="subscript"/>
                <w:lang w:val="en-US"/>
              </w:rPr>
              <w:t>2e</w:t>
            </w:r>
            <w:r w:rsidRPr="00DE45B1">
              <w:rPr>
                <w:i w:val="0"/>
                <w:lang w:val="en-US"/>
              </w:rPr>
              <w:t xml:space="preserve"> kg</w:t>
            </w:r>
            <w:r w:rsidRPr="00DE45B1">
              <w:rPr>
                <w:i w:val="0"/>
                <w:vertAlign w:val="superscript"/>
                <w:lang w:val="en-US"/>
              </w:rPr>
              <w:t>-1</w:t>
            </w:r>
            <w:r w:rsidRPr="00DE45B1">
              <w:rPr>
                <w:i w:val="0"/>
                <w:lang w:val="en-US"/>
              </w:rPr>
              <w:tab/>
            </w:r>
          </w:p>
        </w:tc>
        <w:tc>
          <w:tcPr>
            <w:tcW w:w="714" w:type="pct"/>
            <w:tcBorders>
              <w:top w:val="nil"/>
              <w:left w:val="nil"/>
              <w:bottom w:val="nil"/>
              <w:right w:val="nil"/>
            </w:tcBorders>
            <w:shd w:val="clear" w:color="auto" w:fill="FFFFFF"/>
          </w:tcPr>
          <w:p w:rsidR="004A21F6" w:rsidRPr="00DE45B1" w:rsidRDefault="004A21F6" w:rsidP="007778CF">
            <w:pPr>
              <w:jc w:val="left"/>
              <w:rPr>
                <w:lang w:val="en-US"/>
              </w:rPr>
            </w:pPr>
            <w:r w:rsidRPr="00DE45B1">
              <w:rPr>
                <w:lang w:val="en-US"/>
              </w:rPr>
              <w:t>100.3</w:t>
            </w:r>
            <w:r w:rsidR="007778CF">
              <w:rPr>
                <w:lang w:val="en-US"/>
              </w:rPr>
              <w:t>*</w:t>
            </w:r>
          </w:p>
        </w:tc>
        <w:tc>
          <w:tcPr>
            <w:tcW w:w="625" w:type="pct"/>
            <w:tcBorders>
              <w:top w:val="nil"/>
              <w:left w:val="nil"/>
              <w:bottom w:val="nil"/>
              <w:right w:val="nil"/>
            </w:tcBorders>
            <w:shd w:val="clear" w:color="auto" w:fill="FFFFFF"/>
          </w:tcPr>
          <w:p w:rsidR="004A21F6" w:rsidRPr="00DE45B1" w:rsidRDefault="004A21F6" w:rsidP="007778CF">
            <w:pPr>
              <w:ind w:right="216"/>
              <w:jc w:val="left"/>
              <w:rPr>
                <w:lang w:val="en-US"/>
              </w:rPr>
            </w:pPr>
            <w:r w:rsidRPr="00DE45B1">
              <w:rPr>
                <w:lang w:val="en-US"/>
              </w:rPr>
              <w:t>-21</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 xml:space="preserve">Malt &amp; beer rail transport </w:t>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EF</w:t>
            </w:r>
            <w:r w:rsidRPr="00DE45B1">
              <w:rPr>
                <w:i w:val="0"/>
                <w:vertAlign w:val="subscript"/>
                <w:lang w:val="en-US"/>
              </w:rPr>
              <w:t>RT</w:t>
            </w:r>
          </w:p>
        </w:tc>
        <w:tc>
          <w:tcPr>
            <w:tcW w:w="874" w:type="pct"/>
            <w:tcBorders>
              <w:top w:val="nil"/>
              <w:left w:val="nil"/>
              <w:bottom w:val="nil"/>
              <w:right w:val="nil"/>
            </w:tcBorders>
            <w:shd w:val="clear" w:color="auto" w:fill="FFFFFF"/>
          </w:tcPr>
          <w:p w:rsidR="004A21F6" w:rsidRPr="00DE45B1" w:rsidRDefault="004A21F6" w:rsidP="008650A2">
            <w:pPr>
              <w:pStyle w:val="CETTabletitle"/>
              <w:spacing w:before="0" w:after="0" w:line="240" w:lineRule="auto"/>
              <w:rPr>
                <w:i w:val="0"/>
                <w:lang w:val="en-US"/>
              </w:rPr>
            </w:pPr>
            <w:r w:rsidRPr="00DE45B1">
              <w:rPr>
                <w:i w:val="0"/>
                <w:lang w:val="en-US"/>
              </w:rPr>
              <w:t>0.168</w:t>
            </w:r>
            <w:r w:rsidR="00DE45B1">
              <w:rPr>
                <w:i w:val="0"/>
                <w:lang w:val="en-US"/>
              </w:rPr>
              <w:t xml:space="preserve"> </w:t>
            </w:r>
            <w:r w:rsidR="00DE45B1">
              <w:rPr>
                <w:i w:val="0"/>
                <w:lang w:val="en-US"/>
              </w:rPr>
              <w:tab/>
            </w:r>
            <w:r w:rsidRPr="00DE45B1">
              <w:rPr>
                <w:rFonts w:ascii="Wingdings" w:hAnsi="Wingdings"/>
                <w:i w:val="0"/>
                <w:lang w:val="en-US"/>
              </w:rPr>
              <w:t></w:t>
            </w:r>
            <w:r w:rsidR="00DE45B1">
              <w:rPr>
                <w:rFonts w:ascii="Wingdings" w:hAnsi="Wingdings"/>
                <w:i w:val="0"/>
                <w:lang w:val="en-US"/>
              </w:rPr>
              <w:t></w:t>
            </w:r>
            <w:r w:rsidRPr="00DE45B1">
              <w:rPr>
                <w:i w:val="0"/>
                <w:lang w:val="en-US"/>
              </w:rPr>
              <w:t>0.039</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kg CO</w:t>
            </w:r>
            <w:r w:rsidRPr="00DE45B1">
              <w:rPr>
                <w:i w:val="0"/>
                <w:vertAlign w:val="subscript"/>
                <w:lang w:val="en-US"/>
              </w:rPr>
              <w:t>2e</w:t>
            </w:r>
            <w:r w:rsidRPr="00DE45B1">
              <w:rPr>
                <w:i w:val="0"/>
                <w:lang w:val="en-US"/>
              </w:rPr>
              <w:t xml:space="preserve"> (Mg km)</w:t>
            </w:r>
            <w:r w:rsidRPr="00DE45B1">
              <w:rPr>
                <w:i w:val="0"/>
                <w:vertAlign w:val="superscript"/>
                <w:lang w:val="en-US"/>
              </w:rPr>
              <w:t>-1</w:t>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88.2</w:t>
            </w:r>
            <w:r w:rsidR="007778CF">
              <w:rPr>
                <w:i w:val="0"/>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-31</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 xml:space="preserve">Organic malt </w:t>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EF</w:t>
            </w:r>
            <w:r w:rsidRPr="00DE45B1">
              <w:rPr>
                <w:i w:val="0"/>
                <w:vertAlign w:val="subscript"/>
                <w:lang w:val="en-US"/>
              </w:rPr>
              <w:t>OM</w:t>
            </w:r>
          </w:p>
        </w:tc>
        <w:tc>
          <w:tcPr>
            <w:tcW w:w="874"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1.143</w:t>
            </w:r>
            <w:r w:rsidRPr="00DE45B1">
              <w:rPr>
                <w:i w:val="0"/>
                <w:lang w:val="en-US"/>
              </w:rPr>
              <w:tab/>
            </w:r>
            <w:r w:rsidRPr="00DE45B1">
              <w:rPr>
                <w:rFonts w:ascii="Wingdings" w:hAnsi="Wingdings"/>
                <w:i w:val="0"/>
                <w:lang w:val="en-US"/>
              </w:rPr>
              <w:t></w:t>
            </w:r>
            <w:r w:rsidRPr="00DE45B1">
              <w:rPr>
                <w:rFonts w:ascii="Wingdings" w:hAnsi="Wingdings"/>
                <w:i w:val="0"/>
                <w:lang w:val="en-US"/>
              </w:rPr>
              <w:t></w:t>
            </w:r>
            <w:r w:rsidRPr="00DE45B1">
              <w:rPr>
                <w:i w:val="0"/>
                <w:lang w:val="en-US"/>
              </w:rPr>
              <w:t>0.546</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kg CO</w:t>
            </w:r>
            <w:r w:rsidRPr="00DE45B1">
              <w:rPr>
                <w:i w:val="0"/>
                <w:vertAlign w:val="subscript"/>
                <w:lang w:val="en-US"/>
              </w:rPr>
              <w:t>2e</w:t>
            </w:r>
            <w:r w:rsidRPr="00DE45B1">
              <w:rPr>
                <w:i w:val="0"/>
                <w:lang w:val="en-US"/>
              </w:rPr>
              <w:t xml:space="preserve"> kg</w:t>
            </w:r>
            <w:r w:rsidRPr="00DE45B1">
              <w:rPr>
                <w:i w:val="0"/>
                <w:vertAlign w:val="superscript"/>
                <w:lang w:val="en-US"/>
              </w:rPr>
              <w:t>-1</w:t>
            </w:r>
            <w:r w:rsidRPr="00DE45B1">
              <w:rPr>
                <w:i w:val="0"/>
                <w:lang w:val="en-US"/>
              </w:rPr>
              <w:tab/>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76.6</w:t>
            </w:r>
            <w:r w:rsidR="007778CF">
              <w:rPr>
                <w:i w:val="0"/>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-40</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Local malt</w:t>
            </w:r>
            <w:r w:rsidRPr="00DE45B1">
              <w:rPr>
                <w:i w:val="0"/>
                <w:lang w:val="en-US"/>
              </w:rPr>
              <w:tab/>
            </w:r>
            <w:r w:rsidRPr="00DE45B1">
              <w:rPr>
                <w:i w:val="0"/>
                <w:lang w:val="en-US"/>
              </w:rPr>
              <w:tab/>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d</w:t>
            </w:r>
            <w:r w:rsidRPr="00DE45B1">
              <w:rPr>
                <w:i w:val="0"/>
                <w:vertAlign w:val="subscript"/>
                <w:lang w:val="en-US"/>
              </w:rPr>
              <w:t>LM</w:t>
            </w:r>
          </w:p>
        </w:tc>
        <w:tc>
          <w:tcPr>
            <w:tcW w:w="874"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500</w:t>
            </w:r>
            <w:r w:rsidRPr="00DE45B1">
              <w:rPr>
                <w:i w:val="0"/>
                <w:lang w:val="en-US"/>
              </w:rPr>
              <w:tab/>
            </w:r>
            <w:r w:rsidRPr="00DE45B1">
              <w:rPr>
                <w:rFonts w:ascii="Wingdings" w:hAnsi="Wingdings"/>
                <w:i w:val="0"/>
                <w:lang w:val="en-US"/>
              </w:rPr>
              <w:t></w:t>
            </w:r>
            <w:r w:rsidRPr="00DE45B1">
              <w:rPr>
                <w:rFonts w:ascii="Wingdings" w:hAnsi="Wingdings"/>
                <w:i w:val="0"/>
                <w:lang w:val="en-US"/>
              </w:rPr>
              <w:t></w:t>
            </w:r>
            <w:r w:rsidRPr="00DE45B1">
              <w:rPr>
                <w:i w:val="0"/>
                <w:lang w:val="en-US"/>
              </w:rPr>
              <w:t>250</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km</w:t>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76.5</w:t>
            </w:r>
            <w:r w:rsidR="007778CF">
              <w:rPr>
                <w:i w:val="0"/>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-40</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Photovoltaic electric energy</w:t>
            </w:r>
            <w:r w:rsidRPr="00DE45B1">
              <w:rPr>
                <w:i w:val="0"/>
                <w:lang w:val="en-US"/>
              </w:rPr>
              <w:tab/>
            </w:r>
            <w:r w:rsidRPr="00DE45B1">
              <w:rPr>
                <w:i w:val="0"/>
                <w:lang w:val="en-US"/>
              </w:rPr>
              <w:tab/>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EF</w:t>
            </w:r>
            <w:r w:rsidRPr="00DE45B1">
              <w:rPr>
                <w:i w:val="0"/>
                <w:vertAlign w:val="subscript"/>
                <w:lang w:val="en-US"/>
              </w:rPr>
              <w:t>PEE</w:t>
            </w:r>
          </w:p>
        </w:tc>
        <w:tc>
          <w:tcPr>
            <w:tcW w:w="874" w:type="pct"/>
            <w:tcBorders>
              <w:top w:val="nil"/>
              <w:left w:val="nil"/>
              <w:bottom w:val="nil"/>
              <w:right w:val="nil"/>
            </w:tcBorders>
            <w:shd w:val="clear" w:color="auto" w:fill="FFFFFF"/>
          </w:tcPr>
          <w:p w:rsidR="004A21F6" w:rsidRPr="00DE45B1" w:rsidRDefault="004A21F6" w:rsidP="008650A2">
            <w:pPr>
              <w:pStyle w:val="CETTabletitle"/>
              <w:spacing w:before="0" w:after="0" w:line="240" w:lineRule="auto"/>
              <w:rPr>
                <w:i w:val="0"/>
                <w:lang w:val="en-US"/>
              </w:rPr>
            </w:pPr>
            <w:r w:rsidRPr="00DE45B1">
              <w:rPr>
                <w:i w:val="0"/>
                <w:lang w:val="en-US"/>
              </w:rPr>
              <w:t>0.32</w:t>
            </w:r>
            <w:r w:rsidR="008650A2">
              <w:rPr>
                <w:i w:val="0"/>
                <w:lang w:val="en-US"/>
              </w:rPr>
              <w:t>4</w:t>
            </w:r>
            <w:r w:rsidRPr="00DE45B1">
              <w:rPr>
                <w:i w:val="0"/>
                <w:lang w:val="en-US"/>
              </w:rPr>
              <w:tab/>
            </w:r>
            <w:r w:rsidRPr="00DE45B1">
              <w:rPr>
                <w:rFonts w:ascii="Wingdings" w:hAnsi="Wingdings"/>
                <w:i w:val="0"/>
                <w:lang w:val="en-US"/>
              </w:rPr>
              <w:t></w:t>
            </w:r>
            <w:r w:rsidRPr="00DE45B1">
              <w:rPr>
                <w:rFonts w:ascii="Wingdings" w:hAnsi="Wingdings"/>
                <w:i w:val="0"/>
                <w:lang w:val="en-US"/>
              </w:rPr>
              <w:t></w:t>
            </w:r>
            <w:r w:rsidRPr="00DE45B1">
              <w:rPr>
                <w:i w:val="0"/>
                <w:lang w:val="en-US"/>
              </w:rPr>
              <w:t>0.055</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kg CO</w:t>
            </w:r>
            <w:r w:rsidRPr="00DE45B1">
              <w:rPr>
                <w:i w:val="0"/>
                <w:vertAlign w:val="subscript"/>
                <w:lang w:val="en-US"/>
              </w:rPr>
              <w:t>2e</w:t>
            </w:r>
            <w:r w:rsidRPr="00DE45B1">
              <w:rPr>
                <w:i w:val="0"/>
                <w:lang w:val="en-US"/>
              </w:rPr>
              <w:t xml:space="preserve"> kWh</w:t>
            </w:r>
            <w:r w:rsidRPr="00DE45B1">
              <w:rPr>
                <w:i w:val="0"/>
                <w:vertAlign w:val="superscript"/>
                <w:lang w:val="en-US"/>
              </w:rPr>
              <w:t>-1</w:t>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60.2</w:t>
            </w:r>
            <w:r w:rsidR="007778CF">
              <w:rPr>
                <w:i w:val="0"/>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-53</w:t>
            </w:r>
          </w:p>
        </w:tc>
      </w:tr>
      <w:tr w:rsidR="002A5539" w:rsidRPr="006128CA" w:rsidTr="007778CF">
        <w:trPr>
          <w:gridAfter w:val="1"/>
          <w:wAfter w:w="7" w:type="pct"/>
        </w:trPr>
        <w:tc>
          <w:tcPr>
            <w:tcW w:w="1511" w:type="pct"/>
            <w:tcBorders>
              <w:top w:val="nil"/>
              <w:left w:val="nil"/>
              <w:bottom w:val="nil"/>
              <w:right w:val="nil"/>
            </w:tcBorders>
            <w:shd w:val="clear" w:color="auto" w:fill="FFFFFF"/>
          </w:tcPr>
          <w:p w:rsidR="004A21F6" w:rsidRPr="006128CA" w:rsidRDefault="004A21F6" w:rsidP="004A21F6">
            <w:pPr>
              <w:pStyle w:val="CETTabletitle"/>
              <w:spacing w:before="0" w:after="0" w:line="240" w:lineRule="auto"/>
              <w:rPr>
                <w:lang w:val="en-US"/>
              </w:rPr>
            </w:pPr>
            <w:r w:rsidRPr="007853A9">
              <w:rPr>
                <w:b/>
                <w:lang w:val="en-US"/>
              </w:rPr>
              <w:t>Dry pasta reference case</w:t>
            </w:r>
            <w:r w:rsidRPr="006128CA">
              <w:rPr>
                <w:lang w:val="en-US"/>
              </w:rPr>
              <w:t xml:space="preserve"> </w:t>
            </w:r>
            <w:r w:rsidRPr="007853A9">
              <w:rPr>
                <w:b/>
                <w:lang w:val="en-US"/>
              </w:rPr>
              <w:t>(RC)</w:t>
            </w:r>
          </w:p>
        </w:tc>
        <w:tc>
          <w:tcPr>
            <w:tcW w:w="396" w:type="pct"/>
            <w:tcBorders>
              <w:top w:val="nil"/>
              <w:left w:val="nil"/>
              <w:bottom w:val="nil"/>
              <w:right w:val="nil"/>
            </w:tcBorders>
            <w:shd w:val="clear" w:color="auto" w:fill="FFFFFF"/>
          </w:tcPr>
          <w:p w:rsidR="004A21F6" w:rsidRPr="006128CA" w:rsidRDefault="004A21F6" w:rsidP="004A21F6">
            <w:pPr>
              <w:pStyle w:val="CETTabletitle"/>
              <w:spacing w:before="0" w:after="0" w:line="240" w:lineRule="auto"/>
              <w:rPr>
                <w:lang w:val="en-US"/>
              </w:rPr>
            </w:pPr>
          </w:p>
        </w:tc>
        <w:tc>
          <w:tcPr>
            <w:tcW w:w="874" w:type="pct"/>
            <w:tcBorders>
              <w:top w:val="nil"/>
              <w:left w:val="nil"/>
              <w:bottom w:val="nil"/>
              <w:right w:val="nil"/>
            </w:tcBorders>
            <w:shd w:val="clear" w:color="auto" w:fill="FFFFFF"/>
          </w:tcPr>
          <w:p w:rsidR="004A21F6" w:rsidRPr="006128CA" w:rsidRDefault="004A21F6" w:rsidP="004A21F6">
            <w:pPr>
              <w:pStyle w:val="CETTabletitle"/>
              <w:spacing w:before="0" w:after="0" w:line="240" w:lineRule="auto"/>
              <w:rPr>
                <w:lang w:val="en-US"/>
              </w:rPr>
            </w:pPr>
          </w:p>
        </w:tc>
        <w:tc>
          <w:tcPr>
            <w:tcW w:w="873" w:type="pct"/>
            <w:tcBorders>
              <w:top w:val="nil"/>
              <w:left w:val="nil"/>
              <w:bottom w:val="nil"/>
              <w:right w:val="nil"/>
            </w:tcBorders>
            <w:shd w:val="clear" w:color="auto" w:fill="FFFFFF"/>
          </w:tcPr>
          <w:p w:rsidR="004A21F6" w:rsidRPr="006128CA" w:rsidRDefault="004A21F6" w:rsidP="004A21F6">
            <w:pPr>
              <w:pStyle w:val="CETTabletitle"/>
              <w:spacing w:before="0" w:after="0" w:line="240" w:lineRule="auto"/>
              <w:rPr>
                <w:lang w:val="en-US"/>
              </w:rPr>
            </w:pPr>
          </w:p>
        </w:tc>
        <w:tc>
          <w:tcPr>
            <w:tcW w:w="714" w:type="pct"/>
            <w:tcBorders>
              <w:top w:val="nil"/>
              <w:left w:val="nil"/>
              <w:bottom w:val="nil"/>
              <w:right w:val="nil"/>
            </w:tcBorders>
            <w:shd w:val="clear" w:color="auto" w:fill="FFFFFF"/>
          </w:tcPr>
          <w:p w:rsidR="004A21F6" w:rsidRPr="006128CA" w:rsidRDefault="004A21F6" w:rsidP="007778CF">
            <w:pPr>
              <w:pStyle w:val="CETTabletitle"/>
              <w:spacing w:before="0" w:after="0" w:line="240" w:lineRule="auto"/>
              <w:rPr>
                <w:lang w:val="en-US"/>
              </w:rPr>
            </w:pPr>
            <w:r w:rsidRPr="007853A9">
              <w:rPr>
                <w:b/>
                <w:lang w:val="en-US"/>
              </w:rPr>
              <w:t>1.807</w:t>
            </w:r>
            <w:r w:rsidR="007778CF" w:rsidRPr="007778CF">
              <w:rPr>
                <w:vertAlign w:val="superscript"/>
                <w:lang w:val="en-US"/>
              </w:rPr>
              <w:t>#</w:t>
            </w:r>
          </w:p>
        </w:tc>
        <w:tc>
          <w:tcPr>
            <w:tcW w:w="625" w:type="pct"/>
            <w:tcBorders>
              <w:top w:val="nil"/>
              <w:left w:val="nil"/>
              <w:bottom w:val="nil"/>
              <w:right w:val="nil"/>
            </w:tcBorders>
            <w:shd w:val="clear" w:color="auto" w:fill="FFFFFF"/>
          </w:tcPr>
          <w:p w:rsidR="004A21F6" w:rsidRPr="007853A9" w:rsidRDefault="004A21F6" w:rsidP="007778CF">
            <w:pPr>
              <w:pStyle w:val="CETTabletitle"/>
              <w:spacing w:before="0" w:after="0" w:line="240" w:lineRule="auto"/>
              <w:ind w:right="216"/>
              <w:rPr>
                <w:b/>
                <w:lang w:val="en-US"/>
              </w:rPr>
            </w:pPr>
            <w:r w:rsidRPr="007853A9">
              <w:rPr>
                <w:b/>
                <w:lang w:val="en-US"/>
              </w:rPr>
              <w:t>0</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 xml:space="preserve">Eco-sustainable cooking </w:t>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P</w:t>
            </w:r>
            <w:r w:rsidRPr="00DE45B1">
              <w:rPr>
                <w:i w:val="0"/>
                <w:vertAlign w:val="subscript"/>
                <w:lang w:val="en-US"/>
              </w:rPr>
              <w:t>C</w:t>
            </w:r>
          </w:p>
        </w:tc>
        <w:tc>
          <w:tcPr>
            <w:tcW w:w="874"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2.3</w:t>
            </w:r>
            <w:r w:rsidRPr="00DE45B1">
              <w:rPr>
                <w:i w:val="0"/>
                <w:lang w:val="en-US"/>
              </w:rPr>
              <w:tab/>
            </w:r>
            <w:r w:rsidRPr="00DE45B1">
              <w:rPr>
                <w:i w:val="0"/>
                <w:lang w:val="en-US"/>
              </w:rPr>
              <w:tab/>
            </w:r>
            <w:r w:rsidRPr="00DE45B1">
              <w:rPr>
                <w:rFonts w:ascii="Wingdings" w:hAnsi="Wingdings"/>
                <w:i w:val="0"/>
                <w:lang w:val="en-US"/>
              </w:rPr>
              <w:t></w:t>
            </w:r>
            <w:r w:rsidRPr="00DE45B1">
              <w:rPr>
                <w:i w:val="0"/>
                <w:lang w:val="en-US"/>
              </w:rPr>
              <w:tab/>
              <w:t>0.4</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kWh kg</w:t>
            </w:r>
            <w:r w:rsidRPr="00DE45B1">
              <w:rPr>
                <w:i w:val="0"/>
                <w:vertAlign w:val="superscript"/>
                <w:lang w:val="en-US"/>
              </w:rPr>
              <w:t>-1</w:t>
            </w:r>
            <w:r w:rsidRPr="00DE45B1">
              <w:rPr>
                <w:i w:val="0"/>
                <w:lang w:val="en-US"/>
              </w:rPr>
              <w:tab/>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1.283</w:t>
            </w:r>
            <w:r w:rsidR="007778CF" w:rsidRPr="007778CF">
              <w:rPr>
                <w:vertAlign w:val="superscript"/>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-29</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 xml:space="preserve">Organic rotation cropping </w:t>
            </w:r>
          </w:p>
        </w:tc>
        <w:tc>
          <w:tcPr>
            <w:tcW w:w="396" w:type="pct"/>
            <w:tcBorders>
              <w:top w:val="nil"/>
              <w:left w:val="nil"/>
              <w:bottom w:val="nil"/>
              <w:right w:val="nil"/>
            </w:tcBorders>
            <w:shd w:val="clear" w:color="auto" w:fill="FFFFFF"/>
          </w:tcPr>
          <w:p w:rsidR="004A21F6" w:rsidRPr="00DE45B1" w:rsidRDefault="004A21F6" w:rsidP="00914259">
            <w:pPr>
              <w:pStyle w:val="CETTabletitle"/>
              <w:spacing w:before="0" w:after="0" w:line="240" w:lineRule="auto"/>
              <w:rPr>
                <w:i w:val="0"/>
                <w:lang w:val="en-US"/>
              </w:rPr>
            </w:pPr>
            <w:r w:rsidRPr="00DE45B1">
              <w:rPr>
                <w:i w:val="0"/>
                <w:lang w:val="en-US"/>
              </w:rPr>
              <w:t>EF</w:t>
            </w:r>
            <w:r w:rsidRPr="00DE45B1">
              <w:rPr>
                <w:i w:val="0"/>
                <w:vertAlign w:val="subscript"/>
                <w:lang w:val="en-US"/>
              </w:rPr>
              <w:t>O</w:t>
            </w:r>
            <w:r w:rsidR="00914259">
              <w:rPr>
                <w:i w:val="0"/>
                <w:vertAlign w:val="subscript"/>
                <w:lang w:val="en-US"/>
              </w:rPr>
              <w:t>RC</w:t>
            </w:r>
          </w:p>
        </w:tc>
        <w:tc>
          <w:tcPr>
            <w:tcW w:w="874"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0.534</w:t>
            </w:r>
            <w:r w:rsidRPr="00DE45B1">
              <w:rPr>
                <w:i w:val="0"/>
                <w:lang w:val="en-US"/>
              </w:rPr>
              <w:tab/>
            </w:r>
            <w:r w:rsidRPr="00DE45B1">
              <w:rPr>
                <w:rFonts w:ascii="Wingdings" w:hAnsi="Wingdings"/>
                <w:i w:val="0"/>
                <w:lang w:val="en-US"/>
              </w:rPr>
              <w:t></w:t>
            </w:r>
            <w:r w:rsidRPr="00DE45B1">
              <w:rPr>
                <w:i w:val="0"/>
                <w:lang w:val="en-US"/>
              </w:rPr>
              <w:tab/>
              <w:t>0.36</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kg CO</w:t>
            </w:r>
            <w:r w:rsidRPr="00DE45B1">
              <w:rPr>
                <w:i w:val="0"/>
                <w:vertAlign w:val="subscript"/>
                <w:lang w:val="en-US"/>
              </w:rPr>
              <w:t>2e</w:t>
            </w:r>
            <w:r w:rsidRPr="00DE45B1">
              <w:rPr>
                <w:i w:val="0"/>
                <w:lang w:val="en-US"/>
              </w:rPr>
              <w:t xml:space="preserve"> kg</w:t>
            </w:r>
            <w:r w:rsidRPr="00DE45B1">
              <w:rPr>
                <w:i w:val="0"/>
                <w:vertAlign w:val="superscript"/>
                <w:lang w:val="en-US"/>
              </w:rPr>
              <w:t>-1</w:t>
            </w:r>
            <w:r w:rsidRPr="00DE45B1">
              <w:rPr>
                <w:i w:val="0"/>
                <w:lang w:val="en-US"/>
              </w:rPr>
              <w:tab/>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1.056</w:t>
            </w:r>
            <w:r w:rsidR="007778CF" w:rsidRPr="007778CF">
              <w:rPr>
                <w:vertAlign w:val="superscript"/>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-42</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 xml:space="preserve">Thermal energy from biogas </w:t>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EF</w:t>
            </w:r>
            <w:r w:rsidR="00914259">
              <w:rPr>
                <w:i w:val="0"/>
                <w:vertAlign w:val="subscript"/>
                <w:lang w:val="en-US"/>
              </w:rPr>
              <w:t>BG</w:t>
            </w:r>
          </w:p>
        </w:tc>
        <w:tc>
          <w:tcPr>
            <w:tcW w:w="874" w:type="pct"/>
            <w:tcBorders>
              <w:top w:val="nil"/>
              <w:left w:val="nil"/>
              <w:bottom w:val="nil"/>
              <w:right w:val="nil"/>
            </w:tcBorders>
            <w:shd w:val="clear" w:color="auto" w:fill="FFFFFF"/>
          </w:tcPr>
          <w:p w:rsidR="004A21F6" w:rsidRPr="00DE45B1" w:rsidRDefault="004A21F6" w:rsidP="00DE45B1">
            <w:pPr>
              <w:pStyle w:val="CETTabletitle"/>
              <w:spacing w:before="0" w:after="0" w:line="240" w:lineRule="auto"/>
              <w:rPr>
                <w:i w:val="0"/>
                <w:lang w:val="en-US"/>
              </w:rPr>
            </w:pPr>
            <w:r w:rsidRPr="00DE45B1">
              <w:rPr>
                <w:i w:val="0"/>
                <w:lang w:val="en-US"/>
              </w:rPr>
              <w:t>0.231</w:t>
            </w:r>
            <w:r w:rsidRPr="00DE45B1">
              <w:rPr>
                <w:i w:val="0"/>
                <w:lang w:val="en-US"/>
              </w:rPr>
              <w:tab/>
            </w:r>
            <w:r w:rsidRPr="00DE45B1">
              <w:rPr>
                <w:rFonts w:ascii="Wingdings" w:hAnsi="Wingdings"/>
                <w:i w:val="0"/>
                <w:lang w:val="en-US"/>
              </w:rPr>
              <w:t></w:t>
            </w:r>
            <w:r w:rsidRPr="00DE45B1">
              <w:rPr>
                <w:rFonts w:ascii="Wingdings" w:hAnsi="Wingdings"/>
                <w:i w:val="0"/>
                <w:lang w:val="en-US"/>
              </w:rPr>
              <w:tab/>
            </w:r>
            <w:r w:rsidRPr="00DE45B1">
              <w:rPr>
                <w:i w:val="0"/>
                <w:lang w:val="en-US"/>
              </w:rPr>
              <w:t>0.029</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kg CO</w:t>
            </w:r>
            <w:r w:rsidRPr="00DE45B1">
              <w:rPr>
                <w:i w:val="0"/>
                <w:vertAlign w:val="subscript"/>
                <w:lang w:val="en-US"/>
              </w:rPr>
              <w:t>2e</w:t>
            </w:r>
            <w:r w:rsidRPr="00DE45B1">
              <w:rPr>
                <w:i w:val="0"/>
                <w:lang w:val="en-US"/>
              </w:rPr>
              <w:t xml:space="preserve"> kWh</w:t>
            </w:r>
            <w:r w:rsidRPr="00DE45B1">
              <w:rPr>
                <w:i w:val="0"/>
                <w:vertAlign w:val="superscript"/>
                <w:lang w:val="en-US"/>
              </w:rPr>
              <w:t>-1</w:t>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0.923</w:t>
            </w:r>
            <w:r w:rsidR="007778CF" w:rsidRPr="007778CF">
              <w:rPr>
                <w:vertAlign w:val="superscript"/>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-49</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Photovoltaic electric energy</w:t>
            </w:r>
            <w:r w:rsidRPr="00DE45B1">
              <w:rPr>
                <w:i w:val="0"/>
                <w:lang w:val="en-US"/>
              </w:rPr>
              <w:tab/>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EF</w:t>
            </w:r>
            <w:r w:rsidRPr="00DE45B1">
              <w:rPr>
                <w:i w:val="0"/>
                <w:vertAlign w:val="subscript"/>
                <w:lang w:val="en-US"/>
              </w:rPr>
              <w:t>PEE</w:t>
            </w:r>
          </w:p>
        </w:tc>
        <w:tc>
          <w:tcPr>
            <w:tcW w:w="874"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0.513</w:t>
            </w:r>
            <w:r w:rsidRPr="00DE45B1">
              <w:rPr>
                <w:i w:val="0"/>
                <w:lang w:val="en-US"/>
              </w:rPr>
              <w:tab/>
            </w:r>
            <w:r w:rsidRPr="00DE45B1">
              <w:rPr>
                <w:rFonts w:ascii="Wingdings" w:hAnsi="Wingdings"/>
                <w:i w:val="0"/>
                <w:lang w:val="en-US"/>
              </w:rPr>
              <w:t></w:t>
            </w:r>
            <w:r w:rsidRPr="00DE45B1">
              <w:rPr>
                <w:rFonts w:ascii="Wingdings" w:hAnsi="Wingdings"/>
                <w:i w:val="0"/>
                <w:lang w:val="en-US"/>
              </w:rPr>
              <w:tab/>
            </w:r>
            <w:r w:rsidRPr="00DE45B1">
              <w:rPr>
                <w:i w:val="0"/>
                <w:lang w:val="en-US"/>
              </w:rPr>
              <w:t>0.055</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kg CO</w:t>
            </w:r>
            <w:r w:rsidRPr="00DE45B1">
              <w:rPr>
                <w:i w:val="0"/>
                <w:vertAlign w:val="subscript"/>
                <w:lang w:val="en-US"/>
              </w:rPr>
              <w:t xml:space="preserve">2e </w:t>
            </w:r>
            <w:r w:rsidRPr="00DE45B1">
              <w:rPr>
                <w:i w:val="0"/>
                <w:lang w:val="en-US"/>
              </w:rPr>
              <w:t>kWh</w:t>
            </w:r>
            <w:r w:rsidRPr="00DE45B1">
              <w:rPr>
                <w:i w:val="0"/>
                <w:vertAlign w:val="superscript"/>
                <w:lang w:val="en-US"/>
              </w:rPr>
              <w:t>-1</w:t>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0.767</w:t>
            </w:r>
            <w:r w:rsidR="007778CF" w:rsidRPr="007778CF">
              <w:rPr>
                <w:vertAlign w:val="superscript"/>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-58</w:t>
            </w:r>
          </w:p>
        </w:tc>
      </w:tr>
      <w:tr w:rsidR="002A5539" w:rsidRPr="00AE0725" w:rsidTr="007778CF">
        <w:trPr>
          <w:gridAfter w:val="1"/>
          <w:wAfter w:w="7" w:type="pct"/>
        </w:trPr>
        <w:tc>
          <w:tcPr>
            <w:tcW w:w="1511" w:type="pct"/>
            <w:tcBorders>
              <w:top w:val="nil"/>
              <w:left w:val="nil"/>
              <w:bottom w:val="nil"/>
              <w:right w:val="nil"/>
            </w:tcBorders>
            <w:shd w:val="clear" w:color="auto" w:fill="FFFFFF"/>
          </w:tcPr>
          <w:p w:rsidR="002A5539" w:rsidRPr="00DE45B1" w:rsidRDefault="002A5539" w:rsidP="002A5539">
            <w:pPr>
              <w:pStyle w:val="CETTabletitle"/>
              <w:spacing w:before="0" w:after="0" w:line="240" w:lineRule="auto"/>
              <w:rPr>
                <w:i w:val="0"/>
                <w:lang w:val="en-US"/>
              </w:rPr>
            </w:pPr>
            <w:r w:rsidRPr="002A5539">
              <w:rPr>
                <w:i w:val="0"/>
                <w:lang w:val="en-US"/>
              </w:rPr>
              <w:t>Pasta rail transport</w:t>
            </w:r>
          </w:p>
        </w:tc>
        <w:tc>
          <w:tcPr>
            <w:tcW w:w="396" w:type="pct"/>
            <w:tcBorders>
              <w:top w:val="nil"/>
              <w:left w:val="nil"/>
              <w:bottom w:val="nil"/>
              <w:right w:val="nil"/>
            </w:tcBorders>
            <w:shd w:val="clear" w:color="auto" w:fill="FFFFFF"/>
          </w:tcPr>
          <w:p w:rsidR="002A5539" w:rsidRPr="00DE45B1" w:rsidRDefault="002A5539" w:rsidP="002A5539">
            <w:pPr>
              <w:pStyle w:val="CETTabletitle"/>
              <w:spacing w:before="0" w:after="0" w:line="240" w:lineRule="auto"/>
              <w:rPr>
                <w:i w:val="0"/>
                <w:lang w:val="en-US"/>
              </w:rPr>
            </w:pPr>
            <w:r w:rsidRPr="00DE45B1">
              <w:rPr>
                <w:i w:val="0"/>
                <w:lang w:val="en-US"/>
              </w:rPr>
              <w:t>EF</w:t>
            </w:r>
            <w:r w:rsidRPr="00914259">
              <w:rPr>
                <w:i w:val="0"/>
                <w:vertAlign w:val="subscript"/>
                <w:lang w:val="en-US"/>
              </w:rPr>
              <w:t>RT</w:t>
            </w:r>
          </w:p>
        </w:tc>
        <w:tc>
          <w:tcPr>
            <w:tcW w:w="874" w:type="pct"/>
            <w:tcBorders>
              <w:top w:val="nil"/>
              <w:left w:val="nil"/>
              <w:bottom w:val="nil"/>
              <w:right w:val="nil"/>
            </w:tcBorders>
            <w:shd w:val="clear" w:color="auto" w:fill="FFFFFF"/>
          </w:tcPr>
          <w:p w:rsidR="002A5539" w:rsidRPr="00DE45B1" w:rsidRDefault="002A5539" w:rsidP="00AE0725">
            <w:pPr>
              <w:pStyle w:val="CETTabletitle"/>
              <w:spacing w:before="0" w:after="0" w:line="240" w:lineRule="auto"/>
              <w:rPr>
                <w:i w:val="0"/>
                <w:lang w:val="en-US"/>
              </w:rPr>
            </w:pPr>
            <w:r w:rsidRPr="00DE45B1">
              <w:rPr>
                <w:i w:val="0"/>
                <w:lang w:val="en-US"/>
              </w:rPr>
              <w:t>0.168</w:t>
            </w:r>
            <w:r>
              <w:rPr>
                <w:i w:val="0"/>
                <w:lang w:val="en-US"/>
              </w:rPr>
              <w:t xml:space="preserve"> </w:t>
            </w:r>
            <w:r w:rsidR="00F37EEA">
              <w:rPr>
                <w:i w:val="0"/>
                <w:lang w:val="en-US"/>
              </w:rPr>
              <w:t xml:space="preserve">  </w:t>
            </w:r>
            <w:r w:rsidRPr="00AE0725">
              <w:rPr>
                <w:rFonts w:ascii="Wingdings" w:hAnsi="Wingdings"/>
                <w:i w:val="0"/>
                <w:lang w:val="en-US"/>
              </w:rPr>
              <w:t></w:t>
            </w:r>
            <w:r w:rsidR="00AE0725" w:rsidRPr="00AE0725">
              <w:rPr>
                <w:i w:val="0"/>
                <w:lang w:val="en-US"/>
              </w:rPr>
              <w:t xml:space="preserve"> </w:t>
            </w:r>
            <w:r w:rsidR="00914259">
              <w:rPr>
                <w:i w:val="0"/>
                <w:lang w:val="en-US"/>
              </w:rPr>
              <w:t xml:space="preserve"> </w:t>
            </w:r>
            <w:r w:rsidRPr="00DE45B1">
              <w:rPr>
                <w:i w:val="0"/>
                <w:lang w:val="en-US"/>
              </w:rPr>
              <w:t>0.0</w:t>
            </w:r>
            <w:r>
              <w:rPr>
                <w:i w:val="0"/>
                <w:lang w:val="en-US"/>
              </w:rPr>
              <w:t>47</w:t>
            </w:r>
          </w:p>
        </w:tc>
        <w:tc>
          <w:tcPr>
            <w:tcW w:w="873" w:type="pct"/>
            <w:tcBorders>
              <w:top w:val="nil"/>
              <w:left w:val="nil"/>
              <w:bottom w:val="nil"/>
              <w:right w:val="nil"/>
            </w:tcBorders>
            <w:shd w:val="clear" w:color="auto" w:fill="FFFFFF"/>
          </w:tcPr>
          <w:p w:rsidR="002A5539" w:rsidRPr="00DE45B1" w:rsidRDefault="002A5539" w:rsidP="00AE0725">
            <w:pPr>
              <w:pStyle w:val="CETTabletitle"/>
              <w:spacing w:before="0" w:after="0" w:line="240" w:lineRule="auto"/>
              <w:rPr>
                <w:i w:val="0"/>
                <w:lang w:val="en-US"/>
              </w:rPr>
            </w:pPr>
            <w:r w:rsidRPr="00DE45B1">
              <w:rPr>
                <w:i w:val="0"/>
                <w:lang w:val="en-US"/>
              </w:rPr>
              <w:t>kg CO</w:t>
            </w:r>
            <w:r w:rsidRPr="00AE0725">
              <w:rPr>
                <w:i w:val="0"/>
                <w:vertAlign w:val="subscript"/>
                <w:lang w:val="en-US"/>
              </w:rPr>
              <w:t>2e</w:t>
            </w:r>
            <w:r w:rsidR="00AE0725">
              <w:rPr>
                <w:i w:val="0"/>
                <w:vertAlign w:val="subscript"/>
                <w:lang w:val="en-US"/>
              </w:rPr>
              <w:t xml:space="preserve"> </w:t>
            </w:r>
            <w:r w:rsidRPr="00DE45B1">
              <w:rPr>
                <w:i w:val="0"/>
                <w:lang w:val="en-US"/>
              </w:rPr>
              <w:t>(Mg km</w:t>
            </w:r>
            <w:r w:rsidRPr="00AE0725">
              <w:rPr>
                <w:i w:val="0"/>
                <w:vertAlign w:val="superscript"/>
                <w:lang w:val="en-US"/>
              </w:rPr>
              <w:t>)-1</w:t>
            </w:r>
          </w:p>
        </w:tc>
        <w:tc>
          <w:tcPr>
            <w:tcW w:w="714" w:type="pct"/>
            <w:tcBorders>
              <w:top w:val="nil"/>
              <w:left w:val="nil"/>
              <w:bottom w:val="nil"/>
              <w:right w:val="nil"/>
            </w:tcBorders>
            <w:shd w:val="clear" w:color="auto" w:fill="FFFFFF"/>
          </w:tcPr>
          <w:p w:rsidR="002A5539" w:rsidRPr="00DE45B1" w:rsidRDefault="006D4A6A" w:rsidP="007778CF">
            <w:pPr>
              <w:pStyle w:val="CETTabletitle"/>
              <w:spacing w:before="0" w:after="0" w:line="240" w:lineRule="auto"/>
              <w:rPr>
                <w:i w:val="0"/>
                <w:lang w:val="en-US"/>
              </w:rPr>
            </w:pPr>
            <w:r>
              <w:rPr>
                <w:i w:val="0"/>
                <w:lang w:val="en-US"/>
              </w:rPr>
              <w:t>0.720</w:t>
            </w:r>
            <w:r w:rsidR="007778CF" w:rsidRPr="007778CF">
              <w:rPr>
                <w:vertAlign w:val="superscript"/>
                <w:lang w:val="en-US"/>
              </w:rPr>
              <w:t>#</w:t>
            </w:r>
          </w:p>
        </w:tc>
        <w:tc>
          <w:tcPr>
            <w:tcW w:w="625" w:type="pct"/>
            <w:tcBorders>
              <w:top w:val="nil"/>
              <w:left w:val="nil"/>
              <w:bottom w:val="nil"/>
              <w:right w:val="nil"/>
            </w:tcBorders>
            <w:shd w:val="clear" w:color="auto" w:fill="FFFFFF"/>
          </w:tcPr>
          <w:p w:rsidR="002A5539" w:rsidRPr="00DE45B1" w:rsidRDefault="006D4A6A" w:rsidP="007778CF">
            <w:pPr>
              <w:pStyle w:val="CETTabletitle"/>
              <w:spacing w:before="0" w:after="0" w:line="240" w:lineRule="auto"/>
              <w:ind w:right="216"/>
              <w:rPr>
                <w:i w:val="0"/>
                <w:lang w:val="en-US"/>
              </w:rPr>
            </w:pPr>
            <w:r>
              <w:rPr>
                <w:i w:val="0"/>
                <w:lang w:val="en-US"/>
              </w:rPr>
              <w:t>-60</w:t>
            </w:r>
          </w:p>
        </w:tc>
      </w:tr>
      <w:tr w:rsidR="002A5539" w:rsidRPr="00DE45B1" w:rsidTr="007778CF">
        <w:trPr>
          <w:gridAfter w:val="1"/>
          <w:wAfter w:w="7" w:type="pct"/>
        </w:trPr>
        <w:tc>
          <w:tcPr>
            <w:tcW w:w="1511"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 xml:space="preserve">Pasta regional distribution </w:t>
            </w:r>
          </w:p>
        </w:tc>
        <w:tc>
          <w:tcPr>
            <w:tcW w:w="396"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d</w:t>
            </w:r>
            <w:r w:rsidRPr="00DE45B1">
              <w:rPr>
                <w:i w:val="0"/>
                <w:vertAlign w:val="subscript"/>
                <w:lang w:val="en-US"/>
              </w:rPr>
              <w:t>P</w:t>
            </w:r>
          </w:p>
        </w:tc>
        <w:tc>
          <w:tcPr>
            <w:tcW w:w="874"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900</w:t>
            </w:r>
            <w:r w:rsidRPr="00DE45B1">
              <w:rPr>
                <w:i w:val="0"/>
                <w:lang w:val="en-US"/>
              </w:rPr>
              <w:tab/>
            </w:r>
            <w:r w:rsidRPr="00AE0725">
              <w:rPr>
                <w:rFonts w:ascii="Wingdings" w:hAnsi="Wingdings"/>
                <w:i w:val="0"/>
                <w:lang w:val="en-US"/>
              </w:rPr>
              <w:t></w:t>
            </w:r>
            <w:r w:rsidRPr="00DE45B1">
              <w:rPr>
                <w:i w:val="0"/>
                <w:lang w:val="en-US"/>
              </w:rPr>
              <w:tab/>
              <w:t>250</w:t>
            </w:r>
          </w:p>
        </w:tc>
        <w:tc>
          <w:tcPr>
            <w:tcW w:w="873" w:type="pct"/>
            <w:tcBorders>
              <w:top w:val="nil"/>
              <w:left w:val="nil"/>
              <w:bottom w:val="nil"/>
              <w:right w:val="nil"/>
            </w:tcBorders>
            <w:shd w:val="clear" w:color="auto" w:fill="FFFFFF"/>
          </w:tcPr>
          <w:p w:rsidR="004A21F6" w:rsidRPr="00DE45B1" w:rsidRDefault="004A21F6" w:rsidP="004A21F6">
            <w:pPr>
              <w:pStyle w:val="CETTabletitle"/>
              <w:spacing w:before="0" w:after="0" w:line="240" w:lineRule="auto"/>
              <w:rPr>
                <w:i w:val="0"/>
                <w:lang w:val="en-US"/>
              </w:rPr>
            </w:pPr>
            <w:r w:rsidRPr="00DE45B1">
              <w:rPr>
                <w:i w:val="0"/>
                <w:lang w:val="en-US"/>
              </w:rPr>
              <w:t>km</w:t>
            </w:r>
            <w:r w:rsidRPr="00DE45B1">
              <w:rPr>
                <w:i w:val="0"/>
                <w:lang w:val="en-US"/>
              </w:rPr>
              <w:tab/>
            </w:r>
            <w:r w:rsidRPr="00DE45B1">
              <w:rPr>
                <w:i w:val="0"/>
                <w:lang w:val="en-US"/>
              </w:rPr>
              <w:tab/>
            </w:r>
            <w:r w:rsidRPr="00DE45B1">
              <w:rPr>
                <w:i w:val="0"/>
                <w:lang w:val="en-US"/>
              </w:rPr>
              <w:tab/>
            </w:r>
            <w:r w:rsidRPr="00DE45B1">
              <w:rPr>
                <w:i w:val="0"/>
                <w:lang w:val="en-US"/>
              </w:rPr>
              <w:tab/>
            </w:r>
          </w:p>
        </w:tc>
        <w:tc>
          <w:tcPr>
            <w:tcW w:w="714"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rPr>
                <w:i w:val="0"/>
                <w:lang w:val="en-US"/>
              </w:rPr>
            </w:pPr>
            <w:r w:rsidRPr="00DE45B1">
              <w:rPr>
                <w:i w:val="0"/>
                <w:lang w:val="en-US"/>
              </w:rPr>
              <w:t>0.695</w:t>
            </w:r>
            <w:r w:rsidR="007778CF" w:rsidRPr="007778CF">
              <w:rPr>
                <w:vertAlign w:val="superscript"/>
                <w:lang w:val="en-US"/>
              </w:rPr>
              <w:t>#</w:t>
            </w:r>
          </w:p>
        </w:tc>
        <w:tc>
          <w:tcPr>
            <w:tcW w:w="625" w:type="pct"/>
            <w:tcBorders>
              <w:top w:val="nil"/>
              <w:left w:val="nil"/>
              <w:bottom w:val="nil"/>
              <w:right w:val="nil"/>
            </w:tcBorders>
            <w:shd w:val="clear" w:color="auto" w:fill="FFFFFF"/>
          </w:tcPr>
          <w:p w:rsidR="004A21F6" w:rsidRPr="00DE45B1" w:rsidRDefault="004A21F6" w:rsidP="007778CF">
            <w:pPr>
              <w:pStyle w:val="CETTabletitle"/>
              <w:spacing w:before="0" w:after="0" w:line="240" w:lineRule="auto"/>
              <w:ind w:right="216"/>
              <w:rPr>
                <w:i w:val="0"/>
                <w:lang w:val="en-US"/>
              </w:rPr>
            </w:pPr>
            <w:r w:rsidRPr="00DE45B1">
              <w:rPr>
                <w:i w:val="0"/>
                <w:lang w:val="en-US"/>
              </w:rPr>
              <w:t>-62</w:t>
            </w:r>
          </w:p>
        </w:tc>
      </w:tr>
      <w:tr w:rsidR="007778CF" w:rsidRPr="00B57B36" w:rsidTr="007853A9">
        <w:tc>
          <w:tcPr>
            <w:tcW w:w="1511" w:type="pct"/>
            <w:tcBorders>
              <w:top w:val="nil"/>
            </w:tcBorders>
            <w:shd w:val="clear" w:color="auto" w:fill="FFFFFF"/>
          </w:tcPr>
          <w:p w:rsidR="00DE45B1" w:rsidRPr="00DE45B1" w:rsidRDefault="00DE45B1" w:rsidP="00AE0725">
            <w:pPr>
              <w:pStyle w:val="CETBodytext"/>
              <w:ind w:right="-1"/>
              <w:rPr>
                <w:rFonts w:cs="Arial"/>
                <w:szCs w:val="18"/>
                <w:lang w:val="en-GB"/>
              </w:rPr>
            </w:pPr>
            <w:r w:rsidRPr="00DE45B1">
              <w:t>Durum wheat local supply</w:t>
            </w:r>
          </w:p>
        </w:tc>
        <w:tc>
          <w:tcPr>
            <w:tcW w:w="396" w:type="pct"/>
            <w:tcBorders>
              <w:top w:val="nil"/>
            </w:tcBorders>
            <w:shd w:val="clear" w:color="auto" w:fill="FFFFFF"/>
          </w:tcPr>
          <w:p w:rsidR="00DE45B1" w:rsidRPr="00DE45B1" w:rsidRDefault="00DE45B1" w:rsidP="00DE45B1">
            <w:pPr>
              <w:pStyle w:val="CETTabletitle"/>
              <w:spacing w:before="0" w:after="0" w:line="240" w:lineRule="auto"/>
              <w:rPr>
                <w:i w:val="0"/>
                <w:lang w:val="en-US"/>
              </w:rPr>
            </w:pPr>
            <w:r w:rsidRPr="00DE45B1">
              <w:rPr>
                <w:i w:val="0"/>
                <w:lang w:val="en-US"/>
              </w:rPr>
              <w:t>d</w:t>
            </w:r>
            <w:r w:rsidRPr="00DE45B1">
              <w:rPr>
                <w:i w:val="0"/>
                <w:vertAlign w:val="subscript"/>
                <w:lang w:val="en-US"/>
              </w:rPr>
              <w:t>LDW</w:t>
            </w:r>
          </w:p>
        </w:tc>
        <w:tc>
          <w:tcPr>
            <w:tcW w:w="874" w:type="pct"/>
            <w:tcBorders>
              <w:top w:val="nil"/>
            </w:tcBorders>
            <w:shd w:val="clear" w:color="auto" w:fill="FFFFFF"/>
          </w:tcPr>
          <w:p w:rsidR="00DE45B1" w:rsidRPr="00DE45B1" w:rsidRDefault="00DE45B1" w:rsidP="00DE45B1">
            <w:pPr>
              <w:pStyle w:val="CETTabletitle"/>
              <w:spacing w:before="0" w:after="0" w:line="240" w:lineRule="auto"/>
              <w:rPr>
                <w:i w:val="0"/>
                <w:lang w:val="en-US"/>
              </w:rPr>
            </w:pPr>
            <w:r w:rsidRPr="00DE45B1">
              <w:rPr>
                <w:rFonts w:cs="Arial"/>
                <w:i w:val="0"/>
                <w:lang w:val="en-US"/>
              </w:rPr>
              <w:t>150</w:t>
            </w:r>
            <w:r w:rsidRPr="00DE45B1">
              <w:rPr>
                <w:rFonts w:ascii="Wingdings" w:hAnsi="Wingdings"/>
                <w:i w:val="0"/>
                <w:lang w:val="en-US"/>
              </w:rPr>
              <w:tab/>
            </w:r>
            <w:r w:rsidRPr="00DE45B1">
              <w:rPr>
                <w:rFonts w:ascii="Wingdings" w:hAnsi="Wingdings"/>
                <w:i w:val="0"/>
                <w:lang w:val="en-US"/>
              </w:rPr>
              <w:t></w:t>
            </w:r>
            <w:r w:rsidRPr="00DE45B1">
              <w:rPr>
                <w:i w:val="0"/>
                <w:lang w:val="en-US"/>
              </w:rPr>
              <w:tab/>
              <w:t>50</w:t>
            </w:r>
            <w:r w:rsidRPr="00DE45B1">
              <w:rPr>
                <w:i w:val="0"/>
                <w:lang w:val="en-US"/>
              </w:rPr>
              <w:tab/>
            </w:r>
          </w:p>
        </w:tc>
        <w:tc>
          <w:tcPr>
            <w:tcW w:w="873" w:type="pct"/>
            <w:tcBorders>
              <w:top w:val="nil"/>
            </w:tcBorders>
            <w:shd w:val="clear" w:color="auto" w:fill="FFFFFF"/>
          </w:tcPr>
          <w:p w:rsidR="00DE45B1" w:rsidRPr="00DE45B1" w:rsidRDefault="00DE45B1" w:rsidP="00DE45B1">
            <w:pPr>
              <w:pStyle w:val="CETTabletitle"/>
              <w:spacing w:before="0" w:after="0" w:line="240" w:lineRule="auto"/>
              <w:rPr>
                <w:i w:val="0"/>
                <w:lang w:val="en-US"/>
              </w:rPr>
            </w:pPr>
            <w:r w:rsidRPr="00DE45B1">
              <w:rPr>
                <w:i w:val="0"/>
                <w:lang w:val="en-US"/>
              </w:rPr>
              <w:t>km</w:t>
            </w:r>
            <w:r w:rsidRPr="00DE45B1">
              <w:rPr>
                <w:i w:val="0"/>
                <w:lang w:val="en-US"/>
              </w:rPr>
              <w:tab/>
            </w:r>
          </w:p>
        </w:tc>
        <w:tc>
          <w:tcPr>
            <w:tcW w:w="714" w:type="pct"/>
            <w:tcBorders>
              <w:top w:val="nil"/>
            </w:tcBorders>
            <w:shd w:val="clear" w:color="auto" w:fill="FFFFFF"/>
          </w:tcPr>
          <w:p w:rsidR="00DE45B1" w:rsidRPr="00DE45B1" w:rsidRDefault="00DE45B1" w:rsidP="007778CF">
            <w:pPr>
              <w:pStyle w:val="CETTabletitle"/>
              <w:spacing w:before="0" w:after="0" w:line="240" w:lineRule="auto"/>
              <w:rPr>
                <w:i w:val="0"/>
                <w:lang w:val="en-US"/>
              </w:rPr>
            </w:pPr>
            <w:r w:rsidRPr="00DE45B1">
              <w:rPr>
                <w:i w:val="0"/>
                <w:lang w:val="en-US"/>
              </w:rPr>
              <w:t>0.675</w:t>
            </w:r>
            <w:r w:rsidR="007778CF" w:rsidRPr="007778CF">
              <w:rPr>
                <w:vertAlign w:val="superscript"/>
                <w:lang w:val="en-US"/>
              </w:rPr>
              <w:t>#</w:t>
            </w:r>
          </w:p>
        </w:tc>
        <w:tc>
          <w:tcPr>
            <w:tcW w:w="625" w:type="pct"/>
            <w:tcBorders>
              <w:top w:val="nil"/>
            </w:tcBorders>
            <w:shd w:val="clear" w:color="auto" w:fill="FFFFFF"/>
          </w:tcPr>
          <w:p w:rsidR="00DE45B1" w:rsidRPr="00DE45B1" w:rsidRDefault="00DE45B1" w:rsidP="007778CF">
            <w:pPr>
              <w:pStyle w:val="CETTabletitle"/>
              <w:spacing w:before="0" w:after="0" w:line="240" w:lineRule="auto"/>
              <w:ind w:right="216"/>
              <w:rPr>
                <w:i w:val="0"/>
                <w:lang w:val="en-US"/>
              </w:rPr>
            </w:pPr>
            <w:r w:rsidRPr="00DE45B1">
              <w:rPr>
                <w:i w:val="0"/>
                <w:lang w:val="en-US"/>
              </w:rPr>
              <w:t>-63</w:t>
            </w:r>
          </w:p>
        </w:tc>
        <w:tc>
          <w:tcPr>
            <w:tcW w:w="7" w:type="pct"/>
            <w:tcBorders>
              <w:top w:val="nil"/>
              <w:bottom w:val="nil"/>
            </w:tcBorders>
            <w:shd w:val="clear" w:color="auto" w:fill="FFFFFF"/>
          </w:tcPr>
          <w:p w:rsidR="00DE45B1" w:rsidRPr="00B57B36" w:rsidRDefault="00DE45B1" w:rsidP="00DE45B1">
            <w:pPr>
              <w:pStyle w:val="CETBodytext"/>
              <w:ind w:right="-1"/>
              <w:rPr>
                <w:rFonts w:cs="Arial"/>
                <w:szCs w:val="18"/>
                <w:lang w:val="en-GB"/>
              </w:rPr>
            </w:pPr>
          </w:p>
        </w:tc>
      </w:tr>
    </w:tbl>
    <w:p w:rsidR="00F44E7E" w:rsidRPr="007853A9" w:rsidRDefault="007778CF" w:rsidP="007778CF">
      <w:pPr>
        <w:pStyle w:val="CETBodytext"/>
        <w:numPr>
          <w:ilvl w:val="0"/>
          <w:numId w:val="27"/>
        </w:numPr>
        <w:tabs>
          <w:tab w:val="left" w:pos="2268"/>
          <w:tab w:val="left" w:pos="2835"/>
        </w:tabs>
        <w:spacing w:before="120" w:after="120"/>
        <w:ind w:left="851" w:hanging="567"/>
      </w:pPr>
      <w:r w:rsidRPr="007853A9">
        <w:rPr>
          <w:sz w:val="16"/>
          <w:szCs w:val="16"/>
        </w:rPr>
        <w:t>[kg CO</w:t>
      </w:r>
      <w:r w:rsidRPr="007853A9">
        <w:rPr>
          <w:sz w:val="16"/>
          <w:szCs w:val="16"/>
          <w:vertAlign w:val="subscript"/>
        </w:rPr>
        <w:t>2e</w:t>
      </w:r>
      <w:r w:rsidRPr="007853A9">
        <w:rPr>
          <w:sz w:val="16"/>
          <w:szCs w:val="16"/>
        </w:rPr>
        <w:t xml:space="preserve"> hL</w:t>
      </w:r>
      <w:r w:rsidRPr="007853A9">
        <w:rPr>
          <w:sz w:val="16"/>
          <w:szCs w:val="16"/>
          <w:vertAlign w:val="superscript"/>
        </w:rPr>
        <w:t>-1</w:t>
      </w:r>
      <w:r w:rsidRPr="007853A9">
        <w:rPr>
          <w:sz w:val="16"/>
          <w:szCs w:val="16"/>
        </w:rPr>
        <w:t>];</w:t>
      </w:r>
      <w:r w:rsidRPr="007853A9">
        <w:rPr>
          <w:sz w:val="16"/>
          <w:szCs w:val="16"/>
        </w:rPr>
        <w:tab/>
        <w:t>#</w:t>
      </w:r>
      <w:r w:rsidRPr="007853A9">
        <w:rPr>
          <w:sz w:val="16"/>
          <w:szCs w:val="16"/>
        </w:rPr>
        <w:tab/>
      </w:r>
      <w:r w:rsidR="007853A9" w:rsidRPr="007853A9">
        <w:rPr>
          <w:sz w:val="16"/>
          <w:szCs w:val="16"/>
        </w:rPr>
        <w:t>[kg CO</w:t>
      </w:r>
      <w:r w:rsidR="007853A9" w:rsidRPr="007853A9">
        <w:rPr>
          <w:sz w:val="16"/>
          <w:szCs w:val="16"/>
          <w:vertAlign w:val="subscript"/>
        </w:rPr>
        <w:t>2e</w:t>
      </w:r>
      <w:r w:rsidR="007853A9" w:rsidRPr="007853A9">
        <w:rPr>
          <w:sz w:val="16"/>
          <w:szCs w:val="16"/>
        </w:rPr>
        <w:t xml:space="preserve"> kg</w:t>
      </w:r>
      <w:r w:rsidR="007853A9" w:rsidRPr="007853A9">
        <w:rPr>
          <w:sz w:val="16"/>
          <w:szCs w:val="16"/>
          <w:vertAlign w:val="superscript"/>
        </w:rPr>
        <w:t>-1</w:t>
      </w:r>
      <w:r w:rsidR="007853A9" w:rsidRPr="007853A9">
        <w:rPr>
          <w:sz w:val="16"/>
          <w:szCs w:val="16"/>
        </w:rPr>
        <w:t>]</w:t>
      </w:r>
      <w:r w:rsidRPr="007853A9">
        <w:tab/>
      </w:r>
    </w:p>
    <w:p w:rsidR="00AF3208" w:rsidRDefault="00AF3208" w:rsidP="003A7AEF">
      <w:pPr>
        <w:pStyle w:val="CETBodytext"/>
      </w:pPr>
    </w:p>
    <w:p w:rsidR="007853A9" w:rsidRDefault="008650A2" w:rsidP="003A7AEF">
      <w:pPr>
        <w:pStyle w:val="CETBodytext"/>
      </w:pPr>
      <w:r w:rsidRPr="00855423">
        <w:t xml:space="preserve">In the case of organic dry pasta, all primary data were collected from a medium-sized pasta factory with a capacity of </w:t>
      </w:r>
      <w:r w:rsidRPr="00855423">
        <w:rPr>
          <w:rFonts w:cs="Arial"/>
        </w:rPr>
        <w:t>~</w:t>
      </w:r>
      <w:r w:rsidRPr="00855423">
        <w:t>125 Gg yr</w:t>
      </w:r>
      <w:r w:rsidRPr="00855423">
        <w:rPr>
          <w:vertAlign w:val="superscript"/>
        </w:rPr>
        <w:t>-1</w:t>
      </w:r>
      <w:r w:rsidRPr="00855423">
        <w:t xml:space="preserve">. All </w:t>
      </w:r>
      <w:r w:rsidR="003B1C70">
        <w:t xml:space="preserve">process </w:t>
      </w:r>
      <w:r w:rsidRPr="00855423">
        <w:t>data were reported by Cibelli et al</w:t>
      </w:r>
      <w:r w:rsidR="003B1C70">
        <w:t>.</w:t>
      </w:r>
      <w:r w:rsidRPr="00855423">
        <w:t xml:space="preserve"> (2017). The dry pasta CF was of about 1.8 kg CO</w:t>
      </w:r>
      <w:r w:rsidRPr="00855423">
        <w:rPr>
          <w:vertAlign w:val="subscript"/>
        </w:rPr>
        <w:t>2e</w:t>
      </w:r>
      <w:r w:rsidRPr="00855423">
        <w:t xml:space="preserve"> kg</w:t>
      </w:r>
      <w:r w:rsidRPr="00855423">
        <w:rPr>
          <w:vertAlign w:val="superscript"/>
        </w:rPr>
        <w:t>-1</w:t>
      </w:r>
      <w:r w:rsidRPr="00855423">
        <w:t xml:space="preserve">. The life cycle phases </w:t>
      </w:r>
      <w:r>
        <w:t xml:space="preserve">were ranked as follows: </w:t>
      </w:r>
      <w:r w:rsidRPr="00855423">
        <w:t>field phase (~0.67 kg CO</w:t>
      </w:r>
      <w:r w:rsidRPr="00855423">
        <w:rPr>
          <w:vertAlign w:val="subscript"/>
        </w:rPr>
        <w:t>2e</w:t>
      </w:r>
      <w:r w:rsidRPr="00855423">
        <w:t xml:space="preserve"> kg</w:t>
      </w:r>
      <w:r w:rsidRPr="00855423">
        <w:rPr>
          <w:vertAlign w:val="superscript"/>
        </w:rPr>
        <w:t>-1</w:t>
      </w:r>
      <w:r w:rsidRPr="00855423">
        <w:t>), home pasta cooking (0.65 kg CO</w:t>
      </w:r>
      <w:r w:rsidRPr="00855423">
        <w:rPr>
          <w:vertAlign w:val="subscript"/>
        </w:rPr>
        <w:t>2e</w:t>
      </w:r>
      <w:r w:rsidRPr="00855423">
        <w:t xml:space="preserve"> kg</w:t>
      </w:r>
      <w:r w:rsidRPr="00855423">
        <w:rPr>
          <w:vertAlign w:val="superscript"/>
        </w:rPr>
        <w:t>-1</w:t>
      </w:r>
      <w:r w:rsidRPr="00855423">
        <w:t>),</w:t>
      </w:r>
      <w:r w:rsidR="003B1C70">
        <w:t xml:space="preserve"> </w:t>
      </w:r>
      <w:r w:rsidRPr="00855423">
        <w:t>pasta production and packaging (~0.20 kg CO</w:t>
      </w:r>
      <w:r w:rsidRPr="00855423">
        <w:rPr>
          <w:vertAlign w:val="subscript"/>
        </w:rPr>
        <w:t>2e</w:t>
      </w:r>
      <w:r w:rsidRPr="00855423">
        <w:t xml:space="preserve"> kg</w:t>
      </w:r>
      <w:r w:rsidRPr="00855423">
        <w:rPr>
          <w:vertAlign w:val="superscript"/>
        </w:rPr>
        <w:t>-1</w:t>
      </w:r>
      <w:r w:rsidRPr="00855423">
        <w:t>), transportation (~0.15 kg CO</w:t>
      </w:r>
      <w:r w:rsidRPr="00855423">
        <w:rPr>
          <w:vertAlign w:val="subscript"/>
        </w:rPr>
        <w:t>2e</w:t>
      </w:r>
      <w:r w:rsidRPr="00855423">
        <w:t xml:space="preserve"> kg</w:t>
      </w:r>
      <w:r w:rsidRPr="00855423">
        <w:rPr>
          <w:vertAlign w:val="superscript"/>
        </w:rPr>
        <w:t>-1</w:t>
      </w:r>
      <w:r w:rsidRPr="00855423">
        <w:t>), packaging material manufacture (~0.11 kg CO</w:t>
      </w:r>
      <w:r w:rsidRPr="00855423">
        <w:rPr>
          <w:vertAlign w:val="subscript"/>
        </w:rPr>
        <w:t>2e</w:t>
      </w:r>
      <w:r w:rsidRPr="00855423">
        <w:t xml:space="preserve"> kg</w:t>
      </w:r>
      <w:r w:rsidRPr="00855423">
        <w:rPr>
          <w:vertAlign w:val="superscript"/>
        </w:rPr>
        <w:t>-1</w:t>
      </w:r>
      <w:r w:rsidRPr="00855423">
        <w:t>)</w:t>
      </w:r>
      <w:r>
        <w:t xml:space="preserve">, durum wheat milling </w:t>
      </w:r>
      <w:r w:rsidRPr="00855423">
        <w:t>(~0.0</w:t>
      </w:r>
      <w:r>
        <w:t>5</w:t>
      </w:r>
      <w:r w:rsidRPr="00855423">
        <w:t xml:space="preserve"> kg CO</w:t>
      </w:r>
      <w:r w:rsidRPr="00855423">
        <w:rPr>
          <w:vertAlign w:val="subscript"/>
        </w:rPr>
        <w:t>2e</w:t>
      </w:r>
      <w:r w:rsidRPr="00855423">
        <w:t xml:space="preserve"> kg</w:t>
      </w:r>
      <w:r w:rsidRPr="00855423">
        <w:rPr>
          <w:vertAlign w:val="superscript"/>
        </w:rPr>
        <w:t>-1</w:t>
      </w:r>
      <w:r w:rsidRPr="00855423">
        <w:t>)</w:t>
      </w:r>
      <w:r>
        <w:t xml:space="preserve">, </w:t>
      </w:r>
      <w:r w:rsidRPr="00855423">
        <w:t xml:space="preserve">end of life </w:t>
      </w:r>
      <w:r>
        <w:t xml:space="preserve">of packaging materials </w:t>
      </w:r>
      <w:r w:rsidRPr="00855423">
        <w:t>(~0.03 kg CO</w:t>
      </w:r>
      <w:r w:rsidRPr="00855423">
        <w:rPr>
          <w:vertAlign w:val="subscript"/>
        </w:rPr>
        <w:t>2e</w:t>
      </w:r>
      <w:r w:rsidRPr="00855423">
        <w:t xml:space="preserve"> kg</w:t>
      </w:r>
      <w:r w:rsidRPr="00855423">
        <w:rPr>
          <w:vertAlign w:val="superscript"/>
        </w:rPr>
        <w:t>-1</w:t>
      </w:r>
      <w:r w:rsidRPr="00855423">
        <w:t xml:space="preserve">) </w:t>
      </w:r>
      <w:r>
        <w:t xml:space="preserve">and pasta losses </w:t>
      </w:r>
      <w:r w:rsidRPr="00855423">
        <w:t>(~0.0</w:t>
      </w:r>
      <w:r>
        <w:t xml:space="preserve">2 </w:t>
      </w:r>
      <w:r w:rsidRPr="00855423">
        <w:t>kg CO</w:t>
      </w:r>
      <w:r w:rsidRPr="00855423">
        <w:rPr>
          <w:vertAlign w:val="subscript"/>
        </w:rPr>
        <w:t>2e</w:t>
      </w:r>
      <w:r w:rsidRPr="00855423">
        <w:t xml:space="preserve"> kg</w:t>
      </w:r>
      <w:r w:rsidRPr="00855423">
        <w:rPr>
          <w:vertAlign w:val="superscript"/>
        </w:rPr>
        <w:t>-1</w:t>
      </w:r>
      <w:r w:rsidRPr="00855423">
        <w:t>). C</w:t>
      </w:r>
      <w:r w:rsidR="003B1C70">
        <w:t>O</w:t>
      </w:r>
      <w:r w:rsidR="003B1C70" w:rsidRPr="003B1C70">
        <w:rPr>
          <w:vertAlign w:val="subscript"/>
        </w:rPr>
        <w:t>2e</w:t>
      </w:r>
      <w:r w:rsidRPr="00855423">
        <w:t xml:space="preserve"> credits resulted from the use of wheat milling by-products, and pasta making and packaging wastes as animal feed (~0.07 kg CO</w:t>
      </w:r>
      <w:r w:rsidRPr="00855423">
        <w:rPr>
          <w:vertAlign w:val="subscript"/>
        </w:rPr>
        <w:t>2e</w:t>
      </w:r>
      <w:r w:rsidRPr="00855423">
        <w:t xml:space="preserve"> kg</w:t>
      </w:r>
      <w:r w:rsidRPr="00855423">
        <w:rPr>
          <w:vertAlign w:val="superscript"/>
        </w:rPr>
        <w:t>-1</w:t>
      </w:r>
      <w:r w:rsidRPr="00855423">
        <w:t>)</w:t>
      </w:r>
      <w:r w:rsidR="003B1C70">
        <w:t xml:space="preserve"> in alternative to </w:t>
      </w:r>
      <w:r w:rsidRPr="00855423">
        <w:t xml:space="preserve">soybean meal fodder (Cibelli et al., 2017). </w:t>
      </w:r>
      <w:r w:rsidR="003B1C70">
        <w:t>U</w:t>
      </w:r>
      <w:r w:rsidRPr="00855423">
        <w:t>se of the eco-sustainable pasta cooking procedure with a cooking water-to</w:t>
      </w:r>
      <w:r>
        <w:t>-</w:t>
      </w:r>
      <w:r w:rsidRPr="00855423">
        <w:t>dry pasta ratio of 2 L kg</w:t>
      </w:r>
      <w:r w:rsidRPr="00855423">
        <w:rPr>
          <w:vertAlign w:val="superscript"/>
        </w:rPr>
        <w:t>-1</w:t>
      </w:r>
      <w:r w:rsidRPr="00855423">
        <w:t xml:space="preserve"> (Cimini et al., 201</w:t>
      </w:r>
      <w:r w:rsidR="008A07DD">
        <w:t>9</w:t>
      </w:r>
      <w:r w:rsidRPr="00855423">
        <w:t>) would cut CF</w:t>
      </w:r>
      <w:r>
        <w:t xml:space="preserve"> </w:t>
      </w:r>
      <w:r w:rsidRPr="00855423">
        <w:t>by 29% with respect to the reference case (RC). Use of organic crop rotation enabled CF to be decreased by another 13 %. By replacing the methane needed for the steam generating boilers with biogas, CF</w:t>
      </w:r>
      <w:r>
        <w:t xml:space="preserve"> </w:t>
      </w:r>
      <w:r w:rsidRPr="00855423">
        <w:t xml:space="preserve">reduced by 7% further. Use of solar-photovoltaic electricity lessened CF by </w:t>
      </w:r>
      <w:r>
        <w:t xml:space="preserve">an extra </w:t>
      </w:r>
      <w:r w:rsidRPr="00855423">
        <w:t xml:space="preserve">9 %. By shifting from road to rail freight transport, a supplementary 2 % reduction in CF was </w:t>
      </w:r>
      <w:r w:rsidR="00681CAE">
        <w:t xml:space="preserve">obtained. </w:t>
      </w:r>
      <w:r w:rsidRPr="00855423">
        <w:t xml:space="preserve"> </w:t>
      </w:r>
      <w:r w:rsidR="00681CAE">
        <w:t>F</w:t>
      </w:r>
      <w:r>
        <w:t>inally</w:t>
      </w:r>
      <w:r w:rsidR="00681CAE">
        <w:t xml:space="preserve">, </w:t>
      </w:r>
      <w:r w:rsidR="00681CAE" w:rsidRPr="00855423">
        <w:t>as the final product or grain delivery distance was as low as 250 or 50 km, respectively</w:t>
      </w:r>
      <w:r w:rsidR="00681CAE">
        <w:t xml:space="preserve">, </w:t>
      </w:r>
      <w:r w:rsidR="00681CAE" w:rsidRPr="00855423">
        <w:t xml:space="preserve">CF </w:t>
      </w:r>
      <w:r w:rsidR="00681CAE">
        <w:t xml:space="preserve">still </w:t>
      </w:r>
      <w:r w:rsidRPr="00855423">
        <w:t xml:space="preserve">reduced by 2 or 1%. </w:t>
      </w:r>
      <w:r w:rsidR="00681CAE">
        <w:t xml:space="preserve">In total, </w:t>
      </w:r>
      <w:r w:rsidRPr="00855423">
        <w:t xml:space="preserve">such a sequential series of mitigation options allowed the dry pasta CF footprint to be reduced </w:t>
      </w:r>
      <w:r w:rsidR="00681CAE">
        <w:t xml:space="preserve">from </w:t>
      </w:r>
      <w:r w:rsidRPr="00855423">
        <w:t>1.81 to 0.68 kg CO</w:t>
      </w:r>
      <w:r w:rsidRPr="00855423">
        <w:rPr>
          <w:vertAlign w:val="subscript"/>
        </w:rPr>
        <w:t>2e</w:t>
      </w:r>
      <w:r w:rsidRPr="00855423">
        <w:t xml:space="preserve"> kg</w:t>
      </w:r>
      <w:r w:rsidRPr="00855423">
        <w:rPr>
          <w:vertAlign w:val="superscript"/>
        </w:rPr>
        <w:t>-1</w:t>
      </w:r>
      <w:r w:rsidR="00681CAE">
        <w:t xml:space="preserve"> (Table 3). </w:t>
      </w:r>
    </w:p>
    <w:p w:rsidR="003A7AEF" w:rsidRPr="00855423" w:rsidRDefault="007853A9" w:rsidP="003A7AEF">
      <w:pPr>
        <w:pStyle w:val="CETBodytext"/>
      </w:pPr>
      <w:r>
        <w:t xml:space="preserve">In both cases, a </w:t>
      </w:r>
      <w:r w:rsidR="003A7AEF" w:rsidRPr="00855423">
        <w:t xml:space="preserve">cost/benefit analysis </w:t>
      </w:r>
      <w:r w:rsidR="003A7AEF">
        <w:t xml:space="preserve">is finally required </w:t>
      </w:r>
      <w:r w:rsidR="003A7AEF" w:rsidRPr="00855423">
        <w:t xml:space="preserve">to </w:t>
      </w:r>
      <w:r w:rsidR="003A7AEF">
        <w:t>relate t</w:t>
      </w:r>
      <w:r w:rsidR="003A7AEF" w:rsidRPr="00855423">
        <w:t xml:space="preserve">he </w:t>
      </w:r>
      <w:r w:rsidR="00B71321">
        <w:t xml:space="preserve"> </w:t>
      </w:r>
      <w:r w:rsidR="003A7AEF" w:rsidRPr="00855423">
        <w:t xml:space="preserve"> increase in the </w:t>
      </w:r>
      <w:r w:rsidRPr="00855423">
        <w:t xml:space="preserve">overall </w:t>
      </w:r>
      <w:r>
        <w:t xml:space="preserve">processing </w:t>
      </w:r>
      <w:r w:rsidRPr="00855423">
        <w:t>costs</w:t>
      </w:r>
      <w:r>
        <w:t xml:space="preserve"> to the </w:t>
      </w:r>
      <w:r w:rsidR="003A7AEF" w:rsidRPr="00855423">
        <w:t>reduction in the pro</w:t>
      </w:r>
      <w:r w:rsidR="003A7AEF">
        <w:t xml:space="preserve">duct </w:t>
      </w:r>
      <w:r w:rsidR="003A7AEF" w:rsidRPr="00855423">
        <w:t>environmental load</w:t>
      </w:r>
      <w:r>
        <w:t xml:space="preserve"> resulting from any option</w:t>
      </w:r>
      <w:r w:rsidR="003A7AEF" w:rsidRPr="00855423">
        <w:t>.</w:t>
      </w:r>
    </w:p>
    <w:p w:rsidR="00600535" w:rsidRPr="00C260F2" w:rsidRDefault="00600535" w:rsidP="00600535">
      <w:pPr>
        <w:pStyle w:val="CETHeading1"/>
      </w:pPr>
      <w:r w:rsidRPr="00C260F2">
        <w:t>Conclusions</w:t>
      </w:r>
    </w:p>
    <w:p w:rsidR="00A667D9" w:rsidRPr="00C260F2" w:rsidRDefault="002D4FDD" w:rsidP="00A667D9">
      <w:pPr>
        <w:pStyle w:val="CETBodytext"/>
      </w:pPr>
      <w:r w:rsidRPr="00B71321">
        <w:t>A</w:t>
      </w:r>
      <w:r w:rsidR="004D345C" w:rsidRPr="00B71321">
        <w:t xml:space="preserve"> simple and stepwise approach</w:t>
      </w:r>
      <w:r w:rsidR="00FC590C" w:rsidRPr="00B71321">
        <w:t>,</w:t>
      </w:r>
      <w:r w:rsidR="004D345C" w:rsidRPr="00B71321">
        <w:t xml:space="preserve"> based on the PAS 2050 standard</w:t>
      </w:r>
      <w:r w:rsidR="00FC590C" w:rsidRPr="00B71321">
        <w:t>,</w:t>
      </w:r>
      <w:r w:rsidR="004D345C" w:rsidRPr="00B71321">
        <w:t xml:space="preserve"> </w:t>
      </w:r>
      <w:r w:rsidR="00FC590C" w:rsidRPr="00B71321">
        <w:t xml:space="preserve">allowed the reduction of </w:t>
      </w:r>
      <w:r w:rsidR="004D345C" w:rsidRPr="00B71321">
        <w:t xml:space="preserve">the CF of 1 hL of beer packed in 66-cL glass bottles </w:t>
      </w:r>
      <w:r w:rsidR="006527DC" w:rsidRPr="00B71321">
        <w:t>f</w:t>
      </w:r>
      <w:r w:rsidR="004D345C" w:rsidRPr="00B71321">
        <w:t xml:space="preserve">rom about </w:t>
      </w:r>
      <w:r w:rsidR="00CE00EF" w:rsidRPr="00B71321">
        <w:t>127 to 60</w:t>
      </w:r>
      <w:r w:rsidR="004D345C" w:rsidRPr="00B71321">
        <w:t xml:space="preserve"> kg CO</w:t>
      </w:r>
      <w:r w:rsidR="004D345C" w:rsidRPr="00B71321">
        <w:rPr>
          <w:vertAlign w:val="subscript"/>
        </w:rPr>
        <w:t>2e</w:t>
      </w:r>
      <w:r w:rsidR="004D345C" w:rsidRPr="00B71321">
        <w:t xml:space="preserve"> hL</w:t>
      </w:r>
      <w:r w:rsidR="004D345C" w:rsidRPr="00B71321">
        <w:rPr>
          <w:vertAlign w:val="superscript"/>
        </w:rPr>
        <w:t>-1</w:t>
      </w:r>
      <w:r w:rsidR="00CE00EF" w:rsidRPr="00B71321">
        <w:t>, and</w:t>
      </w:r>
      <w:r w:rsidR="00AF3208" w:rsidRPr="00B71321">
        <w:t xml:space="preserve"> that </w:t>
      </w:r>
      <w:r w:rsidR="00AE0725" w:rsidRPr="00B71321">
        <w:t xml:space="preserve">of </w:t>
      </w:r>
      <w:r w:rsidR="00CE00EF" w:rsidRPr="00B71321">
        <w:t xml:space="preserve">1 kg of dry organic pasta packed in 0.5-kg PP bags from 1.81 </w:t>
      </w:r>
      <w:r w:rsidRPr="00B71321">
        <w:t xml:space="preserve">to </w:t>
      </w:r>
      <w:r w:rsidR="00CE00EF" w:rsidRPr="00B71321">
        <w:t>0.68 kg CO</w:t>
      </w:r>
      <w:r w:rsidR="00CE00EF" w:rsidRPr="00B71321">
        <w:rPr>
          <w:vertAlign w:val="subscript"/>
        </w:rPr>
        <w:t>2e</w:t>
      </w:r>
      <w:r w:rsidR="00CE00EF" w:rsidRPr="00B71321">
        <w:t xml:space="preserve"> kg</w:t>
      </w:r>
      <w:r w:rsidR="00CE00EF" w:rsidRPr="00B71321">
        <w:rPr>
          <w:vertAlign w:val="superscript"/>
        </w:rPr>
        <w:t>-1</w:t>
      </w:r>
      <w:r w:rsidR="00F46E79" w:rsidRPr="00B71321">
        <w:t>, respectively</w:t>
      </w:r>
      <w:r w:rsidR="00F46E79" w:rsidRPr="00B71321">
        <w:t xml:space="preserve">. </w:t>
      </w:r>
      <w:r w:rsidR="00F46E79" w:rsidRPr="00B71321">
        <w:t xml:space="preserve">The former was mainly due to the use of 100%-recycled </w:t>
      </w:r>
      <w:r w:rsidR="00AF3208" w:rsidRPr="00B71321">
        <w:t xml:space="preserve">glass bottles, while the latter firstly derived by </w:t>
      </w:r>
      <w:r w:rsidR="00B71321" w:rsidRPr="00B71321">
        <w:t xml:space="preserve">a more </w:t>
      </w:r>
      <w:r w:rsidR="00B71321" w:rsidRPr="00B71321">
        <w:t>environmentally sustainable pasta cooking practice</w:t>
      </w:r>
      <w:r w:rsidR="00B71321" w:rsidRPr="00B71321">
        <w:t>.</w:t>
      </w:r>
      <w:r w:rsidR="00AF3208" w:rsidRPr="00B71321">
        <w:t xml:space="preserve"> </w:t>
      </w:r>
      <w:r w:rsidR="004D345C" w:rsidRPr="00B71321">
        <w:t>Since the only assessment of GHG emissions might result in burden shifting, a further step should investigate other environmental impacts</w:t>
      </w:r>
      <w:r w:rsidR="00EA04E7" w:rsidRPr="00B71321">
        <w:t xml:space="preserve"> and processing costs</w:t>
      </w:r>
      <w:r w:rsidR="004D345C" w:rsidRPr="00B71321">
        <w:t>.</w:t>
      </w:r>
      <w:r w:rsidR="004D345C" w:rsidRPr="00C260F2">
        <w:t xml:space="preserve"> </w:t>
      </w:r>
    </w:p>
    <w:p w:rsidR="001F550F" w:rsidRPr="00B57B36" w:rsidRDefault="001F550F" w:rsidP="001F550F">
      <w:pPr>
        <w:pStyle w:val="CETAcknowledgementstitle"/>
      </w:pPr>
      <w:r w:rsidRPr="00B57B36">
        <w:t>Acknowledgments</w:t>
      </w:r>
    </w:p>
    <w:p w:rsidR="001F550F" w:rsidRPr="00C260F2" w:rsidRDefault="001F550F" w:rsidP="001F550F">
      <w:pPr>
        <w:pStyle w:val="CETBodytext"/>
      </w:pPr>
      <w:r w:rsidRPr="00C260F2">
        <w:t>This research was supported by the Italian Ministry of Instruction, University and Research, special grant PRIN 2015 –</w:t>
      </w:r>
      <w:bookmarkStart w:id="1" w:name="_GoBack"/>
      <w:bookmarkEnd w:id="1"/>
      <w:r w:rsidRPr="00C260F2">
        <w:t xml:space="preserve"> prot. 2015MFP4RC_002.</w:t>
      </w:r>
    </w:p>
    <w:p w:rsidR="00600535" w:rsidRPr="00412769" w:rsidRDefault="00600535" w:rsidP="00600535">
      <w:pPr>
        <w:pStyle w:val="CETReference"/>
        <w:rPr>
          <w:lang w:val="en-US"/>
        </w:rPr>
      </w:pPr>
      <w:r w:rsidRPr="00412769">
        <w:rPr>
          <w:lang w:val="en-US"/>
        </w:rPr>
        <w:lastRenderedPageBreak/>
        <w:t>References</w:t>
      </w:r>
    </w:p>
    <w:p w:rsidR="001F550F" w:rsidRPr="001D169D" w:rsidRDefault="001F550F" w:rsidP="006249F3">
      <w:pPr>
        <w:pStyle w:val="CETReferencetext"/>
        <w:spacing w:line="247" w:lineRule="auto"/>
        <w:rPr>
          <w:rFonts w:cs="Arial"/>
          <w:lang w:val="en-US"/>
        </w:rPr>
      </w:pPr>
      <w:r w:rsidRPr="001D169D">
        <w:rPr>
          <w:rFonts w:cs="Arial"/>
          <w:lang w:val="en-US"/>
        </w:rPr>
        <w:t xml:space="preserve">ADEME, 2007, Emission Factors Guide. Version 5.0. Emission factors calculation and bibliographical sources used, &lt;scribd.com/document/98566412/Bilan-Carbone-Emission-Factors&gt; accessed </w:t>
      </w:r>
      <w:r w:rsidR="001D169D">
        <w:rPr>
          <w:rFonts w:cs="Arial"/>
          <w:lang w:val="en-US"/>
        </w:rPr>
        <w:t>30</w:t>
      </w:r>
      <w:r w:rsidRPr="001D169D">
        <w:rPr>
          <w:rFonts w:cs="Arial"/>
          <w:lang w:val="en-US"/>
        </w:rPr>
        <w:t>.0</w:t>
      </w:r>
      <w:r w:rsidR="001D169D">
        <w:rPr>
          <w:rFonts w:cs="Arial"/>
          <w:lang w:val="en-US"/>
        </w:rPr>
        <w:t>3</w:t>
      </w:r>
      <w:r w:rsidRPr="001D169D">
        <w:rPr>
          <w:rFonts w:cs="Arial"/>
          <w:lang w:val="en-US"/>
        </w:rPr>
        <w:t>.2019.</w:t>
      </w:r>
    </w:p>
    <w:p w:rsidR="001F550F" w:rsidRPr="001D169D" w:rsidRDefault="001F550F" w:rsidP="006249F3">
      <w:pPr>
        <w:pStyle w:val="CETReferencetext"/>
        <w:spacing w:line="247" w:lineRule="auto"/>
        <w:rPr>
          <w:rFonts w:cs="Arial"/>
          <w:lang w:val="en-US"/>
        </w:rPr>
      </w:pPr>
      <w:r w:rsidRPr="001D169D">
        <w:rPr>
          <w:rFonts w:cs="Arial"/>
          <w:lang w:val="en-US"/>
        </w:rPr>
        <w:t xml:space="preserve">Anon., n.d., Current World Population, &lt;www.worldometers.info/world-population/&gt; accessed </w:t>
      </w:r>
      <w:r w:rsidR="003401AE">
        <w:rPr>
          <w:rFonts w:cs="Arial"/>
          <w:lang w:val="en-US"/>
        </w:rPr>
        <w:t>3</w:t>
      </w:r>
      <w:r w:rsidRPr="001D169D">
        <w:rPr>
          <w:rFonts w:cs="Arial"/>
          <w:lang w:val="en-US"/>
        </w:rPr>
        <w:t>0.0</w:t>
      </w:r>
      <w:r w:rsidR="003401AE">
        <w:rPr>
          <w:rFonts w:cs="Arial"/>
          <w:lang w:val="en-US"/>
        </w:rPr>
        <w:t>3</w:t>
      </w:r>
      <w:r w:rsidRPr="001D169D">
        <w:rPr>
          <w:rFonts w:cs="Arial"/>
          <w:lang w:val="en-US"/>
        </w:rPr>
        <w:t>.2019.</w:t>
      </w:r>
    </w:p>
    <w:p w:rsidR="001F550F" w:rsidRPr="001D169D" w:rsidRDefault="001F550F" w:rsidP="006249F3">
      <w:pPr>
        <w:pStyle w:val="CETReferencetext"/>
        <w:spacing w:line="247" w:lineRule="auto"/>
        <w:rPr>
          <w:rFonts w:cs="Arial"/>
          <w:lang w:val="en-US"/>
        </w:rPr>
      </w:pPr>
      <w:r w:rsidRPr="001D169D">
        <w:rPr>
          <w:rFonts w:cs="Arial"/>
          <w:lang w:val="en-US"/>
        </w:rPr>
        <w:t xml:space="preserve">Berners-Lee M., 2010, How bad are bananas? The carbon footprint of everything, Profile Books Ltd, London, UK, 197-199. </w:t>
      </w:r>
    </w:p>
    <w:p w:rsidR="001F550F" w:rsidRPr="001D169D" w:rsidRDefault="001F550F" w:rsidP="006249F3">
      <w:pPr>
        <w:pStyle w:val="CETReferencetext"/>
        <w:spacing w:line="247" w:lineRule="auto"/>
        <w:rPr>
          <w:rFonts w:cs="Arial"/>
          <w:lang w:val="en-US"/>
        </w:rPr>
      </w:pPr>
      <w:r w:rsidRPr="001D169D">
        <w:rPr>
          <w:rFonts w:cs="Arial"/>
          <w:lang w:val="en-US"/>
        </w:rPr>
        <w:t>BSI, 2008, Publicly Available Specification (PAS 2050) for the assessment of the life cycle greenhouse gas emission of goods and services, British Standards Institution, London.</w:t>
      </w:r>
    </w:p>
    <w:p w:rsidR="001F550F" w:rsidRPr="001D169D" w:rsidRDefault="001F550F" w:rsidP="006249F3">
      <w:pPr>
        <w:pStyle w:val="CETReferencetext"/>
        <w:spacing w:line="247" w:lineRule="auto"/>
        <w:rPr>
          <w:rFonts w:cs="Arial"/>
          <w:lang w:val="en-US"/>
        </w:rPr>
      </w:pPr>
      <w:r w:rsidRPr="001D169D">
        <w:rPr>
          <w:rFonts w:cs="Arial"/>
          <w:lang w:val="en-US"/>
        </w:rPr>
        <w:t>Carlsson-Kanyama A., 1998, Climate change and dietary choices - how can emissions of greenhouse gases from food consumption be reduced?</w:t>
      </w:r>
      <w:r w:rsidR="005C696B" w:rsidRPr="001D169D">
        <w:rPr>
          <w:rFonts w:cs="Arial"/>
          <w:lang w:val="en-US"/>
        </w:rPr>
        <w:t xml:space="preserve">, </w:t>
      </w:r>
      <w:r w:rsidRPr="001D169D">
        <w:rPr>
          <w:rFonts w:cs="Arial"/>
          <w:lang w:val="en-US"/>
        </w:rPr>
        <w:t>Food Policy, 23, 277-293.</w:t>
      </w:r>
    </w:p>
    <w:p w:rsidR="001F550F" w:rsidRPr="001D169D" w:rsidRDefault="001F550F" w:rsidP="006249F3">
      <w:pPr>
        <w:pStyle w:val="CETReferencetext"/>
        <w:spacing w:line="247" w:lineRule="auto"/>
        <w:rPr>
          <w:rFonts w:cs="Arial"/>
          <w:lang w:val="en-US"/>
        </w:rPr>
      </w:pPr>
      <w:r w:rsidRPr="001D169D">
        <w:rPr>
          <w:rFonts w:cs="Arial"/>
          <w:lang w:val="en-US"/>
        </w:rPr>
        <w:t>Church N., 2005, Why our food is so dependent on oil</w:t>
      </w:r>
      <w:r w:rsidR="003401AE">
        <w:rPr>
          <w:rFonts w:cs="Arial"/>
          <w:lang w:val="en-US"/>
        </w:rPr>
        <w:t>,</w:t>
      </w:r>
      <w:r w:rsidRPr="001D169D">
        <w:rPr>
          <w:rFonts w:cs="Arial"/>
          <w:lang w:val="en-US"/>
        </w:rPr>
        <w:t xml:space="preserve"> &lt;321energy.com/editorials/church/church040205.html&gt; accessed </w:t>
      </w:r>
      <w:r w:rsidR="003401AE">
        <w:rPr>
          <w:rFonts w:cs="Arial"/>
          <w:lang w:val="en-US"/>
        </w:rPr>
        <w:t>3</w:t>
      </w:r>
      <w:r w:rsidRPr="001D169D">
        <w:rPr>
          <w:rFonts w:cs="Arial"/>
          <w:lang w:val="en-US"/>
        </w:rPr>
        <w:t>0.0</w:t>
      </w:r>
      <w:r w:rsidR="003401AE">
        <w:rPr>
          <w:rFonts w:cs="Arial"/>
          <w:lang w:val="en-US"/>
        </w:rPr>
        <w:t>3</w:t>
      </w:r>
      <w:r w:rsidRPr="001D169D">
        <w:rPr>
          <w:rFonts w:cs="Arial"/>
          <w:lang w:val="en-US"/>
        </w:rPr>
        <w:t>.2019.</w:t>
      </w:r>
    </w:p>
    <w:p w:rsidR="001F550F" w:rsidRPr="001D169D" w:rsidRDefault="001F550F" w:rsidP="006249F3">
      <w:pPr>
        <w:pStyle w:val="CETBodytext"/>
        <w:spacing w:line="247" w:lineRule="auto"/>
        <w:ind w:left="284" w:hanging="284"/>
        <w:rPr>
          <w:rFonts w:cs="Arial"/>
          <w:lang w:val="it-IT"/>
        </w:rPr>
      </w:pPr>
      <w:r w:rsidRPr="001D169D">
        <w:rPr>
          <w:rFonts w:cs="Arial"/>
          <w:lang w:val="it-IT"/>
        </w:rPr>
        <w:t>Cibelli M., Cimini A., Marconi E., Moresi M., 2017, Carbon Footprint della pasta di semola di grano duro, In: 11° Conv. AISTEC “I cereali per un sistema agroalimentare di qualità”, Rome, 22-24 November, 2017, 148-152.</w:t>
      </w:r>
    </w:p>
    <w:p w:rsidR="001F550F" w:rsidRPr="001D169D" w:rsidRDefault="001F550F" w:rsidP="006249F3">
      <w:pPr>
        <w:pStyle w:val="CETBodytext"/>
        <w:spacing w:line="247" w:lineRule="auto"/>
        <w:ind w:left="284" w:hanging="284"/>
        <w:rPr>
          <w:rFonts w:cs="Arial"/>
        </w:rPr>
      </w:pPr>
      <w:r w:rsidRPr="001D169D">
        <w:rPr>
          <w:rFonts w:cs="Arial"/>
        </w:rPr>
        <w:t>Cimini A, Cibelli M, Moresi M, 201</w:t>
      </w:r>
      <w:r w:rsidR="00FC1497" w:rsidRPr="001D169D">
        <w:rPr>
          <w:rFonts w:cs="Arial"/>
        </w:rPr>
        <w:t>9</w:t>
      </w:r>
      <w:r w:rsidRPr="001D169D">
        <w:rPr>
          <w:rFonts w:cs="Arial"/>
        </w:rPr>
        <w:t>, Reducing the cooking water-to-dried pasta ratio and environmental impact of pasta cooking</w:t>
      </w:r>
      <w:r w:rsidR="00FC1497" w:rsidRPr="001D169D">
        <w:rPr>
          <w:rFonts w:cs="Arial"/>
        </w:rPr>
        <w:t>, Journal of the Science of Food and Agriculture, 99, 1258–1266.</w:t>
      </w:r>
    </w:p>
    <w:p w:rsidR="001F550F" w:rsidRPr="001D169D" w:rsidRDefault="001F550F" w:rsidP="006249F3">
      <w:pPr>
        <w:pStyle w:val="CETBodytext"/>
        <w:spacing w:line="247" w:lineRule="auto"/>
        <w:ind w:left="284" w:hanging="284"/>
        <w:rPr>
          <w:rFonts w:cs="Arial"/>
        </w:rPr>
      </w:pPr>
      <w:r w:rsidRPr="001D169D">
        <w:rPr>
          <w:rFonts w:cs="Arial"/>
        </w:rPr>
        <w:t>Cimini A., Moresi M., 2016, Carbon Footprint of a pale lager packed in different formats: assessment and sensitivity analysis based on transparent data. Journal of Cleaner Production, 112, 4196-4213.</w:t>
      </w:r>
    </w:p>
    <w:p w:rsidR="001F550F" w:rsidRPr="001D169D" w:rsidRDefault="001F550F" w:rsidP="006249F3">
      <w:pPr>
        <w:pStyle w:val="CETBodytext"/>
        <w:spacing w:line="247" w:lineRule="auto"/>
        <w:ind w:left="284" w:hanging="284"/>
        <w:rPr>
          <w:rFonts w:cs="Arial"/>
        </w:rPr>
      </w:pPr>
      <w:r w:rsidRPr="001D169D">
        <w:rPr>
          <w:rFonts w:cs="Arial"/>
        </w:rPr>
        <w:t>Cimini A., Moresi M., 2018a, Are the present standard methods effectively useful to mitigate the environmental impact of the 99% EU food and drink enterprises?, Trends in Food Science &amp; Technology, 77, 42-53.</w:t>
      </w:r>
    </w:p>
    <w:p w:rsidR="001F550F" w:rsidRPr="001D169D" w:rsidRDefault="001F550F" w:rsidP="006249F3">
      <w:pPr>
        <w:pStyle w:val="CETBodytext"/>
        <w:spacing w:line="247" w:lineRule="auto"/>
        <w:ind w:left="284" w:hanging="284"/>
        <w:rPr>
          <w:rFonts w:cs="Arial"/>
        </w:rPr>
      </w:pPr>
      <w:r w:rsidRPr="001D169D">
        <w:rPr>
          <w:rFonts w:cs="Arial"/>
        </w:rPr>
        <w:t>Cimini A., Moresi M., 2018b, Mitigation measures to minimize the cradle-to-grave beer carbon footprint as related to the brewery size and primary packaging materials, Journal of Food Engineering, 236, 1-8.</w:t>
      </w:r>
    </w:p>
    <w:p w:rsidR="001F550F" w:rsidRPr="001D169D" w:rsidRDefault="001F550F" w:rsidP="006249F3">
      <w:pPr>
        <w:pStyle w:val="CETBodytext"/>
        <w:spacing w:line="247" w:lineRule="auto"/>
        <w:ind w:left="284" w:hanging="284"/>
        <w:rPr>
          <w:rFonts w:cs="Arial"/>
        </w:rPr>
      </w:pPr>
      <w:r w:rsidRPr="001D169D">
        <w:rPr>
          <w:rFonts w:cs="Arial"/>
        </w:rPr>
        <w:t>Cimini A., Moresi M., 2018c, Effect of brewery size on the main process parameters and cradle-to-grave carbon footprint of lager beer, Journal of Industrial Ecology, 22(5), 1139-1155.</w:t>
      </w:r>
    </w:p>
    <w:p w:rsidR="001F550F" w:rsidRPr="001D169D" w:rsidRDefault="001F550F" w:rsidP="006249F3">
      <w:pPr>
        <w:pStyle w:val="CETBodytext"/>
        <w:spacing w:line="247" w:lineRule="auto"/>
        <w:ind w:left="284" w:hanging="284"/>
        <w:rPr>
          <w:rFonts w:cs="Arial"/>
          <w:szCs w:val="18"/>
        </w:rPr>
      </w:pPr>
      <w:r w:rsidRPr="001D169D">
        <w:rPr>
          <w:rFonts w:cs="Arial"/>
        </w:rPr>
        <w:t>de Larminat P., 2016, Earth climate identification vs. anthropic global warming attribution, Annual Reviews in</w:t>
      </w:r>
      <w:r w:rsidRPr="001D169D">
        <w:rPr>
          <w:rFonts w:cs="Arial"/>
          <w:szCs w:val="18"/>
        </w:rPr>
        <w:t xml:space="preserve"> Control, 42, 114-125.</w:t>
      </w:r>
    </w:p>
    <w:p w:rsidR="001F550F" w:rsidRPr="001D169D" w:rsidRDefault="001F550F" w:rsidP="006249F3">
      <w:pPr>
        <w:pStyle w:val="CETReferencetext"/>
        <w:spacing w:line="247" w:lineRule="auto"/>
        <w:rPr>
          <w:rFonts w:cs="Arial"/>
          <w:szCs w:val="18"/>
          <w:lang w:val="en-US"/>
        </w:rPr>
      </w:pPr>
      <w:r w:rsidRPr="001D169D">
        <w:rPr>
          <w:rFonts w:cs="Arial"/>
          <w:szCs w:val="18"/>
          <w:lang w:val="en-US"/>
        </w:rPr>
        <w:t>Dieu</w:t>
      </w:r>
      <w:r w:rsidR="003401AE">
        <w:rPr>
          <w:rFonts w:cs="Arial"/>
          <w:szCs w:val="18"/>
          <w:lang w:val="en-US"/>
        </w:rPr>
        <w:t xml:space="preserve"> </w:t>
      </w:r>
      <w:r w:rsidRPr="001D169D">
        <w:rPr>
          <w:rFonts w:cs="Arial"/>
          <w:szCs w:val="18"/>
          <w:lang w:val="en-US"/>
        </w:rPr>
        <w:t xml:space="preserve">T.T.M., 2009, Food processing and food waste. Chp. 2. In: C.J. Baldwin (Ed.), Sustainability in the </w:t>
      </w:r>
      <w:r w:rsidR="005C696B" w:rsidRPr="001D169D">
        <w:rPr>
          <w:rFonts w:cs="Arial"/>
          <w:szCs w:val="18"/>
          <w:lang w:val="en-US"/>
        </w:rPr>
        <w:t>f</w:t>
      </w:r>
      <w:r w:rsidRPr="001D169D">
        <w:rPr>
          <w:rFonts w:cs="Arial"/>
          <w:szCs w:val="18"/>
          <w:lang w:val="en-US"/>
        </w:rPr>
        <w:t xml:space="preserve">ood </w:t>
      </w:r>
      <w:r w:rsidR="005C696B" w:rsidRPr="001D169D">
        <w:rPr>
          <w:rFonts w:cs="Arial"/>
          <w:szCs w:val="18"/>
          <w:lang w:val="en-US"/>
        </w:rPr>
        <w:t>i</w:t>
      </w:r>
      <w:r w:rsidRPr="001D169D">
        <w:rPr>
          <w:rFonts w:cs="Arial"/>
          <w:szCs w:val="18"/>
          <w:lang w:val="en-US"/>
        </w:rPr>
        <w:t>ndustry, Institute of Food Technologists Series, Vol. 35. Wiley-Blackwell, Ames, Iowa, USA, 23-59.</w:t>
      </w:r>
    </w:p>
    <w:p w:rsidR="001F550F" w:rsidRPr="001D169D" w:rsidRDefault="001F550F" w:rsidP="006249F3">
      <w:pPr>
        <w:pStyle w:val="CETBodytext"/>
        <w:spacing w:line="247" w:lineRule="auto"/>
        <w:ind w:left="284" w:hanging="284"/>
        <w:rPr>
          <w:rFonts w:cs="Arial"/>
          <w:color w:val="000000" w:themeColor="text1"/>
          <w:szCs w:val="18"/>
        </w:rPr>
      </w:pPr>
      <w:r w:rsidRPr="001D169D">
        <w:rPr>
          <w:rFonts w:cs="Arial"/>
          <w:szCs w:val="18"/>
        </w:rPr>
        <w:t>EEA (European Environment Agency), 2017, Trends in atmospheric concentrations of CO</w:t>
      </w:r>
      <w:r w:rsidRPr="001D169D">
        <w:rPr>
          <w:rFonts w:cs="Arial"/>
          <w:szCs w:val="18"/>
          <w:vertAlign w:val="subscript"/>
        </w:rPr>
        <w:t>2</w:t>
      </w:r>
      <w:r w:rsidRPr="001D169D">
        <w:rPr>
          <w:rFonts w:cs="Arial"/>
          <w:szCs w:val="18"/>
        </w:rPr>
        <w:t>, CH</w:t>
      </w:r>
      <w:r w:rsidRPr="001D169D">
        <w:rPr>
          <w:rFonts w:cs="Arial"/>
          <w:szCs w:val="18"/>
          <w:vertAlign w:val="subscript"/>
        </w:rPr>
        <w:t xml:space="preserve">4 </w:t>
      </w:r>
      <w:r w:rsidRPr="001D169D">
        <w:rPr>
          <w:rFonts w:cs="Arial"/>
          <w:szCs w:val="18"/>
        </w:rPr>
        <w:t>and N</w:t>
      </w:r>
      <w:r w:rsidRPr="001D169D">
        <w:rPr>
          <w:rFonts w:cs="Arial"/>
          <w:szCs w:val="18"/>
          <w:vertAlign w:val="subscript"/>
        </w:rPr>
        <w:t>2</w:t>
      </w:r>
      <w:r w:rsidRPr="001D169D">
        <w:rPr>
          <w:rFonts w:cs="Arial"/>
          <w:szCs w:val="18"/>
        </w:rPr>
        <w:t>O, &lt;</w:t>
      </w:r>
      <w:r w:rsidR="003401AE" w:rsidRPr="003401AE">
        <w:rPr>
          <w:rFonts w:cs="Arial"/>
          <w:color w:val="000000" w:themeColor="text1"/>
          <w:szCs w:val="18"/>
        </w:rPr>
        <w:t>eea.europa.eu/data-and-maps/daviz/atmospheric-concentration-of-carbon-dioxide-4#tab-chart_5_filters=%7B%22rowFilters%22%3A%7B%7D%3B%22columnFilters%22%3A%7B%22pre_config_polutant%22%3A%5B%22CH4%20(ppb)%22%5D%7D%7D</w:t>
      </w:r>
      <w:r w:rsidR="003401AE">
        <w:rPr>
          <w:rFonts w:cs="Arial"/>
          <w:color w:val="000000" w:themeColor="text1"/>
          <w:szCs w:val="18"/>
        </w:rPr>
        <w:t xml:space="preserve">&gt; </w:t>
      </w:r>
      <w:r w:rsidRPr="001D169D">
        <w:rPr>
          <w:rFonts w:cs="Arial"/>
          <w:color w:val="000000" w:themeColor="text1"/>
          <w:szCs w:val="18"/>
        </w:rPr>
        <w:t xml:space="preserve">accessed </w:t>
      </w:r>
      <w:r w:rsidR="003401AE">
        <w:rPr>
          <w:rFonts w:cs="Arial"/>
          <w:color w:val="000000" w:themeColor="text1"/>
          <w:szCs w:val="18"/>
        </w:rPr>
        <w:t>30</w:t>
      </w:r>
      <w:r w:rsidRPr="001D169D">
        <w:rPr>
          <w:rFonts w:cs="Arial"/>
          <w:color w:val="000000" w:themeColor="text1"/>
          <w:szCs w:val="18"/>
        </w:rPr>
        <w:t>.0</w:t>
      </w:r>
      <w:r w:rsidR="003401AE">
        <w:rPr>
          <w:rFonts w:cs="Arial"/>
          <w:color w:val="000000" w:themeColor="text1"/>
          <w:szCs w:val="18"/>
        </w:rPr>
        <w:t>3</w:t>
      </w:r>
      <w:r w:rsidRPr="001D169D">
        <w:rPr>
          <w:rFonts w:cs="Arial"/>
          <w:color w:val="000000" w:themeColor="text1"/>
          <w:szCs w:val="18"/>
        </w:rPr>
        <w:t>.201</w:t>
      </w:r>
      <w:r w:rsidR="003401AE">
        <w:rPr>
          <w:rFonts w:cs="Arial"/>
          <w:color w:val="000000" w:themeColor="text1"/>
          <w:szCs w:val="18"/>
        </w:rPr>
        <w:t>9</w:t>
      </w:r>
      <w:r w:rsidRPr="001D169D">
        <w:rPr>
          <w:rFonts w:cs="Arial"/>
          <w:color w:val="000000" w:themeColor="text1"/>
          <w:szCs w:val="18"/>
        </w:rPr>
        <w:t>.</w:t>
      </w:r>
    </w:p>
    <w:p w:rsidR="001F550F" w:rsidRPr="001D169D" w:rsidRDefault="001F550F" w:rsidP="006249F3">
      <w:pPr>
        <w:pStyle w:val="CETReferencetext"/>
        <w:spacing w:line="247" w:lineRule="auto"/>
        <w:rPr>
          <w:rFonts w:cs="Arial"/>
          <w:color w:val="000000" w:themeColor="text1"/>
          <w:szCs w:val="18"/>
          <w:lang w:val="en-US"/>
        </w:rPr>
      </w:pPr>
      <w:r w:rsidRPr="001D169D">
        <w:rPr>
          <w:rFonts w:cs="Arial"/>
          <w:color w:val="000000" w:themeColor="text1"/>
          <w:szCs w:val="18"/>
          <w:lang w:val="en-US"/>
        </w:rPr>
        <w:t xml:space="preserve">IPCC, 1996, The </w:t>
      </w:r>
      <w:r w:rsidR="005C696B" w:rsidRPr="001D169D">
        <w:rPr>
          <w:rFonts w:cs="Arial"/>
          <w:color w:val="000000" w:themeColor="text1"/>
          <w:szCs w:val="18"/>
          <w:lang w:val="en-US"/>
        </w:rPr>
        <w:t>s</w:t>
      </w:r>
      <w:r w:rsidRPr="001D169D">
        <w:rPr>
          <w:rFonts w:cs="Arial"/>
          <w:color w:val="000000" w:themeColor="text1"/>
          <w:szCs w:val="18"/>
          <w:lang w:val="en-US"/>
        </w:rPr>
        <w:t xml:space="preserve">cience of </w:t>
      </w:r>
      <w:r w:rsidR="005C696B" w:rsidRPr="001D169D">
        <w:rPr>
          <w:rFonts w:cs="Arial"/>
          <w:color w:val="000000" w:themeColor="text1"/>
          <w:szCs w:val="18"/>
          <w:lang w:val="en-US"/>
        </w:rPr>
        <w:t>c</w:t>
      </w:r>
      <w:r w:rsidRPr="001D169D">
        <w:rPr>
          <w:rFonts w:cs="Arial"/>
          <w:color w:val="000000" w:themeColor="text1"/>
          <w:szCs w:val="18"/>
          <w:lang w:val="en-US"/>
        </w:rPr>
        <w:t xml:space="preserve">limate </w:t>
      </w:r>
      <w:r w:rsidR="005C696B" w:rsidRPr="001D169D">
        <w:rPr>
          <w:rFonts w:cs="Arial"/>
          <w:color w:val="000000" w:themeColor="text1"/>
          <w:szCs w:val="18"/>
          <w:lang w:val="en-US"/>
        </w:rPr>
        <w:t>c</w:t>
      </w:r>
      <w:r w:rsidRPr="001D169D">
        <w:rPr>
          <w:rFonts w:cs="Arial"/>
          <w:color w:val="000000" w:themeColor="text1"/>
          <w:szCs w:val="18"/>
          <w:lang w:val="en-US"/>
        </w:rPr>
        <w:t>hange, Cambridge University Press, Cambridge, UK, 18-19.</w:t>
      </w:r>
    </w:p>
    <w:p w:rsidR="001F550F" w:rsidRPr="00BA09BE" w:rsidRDefault="001F550F" w:rsidP="006249F3">
      <w:pPr>
        <w:pStyle w:val="CETReferencetext"/>
        <w:spacing w:line="247" w:lineRule="auto"/>
        <w:rPr>
          <w:rFonts w:cs="Arial"/>
          <w:color w:val="000000" w:themeColor="text1"/>
          <w:szCs w:val="18"/>
          <w:lang w:val="en-US"/>
        </w:rPr>
      </w:pPr>
      <w:r w:rsidRPr="00BA09BE">
        <w:rPr>
          <w:rFonts w:cs="Arial"/>
          <w:color w:val="000000" w:themeColor="text1"/>
          <w:szCs w:val="18"/>
          <w:lang w:val="en-US"/>
        </w:rPr>
        <w:t xml:space="preserve">IPCC, 2013, Climate Change 2013: The </w:t>
      </w:r>
      <w:r w:rsidR="005C696B" w:rsidRPr="00BA09BE">
        <w:rPr>
          <w:rFonts w:cs="Arial"/>
          <w:color w:val="000000" w:themeColor="text1"/>
          <w:szCs w:val="18"/>
          <w:lang w:val="en-US"/>
        </w:rPr>
        <w:t>physical science basis</w:t>
      </w:r>
      <w:r w:rsidRPr="00BA09BE">
        <w:rPr>
          <w:rFonts w:cs="Arial"/>
          <w:color w:val="000000" w:themeColor="text1"/>
          <w:szCs w:val="18"/>
          <w:lang w:val="en-US"/>
        </w:rPr>
        <w:t xml:space="preserve">. Contribution of </w:t>
      </w:r>
      <w:r w:rsidR="005C696B" w:rsidRPr="00BA09BE">
        <w:rPr>
          <w:rFonts w:cs="Arial"/>
          <w:color w:val="000000" w:themeColor="text1"/>
          <w:szCs w:val="18"/>
          <w:lang w:val="en-US"/>
        </w:rPr>
        <w:t xml:space="preserve">working group </w:t>
      </w:r>
      <w:r w:rsidRPr="00BA09BE">
        <w:rPr>
          <w:rFonts w:cs="Arial"/>
          <w:color w:val="000000" w:themeColor="text1"/>
          <w:szCs w:val="18"/>
          <w:lang w:val="en-US"/>
        </w:rPr>
        <w:t xml:space="preserve">I to the </w:t>
      </w:r>
      <w:r w:rsidR="005C696B" w:rsidRPr="00BA09BE">
        <w:rPr>
          <w:rFonts w:cs="Arial"/>
          <w:color w:val="000000" w:themeColor="text1"/>
          <w:szCs w:val="18"/>
          <w:lang w:val="en-US"/>
        </w:rPr>
        <w:t>fifth assessment report of the intergovernmental panel on climate change</w:t>
      </w:r>
      <w:r w:rsidRPr="00BA09BE">
        <w:rPr>
          <w:rFonts w:cs="Arial"/>
          <w:color w:val="000000" w:themeColor="text1"/>
          <w:szCs w:val="18"/>
          <w:lang w:val="en-US"/>
        </w:rPr>
        <w:t>, Stocker T.F., Qin D., Plattner G.-K., Tignor M.,. Allen S.K, Boschung J., Nauels A., Xia Y., Bex V., Midgley P.M. (Ed.s), Cambridge University Press, Cambridge, UK and New York, NY, USA.</w:t>
      </w:r>
    </w:p>
    <w:p w:rsidR="001F550F" w:rsidRPr="00BA09BE" w:rsidRDefault="001F550F" w:rsidP="006249F3">
      <w:pPr>
        <w:pStyle w:val="CETReferencetext"/>
        <w:spacing w:line="247" w:lineRule="auto"/>
        <w:rPr>
          <w:rFonts w:cs="Arial"/>
          <w:color w:val="000000" w:themeColor="text1"/>
          <w:szCs w:val="18"/>
          <w:lang w:val="en-US"/>
        </w:rPr>
      </w:pPr>
      <w:r w:rsidRPr="00BA09BE">
        <w:rPr>
          <w:rFonts w:cs="Arial"/>
          <w:color w:val="000000" w:themeColor="text1"/>
          <w:szCs w:val="18"/>
          <w:lang w:val="en-US"/>
        </w:rPr>
        <w:t xml:space="preserve">ISO, 2006, Environmental management - Life cycle assessment - Principles and framework (ISO 14040: 2006), International Organisation for Standardisation, Geneve, CH. </w:t>
      </w:r>
    </w:p>
    <w:p w:rsidR="001F550F" w:rsidRPr="001D169D" w:rsidRDefault="001F550F" w:rsidP="006249F3">
      <w:pPr>
        <w:pStyle w:val="CETReferencetext"/>
        <w:spacing w:line="247" w:lineRule="auto"/>
        <w:rPr>
          <w:rFonts w:cs="Arial"/>
          <w:szCs w:val="18"/>
          <w:lang w:val="en-US"/>
        </w:rPr>
      </w:pPr>
      <w:r w:rsidRPr="001D169D">
        <w:rPr>
          <w:rFonts w:cs="Arial"/>
          <w:color w:val="000000" w:themeColor="text1"/>
          <w:szCs w:val="18"/>
          <w:lang w:val="en-US"/>
        </w:rPr>
        <w:t>ISPRA (Institute for Environmental Protection and Research), 2018, Italian greenhouse gas inventory 1990-2016: National Inventory Report 2018, ISPRA Rapporti 283, Rome, Italy (2018) &lt;</w:t>
      </w:r>
      <w:hyperlink r:id="rId12" w:history="1">
        <w:r w:rsidR="00BA09BE" w:rsidRPr="00BA09BE">
          <w:rPr>
            <w:rFonts w:cs="Arial"/>
            <w:color w:val="000000" w:themeColor="text1"/>
            <w:szCs w:val="18"/>
            <w:lang w:val="en-US"/>
          </w:rPr>
          <w:t>isprambiente.gov.it/it/pubblicazioni/rapporti/italian-greenhouse-gas-inventory-1990-2016.-national-inventory-report-2018</w:t>
        </w:r>
      </w:hyperlink>
      <w:r w:rsidRPr="001D169D">
        <w:rPr>
          <w:rFonts w:cs="Arial"/>
          <w:color w:val="000000" w:themeColor="text1"/>
          <w:szCs w:val="18"/>
          <w:lang w:val="en-US"/>
        </w:rPr>
        <w:t xml:space="preserve">&gt; accessed </w:t>
      </w:r>
      <w:r w:rsidR="00BA09BE">
        <w:rPr>
          <w:rFonts w:cs="Arial"/>
          <w:color w:val="000000" w:themeColor="text1"/>
          <w:szCs w:val="18"/>
          <w:lang w:val="en-US"/>
        </w:rPr>
        <w:t>3</w:t>
      </w:r>
      <w:r w:rsidRPr="001D169D">
        <w:rPr>
          <w:rFonts w:cs="Arial"/>
          <w:szCs w:val="18"/>
          <w:lang w:val="en-US"/>
        </w:rPr>
        <w:t>0.0</w:t>
      </w:r>
      <w:r w:rsidR="00BA09BE">
        <w:rPr>
          <w:rFonts w:cs="Arial"/>
          <w:szCs w:val="18"/>
          <w:lang w:val="en-US"/>
        </w:rPr>
        <w:t>3</w:t>
      </w:r>
      <w:r w:rsidRPr="001D169D">
        <w:rPr>
          <w:rFonts w:cs="Arial"/>
          <w:szCs w:val="18"/>
          <w:lang w:val="en-US"/>
        </w:rPr>
        <w:t>.2019.</w:t>
      </w:r>
    </w:p>
    <w:p w:rsidR="001F550F" w:rsidRPr="001D169D" w:rsidRDefault="001F550F" w:rsidP="006249F3">
      <w:pPr>
        <w:pStyle w:val="CETReferencetext"/>
        <w:spacing w:line="247" w:lineRule="auto"/>
        <w:rPr>
          <w:rFonts w:cs="Arial"/>
          <w:szCs w:val="18"/>
          <w:lang w:val="en-US"/>
        </w:rPr>
      </w:pPr>
      <w:r w:rsidRPr="001D169D">
        <w:rPr>
          <w:rFonts w:cs="Arial"/>
          <w:szCs w:val="18"/>
          <w:lang w:val="en-US"/>
        </w:rPr>
        <w:t xml:space="preserve">Minkov N., Finkbeiner M., Sfez S., Dewulf J., Manent A., Rother E., Weyell P., Kralisch D., Schowanel D., Lapkin A., Jones M., Azapagic A., 2016. Background document. Supplementing the </w:t>
      </w:r>
      <w:r w:rsidR="005C696B" w:rsidRPr="001D169D">
        <w:rPr>
          <w:rFonts w:cs="Arial"/>
          <w:szCs w:val="18"/>
          <w:lang w:val="en-US"/>
        </w:rPr>
        <w:t>r</w:t>
      </w:r>
      <w:r w:rsidRPr="001D169D">
        <w:rPr>
          <w:rFonts w:cs="Arial"/>
          <w:szCs w:val="18"/>
          <w:lang w:val="en-US"/>
        </w:rPr>
        <w:t xml:space="preserve">oadmap for sustainability assessment in European process industries. Current state of life cycle sustainability assessment (LCSA),  Version 1.0 &lt;spire2030.eu/sites/default/files/project/measure/uploads/Modules/Mediaroom/measure-roadmap-bd-current-state-in-lcsa.pdf&gt; accessed </w:t>
      </w:r>
      <w:r w:rsidR="00BA09BE">
        <w:rPr>
          <w:rFonts w:cs="Arial"/>
          <w:szCs w:val="18"/>
          <w:lang w:val="en-US"/>
        </w:rPr>
        <w:t>3</w:t>
      </w:r>
      <w:r w:rsidRPr="001D169D">
        <w:rPr>
          <w:rFonts w:cs="Arial"/>
          <w:szCs w:val="18"/>
          <w:lang w:val="en-US"/>
        </w:rPr>
        <w:t>0</w:t>
      </w:r>
      <w:r w:rsidR="00BA09BE">
        <w:rPr>
          <w:rFonts w:cs="Arial"/>
          <w:szCs w:val="18"/>
          <w:lang w:val="en-US"/>
        </w:rPr>
        <w:t>.03</w:t>
      </w:r>
      <w:r w:rsidRPr="001D169D">
        <w:rPr>
          <w:rFonts w:cs="Arial"/>
          <w:szCs w:val="18"/>
          <w:lang w:val="en-US"/>
        </w:rPr>
        <w:t>.2019.</w:t>
      </w:r>
    </w:p>
    <w:p w:rsidR="001F550F" w:rsidRPr="001851BB" w:rsidRDefault="001F550F" w:rsidP="006249F3">
      <w:pPr>
        <w:pStyle w:val="CETReferencetext"/>
        <w:spacing w:line="247" w:lineRule="auto"/>
        <w:rPr>
          <w:rFonts w:cs="Arial"/>
          <w:lang w:val="it-IT"/>
        </w:rPr>
      </w:pPr>
      <w:r w:rsidRPr="001D169D">
        <w:rPr>
          <w:rFonts w:cs="Arial"/>
          <w:lang w:val="it-IT"/>
        </w:rPr>
        <w:t xml:space="preserve">MISE (Ministero dello Sviluppo Economico), n.d., Bilancio energetico nazionale 2016, &lt;dgsaie.mise.gov.it/dgerm/ben/ben_2016.pdf&gt; </w:t>
      </w:r>
      <w:r w:rsidRPr="001851BB">
        <w:rPr>
          <w:rFonts w:cs="Arial"/>
          <w:lang w:val="it-IT"/>
        </w:rPr>
        <w:t>accessed 04.01.2019.</w:t>
      </w:r>
    </w:p>
    <w:p w:rsidR="001F550F" w:rsidRPr="001D169D" w:rsidRDefault="001F550F" w:rsidP="006249F3">
      <w:pPr>
        <w:pStyle w:val="CETReferencetext"/>
        <w:spacing w:line="247" w:lineRule="auto"/>
        <w:rPr>
          <w:rFonts w:cs="Arial"/>
          <w:lang w:val="en-US"/>
        </w:rPr>
      </w:pPr>
      <w:r w:rsidRPr="001D169D">
        <w:rPr>
          <w:rFonts w:cs="Arial"/>
          <w:lang w:val="en-US"/>
        </w:rPr>
        <w:t xml:space="preserve">Morawicki R.O., 2012, Handbook of </w:t>
      </w:r>
      <w:r w:rsidR="005C696B" w:rsidRPr="001D169D">
        <w:rPr>
          <w:rFonts w:cs="Arial"/>
          <w:lang w:val="en-US"/>
        </w:rPr>
        <w:t>s</w:t>
      </w:r>
      <w:r w:rsidRPr="001D169D">
        <w:rPr>
          <w:rFonts w:cs="Arial"/>
          <w:lang w:val="en-US"/>
        </w:rPr>
        <w:t xml:space="preserve">ustainability for the </w:t>
      </w:r>
      <w:r w:rsidR="005C696B" w:rsidRPr="001D169D">
        <w:rPr>
          <w:rFonts w:cs="Arial"/>
          <w:lang w:val="en-US"/>
        </w:rPr>
        <w:t>f</w:t>
      </w:r>
      <w:r w:rsidRPr="001D169D">
        <w:rPr>
          <w:rFonts w:cs="Arial"/>
          <w:lang w:val="en-US"/>
        </w:rPr>
        <w:t xml:space="preserve">ood </w:t>
      </w:r>
      <w:r w:rsidR="005C696B" w:rsidRPr="001D169D">
        <w:rPr>
          <w:rFonts w:cs="Arial"/>
          <w:lang w:val="en-US"/>
        </w:rPr>
        <w:t>s</w:t>
      </w:r>
      <w:r w:rsidRPr="001D169D">
        <w:rPr>
          <w:rFonts w:cs="Arial"/>
          <w:lang w:val="en-US"/>
        </w:rPr>
        <w:t>ciences. Wiley-Blackwell, Chichester, UK.</w:t>
      </w:r>
    </w:p>
    <w:p w:rsidR="001F550F" w:rsidRPr="001D169D" w:rsidRDefault="001F550F" w:rsidP="006249F3">
      <w:pPr>
        <w:pStyle w:val="CETReferencetext"/>
        <w:spacing w:line="247" w:lineRule="auto"/>
        <w:rPr>
          <w:rFonts w:cs="Arial"/>
          <w:lang w:val="en-US"/>
        </w:rPr>
      </w:pPr>
      <w:r w:rsidRPr="001D169D">
        <w:rPr>
          <w:rFonts w:cs="Arial"/>
          <w:lang w:val="en-US"/>
        </w:rPr>
        <w:t>Moresi, M., 2014, Assessment of the life cycle greenhouse gas emissions in the food industry, Agro FOOD Industry Hi Tech, 25(3), 53-62</w:t>
      </w:r>
    </w:p>
    <w:p w:rsidR="001F550F" w:rsidRPr="001D169D" w:rsidRDefault="001F550F" w:rsidP="006249F3">
      <w:pPr>
        <w:pStyle w:val="CETReferencetext"/>
        <w:spacing w:line="247" w:lineRule="auto"/>
        <w:rPr>
          <w:rFonts w:cs="Arial"/>
          <w:lang w:val="en-US"/>
        </w:rPr>
      </w:pPr>
      <w:r w:rsidRPr="001D169D">
        <w:rPr>
          <w:rFonts w:cs="Arial"/>
          <w:lang w:val="en-US"/>
        </w:rPr>
        <w:t xml:space="preserve">NOAA (National Oceanic and Atmospheric Administration), n.d., Trends in </w:t>
      </w:r>
      <w:r w:rsidR="005C696B" w:rsidRPr="001D169D">
        <w:rPr>
          <w:rFonts w:cs="Arial"/>
          <w:lang w:val="en-US"/>
        </w:rPr>
        <w:t>a</w:t>
      </w:r>
      <w:r w:rsidRPr="001D169D">
        <w:rPr>
          <w:rFonts w:cs="Arial"/>
          <w:lang w:val="en-US"/>
        </w:rPr>
        <w:t xml:space="preserve">tmospheric </w:t>
      </w:r>
      <w:r w:rsidR="005C696B" w:rsidRPr="001D169D">
        <w:rPr>
          <w:rFonts w:cs="Arial"/>
          <w:lang w:val="en-US"/>
        </w:rPr>
        <w:t>c</w:t>
      </w:r>
      <w:r w:rsidRPr="001D169D">
        <w:rPr>
          <w:rFonts w:cs="Arial"/>
          <w:lang w:val="en-US"/>
        </w:rPr>
        <w:t xml:space="preserve">arbon </w:t>
      </w:r>
      <w:r w:rsidR="005C696B" w:rsidRPr="001D169D">
        <w:rPr>
          <w:rFonts w:cs="Arial"/>
          <w:lang w:val="en-US"/>
        </w:rPr>
        <w:t>d</w:t>
      </w:r>
      <w:r w:rsidRPr="001D169D">
        <w:rPr>
          <w:rFonts w:cs="Arial"/>
          <w:lang w:val="en-US"/>
        </w:rPr>
        <w:t xml:space="preserve">ioxide </w:t>
      </w:r>
      <w:r w:rsidR="005C696B" w:rsidRPr="001D169D">
        <w:rPr>
          <w:rFonts w:cs="Arial"/>
          <w:lang w:val="en-US"/>
        </w:rPr>
        <w:t xml:space="preserve">                            </w:t>
      </w:r>
      <w:r w:rsidRPr="001D169D">
        <w:rPr>
          <w:rFonts w:cs="Arial"/>
          <w:lang w:val="en-US"/>
        </w:rPr>
        <w:t>&lt;</w:t>
      </w:r>
      <w:hyperlink r:id="rId13" w:history="1">
        <w:r w:rsidRPr="001D7AD5">
          <w:t>esrl.noaa.gov/gmd/ccgg/trends/global.html</w:t>
        </w:r>
      </w:hyperlink>
      <w:r w:rsidRPr="001D169D">
        <w:rPr>
          <w:rFonts w:cs="Arial"/>
          <w:lang w:val="en-US"/>
        </w:rPr>
        <w:t xml:space="preserve">&gt; accessed </w:t>
      </w:r>
      <w:r w:rsidR="001D7AD5">
        <w:rPr>
          <w:rFonts w:cs="Arial"/>
          <w:lang w:val="en-US"/>
        </w:rPr>
        <w:t>30</w:t>
      </w:r>
      <w:r w:rsidRPr="001D169D">
        <w:rPr>
          <w:rFonts w:cs="Arial"/>
          <w:lang w:val="en-US"/>
        </w:rPr>
        <w:t>.</w:t>
      </w:r>
      <w:r w:rsidR="001D7AD5">
        <w:rPr>
          <w:rFonts w:cs="Arial"/>
          <w:lang w:val="en-US"/>
        </w:rPr>
        <w:t>09</w:t>
      </w:r>
      <w:r w:rsidRPr="001D169D">
        <w:rPr>
          <w:rFonts w:cs="Arial"/>
          <w:lang w:val="en-US"/>
        </w:rPr>
        <w:t>.2019.</w:t>
      </w:r>
    </w:p>
    <w:p w:rsidR="001F550F" w:rsidRPr="00F46E79" w:rsidRDefault="001F550F" w:rsidP="006249F3">
      <w:pPr>
        <w:pStyle w:val="CETReferencetext"/>
        <w:spacing w:line="247" w:lineRule="auto"/>
        <w:rPr>
          <w:rFonts w:cs="Arial"/>
          <w:lang w:val="fr-FR"/>
        </w:rPr>
      </w:pPr>
      <w:r w:rsidRPr="001D7AD5">
        <w:rPr>
          <w:rFonts w:cs="Arial"/>
          <w:lang w:val="en-US"/>
        </w:rPr>
        <w:t xml:space="preserve">Tukker A., Huppes G., Guinée J., Heijungs R., de Koning A., van Oers L., Suh S., Geerken T., Van Holderbeke M., Jansen B., Nielsen P., 2006, Environmental </w:t>
      </w:r>
      <w:r w:rsidR="005C696B" w:rsidRPr="001D7AD5">
        <w:rPr>
          <w:rFonts w:cs="Arial"/>
          <w:lang w:val="en-US"/>
        </w:rPr>
        <w:t>i</w:t>
      </w:r>
      <w:r w:rsidRPr="001D7AD5">
        <w:rPr>
          <w:rFonts w:cs="Arial"/>
          <w:lang w:val="en-US"/>
        </w:rPr>
        <w:t xml:space="preserve">mpact of </w:t>
      </w:r>
      <w:r w:rsidR="005C696B" w:rsidRPr="001D7AD5">
        <w:rPr>
          <w:rFonts w:cs="Arial"/>
          <w:lang w:val="en-US"/>
        </w:rPr>
        <w:t>p</w:t>
      </w:r>
      <w:r w:rsidRPr="001D7AD5">
        <w:rPr>
          <w:rFonts w:cs="Arial"/>
          <w:lang w:val="en-US"/>
        </w:rPr>
        <w:t xml:space="preserve">roducts. (EIPRO). Analysis of the life cycle environmental impacts related to the final consumption of the EU-25. </w:t>
      </w:r>
      <w:r w:rsidRPr="00F46E79">
        <w:rPr>
          <w:rFonts w:cs="Arial"/>
          <w:lang w:val="fr-FR"/>
        </w:rPr>
        <w:t xml:space="preserve">Technical </w:t>
      </w:r>
      <w:r w:rsidR="005C696B" w:rsidRPr="00F46E79">
        <w:rPr>
          <w:rFonts w:cs="Arial"/>
          <w:lang w:val="fr-FR"/>
        </w:rPr>
        <w:t>r</w:t>
      </w:r>
      <w:r w:rsidRPr="00F46E79">
        <w:rPr>
          <w:rFonts w:cs="Arial"/>
          <w:lang w:val="fr-FR"/>
        </w:rPr>
        <w:t xml:space="preserve">eport EUR 22284 EN. European Communities &lt;ec.europa.eu/environment/ipp/pdf/eipro_report.pdf&gt; accessed </w:t>
      </w:r>
      <w:r w:rsidR="001D7AD5" w:rsidRPr="00F46E79">
        <w:rPr>
          <w:rFonts w:cs="Arial"/>
          <w:lang w:val="fr-FR"/>
        </w:rPr>
        <w:t>3</w:t>
      </w:r>
      <w:r w:rsidRPr="00F46E79">
        <w:rPr>
          <w:rFonts w:cs="Arial"/>
          <w:lang w:val="fr-FR"/>
        </w:rPr>
        <w:t>0.0</w:t>
      </w:r>
      <w:r w:rsidR="001D7AD5" w:rsidRPr="00F46E79">
        <w:rPr>
          <w:rFonts w:cs="Arial"/>
          <w:lang w:val="fr-FR"/>
        </w:rPr>
        <w:t>3</w:t>
      </w:r>
      <w:r w:rsidRPr="00F46E79">
        <w:rPr>
          <w:rFonts w:cs="Arial"/>
          <w:lang w:val="fr-FR"/>
        </w:rPr>
        <w:t>.2019.</w:t>
      </w:r>
    </w:p>
    <w:p w:rsidR="001F550F" w:rsidRPr="001D169D" w:rsidRDefault="001F550F" w:rsidP="006249F3">
      <w:pPr>
        <w:pStyle w:val="CETReferencetext"/>
        <w:spacing w:line="247" w:lineRule="auto"/>
        <w:rPr>
          <w:rFonts w:cs="Arial"/>
          <w:lang w:val="en-US"/>
        </w:rPr>
      </w:pPr>
      <w:r w:rsidRPr="001D169D">
        <w:rPr>
          <w:rFonts w:cs="Arial"/>
          <w:lang w:val="en-US"/>
        </w:rPr>
        <w:t xml:space="preserve">UNCC (United Nations Climate Change), 2018, National </w:t>
      </w:r>
      <w:r w:rsidR="005C696B" w:rsidRPr="001D169D">
        <w:rPr>
          <w:rFonts w:cs="Arial"/>
          <w:lang w:val="en-US"/>
        </w:rPr>
        <w:t>i</w:t>
      </w:r>
      <w:r w:rsidRPr="001D169D">
        <w:rPr>
          <w:rFonts w:cs="Arial"/>
          <w:lang w:val="en-US"/>
        </w:rPr>
        <w:t xml:space="preserve">nventory </w:t>
      </w:r>
      <w:r w:rsidR="005C696B" w:rsidRPr="001D169D">
        <w:rPr>
          <w:rFonts w:cs="Arial"/>
          <w:lang w:val="en-US"/>
        </w:rPr>
        <w:t>s</w:t>
      </w:r>
      <w:r w:rsidRPr="001D169D">
        <w:rPr>
          <w:rFonts w:cs="Arial"/>
          <w:lang w:val="en-US"/>
        </w:rPr>
        <w:t xml:space="preserve">ubmissions 2018 &lt;unfccc.int/process/transparency-and-reporting/reporting-and-review-under-the-convention/greenhouse-gas-inventories-annex-i-parties/national-inventory-submissions-2018&gt; accessed </w:t>
      </w:r>
      <w:r w:rsidR="006249F3">
        <w:rPr>
          <w:rFonts w:cs="Arial"/>
          <w:lang w:val="en-US"/>
        </w:rPr>
        <w:t>30</w:t>
      </w:r>
      <w:r w:rsidRPr="001D169D">
        <w:rPr>
          <w:rFonts w:cs="Arial"/>
          <w:lang w:val="en-US"/>
        </w:rPr>
        <w:t>.0</w:t>
      </w:r>
      <w:r w:rsidR="006249F3">
        <w:rPr>
          <w:rFonts w:cs="Arial"/>
          <w:lang w:val="en-US"/>
        </w:rPr>
        <w:t>3</w:t>
      </w:r>
      <w:r w:rsidRPr="001D169D">
        <w:rPr>
          <w:rFonts w:cs="Arial"/>
          <w:lang w:val="en-US"/>
        </w:rPr>
        <w:t>.2019.</w:t>
      </w:r>
    </w:p>
    <w:sectPr w:rsidR="001F550F" w:rsidRPr="001D169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97" w:rsidRDefault="00144597" w:rsidP="004F5E36">
      <w:r>
        <w:separator/>
      </w:r>
    </w:p>
  </w:endnote>
  <w:endnote w:type="continuationSeparator" w:id="0">
    <w:p w:rsidR="00144597" w:rsidRDefault="0014459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97" w:rsidRDefault="00144597" w:rsidP="004F5E36">
      <w:r>
        <w:separator/>
      </w:r>
    </w:p>
  </w:footnote>
  <w:footnote w:type="continuationSeparator" w:id="0">
    <w:p w:rsidR="00144597" w:rsidRDefault="0014459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5387"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6BC306B"/>
    <w:multiLevelType w:val="hybridMultilevel"/>
    <w:tmpl w:val="791CCD4C"/>
    <w:lvl w:ilvl="0" w:tplc="0410000F">
      <w:start w:val="1"/>
      <w:numFmt w:val="decimal"/>
      <w:lvlText w:val="%1."/>
      <w:lvlJc w:val="left"/>
      <w:pPr>
        <w:ind w:left="6107" w:hanging="360"/>
      </w:pPr>
    </w:lvl>
    <w:lvl w:ilvl="1" w:tplc="04100019" w:tentative="1">
      <w:start w:val="1"/>
      <w:numFmt w:val="lowerLetter"/>
      <w:lvlText w:val="%2."/>
      <w:lvlJc w:val="left"/>
      <w:pPr>
        <w:ind w:left="6827" w:hanging="360"/>
      </w:pPr>
    </w:lvl>
    <w:lvl w:ilvl="2" w:tplc="0410001B" w:tentative="1">
      <w:start w:val="1"/>
      <w:numFmt w:val="lowerRoman"/>
      <w:lvlText w:val="%3."/>
      <w:lvlJc w:val="right"/>
      <w:pPr>
        <w:ind w:left="7547" w:hanging="180"/>
      </w:pPr>
    </w:lvl>
    <w:lvl w:ilvl="3" w:tplc="0410000F" w:tentative="1">
      <w:start w:val="1"/>
      <w:numFmt w:val="decimal"/>
      <w:lvlText w:val="%4."/>
      <w:lvlJc w:val="left"/>
      <w:pPr>
        <w:ind w:left="8267" w:hanging="360"/>
      </w:pPr>
    </w:lvl>
    <w:lvl w:ilvl="4" w:tplc="04100019" w:tentative="1">
      <w:start w:val="1"/>
      <w:numFmt w:val="lowerLetter"/>
      <w:lvlText w:val="%5."/>
      <w:lvlJc w:val="left"/>
      <w:pPr>
        <w:ind w:left="8987" w:hanging="360"/>
      </w:pPr>
    </w:lvl>
    <w:lvl w:ilvl="5" w:tplc="0410001B" w:tentative="1">
      <w:start w:val="1"/>
      <w:numFmt w:val="lowerRoman"/>
      <w:lvlText w:val="%6."/>
      <w:lvlJc w:val="right"/>
      <w:pPr>
        <w:ind w:left="9707" w:hanging="180"/>
      </w:pPr>
    </w:lvl>
    <w:lvl w:ilvl="6" w:tplc="0410000F" w:tentative="1">
      <w:start w:val="1"/>
      <w:numFmt w:val="decimal"/>
      <w:lvlText w:val="%7."/>
      <w:lvlJc w:val="left"/>
      <w:pPr>
        <w:ind w:left="10427" w:hanging="360"/>
      </w:pPr>
    </w:lvl>
    <w:lvl w:ilvl="7" w:tplc="04100019" w:tentative="1">
      <w:start w:val="1"/>
      <w:numFmt w:val="lowerLetter"/>
      <w:lvlText w:val="%8."/>
      <w:lvlJc w:val="left"/>
      <w:pPr>
        <w:ind w:left="11147" w:hanging="360"/>
      </w:pPr>
    </w:lvl>
    <w:lvl w:ilvl="8" w:tplc="0410001B" w:tentative="1">
      <w:start w:val="1"/>
      <w:numFmt w:val="lowerRoman"/>
      <w:lvlText w:val="%9."/>
      <w:lvlJc w:val="right"/>
      <w:pPr>
        <w:ind w:left="11867" w:hanging="180"/>
      </w:p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C863BF7"/>
    <w:multiLevelType w:val="hybridMultilevel"/>
    <w:tmpl w:val="13C6EBF2"/>
    <w:lvl w:ilvl="0" w:tplc="DDE42D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8"/>
  </w:num>
  <w:num w:numId="15">
    <w:abstractNumId w:val="21"/>
  </w:num>
  <w:num w:numId="16">
    <w:abstractNumId w:val="20"/>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284"/>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196"/>
    <w:rsid w:val="00010F40"/>
    <w:rsid w:val="000117CB"/>
    <w:rsid w:val="00026282"/>
    <w:rsid w:val="0003148D"/>
    <w:rsid w:val="00031BB1"/>
    <w:rsid w:val="00035760"/>
    <w:rsid w:val="000465A8"/>
    <w:rsid w:val="00047814"/>
    <w:rsid w:val="00047D7F"/>
    <w:rsid w:val="00051566"/>
    <w:rsid w:val="000562BF"/>
    <w:rsid w:val="00062A9A"/>
    <w:rsid w:val="00065058"/>
    <w:rsid w:val="000774BA"/>
    <w:rsid w:val="000868B9"/>
    <w:rsid w:val="00086C39"/>
    <w:rsid w:val="00087AF9"/>
    <w:rsid w:val="000951F8"/>
    <w:rsid w:val="000A03B2"/>
    <w:rsid w:val="000A3B79"/>
    <w:rsid w:val="000B380D"/>
    <w:rsid w:val="000B389E"/>
    <w:rsid w:val="000C1619"/>
    <w:rsid w:val="000C664D"/>
    <w:rsid w:val="000D113C"/>
    <w:rsid w:val="000D34BE"/>
    <w:rsid w:val="000E102F"/>
    <w:rsid w:val="000E36F1"/>
    <w:rsid w:val="000E3A73"/>
    <w:rsid w:val="000E414A"/>
    <w:rsid w:val="000E47B9"/>
    <w:rsid w:val="000F093C"/>
    <w:rsid w:val="000F1451"/>
    <w:rsid w:val="000F16BD"/>
    <w:rsid w:val="000F1C4D"/>
    <w:rsid w:val="000F676A"/>
    <w:rsid w:val="000F7859"/>
    <w:rsid w:val="000F787B"/>
    <w:rsid w:val="00110854"/>
    <w:rsid w:val="00117836"/>
    <w:rsid w:val="0012091F"/>
    <w:rsid w:val="00120E93"/>
    <w:rsid w:val="001232D5"/>
    <w:rsid w:val="001248D6"/>
    <w:rsid w:val="00126BC2"/>
    <w:rsid w:val="0013058E"/>
    <w:rsid w:val="001308B6"/>
    <w:rsid w:val="0013121F"/>
    <w:rsid w:val="00131BC7"/>
    <w:rsid w:val="00131FAB"/>
    <w:rsid w:val="00131FE6"/>
    <w:rsid w:val="0013263F"/>
    <w:rsid w:val="00133117"/>
    <w:rsid w:val="00134DE4"/>
    <w:rsid w:val="0014034D"/>
    <w:rsid w:val="00144597"/>
    <w:rsid w:val="00150E59"/>
    <w:rsid w:val="00152DE3"/>
    <w:rsid w:val="00164CF9"/>
    <w:rsid w:val="00170EC0"/>
    <w:rsid w:val="001755E1"/>
    <w:rsid w:val="00184AD6"/>
    <w:rsid w:val="001851BB"/>
    <w:rsid w:val="00193E71"/>
    <w:rsid w:val="001B0349"/>
    <w:rsid w:val="001B173D"/>
    <w:rsid w:val="001B65C1"/>
    <w:rsid w:val="001B749D"/>
    <w:rsid w:val="001B7EAE"/>
    <w:rsid w:val="001C291C"/>
    <w:rsid w:val="001C684B"/>
    <w:rsid w:val="001D0973"/>
    <w:rsid w:val="001D169D"/>
    <w:rsid w:val="001D53FC"/>
    <w:rsid w:val="001D7AD5"/>
    <w:rsid w:val="001E0555"/>
    <w:rsid w:val="001E1C49"/>
    <w:rsid w:val="001F2FED"/>
    <w:rsid w:val="001F3CC0"/>
    <w:rsid w:val="001F42A5"/>
    <w:rsid w:val="001F550F"/>
    <w:rsid w:val="001F7B9D"/>
    <w:rsid w:val="002144D0"/>
    <w:rsid w:val="002224B4"/>
    <w:rsid w:val="0023631E"/>
    <w:rsid w:val="002405E8"/>
    <w:rsid w:val="002447EF"/>
    <w:rsid w:val="00251550"/>
    <w:rsid w:val="0025247B"/>
    <w:rsid w:val="00252C1A"/>
    <w:rsid w:val="002546D5"/>
    <w:rsid w:val="00263B05"/>
    <w:rsid w:val="002649BD"/>
    <w:rsid w:val="0027221A"/>
    <w:rsid w:val="00275B61"/>
    <w:rsid w:val="00276A32"/>
    <w:rsid w:val="0027772D"/>
    <w:rsid w:val="00282656"/>
    <w:rsid w:val="00296B83"/>
    <w:rsid w:val="002A42C8"/>
    <w:rsid w:val="002A5539"/>
    <w:rsid w:val="002B7217"/>
    <w:rsid w:val="002B78CE"/>
    <w:rsid w:val="002C2FB6"/>
    <w:rsid w:val="002C36B7"/>
    <w:rsid w:val="002C619E"/>
    <w:rsid w:val="002D02CD"/>
    <w:rsid w:val="002D4FDD"/>
    <w:rsid w:val="002D5BCD"/>
    <w:rsid w:val="002E07C3"/>
    <w:rsid w:val="002E299B"/>
    <w:rsid w:val="002F4D80"/>
    <w:rsid w:val="002F67B6"/>
    <w:rsid w:val="003009B7"/>
    <w:rsid w:val="00300E56"/>
    <w:rsid w:val="0030469C"/>
    <w:rsid w:val="00321CA6"/>
    <w:rsid w:val="00327738"/>
    <w:rsid w:val="00334C09"/>
    <w:rsid w:val="003365E3"/>
    <w:rsid w:val="003401AE"/>
    <w:rsid w:val="00350593"/>
    <w:rsid w:val="00362188"/>
    <w:rsid w:val="003634DB"/>
    <w:rsid w:val="003723D4"/>
    <w:rsid w:val="003768C2"/>
    <w:rsid w:val="00384CC8"/>
    <w:rsid w:val="003871FD"/>
    <w:rsid w:val="003910F2"/>
    <w:rsid w:val="00394DB8"/>
    <w:rsid w:val="003A1E30"/>
    <w:rsid w:val="003A4C89"/>
    <w:rsid w:val="003A7AEF"/>
    <w:rsid w:val="003A7C85"/>
    <w:rsid w:val="003A7D1C"/>
    <w:rsid w:val="003B1C70"/>
    <w:rsid w:val="003B304B"/>
    <w:rsid w:val="003B3146"/>
    <w:rsid w:val="003B60F3"/>
    <w:rsid w:val="003C5F9C"/>
    <w:rsid w:val="003D7C15"/>
    <w:rsid w:val="003F015E"/>
    <w:rsid w:val="003F1710"/>
    <w:rsid w:val="003F32D1"/>
    <w:rsid w:val="003F7753"/>
    <w:rsid w:val="00400414"/>
    <w:rsid w:val="00407369"/>
    <w:rsid w:val="00412769"/>
    <w:rsid w:val="0041446B"/>
    <w:rsid w:val="004144D3"/>
    <w:rsid w:val="004235DE"/>
    <w:rsid w:val="0043070A"/>
    <w:rsid w:val="00432725"/>
    <w:rsid w:val="0044329C"/>
    <w:rsid w:val="00443DF6"/>
    <w:rsid w:val="00444232"/>
    <w:rsid w:val="00444FD9"/>
    <w:rsid w:val="00447926"/>
    <w:rsid w:val="004577FE"/>
    <w:rsid w:val="00457B9C"/>
    <w:rsid w:val="0046164A"/>
    <w:rsid w:val="004628D2"/>
    <w:rsid w:val="00462DCD"/>
    <w:rsid w:val="004648AD"/>
    <w:rsid w:val="00464BB2"/>
    <w:rsid w:val="004703A9"/>
    <w:rsid w:val="00475979"/>
    <w:rsid w:val="004760DE"/>
    <w:rsid w:val="004A004E"/>
    <w:rsid w:val="004A21F6"/>
    <w:rsid w:val="004A24CF"/>
    <w:rsid w:val="004B6721"/>
    <w:rsid w:val="004C188F"/>
    <w:rsid w:val="004C3D1D"/>
    <w:rsid w:val="004C7913"/>
    <w:rsid w:val="004D345C"/>
    <w:rsid w:val="004E07C5"/>
    <w:rsid w:val="004E39D4"/>
    <w:rsid w:val="004E4DD6"/>
    <w:rsid w:val="004F0D73"/>
    <w:rsid w:val="004F14B6"/>
    <w:rsid w:val="004F5E36"/>
    <w:rsid w:val="004F75A4"/>
    <w:rsid w:val="00500306"/>
    <w:rsid w:val="00507B47"/>
    <w:rsid w:val="00507CC9"/>
    <w:rsid w:val="00511555"/>
    <w:rsid w:val="005119A5"/>
    <w:rsid w:val="00521522"/>
    <w:rsid w:val="005229B9"/>
    <w:rsid w:val="005278B7"/>
    <w:rsid w:val="00532016"/>
    <w:rsid w:val="005346C8"/>
    <w:rsid w:val="00543E7D"/>
    <w:rsid w:val="00546B05"/>
    <w:rsid w:val="00547A68"/>
    <w:rsid w:val="005531C9"/>
    <w:rsid w:val="00560321"/>
    <w:rsid w:val="005642CA"/>
    <w:rsid w:val="00570085"/>
    <w:rsid w:val="005A0621"/>
    <w:rsid w:val="005B2110"/>
    <w:rsid w:val="005B456C"/>
    <w:rsid w:val="005B61E6"/>
    <w:rsid w:val="005C696B"/>
    <w:rsid w:val="005C77E1"/>
    <w:rsid w:val="005D6A2F"/>
    <w:rsid w:val="005E102E"/>
    <w:rsid w:val="005E1A82"/>
    <w:rsid w:val="005E2FDC"/>
    <w:rsid w:val="005E3FE5"/>
    <w:rsid w:val="005E403E"/>
    <w:rsid w:val="005E49D7"/>
    <w:rsid w:val="005E794C"/>
    <w:rsid w:val="005F0A28"/>
    <w:rsid w:val="005F0E5E"/>
    <w:rsid w:val="005F19C7"/>
    <w:rsid w:val="00600535"/>
    <w:rsid w:val="00601598"/>
    <w:rsid w:val="00601DA7"/>
    <w:rsid w:val="00610CD6"/>
    <w:rsid w:val="006128CA"/>
    <w:rsid w:val="00613CB7"/>
    <w:rsid w:val="00620DEE"/>
    <w:rsid w:val="00621F92"/>
    <w:rsid w:val="00622E73"/>
    <w:rsid w:val="006249F3"/>
    <w:rsid w:val="00625639"/>
    <w:rsid w:val="00626EF4"/>
    <w:rsid w:val="00631B33"/>
    <w:rsid w:val="00634266"/>
    <w:rsid w:val="0064184D"/>
    <w:rsid w:val="006422CC"/>
    <w:rsid w:val="006468C2"/>
    <w:rsid w:val="00651F81"/>
    <w:rsid w:val="006527DC"/>
    <w:rsid w:val="00657926"/>
    <w:rsid w:val="00660D5C"/>
    <w:rsid w:val="00660E3E"/>
    <w:rsid w:val="00662E74"/>
    <w:rsid w:val="00665EE9"/>
    <w:rsid w:val="00667132"/>
    <w:rsid w:val="00670E46"/>
    <w:rsid w:val="00680C23"/>
    <w:rsid w:val="00681CAE"/>
    <w:rsid w:val="0069188B"/>
    <w:rsid w:val="00693766"/>
    <w:rsid w:val="006A3281"/>
    <w:rsid w:val="006B4888"/>
    <w:rsid w:val="006C2E45"/>
    <w:rsid w:val="006C359C"/>
    <w:rsid w:val="006C5579"/>
    <w:rsid w:val="006D19E0"/>
    <w:rsid w:val="006D4A6A"/>
    <w:rsid w:val="006D516B"/>
    <w:rsid w:val="006D5C36"/>
    <w:rsid w:val="006E20AF"/>
    <w:rsid w:val="006E4189"/>
    <w:rsid w:val="006E737D"/>
    <w:rsid w:val="006F4089"/>
    <w:rsid w:val="0070195D"/>
    <w:rsid w:val="0070710D"/>
    <w:rsid w:val="00720A24"/>
    <w:rsid w:val="00732386"/>
    <w:rsid w:val="00732431"/>
    <w:rsid w:val="007371CA"/>
    <w:rsid w:val="00740216"/>
    <w:rsid w:val="00740936"/>
    <w:rsid w:val="007447F3"/>
    <w:rsid w:val="0074603F"/>
    <w:rsid w:val="0075046D"/>
    <w:rsid w:val="0075499F"/>
    <w:rsid w:val="0075679A"/>
    <w:rsid w:val="00757888"/>
    <w:rsid w:val="00762375"/>
    <w:rsid w:val="007636E1"/>
    <w:rsid w:val="007661C8"/>
    <w:rsid w:val="00767816"/>
    <w:rsid w:val="0077098D"/>
    <w:rsid w:val="00773121"/>
    <w:rsid w:val="007778CF"/>
    <w:rsid w:val="007827BC"/>
    <w:rsid w:val="00783BE9"/>
    <w:rsid w:val="007853A9"/>
    <w:rsid w:val="00790409"/>
    <w:rsid w:val="007931FA"/>
    <w:rsid w:val="007A7BBA"/>
    <w:rsid w:val="007B0C50"/>
    <w:rsid w:val="007B29A3"/>
    <w:rsid w:val="007B59BE"/>
    <w:rsid w:val="007C1A43"/>
    <w:rsid w:val="007C1BDF"/>
    <w:rsid w:val="007D7114"/>
    <w:rsid w:val="007E03B3"/>
    <w:rsid w:val="007E1DC6"/>
    <w:rsid w:val="007E4B46"/>
    <w:rsid w:val="007E5616"/>
    <w:rsid w:val="007E69CF"/>
    <w:rsid w:val="007F0266"/>
    <w:rsid w:val="007F773A"/>
    <w:rsid w:val="00805240"/>
    <w:rsid w:val="00805EBE"/>
    <w:rsid w:val="008066E1"/>
    <w:rsid w:val="008130C5"/>
    <w:rsid w:val="00813288"/>
    <w:rsid w:val="008168FC"/>
    <w:rsid w:val="00820D63"/>
    <w:rsid w:val="00830996"/>
    <w:rsid w:val="0083122E"/>
    <w:rsid w:val="008345F1"/>
    <w:rsid w:val="00841716"/>
    <w:rsid w:val="00852EC8"/>
    <w:rsid w:val="00853A60"/>
    <w:rsid w:val="0085475A"/>
    <w:rsid w:val="00855423"/>
    <w:rsid w:val="008650A2"/>
    <w:rsid w:val="00865B07"/>
    <w:rsid w:val="008667EA"/>
    <w:rsid w:val="0087637F"/>
    <w:rsid w:val="00877C72"/>
    <w:rsid w:val="0088492F"/>
    <w:rsid w:val="00887EB3"/>
    <w:rsid w:val="008904B9"/>
    <w:rsid w:val="0089271A"/>
    <w:rsid w:val="00892AD5"/>
    <w:rsid w:val="00892F4A"/>
    <w:rsid w:val="008A07DD"/>
    <w:rsid w:val="008A1512"/>
    <w:rsid w:val="008A3A77"/>
    <w:rsid w:val="008B45C3"/>
    <w:rsid w:val="008C0938"/>
    <w:rsid w:val="008C6EDB"/>
    <w:rsid w:val="008C7628"/>
    <w:rsid w:val="008C78C1"/>
    <w:rsid w:val="008D32B9"/>
    <w:rsid w:val="008D433B"/>
    <w:rsid w:val="008D7DB1"/>
    <w:rsid w:val="008E5067"/>
    <w:rsid w:val="008E566E"/>
    <w:rsid w:val="008F2627"/>
    <w:rsid w:val="008F2812"/>
    <w:rsid w:val="0090161A"/>
    <w:rsid w:val="00901C73"/>
    <w:rsid w:val="00901EB6"/>
    <w:rsid w:val="00904C62"/>
    <w:rsid w:val="0090685B"/>
    <w:rsid w:val="0091148E"/>
    <w:rsid w:val="00914259"/>
    <w:rsid w:val="0091432D"/>
    <w:rsid w:val="00924DAC"/>
    <w:rsid w:val="00927058"/>
    <w:rsid w:val="00930A22"/>
    <w:rsid w:val="009438EC"/>
    <w:rsid w:val="009450CE"/>
    <w:rsid w:val="00947179"/>
    <w:rsid w:val="0095164B"/>
    <w:rsid w:val="00952084"/>
    <w:rsid w:val="00954090"/>
    <w:rsid w:val="009541DD"/>
    <w:rsid w:val="009573E7"/>
    <w:rsid w:val="009635B9"/>
    <w:rsid w:val="00963E05"/>
    <w:rsid w:val="00967D54"/>
    <w:rsid w:val="009723C1"/>
    <w:rsid w:val="009912FD"/>
    <w:rsid w:val="00996483"/>
    <w:rsid w:val="00996F5A"/>
    <w:rsid w:val="009A0A3E"/>
    <w:rsid w:val="009B041A"/>
    <w:rsid w:val="009B39F5"/>
    <w:rsid w:val="009C0287"/>
    <w:rsid w:val="009C7C86"/>
    <w:rsid w:val="009D2FF7"/>
    <w:rsid w:val="009E7884"/>
    <w:rsid w:val="009E788A"/>
    <w:rsid w:val="009F0E08"/>
    <w:rsid w:val="009F1C34"/>
    <w:rsid w:val="00A0036B"/>
    <w:rsid w:val="00A06411"/>
    <w:rsid w:val="00A16C42"/>
    <w:rsid w:val="00A1763D"/>
    <w:rsid w:val="00A17CEC"/>
    <w:rsid w:val="00A20F3E"/>
    <w:rsid w:val="00A27BAE"/>
    <w:rsid w:val="00A27EF0"/>
    <w:rsid w:val="00A50B20"/>
    <w:rsid w:val="00A51390"/>
    <w:rsid w:val="00A54C1F"/>
    <w:rsid w:val="00A60D13"/>
    <w:rsid w:val="00A63112"/>
    <w:rsid w:val="00A667D9"/>
    <w:rsid w:val="00A72745"/>
    <w:rsid w:val="00A76EFC"/>
    <w:rsid w:val="00A7706A"/>
    <w:rsid w:val="00A91010"/>
    <w:rsid w:val="00A95838"/>
    <w:rsid w:val="00A966EB"/>
    <w:rsid w:val="00A97F29"/>
    <w:rsid w:val="00AA1182"/>
    <w:rsid w:val="00AA140F"/>
    <w:rsid w:val="00AA702E"/>
    <w:rsid w:val="00AB0964"/>
    <w:rsid w:val="00AB3409"/>
    <w:rsid w:val="00AB38AC"/>
    <w:rsid w:val="00AB456A"/>
    <w:rsid w:val="00AB5011"/>
    <w:rsid w:val="00AC695E"/>
    <w:rsid w:val="00AC7368"/>
    <w:rsid w:val="00AD16B9"/>
    <w:rsid w:val="00AD2FAF"/>
    <w:rsid w:val="00AD4D44"/>
    <w:rsid w:val="00AD704E"/>
    <w:rsid w:val="00AE0725"/>
    <w:rsid w:val="00AE377D"/>
    <w:rsid w:val="00AE44C8"/>
    <w:rsid w:val="00AF16B4"/>
    <w:rsid w:val="00AF3208"/>
    <w:rsid w:val="00AF7AD3"/>
    <w:rsid w:val="00B00AE6"/>
    <w:rsid w:val="00B02CA7"/>
    <w:rsid w:val="00B1658F"/>
    <w:rsid w:val="00B170AF"/>
    <w:rsid w:val="00B17FBD"/>
    <w:rsid w:val="00B24D9F"/>
    <w:rsid w:val="00B277BC"/>
    <w:rsid w:val="00B315A6"/>
    <w:rsid w:val="00B31813"/>
    <w:rsid w:val="00B33365"/>
    <w:rsid w:val="00B57B36"/>
    <w:rsid w:val="00B62539"/>
    <w:rsid w:val="00B71321"/>
    <w:rsid w:val="00B8403D"/>
    <w:rsid w:val="00B8686D"/>
    <w:rsid w:val="00BA093D"/>
    <w:rsid w:val="00BA09BE"/>
    <w:rsid w:val="00BA355E"/>
    <w:rsid w:val="00BA7547"/>
    <w:rsid w:val="00BC173F"/>
    <w:rsid w:val="00BC30C9"/>
    <w:rsid w:val="00BC422B"/>
    <w:rsid w:val="00BC4B16"/>
    <w:rsid w:val="00BE3E58"/>
    <w:rsid w:val="00C01616"/>
    <w:rsid w:val="00C0162B"/>
    <w:rsid w:val="00C048BB"/>
    <w:rsid w:val="00C07265"/>
    <w:rsid w:val="00C260F2"/>
    <w:rsid w:val="00C32B28"/>
    <w:rsid w:val="00C345B1"/>
    <w:rsid w:val="00C40142"/>
    <w:rsid w:val="00C57182"/>
    <w:rsid w:val="00C57863"/>
    <w:rsid w:val="00C631B0"/>
    <w:rsid w:val="00C655FD"/>
    <w:rsid w:val="00C77AA2"/>
    <w:rsid w:val="00C870A8"/>
    <w:rsid w:val="00C906A1"/>
    <w:rsid w:val="00C94434"/>
    <w:rsid w:val="00C94893"/>
    <w:rsid w:val="00CA0D75"/>
    <w:rsid w:val="00CA1C95"/>
    <w:rsid w:val="00CA536B"/>
    <w:rsid w:val="00CA5A9C"/>
    <w:rsid w:val="00CB4047"/>
    <w:rsid w:val="00CC42A2"/>
    <w:rsid w:val="00CD3517"/>
    <w:rsid w:val="00CD46C9"/>
    <w:rsid w:val="00CD5A00"/>
    <w:rsid w:val="00CD5FE2"/>
    <w:rsid w:val="00CE00EF"/>
    <w:rsid w:val="00CE7C68"/>
    <w:rsid w:val="00D02B4C"/>
    <w:rsid w:val="00D040C4"/>
    <w:rsid w:val="00D15FE6"/>
    <w:rsid w:val="00D23B63"/>
    <w:rsid w:val="00D23C19"/>
    <w:rsid w:val="00D27AFC"/>
    <w:rsid w:val="00D32ACA"/>
    <w:rsid w:val="00D34608"/>
    <w:rsid w:val="00D44949"/>
    <w:rsid w:val="00D57C84"/>
    <w:rsid w:val="00D6057D"/>
    <w:rsid w:val="00D60B91"/>
    <w:rsid w:val="00D751C6"/>
    <w:rsid w:val="00D84576"/>
    <w:rsid w:val="00D91CCB"/>
    <w:rsid w:val="00D9678A"/>
    <w:rsid w:val="00DA10C9"/>
    <w:rsid w:val="00DA1399"/>
    <w:rsid w:val="00DA24C6"/>
    <w:rsid w:val="00DA2A1B"/>
    <w:rsid w:val="00DA4D7B"/>
    <w:rsid w:val="00DA622D"/>
    <w:rsid w:val="00DC227D"/>
    <w:rsid w:val="00DD4BBE"/>
    <w:rsid w:val="00DE264A"/>
    <w:rsid w:val="00DE417A"/>
    <w:rsid w:val="00DE45B1"/>
    <w:rsid w:val="00DE509B"/>
    <w:rsid w:val="00E02D18"/>
    <w:rsid w:val="00E02E97"/>
    <w:rsid w:val="00E041E7"/>
    <w:rsid w:val="00E15A25"/>
    <w:rsid w:val="00E23CA1"/>
    <w:rsid w:val="00E240E3"/>
    <w:rsid w:val="00E3085B"/>
    <w:rsid w:val="00E409A8"/>
    <w:rsid w:val="00E46299"/>
    <w:rsid w:val="00E50C12"/>
    <w:rsid w:val="00E51AC8"/>
    <w:rsid w:val="00E52249"/>
    <w:rsid w:val="00E5401D"/>
    <w:rsid w:val="00E655C8"/>
    <w:rsid w:val="00E65B91"/>
    <w:rsid w:val="00E7209D"/>
    <w:rsid w:val="00E77223"/>
    <w:rsid w:val="00E8528B"/>
    <w:rsid w:val="00E85B94"/>
    <w:rsid w:val="00E87055"/>
    <w:rsid w:val="00E978D0"/>
    <w:rsid w:val="00EA04E7"/>
    <w:rsid w:val="00EA077C"/>
    <w:rsid w:val="00EA4613"/>
    <w:rsid w:val="00EA7F91"/>
    <w:rsid w:val="00EB1523"/>
    <w:rsid w:val="00EC03A4"/>
    <w:rsid w:val="00EC0E49"/>
    <w:rsid w:val="00EC55D0"/>
    <w:rsid w:val="00EE0131"/>
    <w:rsid w:val="00EE5C88"/>
    <w:rsid w:val="00EE698D"/>
    <w:rsid w:val="00EE7E20"/>
    <w:rsid w:val="00EF2117"/>
    <w:rsid w:val="00F01112"/>
    <w:rsid w:val="00F02F7F"/>
    <w:rsid w:val="00F03CB6"/>
    <w:rsid w:val="00F155B2"/>
    <w:rsid w:val="00F2612D"/>
    <w:rsid w:val="00F30C64"/>
    <w:rsid w:val="00F3164D"/>
    <w:rsid w:val="00F32CDB"/>
    <w:rsid w:val="00F33919"/>
    <w:rsid w:val="00F375A9"/>
    <w:rsid w:val="00F37EEA"/>
    <w:rsid w:val="00F44A37"/>
    <w:rsid w:val="00F44E7E"/>
    <w:rsid w:val="00F46E79"/>
    <w:rsid w:val="00F50A4D"/>
    <w:rsid w:val="00F604C0"/>
    <w:rsid w:val="00F6268F"/>
    <w:rsid w:val="00F63315"/>
    <w:rsid w:val="00F63A70"/>
    <w:rsid w:val="00F75827"/>
    <w:rsid w:val="00F76E55"/>
    <w:rsid w:val="00F861AB"/>
    <w:rsid w:val="00F862F2"/>
    <w:rsid w:val="00FA0764"/>
    <w:rsid w:val="00FA14CC"/>
    <w:rsid w:val="00FA21D0"/>
    <w:rsid w:val="00FA2E86"/>
    <w:rsid w:val="00FA302F"/>
    <w:rsid w:val="00FA4BC4"/>
    <w:rsid w:val="00FA5256"/>
    <w:rsid w:val="00FA5F5F"/>
    <w:rsid w:val="00FB730C"/>
    <w:rsid w:val="00FC1497"/>
    <w:rsid w:val="00FC2695"/>
    <w:rsid w:val="00FC3E03"/>
    <w:rsid w:val="00FC3FC1"/>
    <w:rsid w:val="00FC590C"/>
    <w:rsid w:val="00FD2D66"/>
    <w:rsid w:val="00FE1CE5"/>
    <w:rsid w:val="00FE668F"/>
    <w:rsid w:val="00FF759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st">
    <w:name w:val="st"/>
    <w:basedOn w:val="Carpredefinitoparagrafo"/>
    <w:rsid w:val="00EE7E20"/>
  </w:style>
  <w:style w:type="character" w:styleId="Enfasicorsivo">
    <w:name w:val="Emphasis"/>
    <w:basedOn w:val="Carpredefinitoparagrafo"/>
    <w:uiPriority w:val="20"/>
    <w:qFormat/>
    <w:rsid w:val="00EE7E20"/>
    <w:rPr>
      <w:i/>
      <w:iCs/>
    </w:rPr>
  </w:style>
  <w:style w:type="character" w:styleId="Enfasigrassetto">
    <w:name w:val="Strong"/>
    <w:basedOn w:val="Carpredefinitoparagrafo"/>
    <w:uiPriority w:val="22"/>
    <w:qFormat/>
    <w:rsid w:val="00F33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5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408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32886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4933">
      <w:bodyDiv w:val="1"/>
      <w:marLeft w:val="0"/>
      <w:marRight w:val="0"/>
      <w:marTop w:val="0"/>
      <w:marBottom w:val="0"/>
      <w:divBdr>
        <w:top w:val="none" w:sz="0" w:space="0" w:color="auto"/>
        <w:left w:val="none" w:sz="0" w:space="0" w:color="auto"/>
        <w:bottom w:val="none" w:sz="0" w:space="0" w:color="auto"/>
        <w:right w:val="none" w:sz="0" w:space="0" w:color="auto"/>
      </w:divBdr>
    </w:div>
    <w:div w:id="1085952410">
      <w:bodyDiv w:val="1"/>
      <w:marLeft w:val="0"/>
      <w:marRight w:val="0"/>
      <w:marTop w:val="0"/>
      <w:marBottom w:val="0"/>
      <w:divBdr>
        <w:top w:val="none" w:sz="0" w:space="0" w:color="auto"/>
        <w:left w:val="none" w:sz="0" w:space="0" w:color="auto"/>
        <w:bottom w:val="none" w:sz="0" w:space="0" w:color="auto"/>
        <w:right w:val="none" w:sz="0" w:space="0" w:color="auto"/>
      </w:divBdr>
    </w:div>
    <w:div w:id="1213882728">
      <w:bodyDiv w:val="1"/>
      <w:marLeft w:val="0"/>
      <w:marRight w:val="0"/>
      <w:marTop w:val="0"/>
      <w:marBottom w:val="0"/>
      <w:divBdr>
        <w:top w:val="none" w:sz="0" w:space="0" w:color="auto"/>
        <w:left w:val="none" w:sz="0" w:space="0" w:color="auto"/>
        <w:bottom w:val="none" w:sz="0" w:space="0" w:color="auto"/>
        <w:right w:val="none" w:sz="0" w:space="0" w:color="auto"/>
      </w:divBdr>
    </w:div>
    <w:div w:id="1317760807">
      <w:bodyDiv w:val="1"/>
      <w:marLeft w:val="0"/>
      <w:marRight w:val="0"/>
      <w:marTop w:val="0"/>
      <w:marBottom w:val="0"/>
      <w:divBdr>
        <w:top w:val="none" w:sz="0" w:space="0" w:color="auto"/>
        <w:left w:val="none" w:sz="0" w:space="0" w:color="auto"/>
        <w:bottom w:val="none" w:sz="0" w:space="0" w:color="auto"/>
        <w:right w:val="none" w:sz="0" w:space="0" w:color="auto"/>
      </w:divBdr>
    </w:div>
    <w:div w:id="1340237085">
      <w:bodyDiv w:val="1"/>
      <w:marLeft w:val="0"/>
      <w:marRight w:val="0"/>
      <w:marTop w:val="0"/>
      <w:marBottom w:val="0"/>
      <w:divBdr>
        <w:top w:val="none" w:sz="0" w:space="0" w:color="auto"/>
        <w:left w:val="none" w:sz="0" w:space="0" w:color="auto"/>
        <w:bottom w:val="none" w:sz="0" w:space="0" w:color="auto"/>
        <w:right w:val="none" w:sz="0" w:space="0" w:color="auto"/>
      </w:divBdr>
    </w:div>
    <w:div w:id="1373581079">
      <w:bodyDiv w:val="1"/>
      <w:marLeft w:val="0"/>
      <w:marRight w:val="0"/>
      <w:marTop w:val="0"/>
      <w:marBottom w:val="0"/>
      <w:divBdr>
        <w:top w:val="none" w:sz="0" w:space="0" w:color="auto"/>
        <w:left w:val="none" w:sz="0" w:space="0" w:color="auto"/>
        <w:bottom w:val="none" w:sz="0" w:space="0" w:color="auto"/>
        <w:right w:val="none" w:sz="0" w:space="0" w:color="auto"/>
      </w:divBdr>
    </w:div>
    <w:div w:id="163513411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1384">
      <w:bodyDiv w:val="1"/>
      <w:marLeft w:val="0"/>
      <w:marRight w:val="0"/>
      <w:marTop w:val="0"/>
      <w:marBottom w:val="0"/>
      <w:divBdr>
        <w:top w:val="none" w:sz="0" w:space="0" w:color="auto"/>
        <w:left w:val="none" w:sz="0" w:space="0" w:color="auto"/>
        <w:bottom w:val="none" w:sz="0" w:space="0" w:color="auto"/>
        <w:right w:val="none" w:sz="0" w:space="0" w:color="auto"/>
      </w:divBdr>
    </w:div>
    <w:div w:id="203449971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srl.noaa.gov/gmd/ccgg/trends/glob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prambiente.gov.it/it/pubblicazioni/rapporti/italian-greenhouse-gas-inventory-1990-2016.-national-inventory-report-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B05D-8C41-497C-8C55-0D54F74E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4009</Words>
  <Characters>22852</Characters>
  <Application>Microsoft Office Word</Application>
  <DocSecurity>0</DocSecurity>
  <Lines>190</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Windows User</cp:lastModifiedBy>
  <cp:revision>2</cp:revision>
  <cp:lastPrinted>2015-05-12T18:31:00Z</cp:lastPrinted>
  <dcterms:created xsi:type="dcterms:W3CDTF">2019-04-01T14:09:00Z</dcterms:created>
  <dcterms:modified xsi:type="dcterms:W3CDTF">2019-04-01T14:09:00Z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