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Borders>
          <w:bottom w:val="single" w:sz="4" w:space="0" w:color="auto"/>
        </w:tblBorders>
        <w:tblLook w:val="01E0" w:firstRow="1" w:lastRow="1" w:firstColumn="1" w:lastColumn="1" w:noHBand="0" w:noVBand="0"/>
      </w:tblPr>
      <w:tblGrid>
        <w:gridCol w:w="6946"/>
        <w:gridCol w:w="1843"/>
      </w:tblGrid>
      <w:tr w:rsidR="000A03B2" w:rsidRPr="00B57B36">
        <w:trPr>
          <w:trHeight w:val="852"/>
          <w:jc w:val="center"/>
        </w:trPr>
        <w:tc>
          <w:tcPr>
            <w:tcW w:w="6946" w:type="dxa"/>
            <w:vMerge w:val="restart"/>
            <w:tcBorders>
              <w:right w:val="single" w:sz="4" w:space="0" w:color="auto"/>
            </w:tcBorders>
          </w:tcPr>
          <w:p w:rsidR="000A03B2" w:rsidRPr="00B57B36" w:rsidRDefault="000A03B2" w:rsidP="00DE264A">
            <w:pPr>
              <w:tabs>
                <w:tab w:val="left" w:pos="-108"/>
              </w:tabs>
              <w:ind w:left="-108"/>
              <w:jc w:val="left"/>
              <w:rPr>
                <w:rFonts w:cs="Arial"/>
                <w:b/>
                <w:bCs/>
                <w:i/>
                <w:iCs/>
                <w:color w:val="000066"/>
                <w:sz w:val="12"/>
                <w:szCs w:val="12"/>
                <w:lang w:eastAsia="it-IT"/>
              </w:rPr>
            </w:pPr>
            <w:r w:rsidRPr="00B57B36">
              <w:rPr>
                <w:rFonts w:ascii="AdvP6960" w:hAnsi="AdvP6960" w:cs="AdvP6960"/>
                <w:noProof/>
                <w:color w:val="241F20"/>
                <w:szCs w:val="18"/>
                <w:lang w:val="it-IT" w:eastAsia="it-IT"/>
              </w:rPr>
              <w:drawing>
                <wp:inline distT="0" distB="0" distL="0" distR="0">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B57B36">
              <w:rPr>
                <w:rFonts w:ascii="AdvP6960" w:hAnsi="AdvP6960" w:cs="AdvP6960"/>
                <w:color w:val="241F20"/>
                <w:szCs w:val="18"/>
                <w:lang w:eastAsia="it-IT"/>
              </w:rPr>
              <w:t xml:space="preserve"> </w:t>
            </w:r>
            <w:r w:rsidRPr="00B57B36">
              <w:rPr>
                <w:rFonts w:cs="Arial"/>
                <w:b/>
                <w:bCs/>
                <w:i/>
                <w:iCs/>
                <w:color w:val="000066"/>
                <w:sz w:val="24"/>
                <w:szCs w:val="24"/>
                <w:lang w:eastAsia="it-IT"/>
              </w:rPr>
              <w:t>CHEMICAL ENGINEERING</w:t>
            </w:r>
            <w:r w:rsidRPr="00B57B36">
              <w:rPr>
                <w:rFonts w:cs="Arial"/>
                <w:b/>
                <w:bCs/>
                <w:i/>
                <w:iCs/>
                <w:color w:val="0033FF"/>
                <w:sz w:val="24"/>
                <w:szCs w:val="24"/>
                <w:lang w:eastAsia="it-IT"/>
              </w:rPr>
              <w:t xml:space="preserve"> </w:t>
            </w:r>
            <w:r w:rsidRPr="00B57B36">
              <w:rPr>
                <w:rFonts w:cs="Arial"/>
                <w:b/>
                <w:bCs/>
                <w:i/>
                <w:iCs/>
                <w:color w:val="666666"/>
                <w:sz w:val="24"/>
                <w:szCs w:val="24"/>
                <w:lang w:eastAsia="it-IT"/>
              </w:rPr>
              <w:t>TRANSACTIONS</w:t>
            </w:r>
            <w:r w:rsidRPr="00B57B36">
              <w:rPr>
                <w:color w:val="333333"/>
                <w:sz w:val="24"/>
                <w:szCs w:val="24"/>
                <w:lang w:eastAsia="it-IT"/>
              </w:rPr>
              <w:t xml:space="preserve"> </w:t>
            </w:r>
            <w:r w:rsidRPr="00B57B36">
              <w:rPr>
                <w:rFonts w:cs="Arial"/>
                <w:b/>
                <w:bCs/>
                <w:i/>
                <w:iCs/>
                <w:color w:val="000066"/>
                <w:sz w:val="27"/>
                <w:szCs w:val="27"/>
                <w:lang w:eastAsia="it-IT"/>
              </w:rPr>
              <w:br/>
            </w:r>
          </w:p>
          <w:p w:rsidR="000A03B2" w:rsidRPr="00B57B36" w:rsidRDefault="00A76EFC" w:rsidP="009635B9">
            <w:pPr>
              <w:tabs>
                <w:tab w:val="left" w:pos="-108"/>
              </w:tabs>
              <w:ind w:left="-108"/>
              <w:rPr>
                <w:rFonts w:cs="Arial"/>
                <w:b/>
                <w:bCs/>
                <w:i/>
                <w:iCs/>
                <w:color w:val="000066"/>
                <w:sz w:val="22"/>
                <w:szCs w:val="22"/>
                <w:lang w:eastAsia="it-IT"/>
              </w:rPr>
            </w:pPr>
            <w:r w:rsidRPr="00B57B36">
              <w:rPr>
                <w:rFonts w:cs="Arial"/>
                <w:b/>
                <w:bCs/>
                <w:i/>
                <w:iCs/>
                <w:color w:val="000066"/>
                <w:sz w:val="22"/>
                <w:szCs w:val="22"/>
                <w:lang w:eastAsia="it-IT"/>
              </w:rPr>
              <w:t xml:space="preserve">VOL. </w:t>
            </w:r>
            <w:r w:rsidR="007931FA">
              <w:rPr>
                <w:rFonts w:cs="Arial"/>
                <w:b/>
                <w:bCs/>
                <w:i/>
                <w:iCs/>
                <w:color w:val="000066"/>
                <w:sz w:val="22"/>
                <w:szCs w:val="22"/>
                <w:lang w:eastAsia="it-IT"/>
              </w:rPr>
              <w:t>7</w:t>
            </w:r>
            <w:r w:rsidR="009635B9">
              <w:rPr>
                <w:rFonts w:cs="Arial"/>
                <w:b/>
                <w:bCs/>
                <w:i/>
                <w:iCs/>
                <w:color w:val="000066"/>
                <w:sz w:val="22"/>
                <w:szCs w:val="22"/>
                <w:lang w:eastAsia="it-IT"/>
              </w:rPr>
              <w:t>6</w:t>
            </w:r>
            <w:r w:rsidR="00FA5F5F">
              <w:rPr>
                <w:rFonts w:cs="Arial"/>
                <w:b/>
                <w:bCs/>
                <w:i/>
                <w:iCs/>
                <w:color w:val="000066"/>
                <w:sz w:val="22"/>
                <w:szCs w:val="22"/>
                <w:lang w:eastAsia="it-IT"/>
              </w:rPr>
              <w:t>, 201</w:t>
            </w:r>
            <w:r w:rsidR="007931FA">
              <w:rPr>
                <w:rFonts w:cs="Arial"/>
                <w:b/>
                <w:bCs/>
                <w:i/>
                <w:iCs/>
                <w:color w:val="000066"/>
                <w:sz w:val="22"/>
                <w:szCs w:val="22"/>
                <w:lang w:eastAsia="it-IT"/>
              </w:rPr>
              <w:t>9</w:t>
            </w: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A publication of</w:t>
            </w:r>
          </w:p>
          <w:p w:rsidR="000A03B2" w:rsidRPr="00B57B36" w:rsidRDefault="000A03B2" w:rsidP="00CD5FE2">
            <w:pPr>
              <w:jc w:val="right"/>
            </w:pPr>
            <w:r w:rsidRPr="00B57B36">
              <w:rPr>
                <w:noProof/>
                <w:lang w:val="it-IT" w:eastAsia="it-IT"/>
              </w:rPr>
              <w:drawing>
                <wp:inline distT="0" distB="0" distL="0" distR="0">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B57B36">
        <w:trPr>
          <w:trHeight w:val="567"/>
          <w:jc w:val="center"/>
        </w:trPr>
        <w:tc>
          <w:tcPr>
            <w:tcW w:w="6946" w:type="dxa"/>
            <w:vMerge/>
            <w:tcBorders>
              <w:right w:val="single" w:sz="4" w:space="0" w:color="auto"/>
            </w:tcBorders>
          </w:tcPr>
          <w:p w:rsidR="000A03B2" w:rsidRPr="00B57B36" w:rsidRDefault="000A03B2" w:rsidP="00CD5FE2">
            <w:pPr>
              <w:tabs>
                <w:tab w:val="left" w:pos="-108"/>
              </w:tabs>
            </w:pPr>
          </w:p>
        </w:tc>
        <w:tc>
          <w:tcPr>
            <w:tcW w:w="1843" w:type="dxa"/>
            <w:tcBorders>
              <w:left w:val="single" w:sz="4" w:space="0" w:color="auto"/>
              <w:bottom w:val="nil"/>
              <w:right w:val="single" w:sz="4" w:space="0" w:color="auto"/>
            </w:tcBorders>
          </w:tcPr>
          <w:p w:rsidR="000A03B2" w:rsidRPr="00B57B36" w:rsidRDefault="000A03B2" w:rsidP="00CD5FE2">
            <w:pPr>
              <w:spacing w:line="140" w:lineRule="atLeast"/>
              <w:jc w:val="right"/>
              <w:rPr>
                <w:rFonts w:cs="Arial"/>
                <w:sz w:val="14"/>
                <w:szCs w:val="14"/>
              </w:rPr>
            </w:pPr>
            <w:r w:rsidRPr="00B57B36">
              <w:rPr>
                <w:rFonts w:cs="Arial"/>
                <w:sz w:val="14"/>
                <w:szCs w:val="14"/>
              </w:rPr>
              <w:t>The Italian Association</w:t>
            </w:r>
          </w:p>
          <w:p w:rsidR="000A03B2" w:rsidRPr="00B57B36" w:rsidRDefault="000A03B2" w:rsidP="00CD5FE2">
            <w:pPr>
              <w:spacing w:line="140" w:lineRule="atLeast"/>
              <w:jc w:val="right"/>
              <w:rPr>
                <w:rFonts w:cs="Arial"/>
                <w:sz w:val="14"/>
                <w:szCs w:val="14"/>
              </w:rPr>
            </w:pPr>
            <w:r w:rsidRPr="00B57B36">
              <w:rPr>
                <w:rFonts w:cs="Arial"/>
                <w:sz w:val="14"/>
                <w:szCs w:val="14"/>
              </w:rPr>
              <w:t>of Chemical Engineering</w:t>
            </w:r>
          </w:p>
          <w:p w:rsidR="000A03B2" w:rsidRPr="00B57B36" w:rsidRDefault="000A03B2" w:rsidP="00CD5FE2">
            <w:pPr>
              <w:spacing w:line="140" w:lineRule="atLeast"/>
              <w:jc w:val="right"/>
              <w:rPr>
                <w:rFonts w:cs="Arial"/>
                <w:sz w:val="14"/>
                <w:szCs w:val="14"/>
              </w:rPr>
            </w:pPr>
            <w:r w:rsidRPr="00B57B36">
              <w:rPr>
                <w:rFonts w:cs="Arial"/>
                <w:sz w:val="14"/>
                <w:szCs w:val="14"/>
              </w:rPr>
              <w:t xml:space="preserve">Online at </w:t>
            </w:r>
            <w:r w:rsidR="00892AD5" w:rsidRPr="00963E05">
              <w:rPr>
                <w:rFonts w:cs="Arial"/>
                <w:sz w:val="14"/>
                <w:szCs w:val="14"/>
              </w:rPr>
              <w:t>www.aidic.it/cet</w:t>
            </w:r>
          </w:p>
        </w:tc>
      </w:tr>
      <w:tr w:rsidR="000A03B2" w:rsidRPr="00B57B36">
        <w:trPr>
          <w:trHeight w:val="68"/>
          <w:jc w:val="center"/>
        </w:trPr>
        <w:tc>
          <w:tcPr>
            <w:tcW w:w="8789" w:type="dxa"/>
            <w:gridSpan w:val="2"/>
          </w:tcPr>
          <w:p w:rsidR="00300E56" w:rsidRPr="00252C1A" w:rsidRDefault="00300E56" w:rsidP="003365E3">
            <w:pPr>
              <w:ind w:left="-107"/>
              <w:rPr>
                <w:lang w:val="it-IT"/>
              </w:rPr>
            </w:pPr>
            <w:r w:rsidRPr="00252C1A">
              <w:rPr>
                <w:rFonts w:ascii="Tahoma" w:hAnsi="Tahoma" w:cs="Tahoma"/>
                <w:iCs/>
                <w:color w:val="333333"/>
                <w:sz w:val="14"/>
                <w:szCs w:val="14"/>
                <w:lang w:val="it-IT" w:eastAsia="it-IT"/>
              </w:rPr>
              <w:t>Guest Editors:</w:t>
            </w:r>
            <w:r w:rsidR="00904C62" w:rsidRPr="00252C1A">
              <w:rPr>
                <w:rFonts w:ascii="Tahoma" w:hAnsi="Tahoma" w:cs="Tahoma"/>
                <w:iCs/>
                <w:color w:val="333333"/>
                <w:sz w:val="14"/>
                <w:szCs w:val="14"/>
                <w:lang w:val="it-IT" w:eastAsia="it-IT"/>
              </w:rPr>
              <w:t xml:space="preserve"> </w:t>
            </w:r>
            <w:r w:rsidR="009635B9" w:rsidRPr="00252C1A">
              <w:rPr>
                <w:rFonts w:ascii="Tahoma" w:hAnsi="Tahoma" w:cs="Tahoma"/>
                <w:sz w:val="14"/>
                <w:szCs w:val="14"/>
                <w:lang w:val="it-IT"/>
              </w:rPr>
              <w:t>Sauro Pierucci,</w:t>
            </w:r>
            <w:r w:rsidR="003B60F3" w:rsidRPr="00252C1A">
              <w:rPr>
                <w:rFonts w:ascii="Tahoma" w:hAnsi="Tahoma" w:cs="Tahoma"/>
                <w:sz w:val="14"/>
                <w:szCs w:val="14"/>
                <w:lang w:val="it-IT"/>
              </w:rPr>
              <w:t xml:space="preserve"> </w:t>
            </w:r>
            <w:proofErr w:type="spellStart"/>
            <w:r w:rsidR="00047D7F" w:rsidRPr="00252C1A">
              <w:rPr>
                <w:rFonts w:ascii="Tahoma" w:hAnsi="Tahoma" w:cs="Tahoma"/>
                <w:sz w:val="14"/>
                <w:szCs w:val="14"/>
                <w:shd w:val="clear" w:color="auto" w:fill="FFFFFF"/>
                <w:lang w:val="it-IT"/>
              </w:rPr>
              <w:t>Jiří</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Jaromír</w:t>
            </w:r>
            <w:proofErr w:type="spellEnd"/>
            <w:r w:rsidR="00047D7F" w:rsidRPr="00252C1A">
              <w:rPr>
                <w:rFonts w:ascii="Tahoma" w:hAnsi="Tahoma" w:cs="Tahoma"/>
                <w:sz w:val="14"/>
                <w:szCs w:val="14"/>
                <w:shd w:val="clear" w:color="auto" w:fill="FFFFFF"/>
                <w:lang w:val="it-IT"/>
              </w:rPr>
              <w:t xml:space="preserve"> </w:t>
            </w:r>
            <w:proofErr w:type="spellStart"/>
            <w:r w:rsidR="00047D7F" w:rsidRPr="00252C1A">
              <w:rPr>
                <w:rFonts w:ascii="Tahoma" w:hAnsi="Tahoma" w:cs="Tahoma"/>
                <w:sz w:val="14"/>
                <w:szCs w:val="14"/>
                <w:shd w:val="clear" w:color="auto" w:fill="FFFFFF"/>
                <w:lang w:val="it-IT"/>
              </w:rPr>
              <w:t>Klemeš</w:t>
            </w:r>
            <w:proofErr w:type="spellEnd"/>
            <w:r w:rsidR="00252C1A">
              <w:rPr>
                <w:rFonts w:ascii="Tahoma" w:hAnsi="Tahoma" w:cs="Tahoma"/>
                <w:sz w:val="14"/>
                <w:szCs w:val="14"/>
                <w:shd w:val="clear" w:color="auto" w:fill="FFFFFF"/>
                <w:lang w:val="it-IT"/>
              </w:rPr>
              <w:t>, Lau</w:t>
            </w:r>
            <w:r w:rsidR="00252C1A" w:rsidRPr="00252C1A">
              <w:rPr>
                <w:rFonts w:ascii="Tahoma" w:hAnsi="Tahoma" w:cs="Tahoma"/>
                <w:sz w:val="14"/>
                <w:szCs w:val="14"/>
                <w:shd w:val="clear" w:color="auto" w:fill="FFFFFF"/>
                <w:lang w:val="it-IT"/>
              </w:rPr>
              <w:t>ra Piazza</w:t>
            </w:r>
          </w:p>
          <w:p w:rsidR="000A03B2" w:rsidRPr="00B57B36" w:rsidRDefault="00FA5F5F" w:rsidP="00131FAB">
            <w:pPr>
              <w:tabs>
                <w:tab w:val="left" w:pos="-108"/>
              </w:tabs>
              <w:spacing w:line="140" w:lineRule="atLeast"/>
              <w:ind w:left="-107"/>
              <w:jc w:val="left"/>
            </w:pPr>
            <w:r>
              <w:rPr>
                <w:rFonts w:ascii="Tahoma" w:hAnsi="Tahoma" w:cs="Tahoma"/>
                <w:iCs/>
                <w:color w:val="333333"/>
                <w:sz w:val="14"/>
                <w:szCs w:val="14"/>
                <w:lang w:eastAsia="it-IT"/>
              </w:rPr>
              <w:t>Copyright © 201</w:t>
            </w:r>
            <w:r w:rsidR="007931FA">
              <w:rPr>
                <w:rFonts w:ascii="Tahoma" w:hAnsi="Tahoma" w:cs="Tahoma"/>
                <w:iCs/>
                <w:color w:val="333333"/>
                <w:sz w:val="14"/>
                <w:szCs w:val="14"/>
                <w:lang w:eastAsia="it-IT"/>
              </w:rPr>
              <w:t>9</w:t>
            </w:r>
            <w:r w:rsidR="00904C62" w:rsidRPr="00B57B36">
              <w:rPr>
                <w:rFonts w:ascii="Tahoma" w:hAnsi="Tahoma" w:cs="Tahoma"/>
                <w:iCs/>
                <w:color w:val="333333"/>
                <w:sz w:val="14"/>
                <w:szCs w:val="14"/>
                <w:lang w:eastAsia="it-IT"/>
              </w:rPr>
              <w:t xml:space="preserve">, AIDIC </w:t>
            </w:r>
            <w:proofErr w:type="spellStart"/>
            <w:r w:rsidR="00904C62" w:rsidRPr="00B57B36">
              <w:rPr>
                <w:rFonts w:ascii="Tahoma" w:hAnsi="Tahoma" w:cs="Tahoma"/>
                <w:iCs/>
                <w:color w:val="333333"/>
                <w:sz w:val="14"/>
                <w:szCs w:val="14"/>
                <w:lang w:eastAsia="it-IT"/>
              </w:rPr>
              <w:t>Servizi</w:t>
            </w:r>
            <w:proofErr w:type="spellEnd"/>
            <w:r w:rsidR="00904C62" w:rsidRPr="00B57B36">
              <w:rPr>
                <w:rFonts w:ascii="Tahoma" w:hAnsi="Tahoma" w:cs="Tahoma"/>
                <w:iCs/>
                <w:color w:val="333333"/>
                <w:sz w:val="14"/>
                <w:szCs w:val="14"/>
                <w:lang w:eastAsia="it-IT"/>
              </w:rPr>
              <w:t xml:space="preserve"> </w:t>
            </w:r>
            <w:proofErr w:type="spellStart"/>
            <w:r w:rsidR="00904C62" w:rsidRPr="00B57B36">
              <w:rPr>
                <w:rFonts w:ascii="Tahoma" w:hAnsi="Tahoma" w:cs="Tahoma"/>
                <w:iCs/>
                <w:color w:val="333333"/>
                <w:sz w:val="14"/>
                <w:szCs w:val="14"/>
                <w:lang w:eastAsia="it-IT"/>
              </w:rPr>
              <w:t>S.r.l</w:t>
            </w:r>
            <w:proofErr w:type="spellEnd"/>
            <w:r w:rsidR="00904C62" w:rsidRPr="00B57B36">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br/>
            </w:r>
            <w:r w:rsidR="00300E56" w:rsidRPr="00B57B36">
              <w:rPr>
                <w:rFonts w:ascii="Tahoma" w:hAnsi="Tahoma" w:cs="Tahoma"/>
                <w:b/>
                <w:iCs/>
                <w:color w:val="000000"/>
                <w:sz w:val="14"/>
                <w:szCs w:val="14"/>
                <w:lang w:eastAsia="it-IT"/>
              </w:rPr>
              <w:t>ISBN</w:t>
            </w:r>
            <w:r w:rsidR="00300E56" w:rsidRPr="00B57B36">
              <w:rPr>
                <w:rFonts w:ascii="Tahoma" w:hAnsi="Tahoma" w:cs="Tahoma"/>
                <w:iCs/>
                <w:color w:val="000000"/>
                <w:sz w:val="14"/>
                <w:szCs w:val="14"/>
                <w:lang w:eastAsia="it-IT"/>
              </w:rPr>
              <w:t xml:space="preserve"> </w:t>
            </w:r>
            <w:r w:rsidR="008D32B9" w:rsidRPr="00131FAB">
              <w:rPr>
                <w:rFonts w:ascii="Tahoma" w:hAnsi="Tahoma" w:cs="Tahoma"/>
                <w:sz w:val="14"/>
                <w:szCs w:val="14"/>
              </w:rPr>
              <w:t>978-88-95608-</w:t>
            </w:r>
            <w:r w:rsidR="009635B9">
              <w:rPr>
                <w:rFonts w:ascii="Tahoma" w:hAnsi="Tahoma" w:cs="Tahoma"/>
                <w:sz w:val="14"/>
                <w:szCs w:val="14"/>
              </w:rPr>
              <w:t>73</w:t>
            </w:r>
            <w:r w:rsidR="008D32B9" w:rsidRPr="00131FAB">
              <w:rPr>
                <w:rFonts w:ascii="Tahoma" w:hAnsi="Tahoma" w:cs="Tahoma"/>
                <w:sz w:val="14"/>
                <w:szCs w:val="14"/>
              </w:rPr>
              <w:t>-</w:t>
            </w:r>
            <w:r w:rsidR="009635B9">
              <w:rPr>
                <w:rFonts w:ascii="Tahoma" w:hAnsi="Tahoma" w:cs="Tahoma"/>
                <w:sz w:val="14"/>
                <w:szCs w:val="14"/>
              </w:rPr>
              <w:t>0</w:t>
            </w:r>
            <w:r w:rsidR="00300E56" w:rsidRPr="00131FAB">
              <w:rPr>
                <w:rFonts w:ascii="Tahoma" w:hAnsi="Tahoma" w:cs="Tahoma"/>
                <w:iCs/>
                <w:color w:val="333333"/>
                <w:sz w:val="14"/>
                <w:szCs w:val="14"/>
                <w:lang w:eastAsia="it-IT"/>
              </w:rPr>
              <w:t>;</w:t>
            </w:r>
            <w:r w:rsidR="00300E56" w:rsidRPr="00B57B36">
              <w:rPr>
                <w:rFonts w:ascii="Tahoma" w:hAnsi="Tahoma" w:cs="Tahoma"/>
                <w:iCs/>
                <w:color w:val="333333"/>
                <w:sz w:val="14"/>
                <w:szCs w:val="14"/>
                <w:lang w:eastAsia="it-IT"/>
              </w:rPr>
              <w:t xml:space="preserve"> </w:t>
            </w:r>
            <w:r w:rsidR="00300E56" w:rsidRPr="00B57B36">
              <w:rPr>
                <w:rFonts w:ascii="Tahoma" w:hAnsi="Tahoma" w:cs="Tahoma"/>
                <w:b/>
                <w:iCs/>
                <w:color w:val="333333"/>
                <w:sz w:val="14"/>
                <w:szCs w:val="14"/>
                <w:lang w:eastAsia="it-IT"/>
              </w:rPr>
              <w:t>ISSN</w:t>
            </w:r>
            <w:r w:rsidR="00300E56" w:rsidRPr="00B57B36">
              <w:rPr>
                <w:rFonts w:ascii="Tahoma" w:hAnsi="Tahoma" w:cs="Tahoma"/>
                <w:iCs/>
                <w:color w:val="333333"/>
                <w:sz w:val="14"/>
                <w:szCs w:val="14"/>
                <w:lang w:eastAsia="it-IT"/>
              </w:rPr>
              <w:t xml:space="preserve"> 2283-9216</w:t>
            </w:r>
          </w:p>
        </w:tc>
      </w:tr>
    </w:tbl>
    <w:p w:rsidR="004628D2" w:rsidRDefault="004628D2" w:rsidP="00711175">
      <w:pPr>
        <w:pStyle w:val="CETAuthors"/>
      </w:pPr>
    </w:p>
    <w:p w:rsidR="00212C5B" w:rsidRDefault="00212C5B" w:rsidP="00212C5B">
      <w:pPr>
        <w:pStyle w:val="CETAuthors"/>
        <w:jc w:val="center"/>
        <w:rPr>
          <w:noProof w:val="0"/>
          <w:sz w:val="32"/>
        </w:rPr>
      </w:pPr>
      <w:proofErr w:type="spellStart"/>
      <w:r w:rsidRPr="003027A2">
        <w:rPr>
          <w:noProof w:val="0"/>
          <w:sz w:val="32"/>
        </w:rPr>
        <w:t>Valorization</w:t>
      </w:r>
      <w:proofErr w:type="spellEnd"/>
      <w:r w:rsidRPr="003027A2">
        <w:rPr>
          <w:noProof w:val="0"/>
          <w:sz w:val="32"/>
        </w:rPr>
        <w:t xml:space="preserve"> of </w:t>
      </w:r>
      <w:r>
        <w:rPr>
          <w:noProof w:val="0"/>
          <w:sz w:val="32"/>
        </w:rPr>
        <w:t>O</w:t>
      </w:r>
      <w:r w:rsidRPr="003027A2">
        <w:rPr>
          <w:noProof w:val="0"/>
          <w:sz w:val="32"/>
        </w:rPr>
        <w:t xml:space="preserve">live </w:t>
      </w:r>
      <w:r>
        <w:rPr>
          <w:noProof w:val="0"/>
          <w:sz w:val="32"/>
        </w:rPr>
        <w:t>I</w:t>
      </w:r>
      <w:r w:rsidRPr="003027A2">
        <w:rPr>
          <w:noProof w:val="0"/>
          <w:sz w:val="32"/>
        </w:rPr>
        <w:t xml:space="preserve">ndustry </w:t>
      </w:r>
      <w:r>
        <w:rPr>
          <w:noProof w:val="0"/>
          <w:sz w:val="32"/>
        </w:rPr>
        <w:t>W</w:t>
      </w:r>
      <w:r w:rsidRPr="003027A2">
        <w:rPr>
          <w:noProof w:val="0"/>
          <w:sz w:val="32"/>
        </w:rPr>
        <w:t xml:space="preserve">aste </w:t>
      </w:r>
      <w:r>
        <w:rPr>
          <w:noProof w:val="0"/>
          <w:sz w:val="32"/>
        </w:rPr>
        <w:t>P</w:t>
      </w:r>
      <w:r w:rsidRPr="003027A2">
        <w:rPr>
          <w:noProof w:val="0"/>
          <w:sz w:val="32"/>
        </w:rPr>
        <w:t xml:space="preserve">roducts for </w:t>
      </w:r>
      <w:r>
        <w:rPr>
          <w:noProof w:val="0"/>
          <w:sz w:val="32"/>
        </w:rPr>
        <w:t>D</w:t>
      </w:r>
      <w:r w:rsidRPr="003027A2">
        <w:rPr>
          <w:noProof w:val="0"/>
          <w:sz w:val="32"/>
        </w:rPr>
        <w:t xml:space="preserve">evelopment of </w:t>
      </w:r>
      <w:r>
        <w:rPr>
          <w:noProof w:val="0"/>
          <w:sz w:val="32"/>
        </w:rPr>
        <w:t>N</w:t>
      </w:r>
      <w:r w:rsidRPr="003027A2">
        <w:rPr>
          <w:noProof w:val="0"/>
          <w:sz w:val="32"/>
        </w:rPr>
        <w:t xml:space="preserve">ew </w:t>
      </w:r>
      <w:r>
        <w:rPr>
          <w:noProof w:val="0"/>
          <w:sz w:val="32"/>
        </w:rPr>
        <w:t>E</w:t>
      </w:r>
      <w:r w:rsidRPr="003027A2">
        <w:rPr>
          <w:noProof w:val="0"/>
          <w:sz w:val="32"/>
        </w:rPr>
        <w:t xml:space="preserve">co-sustainable, </w:t>
      </w:r>
      <w:r>
        <w:rPr>
          <w:noProof w:val="0"/>
          <w:sz w:val="32"/>
        </w:rPr>
        <w:t>M</w:t>
      </w:r>
      <w:r w:rsidRPr="003027A2">
        <w:rPr>
          <w:noProof w:val="0"/>
          <w:sz w:val="32"/>
        </w:rPr>
        <w:t xml:space="preserve">ultilayer </w:t>
      </w:r>
      <w:r>
        <w:rPr>
          <w:noProof w:val="0"/>
          <w:sz w:val="32"/>
        </w:rPr>
        <w:t>A</w:t>
      </w:r>
      <w:r w:rsidRPr="003027A2">
        <w:rPr>
          <w:noProof w:val="0"/>
          <w:sz w:val="32"/>
        </w:rPr>
        <w:t xml:space="preserve">ntioxidant </w:t>
      </w:r>
      <w:r>
        <w:rPr>
          <w:noProof w:val="0"/>
          <w:sz w:val="32"/>
        </w:rPr>
        <w:t>P</w:t>
      </w:r>
      <w:r w:rsidRPr="003027A2">
        <w:rPr>
          <w:noProof w:val="0"/>
          <w:sz w:val="32"/>
        </w:rPr>
        <w:t xml:space="preserve">ackaging for </w:t>
      </w:r>
      <w:r>
        <w:rPr>
          <w:noProof w:val="0"/>
          <w:sz w:val="32"/>
        </w:rPr>
        <w:t>F</w:t>
      </w:r>
      <w:r w:rsidRPr="003027A2">
        <w:rPr>
          <w:noProof w:val="0"/>
          <w:sz w:val="32"/>
        </w:rPr>
        <w:t xml:space="preserve">ood </w:t>
      </w:r>
      <w:r>
        <w:rPr>
          <w:noProof w:val="0"/>
          <w:sz w:val="32"/>
        </w:rPr>
        <w:t>P</w:t>
      </w:r>
      <w:r w:rsidRPr="003027A2">
        <w:rPr>
          <w:noProof w:val="0"/>
          <w:sz w:val="32"/>
        </w:rPr>
        <w:t>reservation</w:t>
      </w:r>
    </w:p>
    <w:p w:rsidR="00212C5B" w:rsidRPr="00FD7940" w:rsidRDefault="00212C5B" w:rsidP="00212C5B">
      <w:pPr>
        <w:pStyle w:val="CETAuthors"/>
        <w:rPr>
          <w:lang w:val="it-IT"/>
        </w:rPr>
      </w:pPr>
      <w:r w:rsidRPr="00FD7940">
        <w:rPr>
          <w:lang w:val="it-IT"/>
        </w:rPr>
        <w:t>Annalisa Apicella</w:t>
      </w:r>
      <w:r w:rsidRPr="00FD7940">
        <w:rPr>
          <w:vertAlign w:val="superscript"/>
          <w:lang w:val="it-IT"/>
        </w:rPr>
        <w:t>*a</w:t>
      </w:r>
      <w:r w:rsidRPr="00FD7940">
        <w:rPr>
          <w:lang w:val="it-IT"/>
        </w:rPr>
        <w:t>, Giuseppina Adiletta</w:t>
      </w:r>
      <w:r w:rsidRPr="008F1598">
        <w:rPr>
          <w:vertAlign w:val="superscript"/>
          <w:lang w:val="it-IT"/>
        </w:rPr>
        <w:t xml:space="preserve"> </w:t>
      </w:r>
      <w:r w:rsidRPr="00FD7940">
        <w:rPr>
          <w:vertAlign w:val="superscript"/>
          <w:lang w:val="it-IT"/>
        </w:rPr>
        <w:t>a</w:t>
      </w:r>
      <w:r w:rsidRPr="00FD7940">
        <w:rPr>
          <w:lang w:val="it-IT"/>
        </w:rPr>
        <w:t>, Marisa Di Matteo</w:t>
      </w:r>
      <w:r w:rsidRPr="008F1598">
        <w:rPr>
          <w:vertAlign w:val="superscript"/>
          <w:lang w:val="it-IT"/>
        </w:rPr>
        <w:t xml:space="preserve"> </w:t>
      </w:r>
      <w:r w:rsidRPr="00FD7940">
        <w:rPr>
          <w:vertAlign w:val="superscript"/>
          <w:lang w:val="it-IT"/>
        </w:rPr>
        <w:t>a</w:t>
      </w:r>
      <w:r w:rsidRPr="00FD7940">
        <w:rPr>
          <w:lang w:val="it-IT"/>
        </w:rPr>
        <w:t>, Loredana Incarnato</w:t>
      </w:r>
      <w:r w:rsidRPr="008F1598">
        <w:rPr>
          <w:vertAlign w:val="superscript"/>
          <w:lang w:val="it-IT"/>
        </w:rPr>
        <w:t xml:space="preserve"> </w:t>
      </w:r>
      <w:r w:rsidRPr="00FD7940">
        <w:rPr>
          <w:vertAlign w:val="superscript"/>
          <w:lang w:val="it-IT"/>
        </w:rPr>
        <w:t>a</w:t>
      </w:r>
      <w:r w:rsidRPr="00FD7940">
        <w:rPr>
          <w:lang w:val="it-IT"/>
        </w:rPr>
        <w:t xml:space="preserve"> </w:t>
      </w:r>
    </w:p>
    <w:p w:rsidR="00212C5B" w:rsidRPr="00ED6DAE" w:rsidRDefault="00212C5B" w:rsidP="00212C5B">
      <w:pPr>
        <w:pStyle w:val="CETAddress"/>
        <w:rPr>
          <w:lang w:val="it-IT"/>
        </w:rPr>
      </w:pPr>
      <w:r w:rsidRPr="00ED6DAE">
        <w:rPr>
          <w:vertAlign w:val="superscript"/>
          <w:lang w:val="it-IT"/>
        </w:rPr>
        <w:t>a</w:t>
      </w:r>
      <w:r w:rsidRPr="00ED6DAE">
        <w:rPr>
          <w:lang w:val="it-IT"/>
        </w:rPr>
        <w:t>Università degli Studi di Salerno, Via Giovanni Paolo II, 13</w:t>
      </w:r>
      <w:r>
        <w:rPr>
          <w:lang w:val="it-IT"/>
        </w:rPr>
        <w:t>4</w:t>
      </w:r>
      <w:r w:rsidRPr="00ED6DAE">
        <w:rPr>
          <w:lang w:val="it-IT"/>
        </w:rPr>
        <w:t xml:space="preserve">, 84084 </w:t>
      </w:r>
    </w:p>
    <w:p w:rsidR="00212C5B" w:rsidRDefault="00212C5B" w:rsidP="00212C5B">
      <w:pPr>
        <w:pStyle w:val="CETemail"/>
      </w:pPr>
      <w:r>
        <w:t>anapicella@unisa.it</w:t>
      </w:r>
    </w:p>
    <w:p w:rsidR="00212C5B" w:rsidRPr="0017728B" w:rsidRDefault="00212C5B" w:rsidP="00212C5B">
      <w:pPr>
        <w:pStyle w:val="CETcorpo"/>
        <w:rPr>
          <w:lang w:val="en-US"/>
        </w:rPr>
      </w:pPr>
      <w:r w:rsidRPr="0017728B">
        <w:rPr>
          <w:lang w:val="en-US"/>
        </w:rPr>
        <w:t xml:space="preserve">This work deals with the design, production and evaluation of the effectiveness of novel multilayer active films, based on biopolymers and natural antioxidants, suitable for food packaging applications. </w:t>
      </w:r>
    </w:p>
    <w:p w:rsidR="00212C5B" w:rsidRPr="0017728B" w:rsidRDefault="00212C5B" w:rsidP="00212C5B">
      <w:pPr>
        <w:pStyle w:val="CETcorpo"/>
        <w:rPr>
          <w:highlight w:val="yellow"/>
          <w:lang w:val="en-US"/>
        </w:rPr>
      </w:pPr>
      <w:r w:rsidRPr="0017728B">
        <w:rPr>
          <w:lang w:val="en-US"/>
        </w:rPr>
        <w:t>Three phenolic olive extracts (</w:t>
      </w:r>
      <w:r w:rsidR="0074690B">
        <w:rPr>
          <w:lang w:val="en-US"/>
        </w:rPr>
        <w:t xml:space="preserve">named </w:t>
      </w:r>
      <w:r w:rsidRPr="0017728B">
        <w:rPr>
          <w:lang w:val="en-US"/>
        </w:rPr>
        <w:t xml:space="preserve">OEs), deriving from </w:t>
      </w:r>
      <w:r w:rsidR="00036815">
        <w:rPr>
          <w:lang w:val="en-US"/>
        </w:rPr>
        <w:t xml:space="preserve">olives </w:t>
      </w:r>
      <w:r w:rsidRPr="0017728B">
        <w:rPr>
          <w:lang w:val="en-US"/>
        </w:rPr>
        <w:t xml:space="preserve">milling wastewaters, were analyzed in order to assess their suitability to </w:t>
      </w:r>
      <w:r>
        <w:rPr>
          <w:lang w:val="en-US"/>
        </w:rPr>
        <w:t>develop</w:t>
      </w:r>
      <w:r w:rsidRPr="0017728B">
        <w:rPr>
          <w:lang w:val="en-US"/>
        </w:rPr>
        <w:t xml:space="preserve"> antioxidant </w:t>
      </w:r>
      <w:r>
        <w:rPr>
          <w:lang w:val="en-US"/>
        </w:rPr>
        <w:t xml:space="preserve">polymeric </w:t>
      </w:r>
      <w:r w:rsidRPr="0017728B">
        <w:rPr>
          <w:lang w:val="en-US"/>
        </w:rPr>
        <w:t xml:space="preserve">systems. The most performing extract was then selected to produce the active </w:t>
      </w:r>
      <w:r>
        <w:rPr>
          <w:lang w:val="en-US"/>
        </w:rPr>
        <w:t>bio</w:t>
      </w:r>
      <w:r w:rsidR="00304D0D">
        <w:rPr>
          <w:lang w:val="en-US"/>
        </w:rPr>
        <w:t xml:space="preserve">degradable </w:t>
      </w:r>
      <w:r>
        <w:rPr>
          <w:lang w:val="en-US"/>
        </w:rPr>
        <w:t>films</w:t>
      </w:r>
      <w:r w:rsidRPr="0017728B">
        <w:rPr>
          <w:lang w:val="en-US"/>
        </w:rPr>
        <w:t>, spreading a</w:t>
      </w:r>
      <w:r w:rsidR="00E37309">
        <w:rPr>
          <w:lang w:val="en-US"/>
        </w:rPr>
        <w:t xml:space="preserve"> polylactic acid (</w:t>
      </w:r>
      <w:r w:rsidRPr="0017728B">
        <w:rPr>
          <w:lang w:val="en-US"/>
        </w:rPr>
        <w:t>PLA</w:t>
      </w:r>
      <w:r w:rsidR="00E37309">
        <w:rPr>
          <w:lang w:val="en-US"/>
        </w:rPr>
        <w:t>)</w:t>
      </w:r>
      <w:r w:rsidRPr="0017728B">
        <w:rPr>
          <w:lang w:val="en-US"/>
        </w:rPr>
        <w:t xml:space="preserve"> coating layer, at different percentages of </w:t>
      </w:r>
      <w:r>
        <w:rPr>
          <w:lang w:val="en-US"/>
        </w:rPr>
        <w:t xml:space="preserve">OE </w:t>
      </w:r>
      <w:r w:rsidRPr="0017728B">
        <w:rPr>
          <w:lang w:val="en-US"/>
        </w:rPr>
        <w:t>(0-3% w/w), on a biodegradable substrate. The produced</w:t>
      </w:r>
      <w:r>
        <w:rPr>
          <w:lang w:val="en-US"/>
        </w:rPr>
        <w:t xml:space="preserve"> multilayer</w:t>
      </w:r>
      <w:r w:rsidRPr="0017728B">
        <w:rPr>
          <w:lang w:val="en-US"/>
        </w:rPr>
        <w:t xml:space="preserve"> </w:t>
      </w:r>
      <w:r>
        <w:rPr>
          <w:lang w:val="en-US"/>
        </w:rPr>
        <w:t>structures</w:t>
      </w:r>
      <w:r w:rsidRPr="0017728B">
        <w:rPr>
          <w:lang w:val="en-US"/>
        </w:rPr>
        <w:t xml:space="preserve"> were </w:t>
      </w:r>
      <w:r>
        <w:rPr>
          <w:lang w:val="en-US"/>
        </w:rPr>
        <w:t xml:space="preserve">then </w:t>
      </w:r>
      <w:r w:rsidRPr="0017728B">
        <w:rPr>
          <w:lang w:val="en-US"/>
        </w:rPr>
        <w:t xml:space="preserve">characterized by several techniques, in order to evaluate the interaction of the </w:t>
      </w:r>
      <w:r>
        <w:rPr>
          <w:lang w:val="en-US"/>
        </w:rPr>
        <w:t>antioxidant</w:t>
      </w:r>
      <w:r w:rsidRPr="0017728B">
        <w:rPr>
          <w:lang w:val="en-US"/>
        </w:rPr>
        <w:t xml:space="preserve"> phase with the polymer matrix</w:t>
      </w:r>
      <w:r>
        <w:rPr>
          <w:lang w:val="en-US"/>
        </w:rPr>
        <w:t>,</w:t>
      </w:r>
      <w:r w:rsidRPr="0017728B">
        <w:rPr>
          <w:lang w:val="en-US"/>
        </w:rPr>
        <w:t xml:space="preserve"> and its effect on the </w:t>
      </w:r>
      <w:r>
        <w:rPr>
          <w:lang w:val="en-US"/>
        </w:rPr>
        <w:t xml:space="preserve">physical and </w:t>
      </w:r>
      <w:r w:rsidRPr="0017728B">
        <w:rPr>
          <w:lang w:val="en-US"/>
        </w:rPr>
        <w:t xml:space="preserve">functional performance of the active systems. Finally, the antioxidant </w:t>
      </w:r>
      <w:r>
        <w:rPr>
          <w:lang w:val="en-US"/>
        </w:rPr>
        <w:t>capacity</w:t>
      </w:r>
      <w:r w:rsidRPr="0017728B">
        <w:rPr>
          <w:lang w:val="en-US"/>
        </w:rPr>
        <w:t xml:space="preserve"> by </w:t>
      </w:r>
      <w:r w:rsidR="00E37309">
        <w:rPr>
          <w:lang w:val="en-US"/>
        </w:rPr>
        <w:t>,2-diphenyl-1-picrylhydrazyl (</w:t>
      </w:r>
      <w:r w:rsidRPr="0017728B">
        <w:rPr>
          <w:lang w:val="en-US"/>
        </w:rPr>
        <w:t>DPPH</w:t>
      </w:r>
      <w:r w:rsidR="00E37309">
        <w:rPr>
          <w:lang w:val="en-US"/>
        </w:rPr>
        <w:t>)</w:t>
      </w:r>
      <w:r w:rsidRPr="0017728B">
        <w:rPr>
          <w:lang w:val="en-US"/>
        </w:rPr>
        <w:t xml:space="preserve"> spectroscopic method was carried out, suggesting that the formulated active bio</w:t>
      </w:r>
      <w:r w:rsidR="00C56D9E">
        <w:rPr>
          <w:lang w:val="en-US"/>
        </w:rPr>
        <w:t>-</w:t>
      </w:r>
      <w:r w:rsidRPr="0017728B">
        <w:rPr>
          <w:lang w:val="en-US"/>
        </w:rPr>
        <w:t>films could be considered a</w:t>
      </w:r>
      <w:r>
        <w:rPr>
          <w:lang w:val="en-US"/>
        </w:rPr>
        <w:t>n innovative and</w:t>
      </w:r>
      <w:r w:rsidRPr="0017728B">
        <w:rPr>
          <w:lang w:val="en-US"/>
        </w:rPr>
        <w:t xml:space="preserve"> promising</w:t>
      </w:r>
      <w:r>
        <w:rPr>
          <w:lang w:val="en-US"/>
        </w:rPr>
        <w:t xml:space="preserve"> solution</w:t>
      </w:r>
      <w:r w:rsidRPr="0017728B">
        <w:rPr>
          <w:lang w:val="en-US"/>
        </w:rPr>
        <w:t xml:space="preserve"> </w:t>
      </w:r>
      <w:r>
        <w:rPr>
          <w:lang w:val="en-US"/>
        </w:rPr>
        <w:t xml:space="preserve">for </w:t>
      </w:r>
      <w:r w:rsidRPr="0017728B">
        <w:rPr>
          <w:lang w:val="en-US"/>
        </w:rPr>
        <w:t>antioxidant packaging</w:t>
      </w:r>
      <w:r>
        <w:rPr>
          <w:lang w:val="en-US"/>
        </w:rPr>
        <w:t xml:space="preserve"> of sensitive food products.</w:t>
      </w:r>
    </w:p>
    <w:p w:rsidR="00212C5B" w:rsidRDefault="00212C5B" w:rsidP="00212C5B">
      <w:pPr>
        <w:pStyle w:val="CETHeading1"/>
        <w:rPr>
          <w:lang w:val="en-GB"/>
        </w:rPr>
      </w:pPr>
      <w:r w:rsidRPr="00B57B36">
        <w:rPr>
          <w:lang w:val="en-GB"/>
        </w:rPr>
        <w:t>Introduction</w:t>
      </w:r>
    </w:p>
    <w:p w:rsidR="00212C5B" w:rsidRDefault="00212C5B" w:rsidP="00212C5B">
      <w:pPr>
        <w:pStyle w:val="CETBodytext"/>
        <w:rPr>
          <w:lang w:val="en-GB"/>
        </w:rPr>
      </w:pPr>
      <w:r w:rsidRPr="000330A0">
        <w:rPr>
          <w:lang w:val="en-GB"/>
        </w:rPr>
        <w:t>Nowadays, the increasing demand for fresh, safe and minimally processed food products have pushed the industrial and scientific research towards the development of innovative, active packages, through the incorporation of active molecules capable to increase the food shelf-life</w:t>
      </w:r>
      <w:r>
        <w:rPr>
          <w:lang w:val="en-GB"/>
        </w:rPr>
        <w:t xml:space="preserve"> (Di </w:t>
      </w:r>
      <w:proofErr w:type="spellStart"/>
      <w:r>
        <w:rPr>
          <w:lang w:val="en-GB"/>
        </w:rPr>
        <w:t>Maio</w:t>
      </w:r>
      <w:proofErr w:type="spellEnd"/>
      <w:r>
        <w:rPr>
          <w:lang w:val="en-GB"/>
        </w:rPr>
        <w:t xml:space="preserve"> et al., 2017)</w:t>
      </w:r>
      <w:r w:rsidRPr="000330A0">
        <w:rPr>
          <w:lang w:val="en-GB"/>
        </w:rPr>
        <w:t>.</w:t>
      </w:r>
      <w:r>
        <w:rPr>
          <w:lang w:val="en-GB"/>
        </w:rPr>
        <w:t xml:space="preserve"> </w:t>
      </w:r>
      <w:r w:rsidRPr="00FF7EAE">
        <w:rPr>
          <w:lang w:val="en-GB"/>
        </w:rPr>
        <w:t xml:space="preserve">This challenging approach </w:t>
      </w:r>
      <w:r w:rsidRPr="000E7230">
        <w:rPr>
          <w:lang w:val="en-GB"/>
        </w:rPr>
        <w:t xml:space="preserve">allows </w:t>
      </w:r>
      <w:r>
        <w:rPr>
          <w:lang w:val="en-GB"/>
        </w:rPr>
        <w:t xml:space="preserve">the </w:t>
      </w:r>
      <w:r w:rsidRPr="000E7230">
        <w:rPr>
          <w:lang w:val="en-GB"/>
        </w:rPr>
        <w:t>continuous modification</w:t>
      </w:r>
      <w:r>
        <w:rPr>
          <w:lang w:val="en-GB"/>
        </w:rPr>
        <w:t xml:space="preserve"> </w:t>
      </w:r>
      <w:r w:rsidRPr="000E7230">
        <w:rPr>
          <w:lang w:val="en-GB"/>
        </w:rPr>
        <w:t>of the environment inside the packaging</w:t>
      </w:r>
      <w:r>
        <w:rPr>
          <w:lang w:val="en-GB"/>
        </w:rPr>
        <w:t xml:space="preserve"> through the </w:t>
      </w:r>
      <w:r w:rsidRPr="000E7230">
        <w:rPr>
          <w:lang w:val="en-GB"/>
        </w:rPr>
        <w:t>releas</w:t>
      </w:r>
      <w:r>
        <w:rPr>
          <w:lang w:val="en-GB"/>
        </w:rPr>
        <w:t>e</w:t>
      </w:r>
      <w:r w:rsidRPr="000E7230">
        <w:rPr>
          <w:lang w:val="en-GB"/>
        </w:rPr>
        <w:t xml:space="preserve"> or </w:t>
      </w:r>
      <w:r>
        <w:rPr>
          <w:lang w:val="en-GB"/>
        </w:rPr>
        <w:t>the a</w:t>
      </w:r>
      <w:r w:rsidRPr="000E7230">
        <w:rPr>
          <w:lang w:val="en-GB"/>
        </w:rPr>
        <w:t>bsor</w:t>
      </w:r>
      <w:r>
        <w:rPr>
          <w:lang w:val="en-GB"/>
        </w:rPr>
        <w:t xml:space="preserve">ption of </w:t>
      </w:r>
      <w:r w:rsidRPr="000E7230">
        <w:rPr>
          <w:lang w:val="en-GB"/>
        </w:rPr>
        <w:t>specific substances</w:t>
      </w:r>
      <w:r>
        <w:rPr>
          <w:lang w:val="en-GB"/>
        </w:rPr>
        <w:t xml:space="preserve"> (Apicella et al., 2018a), and </w:t>
      </w:r>
      <w:r w:rsidRPr="00FF7EAE">
        <w:rPr>
          <w:lang w:val="en-GB"/>
        </w:rPr>
        <w:t>overcome</w:t>
      </w:r>
      <w:r>
        <w:rPr>
          <w:lang w:val="en-GB"/>
        </w:rPr>
        <w:t>s</w:t>
      </w:r>
      <w:r w:rsidRPr="00FF7EAE">
        <w:rPr>
          <w:lang w:val="en-GB"/>
        </w:rPr>
        <w:t xml:space="preserve"> many of the issues of traditional approaches related to the direct addition of antimicrobials or antioxidants to the food matrix</w:t>
      </w:r>
      <w:r>
        <w:rPr>
          <w:lang w:val="en-GB"/>
        </w:rPr>
        <w:t xml:space="preserve">. </w:t>
      </w:r>
    </w:p>
    <w:p w:rsidR="00212C5B" w:rsidRDefault="00212C5B" w:rsidP="00212C5B">
      <w:pPr>
        <w:pStyle w:val="CETBodytext"/>
        <w:rPr>
          <w:lang w:val="en-GB"/>
        </w:rPr>
      </w:pPr>
      <w:r w:rsidRPr="000330A0">
        <w:rPr>
          <w:lang w:val="en-GB"/>
        </w:rPr>
        <w:t>Oxidative phenomena are among the most important causes of food degradation, loss of precious nutrients and generation of toxic compounds</w:t>
      </w:r>
      <w:r>
        <w:rPr>
          <w:lang w:val="en-GB"/>
        </w:rPr>
        <w:t xml:space="preserve"> (Apicella et al., 2018b)</w:t>
      </w:r>
      <w:r w:rsidRPr="000330A0">
        <w:rPr>
          <w:lang w:val="en-GB"/>
        </w:rPr>
        <w:t xml:space="preserve">. Synthetic antioxidants </w:t>
      </w:r>
      <w:r>
        <w:rPr>
          <w:lang w:val="en-GB"/>
        </w:rPr>
        <w:t xml:space="preserve">such as </w:t>
      </w:r>
      <w:r w:rsidR="007D28E4">
        <w:rPr>
          <w:lang w:val="en-GB"/>
        </w:rPr>
        <w:t>b</w:t>
      </w:r>
      <w:r w:rsidR="007D28E4" w:rsidRPr="007D28E4">
        <w:rPr>
          <w:lang w:val="en-GB"/>
        </w:rPr>
        <w:t>utylhydroxytoluene</w:t>
      </w:r>
      <w:r w:rsidR="007D28E4">
        <w:rPr>
          <w:lang w:val="en-GB"/>
        </w:rPr>
        <w:t xml:space="preserve"> (</w:t>
      </w:r>
      <w:r>
        <w:rPr>
          <w:lang w:val="en-GB"/>
        </w:rPr>
        <w:t>BHT</w:t>
      </w:r>
      <w:r w:rsidR="007D28E4">
        <w:rPr>
          <w:lang w:val="en-GB"/>
        </w:rPr>
        <w:t>)</w:t>
      </w:r>
      <w:r>
        <w:rPr>
          <w:lang w:val="en-GB"/>
        </w:rPr>
        <w:t xml:space="preserve"> and</w:t>
      </w:r>
      <w:r w:rsidR="007D28E4">
        <w:rPr>
          <w:lang w:val="en-GB"/>
        </w:rPr>
        <w:t xml:space="preserve"> </w:t>
      </w:r>
      <w:r w:rsidR="007D28E4">
        <w:t xml:space="preserve">butyl </w:t>
      </w:r>
      <w:proofErr w:type="spellStart"/>
      <w:r w:rsidR="007D28E4">
        <w:t>hydroxyanisole</w:t>
      </w:r>
      <w:proofErr w:type="spellEnd"/>
      <w:r w:rsidR="007D28E4">
        <w:t xml:space="preserve"> (</w:t>
      </w:r>
      <w:r>
        <w:rPr>
          <w:lang w:val="en-GB"/>
        </w:rPr>
        <w:t>BHA</w:t>
      </w:r>
      <w:r w:rsidR="007D28E4">
        <w:rPr>
          <w:lang w:val="en-GB"/>
        </w:rPr>
        <w:t>)</w:t>
      </w:r>
      <w:r>
        <w:rPr>
          <w:lang w:val="en-GB"/>
        </w:rPr>
        <w:t xml:space="preserve"> </w:t>
      </w:r>
      <w:r w:rsidRPr="000330A0">
        <w:rPr>
          <w:lang w:val="en-GB"/>
        </w:rPr>
        <w:t>were widely used for the stabilization of foods containing oils and fats; however, these molecules can accumulate in the human tissues, increasing the risk of toxicity to the consumer.</w:t>
      </w:r>
      <w:r>
        <w:rPr>
          <w:lang w:val="en-GB"/>
        </w:rPr>
        <w:t xml:space="preserve"> </w:t>
      </w:r>
      <w:r w:rsidRPr="000330A0">
        <w:rPr>
          <w:lang w:val="en-GB"/>
        </w:rPr>
        <w:t>An innovative approach concerns the use of natural antioxidants, such as plant and fruits extracts</w:t>
      </w:r>
      <w:r>
        <w:rPr>
          <w:lang w:val="en-GB"/>
        </w:rPr>
        <w:t>, rich in nutritive properties (</w:t>
      </w:r>
      <w:proofErr w:type="spellStart"/>
      <w:r>
        <w:rPr>
          <w:lang w:val="en-GB"/>
        </w:rPr>
        <w:t>Adiletta</w:t>
      </w:r>
      <w:proofErr w:type="spellEnd"/>
      <w:r>
        <w:rPr>
          <w:lang w:val="en-GB"/>
        </w:rPr>
        <w:t xml:space="preserve"> et al., 2015), </w:t>
      </w:r>
      <w:r w:rsidRPr="000330A0">
        <w:rPr>
          <w:lang w:val="en-GB"/>
        </w:rPr>
        <w:t>or essential oils derived from herbs or spices, which can be successfully used</w:t>
      </w:r>
      <w:r>
        <w:rPr>
          <w:lang w:val="en-GB"/>
        </w:rPr>
        <w:t xml:space="preserve"> not only</w:t>
      </w:r>
      <w:r w:rsidRPr="000330A0">
        <w:rPr>
          <w:lang w:val="en-GB"/>
        </w:rPr>
        <w:t xml:space="preserve"> in</w:t>
      </w:r>
      <w:r>
        <w:rPr>
          <w:lang w:val="en-GB"/>
        </w:rPr>
        <w:t xml:space="preserve"> </w:t>
      </w:r>
      <w:r>
        <w:t>pharmaceuticals, nutritionals or cosmetics uses (</w:t>
      </w:r>
      <w:proofErr w:type="spellStart"/>
      <w:r>
        <w:t>Sillero</w:t>
      </w:r>
      <w:proofErr w:type="spellEnd"/>
      <w:r>
        <w:t xml:space="preserve"> et al., 2018), but also</w:t>
      </w:r>
      <w:r w:rsidRPr="000330A0">
        <w:rPr>
          <w:lang w:val="en-GB"/>
        </w:rPr>
        <w:t xml:space="preserve"> the production of active packaging.</w:t>
      </w:r>
      <w:r>
        <w:rPr>
          <w:lang w:val="en-GB"/>
        </w:rPr>
        <w:t xml:space="preserve"> </w:t>
      </w:r>
      <w:r w:rsidRPr="000330A0">
        <w:rPr>
          <w:lang w:val="en-GB"/>
        </w:rPr>
        <w:t>At the same time, the growing attention to sustainability and the rational use of resources has prompted the interest towards the development of eco-compatible, eco-sustainable packaging, through the use of biodegradable and/or compostable materials</w:t>
      </w:r>
      <w:r>
        <w:rPr>
          <w:lang w:val="en-GB"/>
        </w:rPr>
        <w:t xml:space="preserve"> </w:t>
      </w:r>
      <w:r>
        <w:t>as unique active packaging options for the protection of food products (</w:t>
      </w:r>
      <w:proofErr w:type="spellStart"/>
      <w:r>
        <w:t>Scarfato</w:t>
      </w:r>
      <w:proofErr w:type="spellEnd"/>
      <w:r>
        <w:t xml:space="preserve"> et al., 2015),</w:t>
      </w:r>
      <w:r w:rsidRPr="000330A0">
        <w:rPr>
          <w:lang w:val="en-GB"/>
        </w:rPr>
        <w:t xml:space="preserve"> </w:t>
      </w:r>
      <w:r>
        <w:rPr>
          <w:lang w:val="en-GB"/>
        </w:rPr>
        <w:t>as well as</w:t>
      </w:r>
      <w:r w:rsidRPr="000330A0">
        <w:rPr>
          <w:lang w:val="en-GB"/>
        </w:rPr>
        <w:t xml:space="preserve"> natural and bioactive compounds, coming from the </w:t>
      </w:r>
      <w:proofErr w:type="spellStart"/>
      <w:r w:rsidRPr="000330A0">
        <w:rPr>
          <w:lang w:val="en-GB"/>
        </w:rPr>
        <w:t>valorization</w:t>
      </w:r>
      <w:proofErr w:type="spellEnd"/>
      <w:r w:rsidRPr="000330A0">
        <w:rPr>
          <w:lang w:val="en-GB"/>
        </w:rPr>
        <w:t xml:space="preserve"> of industrial waste materials.</w:t>
      </w:r>
      <w:r w:rsidR="00DD55D1">
        <w:rPr>
          <w:lang w:val="en-GB"/>
        </w:rPr>
        <w:t xml:space="preserve"> </w:t>
      </w:r>
      <w:r w:rsidRPr="000330A0">
        <w:rPr>
          <w:lang w:val="en-GB"/>
        </w:rPr>
        <w:t>For these reasons, a growing interest is nowadays dedicated to the use of antioxidant extracts from olive</w:t>
      </w:r>
      <w:r>
        <w:rPr>
          <w:lang w:val="en-GB"/>
        </w:rPr>
        <w:t xml:space="preserve"> oil</w:t>
      </w:r>
      <w:r w:rsidRPr="000330A0">
        <w:rPr>
          <w:lang w:val="en-GB"/>
        </w:rPr>
        <w:t xml:space="preserve"> industry wastes.</w:t>
      </w:r>
      <w:r>
        <w:rPr>
          <w:lang w:val="en-GB"/>
        </w:rPr>
        <w:t xml:space="preserve"> </w:t>
      </w:r>
      <w:r w:rsidRPr="000330A0">
        <w:rPr>
          <w:lang w:val="en-GB"/>
        </w:rPr>
        <w:t>The olive oil industry produces a large quantity of waste and by-products, such as pomace, vegetation waters</w:t>
      </w:r>
      <w:r>
        <w:rPr>
          <w:lang w:val="en-GB"/>
        </w:rPr>
        <w:t xml:space="preserve"> and</w:t>
      </w:r>
      <w:r w:rsidRPr="000330A0">
        <w:rPr>
          <w:lang w:val="en-GB"/>
        </w:rPr>
        <w:t xml:space="preserve"> leaves. These products are rich in phenolic compounds, including oleuropein, luteolin, </w:t>
      </w:r>
      <w:proofErr w:type="spellStart"/>
      <w:r w:rsidRPr="000330A0">
        <w:rPr>
          <w:lang w:val="en-GB"/>
        </w:rPr>
        <w:t>tyrosol</w:t>
      </w:r>
      <w:proofErr w:type="spellEnd"/>
      <w:r w:rsidRPr="000330A0">
        <w:rPr>
          <w:lang w:val="en-GB"/>
        </w:rPr>
        <w:t xml:space="preserve">, hydroxytyrosol, </w:t>
      </w:r>
      <w:proofErr w:type="spellStart"/>
      <w:r w:rsidRPr="000330A0">
        <w:rPr>
          <w:lang w:val="en-GB"/>
        </w:rPr>
        <w:t>verbascoside</w:t>
      </w:r>
      <w:proofErr w:type="spellEnd"/>
      <w:r w:rsidRPr="000330A0">
        <w:rPr>
          <w:lang w:val="en-GB"/>
        </w:rPr>
        <w:t xml:space="preserve">, </w:t>
      </w:r>
      <w:r>
        <w:rPr>
          <w:lang w:val="en-GB"/>
        </w:rPr>
        <w:t xml:space="preserve">capable to </w:t>
      </w:r>
      <w:r w:rsidRPr="00660FF2">
        <w:t xml:space="preserve">interfere with the oxidation of lipids and other molecules by rapid donation of a hydrogen atom to </w:t>
      </w:r>
      <w:r w:rsidRPr="005E1A58">
        <w:t>radicals (</w:t>
      </w:r>
      <w:proofErr w:type="spellStart"/>
      <w:r w:rsidRPr="005E1A58">
        <w:t>Ajila</w:t>
      </w:r>
      <w:proofErr w:type="spellEnd"/>
      <w:r w:rsidRPr="005E1A58">
        <w:t xml:space="preserve"> et al. 2010),</w:t>
      </w:r>
      <w:r w:rsidRPr="00660FF2">
        <w:t xml:space="preserve"> thus showing </w:t>
      </w:r>
      <w:r w:rsidRPr="00660FF2">
        <w:rPr>
          <w:lang w:val="en-GB"/>
        </w:rPr>
        <w:t>a strong antioxidant activity which makes them very attractive for the active packaging industry.</w:t>
      </w:r>
      <w:r>
        <w:rPr>
          <w:lang w:val="en-GB"/>
        </w:rPr>
        <w:t xml:space="preserve"> </w:t>
      </w:r>
      <w:r w:rsidRPr="000330A0">
        <w:rPr>
          <w:lang w:val="en-GB"/>
        </w:rPr>
        <w:t xml:space="preserve">In addition, the high quantity of  phenolic compounds in the vegetation waters </w:t>
      </w:r>
      <w:r w:rsidRPr="000330A0">
        <w:rPr>
          <w:lang w:val="en-GB"/>
        </w:rPr>
        <w:lastRenderedPageBreak/>
        <w:t>makes them resistant to microbial degradation, generating phytotoxicity and pollution of the groundwaters</w:t>
      </w:r>
      <w:r>
        <w:rPr>
          <w:lang w:val="en-GB"/>
        </w:rPr>
        <w:t>.</w:t>
      </w:r>
      <w:r w:rsidRPr="000330A0">
        <w:rPr>
          <w:lang w:val="en-GB"/>
        </w:rPr>
        <w:t xml:space="preserve"> </w:t>
      </w:r>
      <w:r>
        <w:rPr>
          <w:lang w:val="en-GB"/>
        </w:rPr>
        <w:t>Ther</w:t>
      </w:r>
      <w:r w:rsidRPr="000330A0">
        <w:rPr>
          <w:lang w:val="en-GB"/>
        </w:rPr>
        <w:t>efore, investigating new fields of applications to reuse these products is not only a way to restore their economic and commercial dignity, but also solves a burdensome problem of environmental impact.</w:t>
      </w:r>
      <w:r w:rsidR="00DD55D1">
        <w:rPr>
          <w:lang w:val="en-GB"/>
        </w:rPr>
        <w:t xml:space="preserve"> </w:t>
      </w:r>
      <w:r>
        <w:rPr>
          <w:lang w:val="en-GB"/>
        </w:rPr>
        <w:t>All t</w:t>
      </w:r>
      <w:r w:rsidRPr="000330A0">
        <w:rPr>
          <w:lang w:val="en-GB"/>
        </w:rPr>
        <w:t xml:space="preserve">hese consideration inspired the aim of this work, which deals with the design, realization and verification of the effectiveness of biodegradable multilayer active films with antioxidant properties, based on phenolic extracts deriving from olives </w:t>
      </w:r>
      <w:r>
        <w:rPr>
          <w:lang w:val="en-GB"/>
        </w:rPr>
        <w:t>milling waste</w:t>
      </w:r>
      <w:r w:rsidRPr="000330A0">
        <w:rPr>
          <w:lang w:val="en-GB"/>
        </w:rPr>
        <w:t xml:space="preserve"> waters, properly subjected to separation </w:t>
      </w:r>
      <w:r>
        <w:rPr>
          <w:lang w:val="en-GB"/>
        </w:rPr>
        <w:t xml:space="preserve">pre-treatments. </w:t>
      </w:r>
      <w:r w:rsidRPr="000330A0">
        <w:rPr>
          <w:lang w:val="en-GB"/>
        </w:rPr>
        <w:t xml:space="preserve">The active extracts were </w:t>
      </w:r>
      <w:r>
        <w:rPr>
          <w:lang w:val="en-GB"/>
        </w:rPr>
        <w:t xml:space="preserve">characterized in terms of the main </w:t>
      </w:r>
      <w:r w:rsidRPr="000330A0">
        <w:rPr>
          <w:lang w:val="en-GB"/>
        </w:rPr>
        <w:t>chemical-physical properties</w:t>
      </w:r>
      <w:r>
        <w:rPr>
          <w:lang w:val="en-GB"/>
        </w:rPr>
        <w:t xml:space="preserve"> (dry matter content, colour, reducing sugars)</w:t>
      </w:r>
      <w:r w:rsidRPr="000330A0">
        <w:rPr>
          <w:lang w:val="en-GB"/>
        </w:rPr>
        <w:t xml:space="preserve"> </w:t>
      </w:r>
      <w:r>
        <w:rPr>
          <w:lang w:val="en-GB"/>
        </w:rPr>
        <w:t xml:space="preserve">and </w:t>
      </w:r>
      <w:r w:rsidRPr="000330A0">
        <w:rPr>
          <w:lang w:val="en-GB"/>
        </w:rPr>
        <w:t>antioxidant capacity.</w:t>
      </w:r>
      <w:r>
        <w:rPr>
          <w:lang w:val="en-GB"/>
        </w:rPr>
        <w:t xml:space="preserve"> </w:t>
      </w:r>
      <w:r w:rsidRPr="000330A0">
        <w:rPr>
          <w:lang w:val="en-GB"/>
        </w:rPr>
        <w:t>Then, the most performing and suitable extract was selected to produce active multilayer biodegradable films</w:t>
      </w:r>
      <w:r>
        <w:rPr>
          <w:lang w:val="en-GB"/>
        </w:rPr>
        <w:t>, spreading a</w:t>
      </w:r>
      <w:r w:rsidRPr="000330A0">
        <w:rPr>
          <w:lang w:val="en-GB"/>
        </w:rPr>
        <w:t xml:space="preserve"> PLA coating </w:t>
      </w:r>
      <w:r>
        <w:rPr>
          <w:lang w:val="en-GB"/>
        </w:rPr>
        <w:t>layer at</w:t>
      </w:r>
      <w:r w:rsidRPr="000330A0">
        <w:rPr>
          <w:lang w:val="en-GB"/>
        </w:rPr>
        <w:t xml:space="preserve"> different percentages of active phase (ranging from 0 to </w:t>
      </w:r>
      <w:r>
        <w:rPr>
          <w:lang w:val="en-GB"/>
        </w:rPr>
        <w:t>3</w:t>
      </w:r>
      <w:r w:rsidRPr="000330A0">
        <w:rPr>
          <w:lang w:val="en-GB"/>
        </w:rPr>
        <w:t>%)</w:t>
      </w:r>
      <w:r>
        <w:rPr>
          <w:lang w:val="en-GB"/>
        </w:rPr>
        <w:t xml:space="preserve">, </w:t>
      </w:r>
      <w:r w:rsidRPr="000330A0">
        <w:rPr>
          <w:lang w:val="en-GB"/>
        </w:rPr>
        <w:t xml:space="preserve">on a </w:t>
      </w:r>
      <w:r>
        <w:rPr>
          <w:lang w:val="en-GB"/>
        </w:rPr>
        <w:t>biodegradable</w:t>
      </w:r>
      <w:r w:rsidRPr="000330A0">
        <w:rPr>
          <w:lang w:val="en-GB"/>
        </w:rPr>
        <w:t xml:space="preserve"> substrate film.</w:t>
      </w:r>
      <w:r>
        <w:rPr>
          <w:lang w:val="en-GB"/>
        </w:rPr>
        <w:t xml:space="preserve"> </w:t>
      </w:r>
      <w:r w:rsidRPr="000330A0">
        <w:rPr>
          <w:lang w:val="en-GB"/>
        </w:rPr>
        <w:t xml:space="preserve">The </w:t>
      </w:r>
      <w:r>
        <w:rPr>
          <w:lang w:val="en-GB"/>
        </w:rPr>
        <w:t xml:space="preserve">barrier and surface properties of the </w:t>
      </w:r>
      <w:r w:rsidRPr="000330A0">
        <w:rPr>
          <w:lang w:val="en-GB"/>
        </w:rPr>
        <w:t xml:space="preserve">produced systems were then </w:t>
      </w:r>
      <w:r>
        <w:rPr>
          <w:lang w:val="en-GB"/>
        </w:rPr>
        <w:t xml:space="preserve">evaluated, </w:t>
      </w:r>
      <w:r w:rsidRPr="000330A0">
        <w:rPr>
          <w:lang w:val="en-GB"/>
        </w:rPr>
        <w:t xml:space="preserve">in order to obtain information on the interaction of the active phase with the polymer matrix and its effect on </w:t>
      </w:r>
      <w:r>
        <w:rPr>
          <w:lang w:val="en-GB"/>
        </w:rPr>
        <w:t>the</w:t>
      </w:r>
      <w:r w:rsidRPr="000330A0">
        <w:rPr>
          <w:lang w:val="en-GB"/>
        </w:rPr>
        <w:t xml:space="preserve"> functional performance</w:t>
      </w:r>
      <w:r>
        <w:rPr>
          <w:lang w:val="en-GB"/>
        </w:rPr>
        <w:t xml:space="preserve">, and surface wettability </w:t>
      </w:r>
      <w:r w:rsidRPr="000330A0">
        <w:rPr>
          <w:lang w:val="en-GB"/>
        </w:rPr>
        <w:t>of the films.</w:t>
      </w:r>
      <w:r>
        <w:rPr>
          <w:lang w:val="en-GB"/>
        </w:rPr>
        <w:t xml:space="preserve"> </w:t>
      </w:r>
      <w:r w:rsidRPr="000330A0">
        <w:rPr>
          <w:lang w:val="en-GB"/>
        </w:rPr>
        <w:t xml:space="preserve">Moreover, release tests </w:t>
      </w:r>
      <w:r>
        <w:rPr>
          <w:lang w:val="en-GB"/>
        </w:rPr>
        <w:t xml:space="preserve">in a </w:t>
      </w:r>
      <w:r w:rsidRPr="000330A0">
        <w:rPr>
          <w:lang w:val="en-GB"/>
        </w:rPr>
        <w:t xml:space="preserve">selected food simulant and DPPH radical scavenging </w:t>
      </w:r>
      <w:r>
        <w:rPr>
          <w:lang w:val="en-GB"/>
        </w:rPr>
        <w:t>measurements</w:t>
      </w:r>
      <w:r w:rsidRPr="000330A0">
        <w:rPr>
          <w:lang w:val="en-GB"/>
        </w:rPr>
        <w:t xml:space="preserve"> were carried out to investigate the </w:t>
      </w:r>
      <w:bookmarkStart w:id="0" w:name="_Hlk1902735"/>
      <w:r w:rsidRPr="000330A0">
        <w:rPr>
          <w:lang w:val="en-GB"/>
        </w:rPr>
        <w:t xml:space="preserve">effectiveness of the produced systems as </w:t>
      </w:r>
      <w:r>
        <w:rPr>
          <w:lang w:val="en-GB"/>
        </w:rPr>
        <w:t xml:space="preserve">antioxidant </w:t>
      </w:r>
      <w:r w:rsidRPr="000330A0">
        <w:rPr>
          <w:lang w:val="en-GB"/>
        </w:rPr>
        <w:t xml:space="preserve">carriers and </w:t>
      </w:r>
      <w:r>
        <w:rPr>
          <w:lang w:val="en-GB"/>
        </w:rPr>
        <w:t>as</w:t>
      </w:r>
      <w:r w:rsidRPr="000330A0">
        <w:rPr>
          <w:lang w:val="en-GB"/>
        </w:rPr>
        <w:t xml:space="preserve"> potential new packaging for extending </w:t>
      </w:r>
      <w:r>
        <w:rPr>
          <w:lang w:val="en-GB"/>
        </w:rPr>
        <w:t>foods</w:t>
      </w:r>
      <w:r w:rsidRPr="000330A0">
        <w:rPr>
          <w:lang w:val="en-GB"/>
        </w:rPr>
        <w:t xml:space="preserve"> shelf-life.  </w:t>
      </w:r>
      <w:bookmarkEnd w:id="0"/>
    </w:p>
    <w:p w:rsidR="00212C5B" w:rsidRDefault="00212C5B" w:rsidP="00212C5B">
      <w:pPr>
        <w:pStyle w:val="CETHeading1"/>
      </w:pPr>
      <w:r>
        <w:t>Experimental</w:t>
      </w:r>
    </w:p>
    <w:p w:rsidR="00212C5B" w:rsidRDefault="00212C5B" w:rsidP="00212C5B">
      <w:pPr>
        <w:pStyle w:val="CET11"/>
      </w:pPr>
      <w:r>
        <w:t>Materials</w:t>
      </w:r>
    </w:p>
    <w:p w:rsidR="00212C5B" w:rsidRDefault="00212C5B" w:rsidP="00212C5B">
      <w:pPr>
        <w:pStyle w:val="CETBodytext"/>
      </w:pPr>
      <w:r>
        <w:t xml:space="preserve">Three </w:t>
      </w:r>
      <w:r w:rsidR="008E6691">
        <w:t xml:space="preserve">phenolic </w:t>
      </w:r>
      <w:r w:rsidR="00036815">
        <w:t>olive</w:t>
      </w:r>
      <w:r>
        <w:t xml:space="preserve"> extracts deriving from olives milling wastewaters (named OE1, OE2 and OE3) and subjected to different pre-treatments (data non disclosed), were donated </w:t>
      </w:r>
      <w:r w:rsidR="000A24CC">
        <w:t>by</w:t>
      </w:r>
      <w:r>
        <w:t xml:space="preserve"> </w:t>
      </w:r>
      <w:proofErr w:type="spellStart"/>
      <w:r>
        <w:t>Fangiano</w:t>
      </w:r>
      <w:proofErr w:type="spellEnd"/>
      <w:r w:rsidR="000A24CC">
        <w:t xml:space="preserve"> Farming Company</w:t>
      </w:r>
      <w:r>
        <w:t xml:space="preserve"> (Nocera </w:t>
      </w:r>
      <w:proofErr w:type="spellStart"/>
      <w:r>
        <w:t>Terinese</w:t>
      </w:r>
      <w:proofErr w:type="spellEnd"/>
      <w:r>
        <w:t>, CZ, Italy). A commercial biodegradable blown film, named Bio</w:t>
      </w:r>
      <w:r w:rsidR="00DD0367">
        <w:t>polymer</w:t>
      </w:r>
      <w:r>
        <w:t xml:space="preserve"> (</w:t>
      </w:r>
      <w:proofErr w:type="spellStart"/>
      <w:r>
        <w:t>Euromaster</w:t>
      </w:r>
      <w:proofErr w:type="spellEnd"/>
      <w:r>
        <w:t>, Pistoia, Italy), made by Poly(lactic acid) and P</w:t>
      </w:r>
      <w:r w:rsidRPr="00074C0C">
        <w:t>oly(butylene adipate-co-terephthalate)</w:t>
      </w:r>
      <w:r>
        <w:t xml:space="preserve"> blend, having a thickness of </w:t>
      </w:r>
      <w:r w:rsidRPr="00714797">
        <w:t>22 ± 1.0</w:t>
      </w:r>
      <w:r>
        <w:t xml:space="preserve"> </w:t>
      </w:r>
      <w:proofErr w:type="spellStart"/>
      <w:r w:rsidRPr="00714797">
        <w:t>μm</w:t>
      </w:r>
      <w:proofErr w:type="spellEnd"/>
      <w:r>
        <w:t>, was used as substrate for the production of the active coatings.</w:t>
      </w:r>
      <w:r w:rsidRPr="00B766C1">
        <w:t xml:space="preserve"> PLA4060 (</w:t>
      </w:r>
      <w:proofErr w:type="spellStart"/>
      <w:r w:rsidRPr="00B766C1">
        <w:t>Natureworks</w:t>
      </w:r>
      <w:proofErr w:type="spellEnd"/>
      <w:r>
        <w:t>, Minnetonka, USA</w:t>
      </w:r>
      <w:r w:rsidRPr="00B766C1">
        <w:t xml:space="preserve">), </w:t>
      </w:r>
      <w:r>
        <w:t xml:space="preserve"> c</w:t>
      </w:r>
      <w:r w:rsidRPr="00B766C1">
        <w:t>haracterized by a D-lactide content of 12 wt%, that confers an amorphous morphology to the material, was used for the coating layer.</w:t>
      </w:r>
      <w:r>
        <w:t xml:space="preserve"> </w:t>
      </w:r>
      <w:r w:rsidRPr="00194BB7">
        <w:t>DPPH (2,2-diphenyl-1-picrylhydrazyl)</w:t>
      </w:r>
      <w:r>
        <w:t>, Trolox (</w:t>
      </w:r>
      <w:r w:rsidRPr="00194BB7">
        <w:t>(±)-6-Hydroxy-2,5,7,8-tetramethylchromane-2-carboxylic acid</w:t>
      </w:r>
      <w:r>
        <w:t xml:space="preserve">), Tween 80 surfactant and Fehling reagents </w:t>
      </w:r>
      <w:r w:rsidRPr="00194BB7">
        <w:t>were obtained from</w:t>
      </w:r>
      <w:r>
        <w:t xml:space="preserve"> </w:t>
      </w:r>
      <w:r w:rsidRPr="00194BB7">
        <w:t>Sigma Chemical Co. (St. Louis, Mo., USA).</w:t>
      </w:r>
      <w:r>
        <w:t xml:space="preserve"> </w:t>
      </w:r>
      <w:r w:rsidRPr="00B766C1">
        <w:t xml:space="preserve">All </w:t>
      </w:r>
      <w:r>
        <w:t xml:space="preserve">organic solvents </w:t>
      </w:r>
      <w:r w:rsidRPr="00B766C1">
        <w:t>used were analytical grade.</w:t>
      </w:r>
    </w:p>
    <w:p w:rsidR="00212C5B" w:rsidRDefault="00212C5B" w:rsidP="00212C5B">
      <w:pPr>
        <w:pStyle w:val="CET11"/>
      </w:pPr>
      <w:r w:rsidRPr="005B3A6A">
        <w:t xml:space="preserve">Characterization of the </w:t>
      </w:r>
      <w:r>
        <w:t>phenolic</w:t>
      </w:r>
      <w:r w:rsidRPr="005B3A6A">
        <w:t xml:space="preserve"> extracts</w:t>
      </w:r>
    </w:p>
    <w:p w:rsidR="00212C5B" w:rsidRDefault="00212C5B" w:rsidP="00212C5B">
      <w:pPr>
        <w:pStyle w:val="CETBodytext"/>
      </w:pPr>
      <w:r>
        <w:t xml:space="preserve">The dry matter content of the phenolic extracts was determined by means of </w:t>
      </w:r>
      <w:r w:rsidRPr="006C4E6A">
        <w:t>Sartorius Moisture Analyzer MA100 (Sartorius AG, Göttingen, Germany)</w:t>
      </w:r>
      <w:r>
        <w:t>.</w:t>
      </w:r>
      <w:r w:rsidR="00DD55D1">
        <w:t xml:space="preserve"> </w:t>
      </w:r>
      <w:r>
        <w:t xml:space="preserve">Reducing sugars were evaluated by </w:t>
      </w:r>
      <w:proofErr w:type="spellStart"/>
      <w:r>
        <w:t>Felhing</w:t>
      </w:r>
      <w:proofErr w:type="spellEnd"/>
      <w:r>
        <w:t xml:space="preserve"> assay, according to the method </w:t>
      </w:r>
      <w:r w:rsidRPr="0009253E">
        <w:t xml:space="preserve">reported by </w:t>
      </w:r>
      <w:proofErr w:type="spellStart"/>
      <w:r w:rsidRPr="0009253E">
        <w:t>Adiletta</w:t>
      </w:r>
      <w:proofErr w:type="spellEnd"/>
      <w:r w:rsidRPr="0009253E">
        <w:t xml:space="preserve"> et al., 2018. </w:t>
      </w:r>
      <w:r>
        <w:t>A mixed Fehling’s solution and methylene blue as indicator were used in titration. The results were expressed in g of reducing sugars in 100 g of phenolic extract (dry basis).</w:t>
      </w:r>
      <w:r w:rsidR="00DD55D1">
        <w:t xml:space="preserve"> </w:t>
      </w:r>
      <w:r w:rsidRPr="00D50349">
        <w:rPr>
          <w:rFonts w:eastAsiaTheme="minorHAnsi"/>
        </w:rPr>
        <w:t>The antioxidant activity</w:t>
      </w:r>
      <w:r>
        <w:rPr>
          <w:rFonts w:eastAsiaTheme="minorHAnsi"/>
        </w:rPr>
        <w:t xml:space="preserve"> of OEs </w:t>
      </w:r>
      <w:r w:rsidRPr="00D50349">
        <w:rPr>
          <w:rFonts w:eastAsiaTheme="minorHAnsi"/>
        </w:rPr>
        <w:t>was analyzed using the stable radical 2,2-diphenyl-1-picrylhydrazyl (DPPH) as previously reported (</w:t>
      </w:r>
      <w:proofErr w:type="spellStart"/>
      <w:r>
        <w:rPr>
          <w:rFonts w:eastAsiaTheme="minorHAnsi"/>
        </w:rPr>
        <w:t>Adiletta</w:t>
      </w:r>
      <w:proofErr w:type="spellEnd"/>
      <w:r>
        <w:rPr>
          <w:rFonts w:eastAsiaTheme="minorHAnsi"/>
        </w:rPr>
        <w:t xml:space="preserve"> et al., 2017</w:t>
      </w:r>
      <w:r w:rsidRPr="00D50349">
        <w:rPr>
          <w:rFonts w:eastAsiaTheme="minorHAnsi"/>
        </w:rPr>
        <w:t>). 100 µL of extracts at different dilutions were mixed with 3.9 mL of a methanolic solution of DPPH (6 × 10</w:t>
      </w:r>
      <w:r w:rsidRPr="00D50349">
        <w:rPr>
          <w:rFonts w:eastAsiaTheme="minorHAnsi"/>
          <w:vertAlign w:val="superscript"/>
        </w:rPr>
        <w:t>−5</w:t>
      </w:r>
      <w:r w:rsidRPr="00D50349">
        <w:rPr>
          <w:rFonts w:eastAsiaTheme="minorHAnsi"/>
        </w:rPr>
        <w:t xml:space="preserve"> M) in a capped cuvette. The mixture was shaken vigorously at room temperature and allowed to stand at room temperature in the dark for 30 min. The absorbance of the solution was measured at 517 nm with a UV–Vis spectrophotometer (Lambda Bio 40</w:t>
      </w:r>
      <w:r>
        <w:rPr>
          <w:rFonts w:eastAsiaTheme="minorHAnsi"/>
        </w:rPr>
        <w:t>,</w:t>
      </w:r>
      <w:r w:rsidRPr="00D50349">
        <w:rPr>
          <w:rFonts w:eastAsiaTheme="minorHAnsi"/>
        </w:rPr>
        <w:t xml:space="preserve"> Perkin Elmer, Waltham, MA, USA). The control was conducted in the same manner</w:t>
      </w:r>
      <w:r>
        <w:rPr>
          <w:rFonts w:eastAsiaTheme="minorHAnsi"/>
        </w:rPr>
        <w:t>,</w:t>
      </w:r>
      <w:r w:rsidRPr="00D50349">
        <w:rPr>
          <w:rFonts w:eastAsiaTheme="minorHAnsi"/>
        </w:rPr>
        <w:t xml:space="preserve"> but </w:t>
      </w:r>
      <w:r>
        <w:rPr>
          <w:rFonts w:eastAsiaTheme="minorHAnsi"/>
        </w:rPr>
        <w:t xml:space="preserve">distilled </w:t>
      </w:r>
      <w:r w:rsidRPr="00D50349">
        <w:rPr>
          <w:rFonts w:eastAsiaTheme="minorHAnsi"/>
        </w:rPr>
        <w:t xml:space="preserve">water was used instead of </w:t>
      </w:r>
      <w:r>
        <w:rPr>
          <w:rFonts w:eastAsiaTheme="minorHAnsi"/>
        </w:rPr>
        <w:t xml:space="preserve">the </w:t>
      </w:r>
      <w:r w:rsidRPr="00D50349">
        <w:rPr>
          <w:rFonts w:eastAsiaTheme="minorHAnsi"/>
        </w:rPr>
        <w:t>sample. All</w:t>
      </w:r>
      <w:r>
        <w:rPr>
          <w:rFonts w:eastAsiaTheme="minorHAnsi"/>
        </w:rPr>
        <w:t xml:space="preserve"> </w:t>
      </w:r>
      <w:r w:rsidRPr="00D50349">
        <w:rPr>
          <w:rFonts w:eastAsiaTheme="minorHAnsi"/>
        </w:rPr>
        <w:t xml:space="preserve">analyses were performed in triplicate, and the obtained values </w:t>
      </w:r>
      <w:r>
        <w:rPr>
          <w:rFonts w:eastAsiaTheme="minorHAnsi"/>
        </w:rPr>
        <w:t>were</w:t>
      </w:r>
      <w:r w:rsidRPr="00D50349">
        <w:rPr>
          <w:rFonts w:eastAsiaTheme="minorHAnsi"/>
        </w:rPr>
        <w:t xml:space="preserve"> reported using a calibration curve of Trolox as TEAC (Trolox Equivalent Antioxidant Capacity).</w:t>
      </w:r>
      <w:r w:rsidR="00DD55D1">
        <w:rPr>
          <w:rFonts w:eastAsiaTheme="minorHAnsi"/>
        </w:rPr>
        <w:t xml:space="preserve"> </w:t>
      </w:r>
      <w:r>
        <w:t>Color measurements were carried out on the extracts by using a colorimeter CIE-Lab (Chroma Meter II Reflectance CR-300, Minolta, Japan), equipped with a CIE standard D65 illuminant (</w:t>
      </w:r>
      <w:proofErr w:type="spellStart"/>
      <w:r>
        <w:t>Fratianni</w:t>
      </w:r>
      <w:proofErr w:type="spellEnd"/>
      <w:r>
        <w:t xml:space="preserve"> et al. 2018). </w:t>
      </w:r>
      <w:r w:rsidRPr="000E13BE">
        <w:rPr>
          <w:lang w:val="en-GB"/>
        </w:rPr>
        <w:t>The results were expressed</w:t>
      </w:r>
      <w:r>
        <w:rPr>
          <w:lang w:val="en-GB"/>
        </w:rPr>
        <w:t xml:space="preserve"> according to c</w:t>
      </w:r>
      <w:proofErr w:type="spellStart"/>
      <w:r>
        <w:t>olor</w:t>
      </w:r>
      <w:proofErr w:type="spellEnd"/>
      <w:r>
        <w:t xml:space="preserve"> coordinates L* (darkness/lightness), a* (greenness/redness), b* (blueness/yellowness), </w:t>
      </w:r>
      <w:r w:rsidRPr="000E13BE">
        <w:rPr>
          <w:lang w:val="en-GB"/>
        </w:rPr>
        <w:t>hue value (tan</w:t>
      </w:r>
      <w:r w:rsidRPr="00051231">
        <w:rPr>
          <w:vertAlign w:val="superscript"/>
          <w:lang w:val="en-GB"/>
        </w:rPr>
        <w:t>-1</w:t>
      </w:r>
      <w:r w:rsidRPr="000E13BE">
        <w:rPr>
          <w:lang w:val="en-GB"/>
        </w:rPr>
        <w:t xml:space="preserve"> b*/a*) and saturation index, chroma ((a</w:t>
      </w:r>
      <w:r w:rsidRPr="00051231">
        <w:rPr>
          <w:vertAlign w:val="superscript"/>
          <w:lang w:val="en-GB"/>
        </w:rPr>
        <w:t>2</w:t>
      </w:r>
      <w:r w:rsidRPr="000E13BE">
        <w:rPr>
          <w:lang w:val="en-GB"/>
        </w:rPr>
        <w:t xml:space="preserve"> + b</w:t>
      </w:r>
      <w:r w:rsidRPr="00051231">
        <w:rPr>
          <w:vertAlign w:val="superscript"/>
          <w:lang w:val="en-GB"/>
        </w:rPr>
        <w:t>2</w:t>
      </w:r>
      <w:r w:rsidRPr="000E13BE">
        <w:rPr>
          <w:lang w:val="en-GB"/>
        </w:rPr>
        <w:t>)</w:t>
      </w:r>
      <w:r w:rsidRPr="00051231">
        <w:rPr>
          <w:vertAlign w:val="superscript"/>
          <w:lang w:val="en-GB"/>
        </w:rPr>
        <w:t>1/2</w:t>
      </w:r>
      <w:r w:rsidRPr="000E13BE">
        <w:rPr>
          <w:lang w:val="en-GB"/>
        </w:rPr>
        <w:t>)</w:t>
      </w:r>
      <w:r>
        <w:rPr>
          <w:lang w:val="en-GB"/>
        </w:rPr>
        <w:t>.</w:t>
      </w:r>
      <w:r w:rsidRPr="000E13BE">
        <w:rPr>
          <w:lang w:val="en-GB"/>
        </w:rPr>
        <w:t xml:space="preserve"> </w:t>
      </w:r>
      <w:r>
        <w:t xml:space="preserve">Chroma indicates the dullness/vividness of a product, while the hue angle is how an object’s color is perceived by human eye: red, orange, green or blue </w:t>
      </w:r>
      <w:r w:rsidRPr="000E13BE">
        <w:rPr>
          <w:lang w:val="en-GB"/>
        </w:rPr>
        <w:t>(CIEL*a*b* colour system, 19</w:t>
      </w:r>
      <w:r>
        <w:rPr>
          <w:lang w:val="en-GB"/>
        </w:rPr>
        <w:t>8</w:t>
      </w:r>
      <w:r w:rsidRPr="000E13BE">
        <w:rPr>
          <w:lang w:val="en-GB"/>
        </w:rPr>
        <w:t>6).</w:t>
      </w:r>
      <w:r>
        <w:rPr>
          <w:lang w:val="en-GB"/>
        </w:rPr>
        <w:t xml:space="preserve"> </w:t>
      </w:r>
    </w:p>
    <w:p w:rsidR="00212C5B" w:rsidRDefault="00212C5B" w:rsidP="00212C5B">
      <w:pPr>
        <w:pStyle w:val="CET11"/>
        <w:contextualSpacing/>
      </w:pPr>
      <w:r>
        <w:t>Preparation of the active systems</w:t>
      </w:r>
    </w:p>
    <w:p w:rsidR="00DD55D1" w:rsidRDefault="00212C5B" w:rsidP="00212C5B">
      <w:pPr>
        <w:pStyle w:val="CETBodytextItalic"/>
        <w:contextualSpacing/>
        <w:rPr>
          <w:i w:val="0"/>
        </w:rPr>
      </w:pPr>
      <w:r>
        <w:rPr>
          <w:i w:val="0"/>
        </w:rPr>
        <w:t xml:space="preserve">The preliminary investigations on the available phenolic extracts allowed to select the best candidate for the production of the active packaging. Then, antioxidant </w:t>
      </w:r>
      <w:r w:rsidRPr="00F6743F">
        <w:rPr>
          <w:i w:val="0"/>
        </w:rPr>
        <w:t xml:space="preserve">multilayer </w:t>
      </w:r>
      <w:r>
        <w:rPr>
          <w:i w:val="0"/>
        </w:rPr>
        <w:t>films</w:t>
      </w:r>
      <w:r w:rsidRPr="00F6743F">
        <w:rPr>
          <w:i w:val="0"/>
        </w:rPr>
        <w:t xml:space="preserve"> were realized by precipitation, induced by solvent evaporation, of </w:t>
      </w:r>
      <w:r>
        <w:rPr>
          <w:i w:val="0"/>
        </w:rPr>
        <w:t>a</w:t>
      </w:r>
      <w:r w:rsidRPr="00F6743F">
        <w:rPr>
          <w:i w:val="0"/>
        </w:rPr>
        <w:t xml:space="preserve"> PLA</w:t>
      </w:r>
      <w:r>
        <w:rPr>
          <w:i w:val="0"/>
        </w:rPr>
        <w:t>4060/Acetone</w:t>
      </w:r>
      <w:r w:rsidRPr="00F6743F">
        <w:rPr>
          <w:i w:val="0"/>
        </w:rPr>
        <w:t xml:space="preserve"> coating solution</w:t>
      </w:r>
      <w:r>
        <w:rPr>
          <w:i w:val="0"/>
        </w:rPr>
        <w:t xml:space="preserve"> (with mass ratio 20:80),</w:t>
      </w:r>
      <w:r w:rsidRPr="00F6743F">
        <w:rPr>
          <w:i w:val="0"/>
        </w:rPr>
        <w:t xml:space="preserve"> </w:t>
      </w:r>
      <w:r>
        <w:rPr>
          <w:i w:val="0"/>
        </w:rPr>
        <w:t xml:space="preserve">incorporated </w:t>
      </w:r>
      <w:r w:rsidRPr="00F6743F">
        <w:rPr>
          <w:i w:val="0"/>
        </w:rPr>
        <w:t>at different percentages of the</w:t>
      </w:r>
      <w:r>
        <w:rPr>
          <w:i w:val="0"/>
        </w:rPr>
        <w:t xml:space="preserve"> selected</w:t>
      </w:r>
      <w:r w:rsidRPr="00F6743F">
        <w:rPr>
          <w:i w:val="0"/>
        </w:rPr>
        <w:t xml:space="preserve"> active phase (</w:t>
      </w:r>
      <w:r>
        <w:rPr>
          <w:i w:val="0"/>
        </w:rPr>
        <w:t>0, 1,</w:t>
      </w:r>
      <w:r w:rsidRPr="00F6743F">
        <w:rPr>
          <w:i w:val="0"/>
        </w:rPr>
        <w:t xml:space="preserve"> </w:t>
      </w:r>
      <w:r>
        <w:rPr>
          <w:i w:val="0"/>
        </w:rPr>
        <w:t>3</w:t>
      </w:r>
      <w:r w:rsidRPr="00F6743F">
        <w:rPr>
          <w:i w:val="0"/>
        </w:rPr>
        <w:t>%</w:t>
      </w:r>
      <w:r>
        <w:rPr>
          <w:i w:val="0"/>
        </w:rPr>
        <w:t xml:space="preserve"> w/</w:t>
      </w:r>
      <w:proofErr w:type="spellStart"/>
      <w:r>
        <w:rPr>
          <w:i w:val="0"/>
        </w:rPr>
        <w:t>w</w:t>
      </w:r>
      <w:r w:rsidRPr="006C5F4B">
        <w:rPr>
          <w:i w:val="0"/>
          <w:vertAlign w:val="subscript"/>
        </w:rPr>
        <w:t>PLA</w:t>
      </w:r>
      <w:proofErr w:type="spellEnd"/>
      <w:r w:rsidRPr="00F6743F">
        <w:rPr>
          <w:i w:val="0"/>
        </w:rPr>
        <w:t>)</w:t>
      </w:r>
      <w:r>
        <w:rPr>
          <w:i w:val="0"/>
        </w:rPr>
        <w:t xml:space="preserve"> under magnetic stirring </w:t>
      </w:r>
      <w:r w:rsidRPr="00926555">
        <w:rPr>
          <w:i w:val="0"/>
        </w:rPr>
        <w:t>(Apicella et al.,</w:t>
      </w:r>
      <w:r>
        <w:rPr>
          <w:i w:val="0"/>
        </w:rPr>
        <w:t xml:space="preserve"> </w:t>
      </w:r>
      <w:r w:rsidRPr="00926555">
        <w:rPr>
          <w:i w:val="0"/>
        </w:rPr>
        <w:t>2018c)</w:t>
      </w:r>
      <w:r>
        <w:rPr>
          <w:i w:val="0"/>
        </w:rPr>
        <w:t>. Non-ionic surfactant Tween 80 (HLB value=15) was previously added to the water-based extract (1% w/</w:t>
      </w:r>
      <w:proofErr w:type="spellStart"/>
      <w:r>
        <w:rPr>
          <w:i w:val="0"/>
        </w:rPr>
        <w:t>w</w:t>
      </w:r>
      <w:r>
        <w:rPr>
          <w:i w:val="0"/>
          <w:vertAlign w:val="subscript"/>
        </w:rPr>
        <w:t>OE</w:t>
      </w:r>
      <w:proofErr w:type="spellEnd"/>
      <w:r>
        <w:rPr>
          <w:i w:val="0"/>
        </w:rPr>
        <w:t xml:space="preserve">), in order to enhance solubilization with PLA solution and avoid precipitation. The casting mixture was then spread on the </w:t>
      </w:r>
      <w:r w:rsidR="00DD0367" w:rsidRPr="00DD0367">
        <w:rPr>
          <w:i w:val="0"/>
        </w:rPr>
        <w:t xml:space="preserve">Biopolymer </w:t>
      </w:r>
      <w:r w:rsidRPr="00F6743F">
        <w:rPr>
          <w:i w:val="0"/>
        </w:rPr>
        <w:t>substrate</w:t>
      </w:r>
      <w:r>
        <w:rPr>
          <w:i w:val="0"/>
        </w:rPr>
        <w:t xml:space="preserve"> by means of a K Hand Coater (RK, </w:t>
      </w:r>
      <w:proofErr w:type="spellStart"/>
      <w:r>
        <w:rPr>
          <w:i w:val="0"/>
        </w:rPr>
        <w:t>Printocoat</w:t>
      </w:r>
      <w:proofErr w:type="spellEnd"/>
      <w:r>
        <w:rPr>
          <w:i w:val="0"/>
        </w:rPr>
        <w:t xml:space="preserve"> Instruments Ltd., </w:t>
      </w:r>
      <w:proofErr w:type="spellStart"/>
      <w:r>
        <w:rPr>
          <w:i w:val="0"/>
        </w:rPr>
        <w:t>Litlington</w:t>
      </w:r>
      <w:proofErr w:type="spellEnd"/>
      <w:r>
        <w:rPr>
          <w:i w:val="0"/>
        </w:rPr>
        <w:t>, UK), equipped with stainless steel close wound rod, with wire diameter equal to 0.64 mm (</w:t>
      </w:r>
      <w:proofErr w:type="spellStart"/>
      <w:r>
        <w:rPr>
          <w:i w:val="0"/>
        </w:rPr>
        <w:t>Barbaro</w:t>
      </w:r>
      <w:proofErr w:type="spellEnd"/>
      <w:r>
        <w:rPr>
          <w:i w:val="0"/>
        </w:rPr>
        <w:t>, 2015)</w:t>
      </w:r>
      <w:r w:rsidRPr="00CD4BEE">
        <w:rPr>
          <w:i w:val="0"/>
        </w:rPr>
        <w:t>, yielding final coatings</w:t>
      </w:r>
      <w:r>
        <w:rPr>
          <w:i w:val="0"/>
        </w:rPr>
        <w:t xml:space="preserve"> with comparable thicknesses, as listed in Table 1. </w:t>
      </w:r>
    </w:p>
    <w:p w:rsidR="00DD55D1" w:rsidRPr="00B5158A" w:rsidRDefault="00DD55D1" w:rsidP="00DD55D1">
      <w:pPr>
        <w:pStyle w:val="CETTabletitle"/>
      </w:pPr>
      <w:r>
        <w:lastRenderedPageBreak/>
        <w:t>Table 1:  List of the prepared films with their composition and thicknesses.</w:t>
      </w:r>
    </w:p>
    <w:tbl>
      <w:tblPr>
        <w:tblW w:w="880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386"/>
        <w:gridCol w:w="2576"/>
        <w:gridCol w:w="1559"/>
        <w:gridCol w:w="2288"/>
      </w:tblGrid>
      <w:tr w:rsidR="00DD55D1" w:rsidTr="001E752E">
        <w:trPr>
          <w:trHeight w:val="447"/>
        </w:trPr>
        <w:tc>
          <w:tcPr>
            <w:tcW w:w="2386" w:type="dxa"/>
            <w:tcBorders>
              <w:top w:val="single" w:sz="12" w:space="0" w:color="008000"/>
              <w:left w:val="nil"/>
              <w:bottom w:val="single" w:sz="6" w:space="0" w:color="008000"/>
              <w:right w:val="nil"/>
            </w:tcBorders>
            <w:shd w:val="clear" w:color="auto" w:fill="FFFFFF"/>
            <w:hideMark/>
          </w:tcPr>
          <w:p w:rsidR="00DD55D1" w:rsidRDefault="00DD55D1" w:rsidP="001E752E">
            <w:pPr>
              <w:pStyle w:val="CETBodytext"/>
              <w:jc w:val="left"/>
              <w:rPr>
                <w:lang w:val="en-GB"/>
              </w:rPr>
            </w:pPr>
            <w:r>
              <w:rPr>
                <w:lang w:val="en-GB"/>
              </w:rPr>
              <w:t>Sample</w:t>
            </w:r>
          </w:p>
        </w:tc>
        <w:tc>
          <w:tcPr>
            <w:tcW w:w="2576" w:type="dxa"/>
            <w:tcBorders>
              <w:top w:val="single" w:sz="12" w:space="0" w:color="008000"/>
              <w:left w:val="nil"/>
              <w:bottom w:val="single" w:sz="6" w:space="0" w:color="008000"/>
              <w:right w:val="nil"/>
            </w:tcBorders>
            <w:shd w:val="clear" w:color="auto" w:fill="FFFFFF"/>
            <w:hideMark/>
          </w:tcPr>
          <w:p w:rsidR="00DD55D1" w:rsidRDefault="00DD55D1" w:rsidP="001E752E">
            <w:pPr>
              <w:pStyle w:val="CETBodytext"/>
              <w:jc w:val="left"/>
              <w:rPr>
                <w:lang w:val="en-GB"/>
              </w:rPr>
            </w:pPr>
            <w:r>
              <w:rPr>
                <w:lang w:val="en-GB"/>
              </w:rPr>
              <w:t xml:space="preserve">Olive extract [OE] </w:t>
            </w:r>
          </w:p>
          <w:p w:rsidR="00DD55D1" w:rsidRDefault="00DD55D1" w:rsidP="001E752E">
            <w:pPr>
              <w:pStyle w:val="CETBodytext"/>
              <w:jc w:val="left"/>
              <w:rPr>
                <w:lang w:val="en-GB"/>
              </w:rPr>
            </w:pPr>
            <w:r>
              <w:rPr>
                <w:lang w:val="en-GB"/>
              </w:rPr>
              <w:t>concentration [%wt]</w:t>
            </w:r>
          </w:p>
        </w:tc>
        <w:tc>
          <w:tcPr>
            <w:tcW w:w="1559" w:type="dxa"/>
            <w:tcBorders>
              <w:top w:val="single" w:sz="12" w:space="0" w:color="008000"/>
              <w:left w:val="nil"/>
              <w:bottom w:val="single" w:sz="6" w:space="0" w:color="008000"/>
              <w:right w:val="nil"/>
            </w:tcBorders>
            <w:shd w:val="clear" w:color="auto" w:fill="FFFFFF"/>
            <w:hideMark/>
          </w:tcPr>
          <w:p w:rsidR="00DD55D1" w:rsidRDefault="00DD55D1" w:rsidP="001E752E">
            <w:pPr>
              <w:pStyle w:val="CETBodytext"/>
              <w:jc w:val="left"/>
              <w:rPr>
                <w:lang w:val="en-GB"/>
              </w:rPr>
            </w:pPr>
            <w:r w:rsidRPr="003036C7">
              <w:rPr>
                <w:lang w:val="en-GB"/>
              </w:rPr>
              <w:t>Total Thickness [</w:t>
            </w:r>
            <w:proofErr w:type="spellStart"/>
            <w:r w:rsidRPr="003036C7">
              <w:rPr>
                <w:lang w:val="en-GB"/>
              </w:rPr>
              <w:t>μm</w:t>
            </w:r>
            <w:proofErr w:type="spellEnd"/>
            <w:r w:rsidRPr="003036C7">
              <w:rPr>
                <w:lang w:val="en-GB"/>
              </w:rPr>
              <w:t xml:space="preserve">] </w:t>
            </w:r>
          </w:p>
        </w:tc>
        <w:tc>
          <w:tcPr>
            <w:tcW w:w="2288" w:type="dxa"/>
            <w:tcBorders>
              <w:top w:val="single" w:sz="12" w:space="0" w:color="008000"/>
              <w:left w:val="nil"/>
              <w:bottom w:val="single" w:sz="6" w:space="0" w:color="008000"/>
              <w:right w:val="nil"/>
            </w:tcBorders>
            <w:shd w:val="clear" w:color="auto" w:fill="FFFFFF"/>
            <w:hideMark/>
          </w:tcPr>
          <w:p w:rsidR="00DD55D1" w:rsidRDefault="00DD55D1" w:rsidP="001E752E">
            <w:pPr>
              <w:pStyle w:val="CETBodytext"/>
              <w:ind w:right="-1"/>
              <w:jc w:val="left"/>
              <w:rPr>
                <w:rFonts w:cs="Arial"/>
                <w:szCs w:val="18"/>
                <w:lang w:val="en-GB"/>
              </w:rPr>
            </w:pPr>
            <w:r w:rsidRPr="003036C7">
              <w:rPr>
                <w:rFonts w:cs="Arial"/>
                <w:szCs w:val="18"/>
                <w:lang w:val="en-GB"/>
              </w:rPr>
              <w:t>Coat</w:t>
            </w:r>
            <w:r>
              <w:rPr>
                <w:rFonts w:cs="Arial"/>
                <w:szCs w:val="18"/>
                <w:lang w:val="en-GB"/>
              </w:rPr>
              <w:t>ing</w:t>
            </w:r>
            <w:r w:rsidRPr="003036C7">
              <w:rPr>
                <w:rFonts w:cs="Arial"/>
                <w:szCs w:val="18"/>
                <w:lang w:val="en-GB"/>
              </w:rPr>
              <w:t xml:space="preserve"> layer</w:t>
            </w:r>
            <w:r>
              <w:rPr>
                <w:rFonts w:cs="Arial"/>
                <w:szCs w:val="18"/>
                <w:lang w:val="en-GB"/>
              </w:rPr>
              <w:t xml:space="preserve"> </w:t>
            </w:r>
          </w:p>
          <w:p w:rsidR="00DD55D1" w:rsidRDefault="00DD55D1" w:rsidP="001E752E">
            <w:pPr>
              <w:pStyle w:val="CETBodytext"/>
              <w:ind w:right="-1"/>
              <w:jc w:val="left"/>
              <w:rPr>
                <w:rFonts w:cs="Arial"/>
                <w:szCs w:val="18"/>
                <w:lang w:val="en-GB"/>
              </w:rPr>
            </w:pPr>
            <w:r>
              <w:rPr>
                <w:rFonts w:cs="Arial"/>
                <w:szCs w:val="18"/>
                <w:lang w:val="en-GB"/>
              </w:rPr>
              <w:t>thickness</w:t>
            </w:r>
            <w:r w:rsidRPr="003036C7">
              <w:rPr>
                <w:rFonts w:cs="Arial"/>
                <w:szCs w:val="18"/>
                <w:lang w:val="en-GB"/>
              </w:rPr>
              <w:t xml:space="preserve"> [</w:t>
            </w:r>
            <w:proofErr w:type="spellStart"/>
            <w:r w:rsidRPr="003036C7">
              <w:rPr>
                <w:rFonts w:cs="Arial"/>
                <w:szCs w:val="18"/>
                <w:lang w:val="en-GB"/>
              </w:rPr>
              <w:t>μm</w:t>
            </w:r>
            <w:proofErr w:type="spellEnd"/>
            <w:r w:rsidRPr="003036C7">
              <w:rPr>
                <w:rFonts w:cs="Arial"/>
                <w:szCs w:val="18"/>
                <w:lang w:val="en-GB"/>
              </w:rPr>
              <w:t>]</w:t>
            </w:r>
          </w:p>
        </w:tc>
      </w:tr>
      <w:tr w:rsidR="00DD55D1" w:rsidTr="001E752E">
        <w:trPr>
          <w:trHeight w:val="241"/>
        </w:trPr>
        <w:tc>
          <w:tcPr>
            <w:tcW w:w="2386" w:type="dxa"/>
            <w:tcBorders>
              <w:top w:val="nil"/>
              <w:left w:val="nil"/>
              <w:bottom w:val="nil"/>
              <w:right w:val="nil"/>
            </w:tcBorders>
            <w:shd w:val="clear" w:color="auto" w:fill="FFFFFF"/>
            <w:hideMark/>
          </w:tcPr>
          <w:p w:rsidR="00DD55D1" w:rsidRDefault="00DD55D1" w:rsidP="001E752E">
            <w:pPr>
              <w:pStyle w:val="CETBodytext"/>
              <w:jc w:val="left"/>
              <w:rPr>
                <w:lang w:val="en-GB"/>
              </w:rPr>
            </w:pPr>
            <w:r>
              <w:t>Biopolymer</w:t>
            </w:r>
          </w:p>
        </w:tc>
        <w:tc>
          <w:tcPr>
            <w:tcW w:w="2576" w:type="dxa"/>
            <w:tcBorders>
              <w:top w:val="nil"/>
              <w:left w:val="nil"/>
              <w:bottom w:val="nil"/>
              <w:right w:val="nil"/>
            </w:tcBorders>
            <w:shd w:val="clear" w:color="auto" w:fill="FFFFFF"/>
            <w:hideMark/>
          </w:tcPr>
          <w:p w:rsidR="00DD55D1" w:rsidRDefault="00DD55D1" w:rsidP="001E752E">
            <w:pPr>
              <w:pStyle w:val="CETBodytext"/>
              <w:jc w:val="left"/>
              <w:rPr>
                <w:lang w:val="en-GB"/>
              </w:rPr>
            </w:pPr>
            <w:r>
              <w:rPr>
                <w:lang w:val="en-GB"/>
              </w:rPr>
              <w:t>0</w:t>
            </w:r>
          </w:p>
        </w:tc>
        <w:tc>
          <w:tcPr>
            <w:tcW w:w="1559" w:type="dxa"/>
            <w:tcBorders>
              <w:top w:val="nil"/>
              <w:left w:val="nil"/>
              <w:bottom w:val="nil"/>
              <w:right w:val="nil"/>
            </w:tcBorders>
            <w:shd w:val="clear" w:color="auto" w:fill="FFFFFF"/>
          </w:tcPr>
          <w:p w:rsidR="00DD55D1" w:rsidRDefault="00DD55D1" w:rsidP="001E752E">
            <w:pPr>
              <w:pStyle w:val="CETBodytext"/>
              <w:jc w:val="left"/>
              <w:rPr>
                <w:lang w:val="en-GB"/>
              </w:rPr>
            </w:pPr>
            <w:r w:rsidRPr="00550F6A">
              <w:rPr>
                <w:lang w:val="en-GB"/>
              </w:rPr>
              <w:t>22 ± 1.0</w:t>
            </w:r>
          </w:p>
        </w:tc>
        <w:tc>
          <w:tcPr>
            <w:tcW w:w="2288" w:type="dxa"/>
            <w:tcBorders>
              <w:top w:val="nil"/>
              <w:left w:val="nil"/>
              <w:bottom w:val="nil"/>
              <w:right w:val="nil"/>
            </w:tcBorders>
            <w:shd w:val="clear" w:color="auto" w:fill="FFFFFF"/>
          </w:tcPr>
          <w:p w:rsidR="00DD55D1" w:rsidRDefault="00DD55D1" w:rsidP="001E752E">
            <w:pPr>
              <w:pStyle w:val="CETBodytext"/>
              <w:ind w:right="-1"/>
              <w:jc w:val="left"/>
              <w:rPr>
                <w:rFonts w:cs="Arial"/>
                <w:szCs w:val="18"/>
                <w:lang w:val="en-GB"/>
              </w:rPr>
            </w:pPr>
            <w:r>
              <w:rPr>
                <w:rFonts w:cs="Arial"/>
                <w:szCs w:val="18"/>
                <w:lang w:val="en-GB"/>
              </w:rPr>
              <w:t>0</w:t>
            </w:r>
          </w:p>
        </w:tc>
      </w:tr>
      <w:tr w:rsidR="00DD55D1" w:rsidTr="001E752E">
        <w:trPr>
          <w:trHeight w:val="116"/>
        </w:trPr>
        <w:tc>
          <w:tcPr>
            <w:tcW w:w="2386" w:type="dxa"/>
            <w:tcBorders>
              <w:top w:val="nil"/>
              <w:left w:val="nil"/>
              <w:bottom w:val="nil"/>
              <w:right w:val="nil"/>
            </w:tcBorders>
            <w:shd w:val="clear" w:color="auto" w:fill="FFFFFF"/>
            <w:hideMark/>
          </w:tcPr>
          <w:p w:rsidR="00DD55D1" w:rsidRDefault="00DD55D1" w:rsidP="001E752E">
            <w:pPr>
              <w:pStyle w:val="CETBodytext"/>
              <w:jc w:val="left"/>
              <w:rPr>
                <w:lang w:val="en-GB"/>
              </w:rPr>
            </w:pPr>
            <w:r>
              <w:t>Biopolymer</w:t>
            </w:r>
            <w:r>
              <w:rPr>
                <w:lang w:val="en-GB"/>
              </w:rPr>
              <w:t>/PLA</w:t>
            </w:r>
          </w:p>
        </w:tc>
        <w:tc>
          <w:tcPr>
            <w:tcW w:w="2576" w:type="dxa"/>
            <w:tcBorders>
              <w:top w:val="nil"/>
              <w:left w:val="nil"/>
              <w:bottom w:val="nil"/>
              <w:right w:val="nil"/>
            </w:tcBorders>
            <w:shd w:val="clear" w:color="auto" w:fill="FFFFFF"/>
            <w:hideMark/>
          </w:tcPr>
          <w:p w:rsidR="00DD55D1" w:rsidRDefault="00DD55D1" w:rsidP="001E752E">
            <w:pPr>
              <w:pStyle w:val="CETBodytext"/>
              <w:jc w:val="left"/>
              <w:rPr>
                <w:lang w:val="en-GB"/>
              </w:rPr>
            </w:pPr>
            <w:r>
              <w:rPr>
                <w:lang w:val="en-GB"/>
              </w:rPr>
              <w:t>0</w:t>
            </w:r>
          </w:p>
        </w:tc>
        <w:tc>
          <w:tcPr>
            <w:tcW w:w="1559" w:type="dxa"/>
            <w:tcBorders>
              <w:top w:val="nil"/>
              <w:left w:val="nil"/>
              <w:bottom w:val="nil"/>
              <w:right w:val="nil"/>
            </w:tcBorders>
            <w:shd w:val="clear" w:color="auto" w:fill="FFFFFF"/>
          </w:tcPr>
          <w:p w:rsidR="00DD55D1" w:rsidRDefault="00DD55D1" w:rsidP="001E752E">
            <w:pPr>
              <w:pStyle w:val="CETBodytext"/>
              <w:jc w:val="left"/>
              <w:rPr>
                <w:lang w:val="en-GB"/>
              </w:rPr>
            </w:pPr>
            <w:r w:rsidRPr="00550F6A">
              <w:rPr>
                <w:lang w:val="en-GB"/>
              </w:rPr>
              <w:t>29 ± 1.4</w:t>
            </w:r>
          </w:p>
        </w:tc>
        <w:tc>
          <w:tcPr>
            <w:tcW w:w="2288" w:type="dxa"/>
            <w:tcBorders>
              <w:top w:val="nil"/>
              <w:left w:val="nil"/>
              <w:bottom w:val="nil"/>
              <w:right w:val="nil"/>
            </w:tcBorders>
            <w:shd w:val="clear" w:color="auto" w:fill="FFFFFF"/>
          </w:tcPr>
          <w:p w:rsidR="00DD55D1" w:rsidRDefault="00DD55D1" w:rsidP="001E752E">
            <w:pPr>
              <w:pStyle w:val="CETBodytext"/>
              <w:ind w:right="-1"/>
              <w:jc w:val="left"/>
              <w:rPr>
                <w:rFonts w:cs="Arial"/>
                <w:szCs w:val="18"/>
                <w:lang w:val="en-GB"/>
              </w:rPr>
            </w:pPr>
            <w:r w:rsidRPr="00550F6A">
              <w:rPr>
                <w:rFonts w:cs="Arial"/>
                <w:szCs w:val="18"/>
                <w:lang w:val="en-GB"/>
              </w:rPr>
              <w:t>7 ± 0.4</w:t>
            </w:r>
          </w:p>
        </w:tc>
      </w:tr>
      <w:tr w:rsidR="00DD55D1" w:rsidTr="001E752E">
        <w:trPr>
          <w:trHeight w:val="116"/>
        </w:trPr>
        <w:tc>
          <w:tcPr>
            <w:tcW w:w="2386" w:type="dxa"/>
            <w:tcBorders>
              <w:top w:val="nil"/>
              <w:left w:val="nil"/>
              <w:bottom w:val="nil"/>
              <w:right w:val="nil"/>
            </w:tcBorders>
            <w:shd w:val="clear" w:color="auto" w:fill="FFFFFF"/>
          </w:tcPr>
          <w:p w:rsidR="00DD55D1" w:rsidRDefault="00DD55D1" w:rsidP="001E752E">
            <w:pPr>
              <w:pStyle w:val="CETBodytext"/>
              <w:jc w:val="left"/>
              <w:rPr>
                <w:lang w:val="en-GB"/>
              </w:rPr>
            </w:pPr>
            <w:r>
              <w:t>Biopolymer</w:t>
            </w:r>
            <w:r>
              <w:rPr>
                <w:lang w:val="en-GB"/>
              </w:rPr>
              <w:t>/PLA-1%OE</w:t>
            </w:r>
          </w:p>
        </w:tc>
        <w:tc>
          <w:tcPr>
            <w:tcW w:w="2576" w:type="dxa"/>
            <w:tcBorders>
              <w:top w:val="nil"/>
              <w:left w:val="nil"/>
              <w:bottom w:val="nil"/>
              <w:right w:val="nil"/>
            </w:tcBorders>
            <w:shd w:val="clear" w:color="auto" w:fill="FFFFFF"/>
          </w:tcPr>
          <w:p w:rsidR="00DD55D1" w:rsidRDefault="00DD55D1" w:rsidP="001E752E">
            <w:pPr>
              <w:pStyle w:val="CETBodytext"/>
              <w:jc w:val="left"/>
              <w:rPr>
                <w:lang w:val="en-GB"/>
              </w:rPr>
            </w:pPr>
            <w:r>
              <w:rPr>
                <w:lang w:val="en-GB"/>
              </w:rPr>
              <w:t>1</w:t>
            </w:r>
          </w:p>
        </w:tc>
        <w:tc>
          <w:tcPr>
            <w:tcW w:w="1559" w:type="dxa"/>
            <w:tcBorders>
              <w:top w:val="nil"/>
              <w:left w:val="nil"/>
              <w:bottom w:val="nil"/>
              <w:right w:val="nil"/>
            </w:tcBorders>
            <w:shd w:val="clear" w:color="auto" w:fill="FFFFFF"/>
          </w:tcPr>
          <w:p w:rsidR="00DD55D1" w:rsidRDefault="00DD55D1" w:rsidP="001E752E">
            <w:pPr>
              <w:pStyle w:val="CETBodytext"/>
              <w:jc w:val="left"/>
              <w:rPr>
                <w:lang w:val="en-GB"/>
              </w:rPr>
            </w:pPr>
            <w:r w:rsidRPr="00550F6A">
              <w:rPr>
                <w:lang w:val="en-GB"/>
              </w:rPr>
              <w:t>29 ± 1.</w:t>
            </w:r>
            <w:r>
              <w:rPr>
                <w:lang w:val="en-GB"/>
              </w:rPr>
              <w:t>3</w:t>
            </w:r>
          </w:p>
        </w:tc>
        <w:tc>
          <w:tcPr>
            <w:tcW w:w="2288" w:type="dxa"/>
            <w:tcBorders>
              <w:top w:val="nil"/>
              <w:left w:val="nil"/>
              <w:bottom w:val="nil"/>
              <w:right w:val="nil"/>
            </w:tcBorders>
            <w:shd w:val="clear" w:color="auto" w:fill="FFFFFF"/>
          </w:tcPr>
          <w:p w:rsidR="00DD55D1" w:rsidRDefault="00DD55D1" w:rsidP="001E752E">
            <w:pPr>
              <w:pStyle w:val="CETBodytext"/>
              <w:ind w:right="-1"/>
              <w:jc w:val="left"/>
              <w:rPr>
                <w:rFonts w:cs="Arial"/>
                <w:szCs w:val="18"/>
                <w:lang w:val="en-GB"/>
              </w:rPr>
            </w:pPr>
            <w:r>
              <w:rPr>
                <w:rFonts w:cs="Arial"/>
                <w:szCs w:val="18"/>
                <w:lang w:val="en-GB"/>
              </w:rPr>
              <w:t>7</w:t>
            </w:r>
            <w:r w:rsidRPr="00550F6A">
              <w:rPr>
                <w:rFonts w:cs="Arial"/>
                <w:szCs w:val="18"/>
                <w:lang w:val="en-GB"/>
              </w:rPr>
              <w:t xml:space="preserve"> ± 0.3</w:t>
            </w:r>
          </w:p>
        </w:tc>
      </w:tr>
      <w:tr w:rsidR="00DD55D1" w:rsidTr="001E752E">
        <w:trPr>
          <w:trHeight w:val="217"/>
        </w:trPr>
        <w:tc>
          <w:tcPr>
            <w:tcW w:w="2386" w:type="dxa"/>
            <w:tcBorders>
              <w:top w:val="nil"/>
              <w:left w:val="nil"/>
              <w:bottom w:val="single" w:sz="12" w:space="0" w:color="008000"/>
              <w:right w:val="nil"/>
            </w:tcBorders>
            <w:shd w:val="clear" w:color="auto" w:fill="FFFFFF"/>
            <w:hideMark/>
          </w:tcPr>
          <w:p w:rsidR="00DD55D1" w:rsidRDefault="00DD55D1" w:rsidP="001E752E">
            <w:pPr>
              <w:pStyle w:val="CETBodytext"/>
              <w:ind w:right="-1"/>
              <w:jc w:val="left"/>
              <w:rPr>
                <w:rFonts w:cs="Arial"/>
                <w:szCs w:val="18"/>
                <w:lang w:val="en-GB"/>
              </w:rPr>
            </w:pPr>
            <w:r>
              <w:t>Biopolymer</w:t>
            </w:r>
            <w:r>
              <w:rPr>
                <w:lang w:val="en-GB"/>
              </w:rPr>
              <w:t>/PLA-3%OE</w:t>
            </w:r>
          </w:p>
        </w:tc>
        <w:tc>
          <w:tcPr>
            <w:tcW w:w="2576" w:type="dxa"/>
            <w:tcBorders>
              <w:top w:val="nil"/>
              <w:left w:val="nil"/>
              <w:bottom w:val="single" w:sz="12" w:space="0" w:color="008000"/>
              <w:right w:val="nil"/>
            </w:tcBorders>
            <w:shd w:val="clear" w:color="auto" w:fill="FFFFFF"/>
            <w:hideMark/>
          </w:tcPr>
          <w:p w:rsidR="00DD55D1" w:rsidRDefault="00DD55D1" w:rsidP="001E752E">
            <w:pPr>
              <w:pStyle w:val="CETBodytext"/>
              <w:ind w:right="-1"/>
              <w:jc w:val="left"/>
              <w:rPr>
                <w:rFonts w:cs="Arial"/>
                <w:szCs w:val="18"/>
                <w:lang w:val="en-GB"/>
              </w:rPr>
            </w:pPr>
            <w:r>
              <w:rPr>
                <w:rFonts w:cs="Arial"/>
                <w:szCs w:val="18"/>
                <w:lang w:val="en-GB"/>
              </w:rPr>
              <w:t>3</w:t>
            </w:r>
          </w:p>
        </w:tc>
        <w:tc>
          <w:tcPr>
            <w:tcW w:w="1559" w:type="dxa"/>
            <w:tcBorders>
              <w:top w:val="nil"/>
              <w:left w:val="nil"/>
              <w:bottom w:val="single" w:sz="12" w:space="0" w:color="008000"/>
              <w:right w:val="nil"/>
            </w:tcBorders>
            <w:shd w:val="clear" w:color="auto" w:fill="FFFFFF"/>
          </w:tcPr>
          <w:p w:rsidR="00DD55D1" w:rsidRDefault="00DD55D1" w:rsidP="001E752E">
            <w:pPr>
              <w:pStyle w:val="CETBodytext"/>
              <w:ind w:right="-1"/>
              <w:jc w:val="left"/>
              <w:rPr>
                <w:rFonts w:cs="Arial"/>
                <w:szCs w:val="18"/>
                <w:lang w:val="en-GB"/>
              </w:rPr>
            </w:pPr>
            <w:r>
              <w:rPr>
                <w:lang w:val="en-GB"/>
              </w:rPr>
              <w:t xml:space="preserve">29 </w:t>
            </w:r>
            <w:r w:rsidRPr="00550F6A">
              <w:rPr>
                <w:lang w:val="en-GB"/>
              </w:rPr>
              <w:t>± 1.</w:t>
            </w:r>
            <w:r>
              <w:rPr>
                <w:lang w:val="en-GB"/>
              </w:rPr>
              <w:t>6</w:t>
            </w:r>
          </w:p>
        </w:tc>
        <w:tc>
          <w:tcPr>
            <w:tcW w:w="2288" w:type="dxa"/>
            <w:tcBorders>
              <w:top w:val="nil"/>
              <w:left w:val="nil"/>
              <w:bottom w:val="single" w:sz="12" w:space="0" w:color="008000"/>
              <w:right w:val="nil"/>
            </w:tcBorders>
            <w:shd w:val="clear" w:color="auto" w:fill="FFFFFF"/>
          </w:tcPr>
          <w:p w:rsidR="00DD55D1" w:rsidRDefault="00DD55D1" w:rsidP="001E752E">
            <w:pPr>
              <w:pStyle w:val="CETBodytext"/>
              <w:ind w:right="-1"/>
              <w:jc w:val="left"/>
              <w:rPr>
                <w:rFonts w:cs="Arial"/>
                <w:szCs w:val="18"/>
                <w:lang w:val="en-GB"/>
              </w:rPr>
            </w:pPr>
            <w:r>
              <w:rPr>
                <w:rFonts w:cs="Arial"/>
                <w:szCs w:val="18"/>
                <w:lang w:val="en-GB"/>
              </w:rPr>
              <w:t xml:space="preserve">7 </w:t>
            </w:r>
            <w:r w:rsidRPr="00550F6A">
              <w:rPr>
                <w:rFonts w:cs="Arial"/>
                <w:szCs w:val="18"/>
                <w:lang w:val="en-GB"/>
              </w:rPr>
              <w:t>± 0.6</w:t>
            </w:r>
          </w:p>
        </w:tc>
      </w:tr>
    </w:tbl>
    <w:p w:rsidR="00DD55D1" w:rsidRDefault="00DD55D1" w:rsidP="00DD55D1">
      <w:pPr>
        <w:pStyle w:val="CETBodytextItalic"/>
        <w:contextualSpacing/>
        <w:rPr>
          <w:i w:val="0"/>
        </w:rPr>
      </w:pPr>
    </w:p>
    <w:p w:rsidR="00212C5B" w:rsidRDefault="00BF09FC" w:rsidP="00212C5B">
      <w:pPr>
        <w:pStyle w:val="CETBodytextItalic"/>
        <w:contextualSpacing/>
        <w:rPr>
          <w:i w:val="0"/>
        </w:rPr>
      </w:pPr>
      <w:r>
        <w:rPr>
          <w:i w:val="0"/>
        </w:rPr>
        <w:t>Solvent</w:t>
      </w:r>
      <w:r w:rsidRPr="00CD4BEE">
        <w:rPr>
          <w:i w:val="0"/>
        </w:rPr>
        <w:t xml:space="preserve"> was evaporated</w:t>
      </w:r>
      <w:r>
        <w:rPr>
          <w:i w:val="0"/>
        </w:rPr>
        <w:t xml:space="preserve"> at </w:t>
      </w:r>
      <w:r w:rsidR="004077B0">
        <w:rPr>
          <w:i w:val="0"/>
        </w:rPr>
        <w:t xml:space="preserve">room conditions overnight, then the coated films were stored under vacuum sealing in aluminium bags before analysis. </w:t>
      </w:r>
      <w:r w:rsidR="004077B0" w:rsidRPr="00F6743F">
        <w:rPr>
          <w:i w:val="0"/>
        </w:rPr>
        <w:t xml:space="preserve">The coating technology </w:t>
      </w:r>
      <w:r w:rsidR="004077B0">
        <w:rPr>
          <w:i w:val="0"/>
        </w:rPr>
        <w:t>allowed</w:t>
      </w:r>
      <w:r w:rsidR="004077B0" w:rsidRPr="00F6743F">
        <w:rPr>
          <w:i w:val="0"/>
        </w:rPr>
        <w:t xml:space="preserve"> to avoid thermal stresses to the thermo-sensitive active </w:t>
      </w:r>
      <w:r w:rsidR="00212C5B" w:rsidRPr="00F6743F">
        <w:rPr>
          <w:i w:val="0"/>
        </w:rPr>
        <w:t>phase</w:t>
      </w:r>
      <w:r w:rsidR="00212C5B">
        <w:rPr>
          <w:i w:val="0"/>
        </w:rPr>
        <w:t>, while PLA coating allowed to obtain all ec</w:t>
      </w:r>
      <w:bookmarkStart w:id="1" w:name="_GoBack"/>
      <w:bookmarkEnd w:id="1"/>
      <w:r w:rsidR="00212C5B">
        <w:rPr>
          <w:i w:val="0"/>
        </w:rPr>
        <w:t>o-compatible, 100% biodegradable multilayer films.</w:t>
      </w:r>
      <w:r w:rsidR="00E945B6">
        <w:rPr>
          <w:i w:val="0"/>
        </w:rPr>
        <w:t xml:space="preserve"> The coating layer thickness was evaluated as difference among the total thickness of the coated films and the Biopolymer substrate thickness.</w:t>
      </w:r>
    </w:p>
    <w:p w:rsidR="00212C5B" w:rsidRDefault="00212C5B" w:rsidP="00212C5B">
      <w:pPr>
        <w:pStyle w:val="CET11"/>
      </w:pPr>
      <w:r>
        <w:t xml:space="preserve">Characterization of the </w:t>
      </w:r>
      <w:r w:rsidR="00E1447F">
        <w:t>coated</w:t>
      </w:r>
      <w:r>
        <w:t xml:space="preserve"> films</w:t>
      </w:r>
    </w:p>
    <w:p w:rsidR="00212C5B" w:rsidRPr="004C1436" w:rsidRDefault="00212C5B" w:rsidP="00212C5B">
      <w:pPr>
        <w:pStyle w:val="CETBodytext"/>
        <w:rPr>
          <w:vertAlign w:val="subscript"/>
        </w:rPr>
      </w:pPr>
      <w:r w:rsidRPr="00EE3DC6">
        <w:rPr>
          <w:rFonts w:eastAsiaTheme="minorHAnsi" w:cs="Arial"/>
          <w:szCs w:val="18"/>
        </w:rPr>
        <w:t xml:space="preserve">Oxygen permeability tests were performed by means of a gas </w:t>
      </w:r>
      <w:proofErr w:type="spellStart"/>
      <w:r w:rsidRPr="00EE3DC6">
        <w:rPr>
          <w:rFonts w:eastAsiaTheme="minorHAnsi" w:cs="Arial"/>
          <w:szCs w:val="18"/>
        </w:rPr>
        <w:t>permeabilimeter</w:t>
      </w:r>
      <w:proofErr w:type="spellEnd"/>
      <w:r w:rsidRPr="00EE3DC6">
        <w:rPr>
          <w:rFonts w:eastAsiaTheme="minorHAnsi" w:cs="Arial"/>
          <w:szCs w:val="18"/>
        </w:rPr>
        <w:t xml:space="preserve"> (GDP-C, Brugger, </w:t>
      </w:r>
      <w:proofErr w:type="spellStart"/>
      <w:r w:rsidRPr="00EE3DC6">
        <w:rPr>
          <w:rFonts w:eastAsiaTheme="minorHAnsi" w:cs="Arial"/>
          <w:szCs w:val="18"/>
        </w:rPr>
        <w:t>Munchen</w:t>
      </w:r>
      <w:proofErr w:type="spellEnd"/>
      <w:r w:rsidRPr="00EE3DC6">
        <w:rPr>
          <w:rFonts w:eastAsiaTheme="minorHAnsi" w:cs="Arial"/>
          <w:szCs w:val="18"/>
        </w:rPr>
        <w:t xml:space="preserve"> Germany). The tests were carried out at 23 °C and </w:t>
      </w:r>
      <w:r w:rsidR="00E1447F">
        <w:rPr>
          <w:rFonts w:eastAsiaTheme="minorHAnsi" w:cs="Arial"/>
          <w:szCs w:val="18"/>
        </w:rPr>
        <w:t>5</w:t>
      </w:r>
      <w:r w:rsidRPr="00EE3DC6">
        <w:rPr>
          <w:rFonts w:eastAsiaTheme="minorHAnsi" w:cs="Arial"/>
          <w:szCs w:val="18"/>
        </w:rPr>
        <w:t>0% R.H., with an oxygen flow rate of 80 mL/min (ISO 15105–1).</w:t>
      </w:r>
      <w:r>
        <w:rPr>
          <w:rFonts w:eastAsiaTheme="minorHAnsi" w:cs="Arial"/>
          <w:szCs w:val="18"/>
        </w:rPr>
        <w:t xml:space="preserve"> Results were expressed as </w:t>
      </w:r>
      <w:r w:rsidRPr="004C1436">
        <w:t>P</w:t>
      </w:r>
      <w:r w:rsidRPr="004C1436">
        <w:rPr>
          <w:vertAlign w:val="subscript"/>
        </w:rPr>
        <w:t>O2</w:t>
      </w:r>
      <w:r>
        <w:rPr>
          <w:vertAlign w:val="subscript"/>
        </w:rPr>
        <w:t xml:space="preserve"> </w:t>
      </w:r>
      <w:r>
        <w:rPr>
          <w:rFonts w:eastAsiaTheme="minorHAnsi" w:cs="Arial"/>
          <w:szCs w:val="18"/>
        </w:rPr>
        <w:t>(</w:t>
      </w:r>
      <w:r w:rsidRPr="00EE3DC6">
        <w:t>cm</w:t>
      </w:r>
      <w:r w:rsidRPr="00EE3DC6">
        <w:rPr>
          <w:vertAlign w:val="superscript"/>
        </w:rPr>
        <w:t xml:space="preserve">3 </w:t>
      </w:r>
      <w:r w:rsidRPr="00EE3DC6">
        <w:t>cm/(m</w:t>
      </w:r>
      <w:r w:rsidRPr="00EE3DC6">
        <w:rPr>
          <w:vertAlign w:val="superscript"/>
        </w:rPr>
        <w:t xml:space="preserve">2 </w:t>
      </w:r>
      <w:r w:rsidRPr="00EE3DC6">
        <w:t>d bar</w:t>
      </w:r>
      <w:r>
        <w:t>)</w:t>
      </w:r>
      <w:r w:rsidRPr="00EE3DC6">
        <w:t>)</w:t>
      </w:r>
      <w:r>
        <w:t xml:space="preserve">, according to ASTM Standard </w:t>
      </w:r>
      <w:r w:rsidRPr="00EE3DC6">
        <w:rPr>
          <w:rFonts w:eastAsiaTheme="minorHAnsi" w:cs="Arial"/>
          <w:szCs w:val="18"/>
        </w:rPr>
        <w:t>D 1434 – 82</w:t>
      </w:r>
      <w:r>
        <w:rPr>
          <w:rFonts w:eastAsiaTheme="minorHAnsi" w:cs="Arial"/>
          <w:szCs w:val="18"/>
        </w:rPr>
        <w:t>, and a</w:t>
      </w:r>
      <w:r w:rsidRPr="00EE3DC6">
        <w:rPr>
          <w:rFonts w:eastAsiaTheme="minorHAnsi" w:cs="Arial"/>
          <w:szCs w:val="18"/>
        </w:rPr>
        <w:t>verage mean values were calculated from three measurements per each sample.</w:t>
      </w:r>
    </w:p>
    <w:p w:rsidR="00212C5B" w:rsidRDefault="00212C5B" w:rsidP="00212C5B">
      <w:pPr>
        <w:pStyle w:val="CETBodytext"/>
        <w:rPr>
          <w:rFonts w:eastAsiaTheme="minorHAnsi" w:cs="Arial"/>
          <w:szCs w:val="18"/>
        </w:rPr>
      </w:pPr>
      <w:r w:rsidRPr="00EE3DC6">
        <w:rPr>
          <w:rFonts w:eastAsiaTheme="minorHAnsi" w:cs="Arial"/>
          <w:szCs w:val="18"/>
        </w:rPr>
        <w:t xml:space="preserve">Water vapor permeability was measured by M7002 Water </w:t>
      </w:r>
      <w:r>
        <w:rPr>
          <w:rFonts w:eastAsiaTheme="minorHAnsi" w:cs="Arial"/>
          <w:szCs w:val="18"/>
        </w:rPr>
        <w:t>Vapor</w:t>
      </w:r>
      <w:r w:rsidRPr="00EE3DC6">
        <w:rPr>
          <w:rFonts w:eastAsiaTheme="minorHAnsi" w:cs="Arial"/>
          <w:szCs w:val="18"/>
        </w:rPr>
        <w:t xml:space="preserve"> Permeation Analyzer (</w:t>
      </w:r>
      <w:proofErr w:type="spellStart"/>
      <w:r w:rsidRPr="00EE3DC6">
        <w:rPr>
          <w:rFonts w:eastAsiaTheme="minorHAnsi" w:cs="Arial"/>
          <w:szCs w:val="18"/>
        </w:rPr>
        <w:t>Systech</w:t>
      </w:r>
      <w:proofErr w:type="spellEnd"/>
      <w:r w:rsidRPr="00EE3DC6">
        <w:rPr>
          <w:rFonts w:eastAsiaTheme="minorHAnsi" w:cs="Arial"/>
          <w:szCs w:val="18"/>
        </w:rPr>
        <w:t xml:space="preserve"> Instruments Ltd, </w:t>
      </w:r>
      <w:proofErr w:type="spellStart"/>
      <w:r w:rsidRPr="00EE3DC6">
        <w:rPr>
          <w:rFonts w:eastAsiaTheme="minorHAnsi" w:cs="Arial"/>
          <w:szCs w:val="18"/>
        </w:rPr>
        <w:t>Oxfordshire</w:t>
      </w:r>
      <w:proofErr w:type="spellEnd"/>
      <w:r w:rsidRPr="00EE3DC6">
        <w:rPr>
          <w:rFonts w:eastAsiaTheme="minorHAnsi" w:cs="Arial"/>
          <w:szCs w:val="18"/>
        </w:rPr>
        <w:t>, UK)</w:t>
      </w:r>
      <w:r>
        <w:rPr>
          <w:rFonts w:eastAsiaTheme="minorHAnsi" w:cs="Arial"/>
          <w:szCs w:val="18"/>
        </w:rPr>
        <w:t xml:space="preserve"> </w:t>
      </w:r>
      <w:r w:rsidRPr="00000299">
        <w:rPr>
          <w:rFonts w:eastAsiaTheme="minorHAnsi" w:cs="Arial"/>
          <w:szCs w:val="18"/>
        </w:rPr>
        <w:t>according to the standard ASTM F 1249</w:t>
      </w:r>
      <w:r w:rsidRPr="00EE3DC6">
        <w:rPr>
          <w:rFonts w:eastAsiaTheme="minorHAnsi" w:cs="Arial"/>
          <w:szCs w:val="18"/>
        </w:rPr>
        <w:t>. Films were tested at 23°C and 50% R.H., and the results</w:t>
      </w:r>
      <w:r>
        <w:rPr>
          <w:rFonts w:eastAsiaTheme="minorHAnsi" w:cs="Arial"/>
          <w:szCs w:val="18"/>
        </w:rPr>
        <w:t>, performed in duplicate,</w:t>
      </w:r>
      <w:r w:rsidRPr="00EE3DC6">
        <w:rPr>
          <w:rFonts w:eastAsiaTheme="minorHAnsi" w:cs="Arial"/>
          <w:szCs w:val="18"/>
        </w:rPr>
        <w:t xml:space="preserve"> were expressed as </w:t>
      </w:r>
      <w:r w:rsidRPr="00EE3DC6">
        <w:rPr>
          <w:rFonts w:cs="Arial"/>
          <w:szCs w:val="18"/>
        </w:rPr>
        <w:t>P</w:t>
      </w:r>
      <w:r w:rsidRPr="00EE3DC6">
        <w:rPr>
          <w:rFonts w:cs="Arial"/>
          <w:szCs w:val="18"/>
          <w:vertAlign w:val="subscript"/>
        </w:rPr>
        <w:t>WV</w:t>
      </w:r>
      <w:r w:rsidRPr="00EE3DC6">
        <w:rPr>
          <w:rFonts w:eastAsiaTheme="minorHAnsi" w:cs="Arial"/>
          <w:szCs w:val="18"/>
        </w:rPr>
        <w:t xml:space="preserve"> (</w:t>
      </w:r>
      <w:r w:rsidRPr="00EE3DC6">
        <w:rPr>
          <w:rFonts w:cs="Arial"/>
          <w:szCs w:val="18"/>
        </w:rPr>
        <w:t>g m/( m</w:t>
      </w:r>
      <w:r w:rsidRPr="00EE3DC6">
        <w:rPr>
          <w:rFonts w:cs="Arial"/>
          <w:szCs w:val="18"/>
          <w:vertAlign w:val="superscript"/>
        </w:rPr>
        <w:t>2</w:t>
      </w:r>
      <w:r w:rsidRPr="00EE3DC6">
        <w:rPr>
          <w:rFonts w:cs="Arial"/>
          <w:szCs w:val="18"/>
        </w:rPr>
        <w:t xml:space="preserve"> Pa s)</w:t>
      </w:r>
      <w:r w:rsidRPr="00EE3DC6">
        <w:rPr>
          <w:rFonts w:eastAsiaTheme="minorHAnsi" w:cs="Arial"/>
          <w:szCs w:val="18"/>
        </w:rPr>
        <w:t>)</w:t>
      </w:r>
      <w:r>
        <w:rPr>
          <w:rFonts w:eastAsiaTheme="minorHAnsi" w:cs="Arial"/>
          <w:szCs w:val="18"/>
        </w:rPr>
        <w:t xml:space="preserve">, </w:t>
      </w:r>
      <w:r w:rsidRPr="00EE3DC6">
        <w:rPr>
          <w:rFonts w:eastAsiaTheme="minorHAnsi" w:cs="Arial"/>
          <w:szCs w:val="18"/>
        </w:rPr>
        <w:t>calculated as</w:t>
      </w:r>
      <w:r>
        <w:rPr>
          <w:rFonts w:eastAsiaTheme="minorHAnsi" w:cs="Arial"/>
          <w:szCs w:val="18"/>
        </w:rPr>
        <w:t xml:space="preserve"> (Li et al., 2015)</w:t>
      </w:r>
      <w:r w:rsidRPr="00EE3DC6">
        <w:rPr>
          <w:rFonts w:eastAsiaTheme="minorHAnsi" w:cs="Arial"/>
          <w:szCs w:val="18"/>
        </w:rPr>
        <w:t>:</w:t>
      </w:r>
    </w:p>
    <w:tbl>
      <w:tblPr>
        <w:tblW w:w="5000" w:type="pct"/>
        <w:tblLook w:val="04A0" w:firstRow="1" w:lastRow="0" w:firstColumn="1" w:lastColumn="0" w:noHBand="0" w:noVBand="1"/>
      </w:tblPr>
      <w:tblGrid>
        <w:gridCol w:w="8188"/>
        <w:gridCol w:w="815"/>
      </w:tblGrid>
      <w:tr w:rsidR="00212C5B" w:rsidTr="00514964">
        <w:tc>
          <w:tcPr>
            <w:tcW w:w="8188" w:type="dxa"/>
            <w:vAlign w:val="center"/>
            <w:hideMark/>
          </w:tcPr>
          <w:p w:rsidR="00212C5B" w:rsidRDefault="00892340" w:rsidP="00514964">
            <w:pPr>
              <w:pStyle w:val="CETEquation"/>
            </w:pPr>
            <m:oMathPara>
              <m:oMath>
                <m:sSub>
                  <m:sSubPr>
                    <m:ctrlPr>
                      <w:rPr>
                        <w:rFonts w:ascii="Cambria Math" w:hAnsi="Cambria Math"/>
                        <w:i/>
                      </w:rPr>
                    </m:ctrlPr>
                  </m:sSubPr>
                  <m:e>
                    <m:r>
                      <w:rPr>
                        <w:rFonts w:ascii="Cambria Math" w:hAnsi="Cambria Math"/>
                      </w:rPr>
                      <m:t>P</m:t>
                    </m:r>
                  </m:e>
                  <m:sub>
                    <m:r>
                      <w:rPr>
                        <w:rFonts w:ascii="Cambria Math" w:hAnsi="Cambria Math"/>
                      </w:rPr>
                      <m:t>WV</m:t>
                    </m:r>
                  </m:sub>
                </m:sSub>
                <m:r>
                  <w:rPr>
                    <w:rFonts w:ascii="Cambria Math" w:hAnsi="Cambria Math"/>
                  </w:rPr>
                  <m:t xml:space="preserve">= </m:t>
                </m:r>
                <m:f>
                  <m:fPr>
                    <m:ctrlPr>
                      <w:rPr>
                        <w:rFonts w:ascii="Cambria Math" w:hAnsi="Cambria Math"/>
                        <w:i/>
                      </w:rPr>
                    </m:ctrlPr>
                  </m:fPr>
                  <m:num>
                    <m:r>
                      <w:rPr>
                        <w:rFonts w:ascii="Cambria Math" w:hAnsi="Cambria Math"/>
                      </w:rPr>
                      <m:t>WVTR×L</m:t>
                    </m:r>
                  </m:num>
                  <m:den>
                    <m:r>
                      <w:rPr>
                        <w:rFonts w:ascii="Cambria Math" w:hAnsi="Cambria Math"/>
                      </w:rPr>
                      <m:t>∆P</m:t>
                    </m:r>
                  </m:den>
                </m:f>
              </m:oMath>
            </m:oMathPara>
          </w:p>
        </w:tc>
        <w:tc>
          <w:tcPr>
            <w:tcW w:w="815" w:type="dxa"/>
            <w:vAlign w:val="center"/>
            <w:hideMark/>
          </w:tcPr>
          <w:p w:rsidR="00212C5B" w:rsidRDefault="00212C5B" w:rsidP="00514964">
            <w:pPr>
              <w:pStyle w:val="CETEquation"/>
              <w:jc w:val="right"/>
            </w:pPr>
            <w:r>
              <w:t>(1)</w:t>
            </w:r>
          </w:p>
        </w:tc>
      </w:tr>
    </w:tbl>
    <w:p w:rsidR="00212C5B" w:rsidRDefault="00212C5B" w:rsidP="00212C5B">
      <w:pPr>
        <w:pStyle w:val="CETBodytext"/>
      </w:pPr>
      <w:r>
        <w:rPr>
          <w:rFonts w:eastAsiaTheme="minorHAnsi"/>
        </w:rPr>
        <w:t>w</w:t>
      </w:r>
      <w:r w:rsidRPr="00EE3DC6">
        <w:rPr>
          <w:rFonts w:eastAsiaTheme="minorHAnsi"/>
        </w:rPr>
        <w:t>here WVTR is the water vapor transmission rate (g/m</w:t>
      </w:r>
      <w:r w:rsidRPr="00010ECF">
        <w:rPr>
          <w:rFonts w:eastAsiaTheme="minorHAnsi"/>
          <w:vertAlign w:val="superscript"/>
        </w:rPr>
        <w:t>2</w:t>
      </w:r>
      <w:r w:rsidRPr="00EE3DC6">
        <w:rPr>
          <w:rFonts w:eastAsiaTheme="minorHAnsi"/>
        </w:rPr>
        <w:t>s) measured</w:t>
      </w:r>
      <w:r>
        <w:rPr>
          <w:rFonts w:eastAsiaTheme="minorHAnsi"/>
        </w:rPr>
        <w:t xml:space="preserve"> </w:t>
      </w:r>
      <w:r w:rsidRPr="00EE3DC6">
        <w:rPr>
          <w:rFonts w:eastAsiaTheme="minorHAnsi"/>
        </w:rPr>
        <w:t xml:space="preserve">through </w:t>
      </w:r>
      <w:r>
        <w:rPr>
          <w:rFonts w:eastAsiaTheme="minorHAnsi"/>
        </w:rPr>
        <w:t xml:space="preserve">the </w:t>
      </w:r>
      <w:r w:rsidRPr="00EE3DC6">
        <w:rPr>
          <w:rFonts w:eastAsiaTheme="minorHAnsi"/>
        </w:rPr>
        <w:t xml:space="preserve">film, L is the </w:t>
      </w:r>
      <w:r>
        <w:rPr>
          <w:rFonts w:eastAsiaTheme="minorHAnsi"/>
        </w:rPr>
        <w:t>average</w:t>
      </w:r>
      <w:r w:rsidRPr="00EE3DC6">
        <w:rPr>
          <w:rFonts w:eastAsiaTheme="minorHAnsi"/>
        </w:rPr>
        <w:t xml:space="preserve"> film thickness (m), and </w:t>
      </w:r>
      <w:r w:rsidRPr="00EE3DC6">
        <w:rPr>
          <w:rFonts w:eastAsia="TT5FCBo00"/>
          <w:lang w:val="it-IT"/>
        </w:rPr>
        <w:t>Δ</w:t>
      </w:r>
      <w:r w:rsidRPr="00010ECF">
        <w:rPr>
          <w:rFonts w:eastAsiaTheme="minorHAnsi"/>
        </w:rPr>
        <w:t>P</w:t>
      </w:r>
      <w:r w:rsidRPr="00EE3DC6">
        <w:rPr>
          <w:rFonts w:eastAsiaTheme="minorHAnsi"/>
        </w:rPr>
        <w:t xml:space="preserve"> is the partial</w:t>
      </w:r>
      <w:r>
        <w:rPr>
          <w:rFonts w:eastAsiaTheme="minorHAnsi"/>
        </w:rPr>
        <w:t xml:space="preserve"> </w:t>
      </w:r>
      <w:r w:rsidRPr="00EE3DC6">
        <w:rPr>
          <w:rFonts w:eastAsiaTheme="minorHAnsi"/>
        </w:rPr>
        <w:t xml:space="preserve">water vapor pressure difference (Pa) across the </w:t>
      </w:r>
      <w:r>
        <w:rPr>
          <w:rFonts w:eastAsiaTheme="minorHAnsi"/>
        </w:rPr>
        <w:t>two</w:t>
      </w:r>
      <w:r w:rsidRPr="00EE3DC6">
        <w:rPr>
          <w:rFonts w:eastAsiaTheme="minorHAnsi"/>
        </w:rPr>
        <w:t xml:space="preserve"> sides of </w:t>
      </w:r>
      <w:r>
        <w:rPr>
          <w:rFonts w:eastAsiaTheme="minorHAnsi"/>
        </w:rPr>
        <w:t>the</w:t>
      </w:r>
      <w:r w:rsidRPr="00EE3DC6">
        <w:rPr>
          <w:rFonts w:eastAsiaTheme="minorHAnsi"/>
        </w:rPr>
        <w:t xml:space="preserve"> film.</w:t>
      </w:r>
    </w:p>
    <w:p w:rsidR="00212C5B" w:rsidRPr="00EA2047" w:rsidRDefault="00212C5B" w:rsidP="00212C5B">
      <w:pPr>
        <w:pStyle w:val="CETBodytext"/>
        <w:rPr>
          <w:rFonts w:eastAsiaTheme="minorHAnsi"/>
        </w:rPr>
      </w:pPr>
      <w:r>
        <w:t xml:space="preserve">Static contact angle measurements were performed with a First Ten Angstrom Analyzer System 32.0 mod. FTA 1000 (First Ten Angstroms, Inc., Portsmouth, VA, USA), according to the standard test method ASTM D5946, using distilled water and ethanol/water 95:5 v/v as test liquids. The drop volume was taken within the range where the contact angle did not change with the variation of the volume (2 ± 0.5 µL). Each reported value of the θ angle is the average of five replicate </w:t>
      </w:r>
      <w:proofErr w:type="spellStart"/>
      <w:r>
        <w:t>measurements.</w:t>
      </w:r>
      <w:r w:rsidRPr="00EA2047">
        <w:rPr>
          <w:rFonts w:eastAsiaTheme="minorHAnsi"/>
        </w:rPr>
        <w:t>The</w:t>
      </w:r>
      <w:proofErr w:type="spellEnd"/>
      <w:r w:rsidRPr="00EA2047">
        <w:rPr>
          <w:rFonts w:eastAsiaTheme="minorHAnsi"/>
        </w:rPr>
        <w:t xml:space="preserve"> release of antioxidants was evaluated by </w:t>
      </w:r>
      <w:r w:rsidRPr="00EA2047">
        <w:t>total immersion method as suggested by Chen et al. 2012, with some modifications. Film samples were cut in squares of 1 dm</w:t>
      </w:r>
      <w:r w:rsidRPr="00EA2047">
        <w:rPr>
          <w:vertAlign w:val="superscript"/>
        </w:rPr>
        <w:t>2</w:t>
      </w:r>
      <w:r w:rsidRPr="00EA2047">
        <w:t xml:space="preserve"> area and immersed in 100 mL of </w:t>
      </w:r>
      <w:r>
        <w:t>95% v/v ethanol release medium</w:t>
      </w:r>
      <w:r w:rsidRPr="00EA2047">
        <w:t xml:space="preserve">. The flask was kept </w:t>
      </w:r>
      <w:r>
        <w:t xml:space="preserve">in the dark </w:t>
      </w:r>
      <w:r w:rsidRPr="00EA2047">
        <w:t>under magnetic stirring</w:t>
      </w:r>
      <w:r>
        <w:t>, to minimize mass transfer resistance of antioxidants from the film,</w:t>
      </w:r>
      <w:r w:rsidRPr="00EA2047">
        <w:t xml:space="preserve"> at room conditions for 14 days, and 100 microliters of the </w:t>
      </w:r>
      <w:r>
        <w:t>medium</w:t>
      </w:r>
      <w:r w:rsidRPr="00EA2047">
        <w:t xml:space="preserve"> were periodically withdrawn for analysis. The antioxidant activity released into the simulant solution was quantified by DPPH method, as reported in Paragraph 2.3, and the results were expressed as follows:</w:t>
      </w:r>
    </w:p>
    <w:tbl>
      <w:tblPr>
        <w:tblW w:w="5000" w:type="pct"/>
        <w:tblLook w:val="04A0" w:firstRow="1" w:lastRow="0" w:firstColumn="1" w:lastColumn="0" w:noHBand="0" w:noVBand="1"/>
      </w:tblPr>
      <w:tblGrid>
        <w:gridCol w:w="8188"/>
        <w:gridCol w:w="815"/>
      </w:tblGrid>
      <w:tr w:rsidR="00212C5B" w:rsidTr="00514964">
        <w:tc>
          <w:tcPr>
            <w:tcW w:w="8188" w:type="dxa"/>
            <w:vAlign w:val="center"/>
            <w:hideMark/>
          </w:tcPr>
          <w:p w:rsidR="00212C5B" w:rsidRDefault="00212C5B" w:rsidP="00514964">
            <w:pPr>
              <w:pStyle w:val="CETEquation"/>
            </w:pPr>
            <m:oMathPara>
              <m:oMath>
                <m:r>
                  <w:rPr>
                    <w:rFonts w:ascii="Cambria Math" w:hAnsi="Cambria Math"/>
                  </w:rPr>
                  <m:t xml:space="preserve">Antioxidant activity </m:t>
                </m:r>
                <m:d>
                  <m:dPr>
                    <m:ctrlPr>
                      <w:rPr>
                        <w:rFonts w:ascii="Cambria Math" w:hAnsi="Cambria Math"/>
                        <w:i/>
                      </w:rPr>
                    </m:ctrlPr>
                  </m:dPr>
                  <m:e>
                    <m:r>
                      <w:rPr>
                        <w:rFonts w:ascii="Cambria Math" w:hAnsi="Cambria Math"/>
                      </w:rPr>
                      <m:t>%</m:t>
                    </m:r>
                  </m:e>
                </m:d>
                <m:r>
                  <w:rPr>
                    <w:rFonts w:ascii="Cambria Math" w:hAnsi="Cambria Math"/>
                  </w:rPr>
                  <m:t>=</m:t>
                </m:r>
                <m:d>
                  <m:dPr>
                    <m:ctrlPr>
                      <w:rPr>
                        <w:rFonts w:ascii="Cambria Math" w:hAnsi="Cambria Math"/>
                        <w:i/>
                      </w:rPr>
                    </m:ctrlPr>
                  </m:dPr>
                  <m:e>
                    <m:r>
                      <w:rPr>
                        <w:rFonts w:ascii="Cambria Math" w:hAnsi="Cambria Math"/>
                      </w:rPr>
                      <m:t xml:space="preserve">1- </m:t>
                    </m:r>
                    <m:f>
                      <m:fPr>
                        <m:ctrlPr>
                          <w:rPr>
                            <w:rFonts w:ascii="Cambria Math" w:hAnsi="Cambria Math"/>
                            <w:i/>
                          </w:rPr>
                        </m:ctrlPr>
                      </m:fPr>
                      <m:num>
                        <m:sSub>
                          <m:sSubPr>
                            <m:ctrlPr>
                              <w:rPr>
                                <w:rFonts w:ascii="Cambria Math" w:hAnsi="Cambria Math"/>
                                <w:i/>
                              </w:rPr>
                            </m:ctrlPr>
                          </m:sSubPr>
                          <m:e>
                            <m:r>
                              <w:rPr>
                                <w:rFonts w:ascii="Cambria Math" w:hAnsi="Cambria Math"/>
                              </w:rPr>
                              <m:t>A</m:t>
                            </m:r>
                          </m:e>
                          <m:sub>
                            <m:r>
                              <w:rPr>
                                <w:rFonts w:ascii="Cambria Math" w:hAnsi="Cambria Math"/>
                              </w:rPr>
                              <m:t>sample</m:t>
                            </m:r>
                          </m:sub>
                        </m:sSub>
                      </m:num>
                      <m:den>
                        <m:sSub>
                          <m:sSubPr>
                            <m:ctrlPr>
                              <w:rPr>
                                <w:rFonts w:ascii="Cambria Math" w:hAnsi="Cambria Math"/>
                                <w:i/>
                              </w:rPr>
                            </m:ctrlPr>
                          </m:sSubPr>
                          <m:e>
                            <m:r>
                              <w:rPr>
                                <w:rFonts w:ascii="Cambria Math" w:hAnsi="Cambria Math"/>
                              </w:rPr>
                              <m:t>A</m:t>
                            </m:r>
                          </m:e>
                          <m:sub>
                            <m:r>
                              <w:rPr>
                                <w:rFonts w:ascii="Cambria Math" w:hAnsi="Cambria Math"/>
                              </w:rPr>
                              <m:t>control</m:t>
                            </m:r>
                          </m:sub>
                        </m:sSub>
                      </m:den>
                    </m:f>
                  </m:e>
                </m:d>
                <m:r>
                  <w:rPr>
                    <w:rFonts w:ascii="Cambria Math" w:hAnsi="Cambria Math"/>
                  </w:rPr>
                  <m:t>× 100</m:t>
                </m:r>
              </m:oMath>
            </m:oMathPara>
          </w:p>
        </w:tc>
        <w:tc>
          <w:tcPr>
            <w:tcW w:w="815" w:type="dxa"/>
            <w:vAlign w:val="center"/>
            <w:hideMark/>
          </w:tcPr>
          <w:p w:rsidR="00212C5B" w:rsidRDefault="00212C5B" w:rsidP="00514964">
            <w:pPr>
              <w:pStyle w:val="CETEquation"/>
              <w:jc w:val="right"/>
            </w:pPr>
            <w:r>
              <w:t>(2)</w:t>
            </w:r>
          </w:p>
        </w:tc>
      </w:tr>
    </w:tbl>
    <w:p w:rsidR="00212C5B" w:rsidRDefault="00212C5B" w:rsidP="00212C5B">
      <w:pPr>
        <w:pStyle w:val="CETBodytext"/>
        <w:rPr>
          <w:rFonts w:eastAsiaTheme="minorHAnsi"/>
        </w:rPr>
      </w:pPr>
      <w:r w:rsidRPr="00094C0F">
        <w:rPr>
          <w:rFonts w:eastAsiaTheme="minorHAnsi"/>
        </w:rPr>
        <w:t xml:space="preserve">where </w:t>
      </w:r>
      <w:proofErr w:type="spellStart"/>
      <w:r w:rsidRPr="00094C0F">
        <w:rPr>
          <w:rFonts w:ascii="AdvMc_Times-i" w:eastAsiaTheme="minorHAnsi" w:hAnsi="AdvMc_Times-i" w:cs="AdvMc_Times-i"/>
        </w:rPr>
        <w:t>A</w:t>
      </w:r>
      <w:r w:rsidRPr="00094C0F">
        <w:rPr>
          <w:rFonts w:eastAsiaTheme="minorHAnsi"/>
          <w:sz w:val="13"/>
          <w:szCs w:val="13"/>
        </w:rPr>
        <w:t>sample</w:t>
      </w:r>
      <w:proofErr w:type="spellEnd"/>
      <w:r w:rsidRPr="00094C0F">
        <w:rPr>
          <w:rFonts w:eastAsiaTheme="minorHAnsi"/>
          <w:sz w:val="13"/>
          <w:szCs w:val="13"/>
        </w:rPr>
        <w:t xml:space="preserve"> </w:t>
      </w:r>
      <w:r w:rsidRPr="00094C0F">
        <w:rPr>
          <w:rFonts w:eastAsiaTheme="minorHAnsi"/>
        </w:rPr>
        <w:t xml:space="preserve">is the absorbance of sample and </w:t>
      </w:r>
      <w:proofErr w:type="spellStart"/>
      <w:r w:rsidRPr="00094C0F">
        <w:rPr>
          <w:rFonts w:ascii="AdvMc_Times-i" w:eastAsiaTheme="minorHAnsi" w:hAnsi="AdvMc_Times-i" w:cs="AdvMc_Times-i"/>
        </w:rPr>
        <w:t>A</w:t>
      </w:r>
      <w:r w:rsidRPr="00094C0F">
        <w:rPr>
          <w:rFonts w:eastAsiaTheme="minorHAnsi"/>
          <w:sz w:val="13"/>
          <w:szCs w:val="13"/>
        </w:rPr>
        <w:t>control</w:t>
      </w:r>
      <w:proofErr w:type="spellEnd"/>
      <w:r w:rsidRPr="00094C0F">
        <w:rPr>
          <w:rFonts w:eastAsiaTheme="minorHAnsi"/>
          <w:sz w:val="13"/>
          <w:szCs w:val="13"/>
        </w:rPr>
        <w:t xml:space="preserve"> </w:t>
      </w:r>
      <w:r w:rsidRPr="00094C0F">
        <w:rPr>
          <w:rFonts w:eastAsiaTheme="minorHAnsi"/>
        </w:rPr>
        <w:t>is the</w:t>
      </w:r>
      <w:r>
        <w:rPr>
          <w:rFonts w:eastAsiaTheme="minorHAnsi"/>
        </w:rPr>
        <w:t xml:space="preserve"> </w:t>
      </w:r>
      <w:r w:rsidRPr="00094C0F">
        <w:rPr>
          <w:rFonts w:eastAsiaTheme="minorHAnsi"/>
        </w:rPr>
        <w:t>absorbance of the control</w:t>
      </w:r>
      <w:r>
        <w:rPr>
          <w:rFonts w:eastAsiaTheme="minorHAnsi"/>
        </w:rPr>
        <w:t xml:space="preserve"> at initial time t=0, using 100 </w:t>
      </w:r>
      <w:r>
        <w:rPr>
          <w:rFonts w:eastAsiaTheme="minorHAnsi" w:cs="Arial"/>
        </w:rPr>
        <w:t>µ</w:t>
      </w:r>
      <w:r>
        <w:rPr>
          <w:rFonts w:eastAsiaTheme="minorHAnsi"/>
        </w:rPr>
        <w:t>L of fresh release medium</w:t>
      </w:r>
      <w:r w:rsidRPr="00094C0F">
        <w:rPr>
          <w:rFonts w:eastAsiaTheme="minorHAnsi"/>
        </w:rPr>
        <w:t>.</w:t>
      </w:r>
    </w:p>
    <w:p w:rsidR="00212C5B" w:rsidRDefault="00212C5B" w:rsidP="00212C5B">
      <w:pPr>
        <w:pStyle w:val="CET1"/>
      </w:pPr>
      <w:r>
        <w:t>Results and discussion</w:t>
      </w:r>
    </w:p>
    <w:p w:rsidR="00212C5B" w:rsidRDefault="00212C5B" w:rsidP="00212C5B">
      <w:pPr>
        <w:pStyle w:val="CET11"/>
      </w:pPr>
      <w:r w:rsidRPr="005B3A6A">
        <w:t xml:space="preserve">Characterization of the </w:t>
      </w:r>
      <w:r>
        <w:t>phenolic</w:t>
      </w:r>
      <w:r w:rsidRPr="005B3A6A">
        <w:t xml:space="preserve"> extracts</w:t>
      </w:r>
    </w:p>
    <w:p w:rsidR="00DE70C0" w:rsidRDefault="00212C5B" w:rsidP="00DE70C0">
      <w:pPr>
        <w:pStyle w:val="CETBodytext"/>
      </w:pPr>
      <w:r w:rsidRPr="00357A97">
        <w:t xml:space="preserve">All active extracts </w:t>
      </w:r>
      <w:r>
        <w:t>are liquid samples</w:t>
      </w:r>
      <w:r w:rsidRPr="00357A97">
        <w:t>, with a density comparable to that of an aqueous solution, more or less concentrated.</w:t>
      </w:r>
      <w:r>
        <w:t xml:space="preserve"> Table 2 shows the dry matter, reducing sugars and antioxidant activity of the olive extracts under investigation.</w:t>
      </w:r>
      <w:r w:rsidRPr="00357A97">
        <w:t xml:space="preserve"> </w:t>
      </w:r>
      <w:r w:rsidRPr="0066182D">
        <w:t xml:space="preserve">The results are expressed over dry matter in order to </w:t>
      </w:r>
      <w:r>
        <w:t xml:space="preserve">better </w:t>
      </w:r>
      <w:r w:rsidRPr="0066182D">
        <w:t xml:space="preserve">compare the </w:t>
      </w:r>
      <w:proofErr w:type="spellStart"/>
      <w:r w:rsidRPr="0066182D">
        <w:t>physico</w:t>
      </w:r>
      <w:proofErr w:type="spellEnd"/>
      <w:r w:rsidRPr="0066182D">
        <w:t>-chemical properties and</w:t>
      </w:r>
      <w:r>
        <w:t xml:space="preserve"> the</w:t>
      </w:r>
      <w:r w:rsidRPr="0066182D">
        <w:t xml:space="preserve"> antioxidant activity of the phenolic extracts.</w:t>
      </w:r>
      <w:r w:rsidR="00DE70C0">
        <w:t xml:space="preserve"> T</w:t>
      </w:r>
      <w:r w:rsidR="00DE70C0" w:rsidRPr="0013260A">
        <w:t>he content of reducing sugars has been evaluated because the polar nature of the aldehyde and ketone groups can interf</w:t>
      </w:r>
      <w:r w:rsidR="00DE70C0">
        <w:t>e</w:t>
      </w:r>
      <w:r w:rsidR="00DE70C0" w:rsidRPr="0013260A">
        <w:t xml:space="preserve">re with the </w:t>
      </w:r>
      <w:r w:rsidR="00DE70C0">
        <w:t>non</w:t>
      </w:r>
      <w:r w:rsidR="00DE70C0" w:rsidRPr="0013260A">
        <w:t>polar nature of the polymeric PLA</w:t>
      </w:r>
      <w:r w:rsidR="00DE70C0">
        <w:t xml:space="preserve"> coating </w:t>
      </w:r>
      <w:r w:rsidR="00DE70C0" w:rsidRPr="0013260A">
        <w:t>mixture</w:t>
      </w:r>
      <w:r w:rsidR="00DE70C0">
        <w:t>,</w:t>
      </w:r>
      <w:r w:rsidR="00DE70C0" w:rsidRPr="0013260A">
        <w:t xml:space="preserve"> inducing a precipitation of the active compound and consequently entailing the addition of a higher content of surfactant to stabilize the emulsion.</w:t>
      </w:r>
      <w:r w:rsidR="00DE70C0">
        <w:t xml:space="preserve"> In particular, the reducing sugars content was found proportional to the dry matter of the samples, with values equal to 10.67, 12.57 and 8.68 </w:t>
      </w:r>
      <w:r w:rsidR="00DE70C0" w:rsidRPr="005F351F">
        <w:rPr>
          <w:lang w:val="en-GB"/>
        </w:rPr>
        <w:t>g/100g of DM</w:t>
      </w:r>
      <w:r w:rsidR="00DE70C0">
        <w:t xml:space="preserve"> for the OE1, OE2 and OE3, respectively.</w:t>
      </w:r>
    </w:p>
    <w:p w:rsidR="00212C5B" w:rsidRDefault="00212C5B" w:rsidP="00212C5B">
      <w:pPr>
        <w:pStyle w:val="CETTabletitle"/>
      </w:pPr>
      <w:r>
        <w:lastRenderedPageBreak/>
        <w:t>Table 2: Dry matter, reducing sugars and antioxidant activity (expressed as TEAC) of the olive extracts under investigation.</w:t>
      </w:r>
    </w:p>
    <w:tbl>
      <w:tblPr>
        <w:tblW w:w="877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90"/>
        <w:gridCol w:w="2320"/>
        <w:gridCol w:w="2044"/>
        <w:gridCol w:w="2823"/>
      </w:tblGrid>
      <w:tr w:rsidR="00212C5B" w:rsidRPr="006748AE" w:rsidTr="00514964">
        <w:trPr>
          <w:trHeight w:val="518"/>
        </w:trPr>
        <w:tc>
          <w:tcPr>
            <w:tcW w:w="1590" w:type="dxa"/>
            <w:tcBorders>
              <w:top w:val="single" w:sz="12" w:space="0" w:color="008000"/>
              <w:left w:val="nil"/>
              <w:bottom w:val="single" w:sz="6" w:space="0" w:color="008000"/>
              <w:right w:val="nil"/>
            </w:tcBorders>
            <w:shd w:val="clear" w:color="auto" w:fill="FFFFFF"/>
            <w:hideMark/>
          </w:tcPr>
          <w:p w:rsidR="00212C5B" w:rsidRDefault="00212C5B" w:rsidP="00514964">
            <w:pPr>
              <w:pStyle w:val="CETBodytext"/>
              <w:jc w:val="left"/>
              <w:rPr>
                <w:lang w:val="en-GB"/>
              </w:rPr>
            </w:pPr>
            <w:r>
              <w:rPr>
                <w:lang w:val="en-GB"/>
              </w:rPr>
              <w:t>Sample</w:t>
            </w:r>
          </w:p>
        </w:tc>
        <w:tc>
          <w:tcPr>
            <w:tcW w:w="2320" w:type="dxa"/>
            <w:tcBorders>
              <w:top w:val="single" w:sz="12" w:space="0" w:color="008000"/>
              <w:left w:val="nil"/>
              <w:bottom w:val="single" w:sz="6" w:space="0" w:color="008000"/>
              <w:right w:val="nil"/>
            </w:tcBorders>
            <w:shd w:val="clear" w:color="auto" w:fill="FFFFFF"/>
          </w:tcPr>
          <w:p w:rsidR="00212C5B" w:rsidRDefault="00212C5B" w:rsidP="00514964">
            <w:pPr>
              <w:pStyle w:val="CETBodytext"/>
              <w:jc w:val="left"/>
              <w:rPr>
                <w:lang w:val="en-GB"/>
              </w:rPr>
            </w:pPr>
            <w:r>
              <w:rPr>
                <w:lang w:val="en-GB"/>
              </w:rPr>
              <w:t xml:space="preserve">Dry Matter </w:t>
            </w:r>
          </w:p>
          <w:p w:rsidR="00212C5B" w:rsidRDefault="00212C5B" w:rsidP="00514964">
            <w:pPr>
              <w:pStyle w:val="CETBodytext"/>
              <w:jc w:val="left"/>
              <w:rPr>
                <w:lang w:val="en-GB"/>
              </w:rPr>
            </w:pPr>
            <w:r>
              <w:rPr>
                <w:lang w:val="en-GB"/>
              </w:rPr>
              <w:t>[% w/wt]</w:t>
            </w:r>
          </w:p>
        </w:tc>
        <w:tc>
          <w:tcPr>
            <w:tcW w:w="2044" w:type="dxa"/>
            <w:tcBorders>
              <w:top w:val="single" w:sz="12" w:space="0" w:color="008000"/>
              <w:left w:val="nil"/>
              <w:bottom w:val="single" w:sz="6" w:space="0" w:color="008000"/>
              <w:right w:val="nil"/>
            </w:tcBorders>
            <w:shd w:val="clear" w:color="auto" w:fill="FFFFFF"/>
            <w:hideMark/>
          </w:tcPr>
          <w:p w:rsidR="00212C5B" w:rsidRPr="005F351F" w:rsidRDefault="00212C5B" w:rsidP="00514964">
            <w:pPr>
              <w:pStyle w:val="CETBodytext"/>
              <w:jc w:val="left"/>
              <w:rPr>
                <w:lang w:val="en-GB"/>
              </w:rPr>
            </w:pPr>
            <w:r w:rsidRPr="005F351F">
              <w:rPr>
                <w:lang w:val="en-GB"/>
              </w:rPr>
              <w:t xml:space="preserve">Reducing sugars </w:t>
            </w:r>
          </w:p>
          <w:p w:rsidR="00212C5B" w:rsidRDefault="00212C5B" w:rsidP="00514964">
            <w:pPr>
              <w:pStyle w:val="CETBodytext"/>
              <w:jc w:val="left"/>
              <w:rPr>
                <w:lang w:val="en-GB"/>
              </w:rPr>
            </w:pPr>
            <w:r w:rsidRPr="005F351F">
              <w:rPr>
                <w:lang w:val="en-GB"/>
              </w:rPr>
              <w:t>[g/100g of DM]</w:t>
            </w:r>
          </w:p>
        </w:tc>
        <w:tc>
          <w:tcPr>
            <w:tcW w:w="2823" w:type="dxa"/>
            <w:tcBorders>
              <w:top w:val="single" w:sz="12" w:space="0" w:color="008000"/>
              <w:left w:val="nil"/>
              <w:bottom w:val="single" w:sz="6" w:space="0" w:color="008000"/>
              <w:right w:val="nil"/>
            </w:tcBorders>
            <w:shd w:val="clear" w:color="auto" w:fill="FFFFFF"/>
          </w:tcPr>
          <w:p w:rsidR="00212C5B" w:rsidRPr="002B5B82" w:rsidRDefault="00212C5B" w:rsidP="00514964">
            <w:pPr>
              <w:pStyle w:val="CETBodytext"/>
              <w:ind w:right="-1"/>
              <w:jc w:val="left"/>
              <w:rPr>
                <w:rFonts w:cs="Arial"/>
                <w:szCs w:val="18"/>
                <w:lang w:val="en-GB"/>
              </w:rPr>
            </w:pPr>
            <w:r>
              <w:rPr>
                <w:rFonts w:cs="Arial"/>
                <w:szCs w:val="18"/>
                <w:lang w:val="en-GB"/>
              </w:rPr>
              <w:t>TEAC</w:t>
            </w:r>
            <w:r w:rsidR="00176E50" w:rsidRPr="00176E50">
              <w:t>*10</w:t>
            </w:r>
            <w:r w:rsidR="00176E50" w:rsidRPr="00176E50">
              <w:rPr>
                <w:vertAlign w:val="superscript"/>
              </w:rPr>
              <w:t>-3</w:t>
            </w:r>
          </w:p>
          <w:p w:rsidR="00212C5B" w:rsidRDefault="00212C5B" w:rsidP="00514964">
            <w:pPr>
              <w:pStyle w:val="CETBodytext"/>
              <w:ind w:right="-1"/>
              <w:jc w:val="left"/>
              <w:rPr>
                <w:rFonts w:cs="Arial"/>
                <w:szCs w:val="18"/>
                <w:lang w:val="en-GB"/>
              </w:rPr>
            </w:pPr>
            <w:r w:rsidRPr="002B5B82">
              <w:rPr>
                <w:rFonts w:cs="Arial"/>
                <w:szCs w:val="18"/>
                <w:lang w:val="en-GB"/>
              </w:rPr>
              <w:t>[</w:t>
            </w:r>
            <w:r w:rsidR="00176E50">
              <w:rPr>
                <w:rFonts w:cs="Arial"/>
                <w:szCs w:val="18"/>
                <w:lang w:val="en-GB"/>
              </w:rPr>
              <w:t>µ</w:t>
            </w:r>
            <w:r w:rsidRPr="002B5B82">
              <w:rPr>
                <w:rFonts w:cs="Arial"/>
                <w:szCs w:val="18"/>
                <w:lang w:val="en-GB"/>
              </w:rPr>
              <w:t>mol Trolox/g of DM]</w:t>
            </w:r>
          </w:p>
        </w:tc>
      </w:tr>
      <w:tr w:rsidR="00212C5B" w:rsidTr="00514964">
        <w:trPr>
          <w:trHeight w:val="162"/>
        </w:trPr>
        <w:tc>
          <w:tcPr>
            <w:tcW w:w="1590" w:type="dxa"/>
            <w:tcBorders>
              <w:top w:val="nil"/>
              <w:left w:val="nil"/>
              <w:bottom w:val="nil"/>
              <w:right w:val="nil"/>
            </w:tcBorders>
            <w:shd w:val="clear" w:color="auto" w:fill="FFFFFF"/>
            <w:hideMark/>
          </w:tcPr>
          <w:p w:rsidR="00212C5B" w:rsidRDefault="00212C5B" w:rsidP="00514964">
            <w:pPr>
              <w:pStyle w:val="CETBodytext"/>
              <w:jc w:val="left"/>
              <w:rPr>
                <w:lang w:val="en-GB"/>
              </w:rPr>
            </w:pPr>
            <w:r>
              <w:rPr>
                <w:lang w:val="en-GB"/>
              </w:rPr>
              <w:t>OE1</w:t>
            </w:r>
          </w:p>
        </w:tc>
        <w:tc>
          <w:tcPr>
            <w:tcW w:w="2320"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61.4 </w:t>
            </w:r>
            <w:r w:rsidRPr="00550F6A">
              <w:rPr>
                <w:lang w:val="en-GB"/>
              </w:rPr>
              <w:t xml:space="preserve"> ±</w:t>
            </w:r>
            <w:r>
              <w:rPr>
                <w:lang w:val="en-GB"/>
              </w:rPr>
              <w:t xml:space="preserve"> 0.3</w:t>
            </w:r>
            <w:r w:rsidR="00994487" w:rsidRPr="002B2605">
              <w:rPr>
                <w:vertAlign w:val="superscript"/>
                <w:lang w:val="en-GB"/>
              </w:rPr>
              <w:t>b</w:t>
            </w:r>
          </w:p>
        </w:tc>
        <w:tc>
          <w:tcPr>
            <w:tcW w:w="2044"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10.67 </w:t>
            </w:r>
            <w:r w:rsidRPr="00550F6A">
              <w:rPr>
                <w:lang w:val="en-GB"/>
              </w:rPr>
              <w:t>±</w:t>
            </w:r>
            <w:r>
              <w:rPr>
                <w:lang w:val="en-GB"/>
              </w:rPr>
              <w:t xml:space="preserve"> 0.5</w:t>
            </w:r>
            <w:r w:rsidR="00994487" w:rsidRPr="002B2605">
              <w:rPr>
                <w:vertAlign w:val="superscript"/>
                <w:lang w:val="en-GB"/>
              </w:rPr>
              <w:t>b</w:t>
            </w:r>
          </w:p>
        </w:tc>
        <w:tc>
          <w:tcPr>
            <w:tcW w:w="2823" w:type="dxa"/>
            <w:tcBorders>
              <w:top w:val="nil"/>
              <w:left w:val="nil"/>
              <w:bottom w:val="nil"/>
              <w:right w:val="nil"/>
            </w:tcBorders>
            <w:shd w:val="clear" w:color="auto" w:fill="FFFFFF"/>
          </w:tcPr>
          <w:p w:rsidR="00212C5B" w:rsidRDefault="00212C5B" w:rsidP="00514964">
            <w:pPr>
              <w:pStyle w:val="CETBodytext"/>
              <w:ind w:right="-1"/>
              <w:jc w:val="left"/>
              <w:rPr>
                <w:rFonts w:cs="Arial"/>
                <w:szCs w:val="18"/>
                <w:lang w:val="en-GB"/>
              </w:rPr>
            </w:pPr>
            <w:r>
              <w:rPr>
                <w:rFonts w:cs="Arial"/>
                <w:szCs w:val="18"/>
                <w:lang w:val="en-GB"/>
              </w:rPr>
              <w:t xml:space="preserve">733.13 </w:t>
            </w:r>
            <w:r w:rsidRPr="00550F6A">
              <w:rPr>
                <w:lang w:val="en-GB"/>
              </w:rPr>
              <w:t>±</w:t>
            </w:r>
            <w:r>
              <w:rPr>
                <w:lang w:val="en-GB"/>
              </w:rPr>
              <w:t xml:space="preserve"> 15.41</w:t>
            </w:r>
            <w:r w:rsidR="00994487" w:rsidRPr="002B2605">
              <w:rPr>
                <w:vertAlign w:val="superscript"/>
                <w:lang w:val="en-GB"/>
              </w:rPr>
              <w:t>a</w:t>
            </w:r>
          </w:p>
        </w:tc>
      </w:tr>
      <w:tr w:rsidR="00212C5B" w:rsidTr="00C83CD3">
        <w:trPr>
          <w:trHeight w:val="132"/>
        </w:trPr>
        <w:tc>
          <w:tcPr>
            <w:tcW w:w="1590" w:type="dxa"/>
            <w:tcBorders>
              <w:top w:val="nil"/>
              <w:left w:val="nil"/>
              <w:bottom w:val="nil"/>
              <w:right w:val="nil"/>
            </w:tcBorders>
            <w:shd w:val="clear" w:color="auto" w:fill="FFFFFF"/>
            <w:hideMark/>
          </w:tcPr>
          <w:p w:rsidR="00212C5B" w:rsidRDefault="00212C5B" w:rsidP="00514964">
            <w:pPr>
              <w:pStyle w:val="CETBodytext"/>
              <w:jc w:val="left"/>
              <w:rPr>
                <w:lang w:val="en-GB"/>
              </w:rPr>
            </w:pPr>
            <w:r>
              <w:rPr>
                <w:lang w:val="en-GB"/>
              </w:rPr>
              <w:t>OE2</w:t>
            </w:r>
          </w:p>
        </w:tc>
        <w:tc>
          <w:tcPr>
            <w:tcW w:w="2320"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68.7 </w:t>
            </w:r>
            <w:r w:rsidRPr="00550F6A">
              <w:rPr>
                <w:lang w:val="en-GB"/>
              </w:rPr>
              <w:t xml:space="preserve"> ±</w:t>
            </w:r>
            <w:r>
              <w:rPr>
                <w:lang w:val="en-GB"/>
              </w:rPr>
              <w:t xml:space="preserve"> 0.3</w:t>
            </w:r>
            <w:r w:rsidR="00994487" w:rsidRPr="002B2605">
              <w:rPr>
                <w:vertAlign w:val="superscript"/>
                <w:lang w:val="en-GB"/>
              </w:rPr>
              <w:t>c</w:t>
            </w:r>
          </w:p>
        </w:tc>
        <w:tc>
          <w:tcPr>
            <w:tcW w:w="2044"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12.57 </w:t>
            </w:r>
            <w:r w:rsidRPr="00550F6A">
              <w:rPr>
                <w:lang w:val="en-GB"/>
              </w:rPr>
              <w:t>±</w:t>
            </w:r>
            <w:r>
              <w:rPr>
                <w:lang w:val="en-GB"/>
              </w:rPr>
              <w:t xml:space="preserve"> 0.6</w:t>
            </w:r>
            <w:r w:rsidR="00994487" w:rsidRPr="002B2605">
              <w:rPr>
                <w:vertAlign w:val="superscript"/>
                <w:lang w:val="en-GB"/>
              </w:rPr>
              <w:t>c</w:t>
            </w:r>
          </w:p>
        </w:tc>
        <w:tc>
          <w:tcPr>
            <w:tcW w:w="2823" w:type="dxa"/>
            <w:tcBorders>
              <w:top w:val="nil"/>
              <w:left w:val="nil"/>
              <w:bottom w:val="nil"/>
              <w:right w:val="nil"/>
            </w:tcBorders>
            <w:shd w:val="clear" w:color="auto" w:fill="FFFFFF"/>
          </w:tcPr>
          <w:p w:rsidR="00212C5B" w:rsidRDefault="00212C5B" w:rsidP="00514964">
            <w:pPr>
              <w:pStyle w:val="CETBodytext"/>
              <w:ind w:right="-1"/>
              <w:jc w:val="left"/>
              <w:rPr>
                <w:rFonts w:cs="Arial"/>
                <w:szCs w:val="18"/>
                <w:lang w:val="en-GB"/>
              </w:rPr>
            </w:pPr>
            <w:r>
              <w:rPr>
                <w:rFonts w:cs="Arial"/>
                <w:szCs w:val="18"/>
                <w:lang w:val="en-GB"/>
              </w:rPr>
              <w:t xml:space="preserve">793.53 </w:t>
            </w:r>
            <w:r w:rsidRPr="00550F6A">
              <w:rPr>
                <w:lang w:val="en-GB"/>
              </w:rPr>
              <w:t>±</w:t>
            </w:r>
            <w:r>
              <w:rPr>
                <w:lang w:val="en-GB"/>
              </w:rPr>
              <w:t xml:space="preserve"> 22.39</w:t>
            </w:r>
            <w:r w:rsidR="00994487" w:rsidRPr="002B2605">
              <w:rPr>
                <w:vertAlign w:val="superscript"/>
                <w:lang w:val="en-GB"/>
              </w:rPr>
              <w:t>b</w:t>
            </w:r>
          </w:p>
        </w:tc>
      </w:tr>
      <w:tr w:rsidR="00212C5B" w:rsidTr="00C83CD3">
        <w:trPr>
          <w:trHeight w:val="132"/>
        </w:trPr>
        <w:tc>
          <w:tcPr>
            <w:tcW w:w="1590" w:type="dxa"/>
            <w:tcBorders>
              <w:top w:val="nil"/>
              <w:left w:val="nil"/>
              <w:bottom w:val="single" w:sz="12" w:space="0" w:color="009900"/>
              <w:right w:val="nil"/>
            </w:tcBorders>
            <w:shd w:val="clear" w:color="auto" w:fill="FFFFFF"/>
          </w:tcPr>
          <w:p w:rsidR="00212C5B" w:rsidRDefault="00212C5B" w:rsidP="00514964">
            <w:pPr>
              <w:pStyle w:val="CETBodytext"/>
              <w:jc w:val="left"/>
              <w:rPr>
                <w:lang w:val="en-GB"/>
              </w:rPr>
            </w:pPr>
            <w:r>
              <w:rPr>
                <w:lang w:val="en-GB"/>
              </w:rPr>
              <w:t>OE3</w:t>
            </w:r>
          </w:p>
        </w:tc>
        <w:tc>
          <w:tcPr>
            <w:tcW w:w="2320" w:type="dxa"/>
            <w:tcBorders>
              <w:top w:val="nil"/>
              <w:left w:val="nil"/>
              <w:bottom w:val="single" w:sz="12" w:space="0" w:color="009900"/>
              <w:right w:val="nil"/>
            </w:tcBorders>
            <w:shd w:val="clear" w:color="auto" w:fill="FFFFFF"/>
          </w:tcPr>
          <w:p w:rsidR="00212C5B" w:rsidRDefault="00212C5B" w:rsidP="00514964">
            <w:pPr>
              <w:pStyle w:val="CETBodytext"/>
              <w:jc w:val="left"/>
              <w:rPr>
                <w:lang w:val="en-GB"/>
              </w:rPr>
            </w:pPr>
            <w:r>
              <w:rPr>
                <w:lang w:val="en-GB"/>
              </w:rPr>
              <w:t xml:space="preserve">53.0 </w:t>
            </w:r>
            <w:r w:rsidRPr="00550F6A">
              <w:rPr>
                <w:lang w:val="en-GB"/>
              </w:rPr>
              <w:t xml:space="preserve"> ±</w:t>
            </w:r>
            <w:r>
              <w:rPr>
                <w:lang w:val="en-GB"/>
              </w:rPr>
              <w:t xml:space="preserve"> 0.3</w:t>
            </w:r>
            <w:r w:rsidR="00994487" w:rsidRPr="002B2605">
              <w:rPr>
                <w:vertAlign w:val="superscript"/>
                <w:lang w:val="en-GB"/>
              </w:rPr>
              <w:t>a</w:t>
            </w:r>
          </w:p>
        </w:tc>
        <w:tc>
          <w:tcPr>
            <w:tcW w:w="2044" w:type="dxa"/>
            <w:tcBorders>
              <w:top w:val="nil"/>
              <w:left w:val="nil"/>
              <w:bottom w:val="single" w:sz="12" w:space="0" w:color="009900"/>
              <w:right w:val="nil"/>
            </w:tcBorders>
            <w:shd w:val="clear" w:color="auto" w:fill="FFFFFF"/>
          </w:tcPr>
          <w:p w:rsidR="00212C5B" w:rsidRDefault="00212C5B" w:rsidP="00514964">
            <w:pPr>
              <w:pStyle w:val="CETBodytext"/>
              <w:jc w:val="left"/>
              <w:rPr>
                <w:lang w:val="en-GB"/>
              </w:rPr>
            </w:pPr>
            <w:r>
              <w:rPr>
                <w:lang w:val="en-GB"/>
              </w:rPr>
              <w:t xml:space="preserve">8.68 </w:t>
            </w:r>
            <w:r w:rsidRPr="00550F6A">
              <w:rPr>
                <w:lang w:val="en-GB"/>
              </w:rPr>
              <w:t>±</w:t>
            </w:r>
            <w:r>
              <w:rPr>
                <w:lang w:val="en-GB"/>
              </w:rPr>
              <w:t xml:space="preserve"> 0.6</w:t>
            </w:r>
            <w:r w:rsidR="00994487" w:rsidRPr="002B2605">
              <w:rPr>
                <w:vertAlign w:val="superscript"/>
                <w:lang w:val="en-GB"/>
              </w:rPr>
              <w:t>a</w:t>
            </w:r>
          </w:p>
        </w:tc>
        <w:tc>
          <w:tcPr>
            <w:tcW w:w="2823" w:type="dxa"/>
            <w:tcBorders>
              <w:top w:val="nil"/>
              <w:left w:val="nil"/>
              <w:bottom w:val="single" w:sz="12" w:space="0" w:color="009900"/>
              <w:right w:val="nil"/>
            </w:tcBorders>
            <w:shd w:val="clear" w:color="auto" w:fill="FFFFFF"/>
          </w:tcPr>
          <w:p w:rsidR="00212C5B" w:rsidRDefault="00212C5B" w:rsidP="00514964">
            <w:pPr>
              <w:pStyle w:val="CETBodytext"/>
              <w:ind w:right="-1"/>
              <w:jc w:val="left"/>
              <w:rPr>
                <w:rFonts w:cs="Arial"/>
                <w:szCs w:val="18"/>
                <w:lang w:val="en-GB"/>
              </w:rPr>
            </w:pPr>
            <w:r>
              <w:rPr>
                <w:rFonts w:cs="Arial"/>
                <w:szCs w:val="18"/>
                <w:lang w:val="en-GB"/>
              </w:rPr>
              <w:t xml:space="preserve">937.20 </w:t>
            </w:r>
            <w:r w:rsidRPr="00550F6A">
              <w:rPr>
                <w:lang w:val="en-GB"/>
              </w:rPr>
              <w:t>±</w:t>
            </w:r>
            <w:r>
              <w:rPr>
                <w:lang w:val="en-GB"/>
              </w:rPr>
              <w:t xml:space="preserve"> </w:t>
            </w:r>
            <w:r w:rsidRPr="009336F5">
              <w:rPr>
                <w:lang w:val="en-GB"/>
              </w:rPr>
              <w:t>2</w:t>
            </w:r>
            <w:r>
              <w:rPr>
                <w:lang w:val="en-GB"/>
              </w:rPr>
              <w:t>5.15</w:t>
            </w:r>
            <w:r w:rsidR="00994487" w:rsidRPr="002B2605">
              <w:rPr>
                <w:vertAlign w:val="superscript"/>
                <w:lang w:val="en-GB"/>
              </w:rPr>
              <w:t>c</w:t>
            </w:r>
          </w:p>
        </w:tc>
      </w:tr>
    </w:tbl>
    <w:p w:rsidR="006041C7" w:rsidRPr="00BF6104" w:rsidRDefault="006041C7" w:rsidP="006041C7">
      <w:pPr>
        <w:pStyle w:val="CETTabletitle"/>
        <w:spacing w:before="0" w:after="0"/>
        <w:rPr>
          <w:sz w:val="16"/>
          <w:szCs w:val="16"/>
          <w:lang w:val="en-US"/>
        </w:rPr>
      </w:pPr>
      <w:r w:rsidRPr="00BF6104">
        <w:rPr>
          <w:rFonts w:ascii="WbksbdSTIX-Regular" w:eastAsiaTheme="minorHAnsi" w:hAnsi="WbksbdSTIX-Regular" w:cs="WbksbdSTIX-Regular"/>
          <w:sz w:val="16"/>
          <w:szCs w:val="16"/>
          <w:lang w:val="en-US"/>
        </w:rPr>
        <w:t>Values followed by the same letter within the same column were not significantly different according to Duncan’s test (</w:t>
      </w:r>
      <w:r w:rsidRPr="00BF6104">
        <w:rPr>
          <w:rFonts w:ascii="FxrjqxSTIX-Italic" w:eastAsiaTheme="minorHAnsi" w:hAnsi="FxrjqxSTIX-Italic" w:cs="FxrjqxSTIX-Italic"/>
          <w:i w:val="0"/>
          <w:iCs/>
          <w:sz w:val="16"/>
          <w:szCs w:val="16"/>
          <w:lang w:val="en-US"/>
        </w:rPr>
        <w:t xml:space="preserve">P </w:t>
      </w:r>
      <w:r w:rsidRPr="00BF6104">
        <w:rPr>
          <w:rFonts w:ascii="WbksbdSTIX-Regular" w:eastAsiaTheme="minorHAnsi" w:hAnsi="WbksbdSTIX-Regular" w:cs="WbksbdSTIX-Regular"/>
          <w:sz w:val="16"/>
          <w:szCs w:val="16"/>
          <w:lang w:val="en-US"/>
        </w:rPr>
        <w:t>&lt; 0.05)</w:t>
      </w:r>
    </w:p>
    <w:p w:rsidR="00212C5B" w:rsidRPr="00A25CE6" w:rsidRDefault="00212C5B" w:rsidP="00212C5B">
      <w:pPr>
        <w:pStyle w:val="CETBodytext"/>
      </w:pPr>
    </w:p>
    <w:p w:rsidR="00212C5B" w:rsidRPr="00E91856" w:rsidRDefault="00212C5B" w:rsidP="00212C5B">
      <w:pPr>
        <w:pStyle w:val="CETBodytext"/>
        <w:rPr>
          <w:lang w:val="en-GB"/>
        </w:rPr>
      </w:pPr>
      <w:r w:rsidRPr="00103DF3">
        <w:t>Regarding the antioxidant activity, the results highlighted the higher antioxidant activity of OE3 sample (</w:t>
      </w:r>
      <w:r w:rsidRPr="00103DF3">
        <w:rPr>
          <w:rFonts w:cs="Arial"/>
          <w:szCs w:val="18"/>
          <w:lang w:val="en-GB"/>
        </w:rPr>
        <w:t>937.20</w:t>
      </w:r>
      <w:r w:rsidR="00A077D0">
        <w:rPr>
          <w:rFonts w:cs="Arial"/>
          <w:szCs w:val="18"/>
          <w:lang w:val="en-GB"/>
        </w:rPr>
        <w:t xml:space="preserve"> x10</w:t>
      </w:r>
      <w:r w:rsidR="00A077D0" w:rsidRPr="002B4415">
        <w:rPr>
          <w:rFonts w:cs="Arial"/>
          <w:szCs w:val="18"/>
          <w:vertAlign w:val="superscript"/>
          <w:lang w:val="en-GB"/>
        </w:rPr>
        <w:t>3</w:t>
      </w:r>
      <w:r w:rsidRPr="00103DF3">
        <w:rPr>
          <w:rFonts w:cs="Arial"/>
          <w:szCs w:val="18"/>
          <w:lang w:val="en-GB"/>
        </w:rPr>
        <w:t xml:space="preserve"> </w:t>
      </w:r>
      <w:r w:rsidR="002B4415">
        <w:rPr>
          <w:rFonts w:cs="Arial"/>
          <w:szCs w:val="18"/>
          <w:lang w:val="en-GB"/>
        </w:rPr>
        <w:t>µ</w:t>
      </w:r>
      <w:r w:rsidR="002B4415" w:rsidRPr="002B5B82">
        <w:rPr>
          <w:rFonts w:cs="Arial"/>
          <w:szCs w:val="18"/>
          <w:lang w:val="en-GB"/>
        </w:rPr>
        <w:t>mol</w:t>
      </w:r>
      <w:r w:rsidR="002B4415" w:rsidRPr="00103DF3">
        <w:rPr>
          <w:rFonts w:cs="Arial"/>
          <w:szCs w:val="18"/>
          <w:lang w:val="en-GB"/>
        </w:rPr>
        <w:t xml:space="preserve"> </w:t>
      </w:r>
      <w:r w:rsidRPr="00103DF3">
        <w:rPr>
          <w:rFonts w:cs="Arial"/>
          <w:szCs w:val="18"/>
          <w:lang w:val="en-GB"/>
        </w:rPr>
        <w:t xml:space="preserve">Trolox/g of DM) with respect to OE1 and OE2 (equal to 733.13 </w:t>
      </w:r>
      <w:r w:rsidR="002B4415">
        <w:rPr>
          <w:rFonts w:cs="Arial"/>
          <w:szCs w:val="18"/>
          <w:lang w:val="en-GB"/>
        </w:rPr>
        <w:t>x10</w:t>
      </w:r>
      <w:r w:rsidR="002B4415" w:rsidRPr="002B4415">
        <w:rPr>
          <w:rFonts w:cs="Arial"/>
          <w:szCs w:val="18"/>
          <w:vertAlign w:val="superscript"/>
          <w:lang w:val="en-GB"/>
        </w:rPr>
        <w:t>3</w:t>
      </w:r>
      <w:r w:rsidR="002B4415">
        <w:rPr>
          <w:rFonts w:cs="Arial"/>
          <w:szCs w:val="18"/>
          <w:lang w:val="en-GB"/>
        </w:rPr>
        <w:t xml:space="preserve"> </w:t>
      </w:r>
      <w:r w:rsidRPr="00103DF3">
        <w:rPr>
          <w:rFonts w:cs="Arial"/>
          <w:szCs w:val="18"/>
          <w:lang w:val="en-GB"/>
        </w:rPr>
        <w:t>and 793.53</w:t>
      </w:r>
      <w:r w:rsidR="002B4415">
        <w:rPr>
          <w:rFonts w:cs="Arial"/>
          <w:szCs w:val="18"/>
          <w:lang w:val="en-GB"/>
        </w:rPr>
        <w:t xml:space="preserve"> x10</w:t>
      </w:r>
      <w:r w:rsidR="002B4415" w:rsidRPr="002B4415">
        <w:rPr>
          <w:rFonts w:cs="Arial"/>
          <w:szCs w:val="18"/>
          <w:vertAlign w:val="superscript"/>
          <w:lang w:val="en-GB"/>
        </w:rPr>
        <w:t>3</w:t>
      </w:r>
      <w:r w:rsidRPr="00103DF3">
        <w:rPr>
          <w:rFonts w:cs="Arial"/>
          <w:szCs w:val="18"/>
          <w:lang w:val="en-GB"/>
        </w:rPr>
        <w:t>, respectively).</w:t>
      </w:r>
      <w:r>
        <w:rPr>
          <w:rFonts w:cs="Arial"/>
          <w:szCs w:val="18"/>
          <w:lang w:val="en-GB"/>
        </w:rPr>
        <w:t xml:space="preserve"> </w:t>
      </w:r>
      <w:r w:rsidRPr="00103DF3">
        <w:t xml:space="preserve">In all cases, the antioxidant activity of the extracts analyzed was much more performing than the results reported in the literature on olive leaves extract (Amaro-Blanco et al., 2017) and pomace (De </w:t>
      </w:r>
      <w:proofErr w:type="spellStart"/>
      <w:r w:rsidRPr="00103DF3">
        <w:t>Moraes</w:t>
      </w:r>
      <w:proofErr w:type="spellEnd"/>
      <w:r w:rsidRPr="00103DF3">
        <w:t xml:space="preserve"> </w:t>
      </w:r>
      <w:proofErr w:type="spellStart"/>
      <w:r w:rsidRPr="00103DF3">
        <w:t>Crizel</w:t>
      </w:r>
      <w:proofErr w:type="spellEnd"/>
      <w:r w:rsidRPr="00103DF3">
        <w:t xml:space="preserve"> et al., 2017). In particular, De </w:t>
      </w:r>
      <w:proofErr w:type="spellStart"/>
      <w:r w:rsidRPr="00103DF3">
        <w:t>Moraes</w:t>
      </w:r>
      <w:proofErr w:type="spellEnd"/>
      <w:r w:rsidRPr="00103DF3">
        <w:t xml:space="preserve"> </w:t>
      </w:r>
      <w:proofErr w:type="spellStart"/>
      <w:r w:rsidRPr="00103DF3">
        <w:t>Crizel</w:t>
      </w:r>
      <w:proofErr w:type="spellEnd"/>
      <w:r w:rsidRPr="00103DF3">
        <w:t xml:space="preserve"> et al. </w:t>
      </w:r>
      <w:r>
        <w:t xml:space="preserve">(2017) </w:t>
      </w:r>
      <w:r w:rsidRPr="00103DF3">
        <w:t xml:space="preserve">found an antioxidant activity equal to 143.51 ± 13.56 µmol TE/g dry matter for olive pomace flour, while Amaro-Blanco et al. </w:t>
      </w:r>
      <w:r>
        <w:t xml:space="preserve">(2017) </w:t>
      </w:r>
      <w:r w:rsidRPr="00103DF3">
        <w:t xml:space="preserve">found an antioxidant activity </w:t>
      </w:r>
      <w:r>
        <w:t xml:space="preserve">on olive leaves extract </w:t>
      </w:r>
      <w:r w:rsidRPr="00103DF3">
        <w:t xml:space="preserve">equal to </w:t>
      </w:r>
      <w:r w:rsidRPr="00103DF3">
        <w:rPr>
          <w:lang w:val="en-GB"/>
        </w:rPr>
        <w:t>234.32 ± 22.39 mg</w:t>
      </w:r>
      <w:r w:rsidRPr="00103DF3">
        <w:t xml:space="preserve"> TE/g dry matter, corresponding to ca. </w:t>
      </w:r>
      <w:r w:rsidRPr="00103DF3">
        <w:rPr>
          <w:lang w:val="en-GB"/>
        </w:rPr>
        <w:t xml:space="preserve">930 </w:t>
      </w:r>
      <w:r w:rsidRPr="00103DF3">
        <w:t>µmol TE/g dry matter.</w:t>
      </w:r>
      <w:r>
        <w:t xml:space="preserve"> Moreover, the </w:t>
      </w:r>
      <w:r w:rsidRPr="00787C9F">
        <w:t xml:space="preserve">highest antioxidant activity of the extract with lower dry matter content suggests a better </w:t>
      </w:r>
      <w:r>
        <w:t>preservation</w:t>
      </w:r>
      <w:r w:rsidRPr="00787C9F">
        <w:t xml:space="preserve"> of the bioactive components in the OE3 extract, and highlights the critical role of the pretreatment </w:t>
      </w:r>
      <w:r>
        <w:t xml:space="preserve">conditions in </w:t>
      </w:r>
      <w:r w:rsidRPr="00787C9F">
        <w:t xml:space="preserve">preserving the effectiveness </w:t>
      </w:r>
      <w:r>
        <w:t>of the phenolic components.</w:t>
      </w:r>
      <w:r w:rsidR="00BF6104">
        <w:t xml:space="preserve"> </w:t>
      </w:r>
      <w:r>
        <w:t xml:space="preserve">The </w:t>
      </w:r>
      <w:r w:rsidRPr="005E2685">
        <w:t xml:space="preserve">color of the samples was </w:t>
      </w:r>
      <w:r>
        <w:t xml:space="preserve">then </w:t>
      </w:r>
      <w:r w:rsidRPr="005E2685">
        <w:t xml:space="preserve">evaluated by colorimetric analysis, and the </w:t>
      </w:r>
      <w:r>
        <w:t>associated</w:t>
      </w:r>
      <w:r w:rsidRPr="005E2685">
        <w:t xml:space="preserve"> parameters </w:t>
      </w:r>
      <w:r>
        <w:t>are</w:t>
      </w:r>
      <w:r w:rsidRPr="005E2685">
        <w:t xml:space="preserve"> </w:t>
      </w:r>
      <w:r>
        <w:t>shown</w:t>
      </w:r>
      <w:r w:rsidRPr="005E2685">
        <w:t xml:space="preserve"> in</w:t>
      </w:r>
      <w:r>
        <w:t xml:space="preserve"> Table 3. All the extracts were characterized by a dark brown color, as confirmed by high Hue angle (ranging from </w:t>
      </w:r>
      <w:r>
        <w:rPr>
          <w:lang w:val="en-GB"/>
        </w:rPr>
        <w:t>322.50 to 324.20 °) and a saturation value (</w:t>
      </w:r>
      <w:r>
        <w:rPr>
          <w:rFonts w:cs="Arial"/>
          <w:szCs w:val="18"/>
          <w:lang w:val="en-GB"/>
        </w:rPr>
        <w:t>C*</w:t>
      </w:r>
      <w:r>
        <w:rPr>
          <w:rFonts w:cs="Arial"/>
          <w:szCs w:val="18"/>
          <w:vertAlign w:val="subscript"/>
          <w:lang w:val="en-GB"/>
        </w:rPr>
        <w:t>ab</w:t>
      </w:r>
      <w:r>
        <w:rPr>
          <w:rFonts w:cs="Arial"/>
          <w:szCs w:val="18"/>
          <w:lang w:val="en-GB"/>
        </w:rPr>
        <w:t xml:space="preserve">) always lower than 13. The typical </w:t>
      </w:r>
      <w:proofErr w:type="spellStart"/>
      <w:r>
        <w:rPr>
          <w:rFonts w:cs="Arial"/>
          <w:szCs w:val="18"/>
          <w:lang w:val="en-GB"/>
        </w:rPr>
        <w:t>color</w:t>
      </w:r>
      <w:proofErr w:type="spellEnd"/>
      <w:r>
        <w:rPr>
          <w:rFonts w:cs="Arial"/>
          <w:szCs w:val="18"/>
          <w:lang w:val="en-GB"/>
        </w:rPr>
        <w:t xml:space="preserve"> was due to </w:t>
      </w:r>
      <w:r>
        <w:t xml:space="preserve">polymerization of tannins and low molecular weight phenolic </w:t>
      </w:r>
      <w:r w:rsidRPr="00E91856">
        <w:t>compounds</w:t>
      </w:r>
      <w:r>
        <w:t xml:space="preserve">, as also reported by </w:t>
      </w:r>
      <w:proofErr w:type="spellStart"/>
      <w:r w:rsidRPr="00E91856">
        <w:t>Otles</w:t>
      </w:r>
      <w:proofErr w:type="spellEnd"/>
      <w:r>
        <w:t xml:space="preserve"> and</w:t>
      </w:r>
      <w:r w:rsidRPr="00E91856">
        <w:t xml:space="preserve"> </w:t>
      </w:r>
      <w:proofErr w:type="spellStart"/>
      <w:r w:rsidRPr="00E91856">
        <w:t>Semih</w:t>
      </w:r>
      <w:proofErr w:type="spellEnd"/>
      <w:r>
        <w:t>, 2012.</w:t>
      </w:r>
    </w:p>
    <w:p w:rsidR="00212C5B" w:rsidRDefault="00212C5B" w:rsidP="00212C5B">
      <w:pPr>
        <w:pStyle w:val="CET11"/>
      </w:pPr>
      <w:r>
        <w:t xml:space="preserve">Characterization of the </w:t>
      </w:r>
      <w:r w:rsidR="00E1447F">
        <w:t>coated</w:t>
      </w:r>
      <w:r>
        <w:t xml:space="preserve"> films</w:t>
      </w:r>
    </w:p>
    <w:p w:rsidR="00564B1A" w:rsidRDefault="00212C5B" w:rsidP="00564B1A">
      <w:pPr>
        <w:pStyle w:val="CETBodytext"/>
      </w:pPr>
      <w:r>
        <w:t>The results obtained from characterization of phenolic extracts pointed out the highest antioxidant activity and the lowest reducing sugars content of the OE3 sample, which was then selected as the most suitable for the production of the active multilayer films.</w:t>
      </w:r>
      <w:r w:rsidR="00DE70C0">
        <w:t xml:space="preserve"> </w:t>
      </w:r>
      <w:r>
        <w:t xml:space="preserve">The films obtained were characterized in terms of oxygen and water vapor transport properties, as well as wettability to water and 95% ethanol, and the data are reported in Table 4. From the comparison between </w:t>
      </w:r>
      <w:r w:rsidR="00DD0367">
        <w:t xml:space="preserve">Biopolymer </w:t>
      </w:r>
      <w:r>
        <w:t xml:space="preserve">and </w:t>
      </w:r>
      <w:r w:rsidR="00DD0367">
        <w:t>Biopolymer</w:t>
      </w:r>
      <w:r>
        <w:t xml:space="preserve">/PLA samples, it was possible to observe that the PLA coating layer addition resulted in a slight reduction in the permeability of the substrate to both oxygen and water vapor (from 5.15 to 4.07 </w:t>
      </w:r>
      <w:r w:rsidRPr="00D52152">
        <w:t>cm</w:t>
      </w:r>
      <w:r w:rsidRPr="00D52152">
        <w:rPr>
          <w:vertAlign w:val="superscript"/>
        </w:rPr>
        <w:t xml:space="preserve">3 </w:t>
      </w:r>
      <w:r w:rsidRPr="00D52152">
        <w:t>cm/(m</w:t>
      </w:r>
      <w:r w:rsidRPr="00D52152">
        <w:rPr>
          <w:vertAlign w:val="superscript"/>
        </w:rPr>
        <w:t xml:space="preserve">2 </w:t>
      </w:r>
      <w:r w:rsidRPr="00D52152">
        <w:t>d bar)</w:t>
      </w:r>
      <w:r>
        <w:t xml:space="preserve"> and from </w:t>
      </w:r>
      <w:r>
        <w:rPr>
          <w:lang w:val="en-GB"/>
        </w:rPr>
        <w:t>9.19 to 8.31</w:t>
      </w:r>
      <w:r w:rsidRPr="00D52152">
        <w:t xml:space="preserve"> g m/(m</w:t>
      </w:r>
      <w:r w:rsidRPr="00D52152">
        <w:rPr>
          <w:vertAlign w:val="superscript"/>
        </w:rPr>
        <w:t>2</w:t>
      </w:r>
      <w:r w:rsidRPr="00D52152">
        <w:t xml:space="preserve"> Pa s)</w:t>
      </w:r>
      <w:r>
        <w:t xml:space="preserve">, respectively). The further addition of 1% and 3% w/w of active agent did not significantly affect the oxygen permeability of the multilayer films, while a slight increase in the </w:t>
      </w:r>
      <w:r w:rsidRPr="007B73C1">
        <w:t>P</w:t>
      </w:r>
      <w:r w:rsidRPr="007B73C1">
        <w:rPr>
          <w:vertAlign w:val="subscript"/>
        </w:rPr>
        <w:t>WV</w:t>
      </w:r>
      <w:r>
        <w:rPr>
          <w:vertAlign w:val="subscript"/>
        </w:rPr>
        <w:t xml:space="preserve"> </w:t>
      </w:r>
      <w:r w:rsidRPr="007B73C1">
        <w:t>values</w:t>
      </w:r>
      <w:r>
        <w:rPr>
          <w:vertAlign w:val="subscript"/>
        </w:rPr>
        <w:t xml:space="preserve"> </w:t>
      </w:r>
      <w:r>
        <w:t xml:space="preserve">was observed. This behavior could be attributed to an increased affinity of the active coating to the permeating water vapor molecules, due to </w:t>
      </w:r>
      <w:r w:rsidRPr="003002C8">
        <w:t xml:space="preserve">the </w:t>
      </w:r>
      <w:r>
        <w:t>inherent high polarity</w:t>
      </w:r>
      <w:r w:rsidRPr="003002C8">
        <w:t xml:space="preserve"> </w:t>
      </w:r>
      <w:r>
        <w:t xml:space="preserve">of the </w:t>
      </w:r>
      <w:r w:rsidRPr="003002C8">
        <w:t>active phase.</w:t>
      </w:r>
      <w:r w:rsidRPr="007B73C1">
        <w:t xml:space="preserve"> </w:t>
      </w:r>
      <w:r>
        <w:t xml:space="preserve">However, the differences among the water vapor permeabilities of the multilayer samples are negligible, in order to assess the performances of the films in the real working conditions. </w:t>
      </w:r>
    </w:p>
    <w:p w:rsidR="00425A38" w:rsidRDefault="00212C5B" w:rsidP="00564B1A">
      <w:pPr>
        <w:pStyle w:val="CETBodytext"/>
      </w:pPr>
      <w:r>
        <w:t>Surface wettability of the films was then evaluated, as the</w:t>
      </w:r>
      <w:r w:rsidRPr="0094658D">
        <w:t xml:space="preserve"> knowledge of </w:t>
      </w:r>
      <w:r>
        <w:t>active packaging</w:t>
      </w:r>
      <w:r w:rsidRPr="0094658D">
        <w:t xml:space="preserve"> surface properties</w:t>
      </w:r>
      <w:r>
        <w:t xml:space="preserve"> and the affinity with the target food matrix </w:t>
      </w:r>
      <w:r w:rsidRPr="0094658D">
        <w:t>is essential for the success</w:t>
      </w:r>
      <w:r>
        <w:t xml:space="preserve"> </w:t>
      </w:r>
      <w:r w:rsidRPr="0094658D">
        <w:t>of technological operations</w:t>
      </w:r>
      <w:r>
        <w:t xml:space="preserve"> such</w:t>
      </w:r>
      <w:r w:rsidRPr="00866D1F">
        <w:t xml:space="preserve"> </w:t>
      </w:r>
      <w:r w:rsidRPr="003718F3">
        <w:t xml:space="preserve">as the controlled release of active molecules during time. </w:t>
      </w:r>
      <w:r>
        <w:t>To this aim, d</w:t>
      </w:r>
      <w:r w:rsidRPr="003718F3">
        <w:t>istilled water was selected as aqueous food simulant</w:t>
      </w:r>
      <w:r>
        <w:t>,</w:t>
      </w:r>
      <w:r w:rsidRPr="003718F3">
        <w:t xml:space="preserve"> while 95%</w:t>
      </w:r>
      <w:r>
        <w:t xml:space="preserve"> v/v</w:t>
      </w:r>
      <w:r w:rsidRPr="003718F3">
        <w:t xml:space="preserve"> ethanol is recommended by the European Commission as simulant for fats, oil and fatty foods owing to its similar hydrophobicity (Reg.(EU) No 10/2011).</w:t>
      </w:r>
      <w:r w:rsidR="00425A38">
        <w:t xml:space="preserve"> Results display a higher wetting tendency to both water and 95%</w:t>
      </w:r>
      <w:r w:rsidR="00425A38" w:rsidRPr="003718F3">
        <w:t xml:space="preserve"> </w:t>
      </w:r>
      <w:r w:rsidR="00425A38">
        <w:t>ethanol for all the multilayer films, with respect to the Biopolymer substrate. However, the much lower CA</w:t>
      </w:r>
      <w:r w:rsidR="00425A38" w:rsidRPr="00420FDC">
        <w:rPr>
          <w:vertAlign w:val="subscript"/>
        </w:rPr>
        <w:t>E</w:t>
      </w:r>
      <w:r w:rsidR="00425A38">
        <w:rPr>
          <w:vertAlign w:val="subscript"/>
        </w:rPr>
        <w:t xml:space="preserve"> </w:t>
      </w:r>
      <w:r w:rsidR="00425A38">
        <w:t xml:space="preserve">values for all the coated samples, approaching to complete wetting, suggest a stronger affinity of the polymer matrix with the organic solvent, thus facilitating the swelling of PLA macromolecules during the release tests. </w:t>
      </w:r>
      <w:r w:rsidR="00425A38" w:rsidRPr="00693053">
        <w:t>On the basis of these considerations, 95%</w:t>
      </w:r>
      <w:r w:rsidR="00425A38">
        <w:t xml:space="preserve"> </w:t>
      </w:r>
      <w:r w:rsidR="00425A38" w:rsidRPr="00693053">
        <w:t>ethanol was selected as target food simulant for the release tests</w:t>
      </w:r>
      <w:r w:rsidR="00425A38">
        <w:t xml:space="preserve">. </w:t>
      </w:r>
      <w:r w:rsidR="00425A38" w:rsidRPr="00693053">
        <w:t>Measurements were conducted on the active multilayer sample at</w:t>
      </w:r>
      <w:r w:rsidR="00425A38">
        <w:t xml:space="preserve"> the</w:t>
      </w:r>
      <w:r w:rsidR="00425A38" w:rsidRPr="00693053">
        <w:t xml:space="preserve"> highest phenolic concentration (</w:t>
      </w:r>
      <w:r w:rsidR="00425A38">
        <w:t>Biopolymer</w:t>
      </w:r>
      <w:r w:rsidR="00425A38" w:rsidRPr="00693053">
        <w:t xml:space="preserve">/PLA-3%OE), and DPPH analysis was carried out on withdrawals at 2, 4, 8, 10 </w:t>
      </w:r>
      <w:r w:rsidR="00E1185B">
        <w:t>and</w:t>
      </w:r>
      <w:r w:rsidR="00425A38" w:rsidRPr="00693053">
        <w:t xml:space="preserve"> 14 days</w:t>
      </w:r>
      <w:r w:rsidR="00E1185B">
        <w:t>.</w:t>
      </w:r>
      <w:r w:rsidR="000C15E1">
        <w:t xml:space="preserve"> </w:t>
      </w:r>
      <w:r w:rsidR="000C15E1" w:rsidRPr="00693053">
        <w:t xml:space="preserve">Release test and antioxidant activity was also evaluated on </w:t>
      </w:r>
      <w:r w:rsidR="000C15E1">
        <w:t>Biopolymer</w:t>
      </w:r>
      <w:r w:rsidR="000C15E1" w:rsidRPr="00693053">
        <w:t xml:space="preserve"> and </w:t>
      </w:r>
      <w:r w:rsidR="000C15E1">
        <w:t>Biopolymer</w:t>
      </w:r>
      <w:r w:rsidR="000C15E1" w:rsidRPr="00693053">
        <w:t xml:space="preserve">/PLA films, considered as </w:t>
      </w:r>
      <w:r w:rsidR="000C15E1">
        <w:t>reference</w:t>
      </w:r>
      <w:r w:rsidR="000C15E1" w:rsidRPr="00693053">
        <w:t xml:space="preserve"> samples</w:t>
      </w:r>
      <w:r w:rsidR="000C15E1">
        <w:t>, and the results are displayed in Figure 1. As expected, control films had no significant radical scavenging activity. On the other hand, the obtained DPPH% profiles for the Biopolymer</w:t>
      </w:r>
      <w:r w:rsidR="000C15E1" w:rsidRPr="00693053">
        <w:t>/PLA-3%OE</w:t>
      </w:r>
      <w:r w:rsidR="000C15E1">
        <w:t xml:space="preserve"> pointed out the effectiveness of the active film in releasing the antioxidant molecules, exhibiting an initial faster kinetic occurring in the first days, followed by a sustained release, with a typical Fick’s curve.</w:t>
      </w:r>
      <w:r w:rsidR="000C15E1">
        <w:t xml:space="preserve"> </w:t>
      </w:r>
      <w:r w:rsidR="000C15E1">
        <w:t>The maximum antioxidant activity displayed was equal to 8.56% after 4 days.</w:t>
      </w:r>
      <w:r w:rsidR="000C15E1">
        <w:t xml:space="preserve"> </w:t>
      </w:r>
      <w:r w:rsidR="000C15E1">
        <w:t>The slight decrease in the DPPH% occurring after 6 days could be due to the degradation of the phenolic</w:t>
      </w:r>
      <w:r w:rsidR="000C15E1">
        <w:t xml:space="preserve"> </w:t>
      </w:r>
      <w:r w:rsidR="000C15E1">
        <w:t>components reacting with the oxygen dissolved in the medium, leading to the formation of</w:t>
      </w:r>
      <w:r w:rsidR="000C15E1" w:rsidRPr="00924F68">
        <w:t xml:space="preserve"> superoxide radicals</w:t>
      </w:r>
      <w:r w:rsidR="000C15E1">
        <w:t xml:space="preserve"> (</w:t>
      </w:r>
      <w:proofErr w:type="spellStart"/>
      <w:r w:rsidR="000C15E1">
        <w:t>Martelli</w:t>
      </w:r>
      <w:proofErr w:type="spellEnd"/>
      <w:r w:rsidR="000C15E1">
        <w:t xml:space="preserve"> et al., 2017).</w:t>
      </w:r>
      <w:r w:rsidR="000C15E1">
        <w:t xml:space="preserve"> </w:t>
      </w:r>
    </w:p>
    <w:p w:rsidR="00212C5B" w:rsidRPr="00282360" w:rsidRDefault="00212C5B" w:rsidP="00212C5B">
      <w:pPr>
        <w:pStyle w:val="CETTabletitle"/>
      </w:pPr>
      <w:r>
        <w:lastRenderedPageBreak/>
        <w:t xml:space="preserve">Table 3: </w:t>
      </w:r>
      <w:proofErr w:type="spellStart"/>
      <w:r>
        <w:t>CieLab</w:t>
      </w:r>
      <w:proofErr w:type="spellEnd"/>
      <w:r>
        <w:t xml:space="preserve"> </w:t>
      </w:r>
      <w:proofErr w:type="spellStart"/>
      <w:r>
        <w:t>color</w:t>
      </w:r>
      <w:proofErr w:type="spellEnd"/>
      <w:r>
        <w:t xml:space="preserve"> parameters of the olive extracts.</w:t>
      </w:r>
    </w:p>
    <w:tbl>
      <w:tblPr>
        <w:tblW w:w="8787"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49"/>
        <w:gridCol w:w="1286"/>
        <w:gridCol w:w="1276"/>
        <w:gridCol w:w="1276"/>
        <w:gridCol w:w="1559"/>
        <w:gridCol w:w="1841"/>
      </w:tblGrid>
      <w:tr w:rsidR="00212C5B" w:rsidRPr="006748AE" w:rsidTr="00514964">
        <w:trPr>
          <w:trHeight w:val="353"/>
        </w:trPr>
        <w:tc>
          <w:tcPr>
            <w:tcW w:w="1549" w:type="dxa"/>
            <w:tcBorders>
              <w:top w:val="single" w:sz="12" w:space="0" w:color="008000"/>
              <w:left w:val="nil"/>
              <w:bottom w:val="single" w:sz="6" w:space="0" w:color="008000"/>
              <w:right w:val="nil"/>
            </w:tcBorders>
            <w:shd w:val="clear" w:color="auto" w:fill="FFFFFF"/>
            <w:hideMark/>
          </w:tcPr>
          <w:p w:rsidR="00212C5B" w:rsidRDefault="00212C5B" w:rsidP="00514964">
            <w:pPr>
              <w:pStyle w:val="CETBodytext"/>
              <w:jc w:val="left"/>
              <w:rPr>
                <w:lang w:val="en-GB"/>
              </w:rPr>
            </w:pPr>
            <w:r>
              <w:rPr>
                <w:lang w:val="en-GB"/>
              </w:rPr>
              <w:t>Sample</w:t>
            </w:r>
          </w:p>
        </w:tc>
        <w:tc>
          <w:tcPr>
            <w:tcW w:w="1286" w:type="dxa"/>
            <w:tcBorders>
              <w:top w:val="single" w:sz="12" w:space="0" w:color="008000"/>
              <w:left w:val="nil"/>
              <w:bottom w:val="single" w:sz="6" w:space="0" w:color="008000"/>
              <w:right w:val="nil"/>
            </w:tcBorders>
            <w:shd w:val="clear" w:color="auto" w:fill="FFFFFF"/>
          </w:tcPr>
          <w:p w:rsidR="00212C5B" w:rsidRDefault="00212C5B" w:rsidP="00514964">
            <w:pPr>
              <w:pStyle w:val="CETBodytext"/>
              <w:jc w:val="left"/>
              <w:rPr>
                <w:lang w:val="en-GB"/>
              </w:rPr>
            </w:pPr>
            <w:r>
              <w:rPr>
                <w:lang w:val="en-GB"/>
              </w:rPr>
              <w:t>L*</w:t>
            </w:r>
          </w:p>
        </w:tc>
        <w:tc>
          <w:tcPr>
            <w:tcW w:w="1276" w:type="dxa"/>
            <w:tcBorders>
              <w:top w:val="single" w:sz="12" w:space="0" w:color="008000"/>
              <w:left w:val="nil"/>
              <w:bottom w:val="single" w:sz="6" w:space="0" w:color="008000"/>
              <w:right w:val="nil"/>
            </w:tcBorders>
            <w:shd w:val="clear" w:color="auto" w:fill="FFFFFF"/>
          </w:tcPr>
          <w:p w:rsidR="00212C5B" w:rsidRDefault="00212C5B" w:rsidP="00514964">
            <w:pPr>
              <w:pStyle w:val="CETBodytext"/>
              <w:jc w:val="left"/>
              <w:rPr>
                <w:lang w:val="en-GB"/>
              </w:rPr>
            </w:pPr>
            <w:r>
              <w:rPr>
                <w:lang w:val="en-GB"/>
              </w:rPr>
              <w:t>a*</w:t>
            </w:r>
          </w:p>
        </w:tc>
        <w:tc>
          <w:tcPr>
            <w:tcW w:w="1276" w:type="dxa"/>
            <w:tcBorders>
              <w:top w:val="single" w:sz="12" w:space="0" w:color="008000"/>
              <w:left w:val="nil"/>
              <w:bottom w:val="single" w:sz="6" w:space="0" w:color="008000"/>
              <w:right w:val="nil"/>
            </w:tcBorders>
            <w:shd w:val="clear" w:color="auto" w:fill="FFFFFF"/>
          </w:tcPr>
          <w:p w:rsidR="00212C5B" w:rsidRDefault="00212C5B" w:rsidP="00514964">
            <w:pPr>
              <w:pStyle w:val="CETBodytext"/>
              <w:jc w:val="left"/>
              <w:rPr>
                <w:lang w:val="en-GB"/>
              </w:rPr>
            </w:pPr>
            <w:r>
              <w:rPr>
                <w:lang w:val="en-GB"/>
              </w:rPr>
              <w:t>b*</w:t>
            </w:r>
          </w:p>
        </w:tc>
        <w:tc>
          <w:tcPr>
            <w:tcW w:w="1559" w:type="dxa"/>
            <w:tcBorders>
              <w:top w:val="single" w:sz="12" w:space="0" w:color="008000"/>
              <w:left w:val="nil"/>
              <w:bottom w:val="single" w:sz="6" w:space="0" w:color="008000"/>
              <w:right w:val="nil"/>
            </w:tcBorders>
            <w:shd w:val="clear" w:color="auto" w:fill="FFFFFF"/>
            <w:hideMark/>
          </w:tcPr>
          <w:p w:rsidR="00212C5B" w:rsidRDefault="00212C5B" w:rsidP="00514964">
            <w:pPr>
              <w:pStyle w:val="CETBodytext"/>
              <w:jc w:val="left"/>
              <w:rPr>
                <w:lang w:val="en-GB"/>
              </w:rPr>
            </w:pPr>
            <w:proofErr w:type="spellStart"/>
            <w:r>
              <w:rPr>
                <w:lang w:val="en-GB"/>
              </w:rPr>
              <w:t>h</w:t>
            </w:r>
            <w:r>
              <w:rPr>
                <w:vertAlign w:val="subscript"/>
                <w:lang w:val="en-GB"/>
              </w:rPr>
              <w:t>ab</w:t>
            </w:r>
            <w:proofErr w:type="spellEnd"/>
            <w:r>
              <w:rPr>
                <w:lang w:val="en-GB"/>
              </w:rPr>
              <w:t xml:space="preserve"> [°]</w:t>
            </w:r>
          </w:p>
        </w:tc>
        <w:tc>
          <w:tcPr>
            <w:tcW w:w="1841" w:type="dxa"/>
            <w:tcBorders>
              <w:top w:val="single" w:sz="12" w:space="0" w:color="008000"/>
              <w:left w:val="nil"/>
              <w:bottom w:val="single" w:sz="6" w:space="0" w:color="008000"/>
              <w:right w:val="nil"/>
            </w:tcBorders>
            <w:shd w:val="clear" w:color="auto" w:fill="FFFFFF"/>
            <w:hideMark/>
          </w:tcPr>
          <w:p w:rsidR="00212C5B" w:rsidRDefault="00212C5B" w:rsidP="00514964">
            <w:pPr>
              <w:pStyle w:val="CETBodytext"/>
              <w:ind w:right="-1"/>
              <w:jc w:val="left"/>
              <w:rPr>
                <w:rFonts w:cs="Arial"/>
                <w:szCs w:val="18"/>
                <w:lang w:val="en-GB"/>
              </w:rPr>
            </w:pPr>
            <w:r>
              <w:rPr>
                <w:rFonts w:cs="Arial"/>
                <w:szCs w:val="18"/>
                <w:lang w:val="en-GB"/>
              </w:rPr>
              <w:t>C*</w:t>
            </w:r>
            <w:r>
              <w:rPr>
                <w:rFonts w:cs="Arial"/>
                <w:szCs w:val="18"/>
                <w:vertAlign w:val="subscript"/>
                <w:lang w:val="en-GB"/>
              </w:rPr>
              <w:t>ab</w:t>
            </w:r>
          </w:p>
        </w:tc>
      </w:tr>
      <w:tr w:rsidR="00212C5B" w:rsidTr="00514964">
        <w:trPr>
          <w:trHeight w:val="268"/>
        </w:trPr>
        <w:tc>
          <w:tcPr>
            <w:tcW w:w="1549" w:type="dxa"/>
            <w:tcBorders>
              <w:top w:val="nil"/>
              <w:left w:val="nil"/>
              <w:bottom w:val="nil"/>
              <w:right w:val="nil"/>
            </w:tcBorders>
            <w:shd w:val="clear" w:color="auto" w:fill="FFFFFF"/>
            <w:hideMark/>
          </w:tcPr>
          <w:p w:rsidR="00212C5B" w:rsidRDefault="00212C5B" w:rsidP="00514964">
            <w:pPr>
              <w:pStyle w:val="CETBodytext"/>
              <w:jc w:val="left"/>
              <w:rPr>
                <w:lang w:val="en-GB"/>
              </w:rPr>
            </w:pPr>
            <w:r>
              <w:rPr>
                <w:lang w:val="en-GB"/>
              </w:rPr>
              <w:t>OE1</w:t>
            </w:r>
          </w:p>
        </w:tc>
        <w:tc>
          <w:tcPr>
            <w:tcW w:w="1286"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19.8 </w:t>
            </w:r>
            <w:r w:rsidRPr="00550F6A">
              <w:rPr>
                <w:lang w:val="en-GB"/>
              </w:rPr>
              <w:t>±</w:t>
            </w:r>
            <w:r>
              <w:rPr>
                <w:lang w:val="en-GB"/>
              </w:rPr>
              <w:t xml:space="preserve"> 0.02</w:t>
            </w:r>
            <w:r w:rsidR="00994487" w:rsidRPr="002B2605">
              <w:rPr>
                <w:vertAlign w:val="superscript"/>
                <w:lang w:val="en-GB"/>
              </w:rPr>
              <w:t>b</w:t>
            </w:r>
            <w:r>
              <w:rPr>
                <w:lang w:val="en-GB"/>
              </w:rPr>
              <w:t xml:space="preserve"> </w:t>
            </w:r>
          </w:p>
        </w:tc>
        <w:tc>
          <w:tcPr>
            <w:tcW w:w="1276"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9.31 </w:t>
            </w:r>
            <w:r w:rsidRPr="00550F6A">
              <w:rPr>
                <w:lang w:val="en-GB"/>
              </w:rPr>
              <w:t>±</w:t>
            </w:r>
            <w:r>
              <w:rPr>
                <w:lang w:val="en-GB"/>
              </w:rPr>
              <w:t xml:space="preserve"> 0.18</w:t>
            </w:r>
            <w:r w:rsidR="00994487" w:rsidRPr="002B2605">
              <w:rPr>
                <w:vertAlign w:val="superscript"/>
                <w:lang w:val="en-GB"/>
              </w:rPr>
              <w:t>a</w:t>
            </w:r>
          </w:p>
        </w:tc>
        <w:tc>
          <w:tcPr>
            <w:tcW w:w="1276"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-6.71 </w:t>
            </w:r>
            <w:r w:rsidRPr="00550F6A">
              <w:rPr>
                <w:lang w:val="en-GB"/>
              </w:rPr>
              <w:t>±</w:t>
            </w:r>
            <w:r>
              <w:rPr>
                <w:lang w:val="en-GB"/>
              </w:rPr>
              <w:t xml:space="preserve"> 0.31</w:t>
            </w:r>
            <w:r w:rsidR="00994487" w:rsidRPr="002B2605">
              <w:rPr>
                <w:vertAlign w:val="superscript"/>
                <w:lang w:val="en-GB"/>
              </w:rPr>
              <w:t>b</w:t>
            </w:r>
          </w:p>
        </w:tc>
        <w:tc>
          <w:tcPr>
            <w:tcW w:w="1559"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324.20 </w:t>
            </w:r>
            <w:r w:rsidRPr="00550F6A">
              <w:rPr>
                <w:lang w:val="en-GB"/>
              </w:rPr>
              <w:t>±</w:t>
            </w:r>
            <w:r>
              <w:rPr>
                <w:lang w:val="en-GB"/>
              </w:rPr>
              <w:t xml:space="preserve"> 0.75</w:t>
            </w:r>
            <w:r w:rsidR="00994487" w:rsidRPr="002B2605">
              <w:rPr>
                <w:vertAlign w:val="superscript"/>
                <w:lang w:val="en-GB"/>
              </w:rPr>
              <w:t>a</w:t>
            </w:r>
          </w:p>
        </w:tc>
        <w:tc>
          <w:tcPr>
            <w:tcW w:w="1841" w:type="dxa"/>
            <w:tcBorders>
              <w:top w:val="nil"/>
              <w:left w:val="nil"/>
              <w:bottom w:val="nil"/>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11.48 </w:t>
            </w:r>
            <w:r w:rsidRPr="00550F6A">
              <w:rPr>
                <w:lang w:val="en-GB"/>
              </w:rPr>
              <w:t>±</w:t>
            </w:r>
            <w:r>
              <w:rPr>
                <w:lang w:val="en-GB"/>
              </w:rPr>
              <w:t xml:space="preserve"> 0.32</w:t>
            </w:r>
            <w:r w:rsidR="00994487" w:rsidRPr="002B2605">
              <w:rPr>
                <w:vertAlign w:val="superscript"/>
                <w:lang w:val="en-GB"/>
              </w:rPr>
              <w:t>a</w:t>
            </w:r>
          </w:p>
        </w:tc>
      </w:tr>
      <w:tr w:rsidR="00212C5B" w:rsidTr="00C83CD3">
        <w:trPr>
          <w:trHeight w:val="129"/>
        </w:trPr>
        <w:tc>
          <w:tcPr>
            <w:tcW w:w="1549" w:type="dxa"/>
            <w:tcBorders>
              <w:top w:val="nil"/>
              <w:left w:val="nil"/>
              <w:bottom w:val="nil"/>
              <w:right w:val="nil"/>
            </w:tcBorders>
            <w:shd w:val="clear" w:color="auto" w:fill="FFFFFF"/>
            <w:hideMark/>
          </w:tcPr>
          <w:p w:rsidR="00212C5B" w:rsidRDefault="00212C5B" w:rsidP="00514964">
            <w:pPr>
              <w:pStyle w:val="CETBodytext"/>
              <w:jc w:val="left"/>
              <w:rPr>
                <w:lang w:val="en-GB"/>
              </w:rPr>
            </w:pPr>
            <w:r>
              <w:rPr>
                <w:lang w:val="en-GB"/>
              </w:rPr>
              <w:t>OE2</w:t>
            </w:r>
          </w:p>
        </w:tc>
        <w:tc>
          <w:tcPr>
            <w:tcW w:w="1286"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20.3 </w:t>
            </w:r>
            <w:r w:rsidRPr="00550F6A">
              <w:rPr>
                <w:lang w:val="en-GB"/>
              </w:rPr>
              <w:t>±</w:t>
            </w:r>
            <w:r>
              <w:rPr>
                <w:lang w:val="en-GB"/>
              </w:rPr>
              <w:t xml:space="preserve"> 0.06</w:t>
            </w:r>
            <w:r w:rsidR="00994487" w:rsidRPr="002B2605">
              <w:rPr>
                <w:vertAlign w:val="superscript"/>
                <w:lang w:val="en-GB"/>
              </w:rPr>
              <w:t>c</w:t>
            </w:r>
          </w:p>
        </w:tc>
        <w:tc>
          <w:tcPr>
            <w:tcW w:w="1276"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8.58 </w:t>
            </w:r>
            <w:r w:rsidRPr="00550F6A">
              <w:rPr>
                <w:lang w:val="en-GB"/>
              </w:rPr>
              <w:t>±</w:t>
            </w:r>
            <w:r>
              <w:rPr>
                <w:lang w:val="en-GB"/>
              </w:rPr>
              <w:t xml:space="preserve"> 0.32</w:t>
            </w:r>
            <w:r w:rsidR="00994487" w:rsidRPr="002B2605">
              <w:rPr>
                <w:vertAlign w:val="superscript"/>
                <w:lang w:val="en-GB"/>
              </w:rPr>
              <w:t>a</w:t>
            </w:r>
          </w:p>
        </w:tc>
        <w:tc>
          <w:tcPr>
            <w:tcW w:w="1276"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-6.42 </w:t>
            </w:r>
            <w:r w:rsidRPr="00550F6A">
              <w:rPr>
                <w:lang w:val="en-GB"/>
              </w:rPr>
              <w:t>±</w:t>
            </w:r>
            <w:r>
              <w:rPr>
                <w:lang w:val="en-GB"/>
              </w:rPr>
              <w:t xml:space="preserve"> 0.37</w:t>
            </w:r>
            <w:r w:rsidR="00994487" w:rsidRPr="002B2605">
              <w:rPr>
                <w:vertAlign w:val="superscript"/>
                <w:lang w:val="en-GB"/>
              </w:rPr>
              <w:t>b</w:t>
            </w:r>
          </w:p>
        </w:tc>
        <w:tc>
          <w:tcPr>
            <w:tcW w:w="1559"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323.21 </w:t>
            </w:r>
            <w:r w:rsidRPr="00550F6A">
              <w:rPr>
                <w:lang w:val="en-GB"/>
              </w:rPr>
              <w:t>±</w:t>
            </w:r>
            <w:r>
              <w:rPr>
                <w:lang w:val="en-GB"/>
              </w:rPr>
              <w:t xml:space="preserve"> 1.14</w:t>
            </w:r>
            <w:r w:rsidR="00994487" w:rsidRPr="002B2605">
              <w:rPr>
                <w:vertAlign w:val="superscript"/>
                <w:lang w:val="en-GB"/>
              </w:rPr>
              <w:t>a</w:t>
            </w:r>
          </w:p>
        </w:tc>
        <w:tc>
          <w:tcPr>
            <w:tcW w:w="1841" w:type="dxa"/>
            <w:tcBorders>
              <w:top w:val="nil"/>
              <w:left w:val="nil"/>
              <w:bottom w:val="nil"/>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10.72 </w:t>
            </w:r>
            <w:r w:rsidRPr="00550F6A">
              <w:rPr>
                <w:lang w:val="en-GB"/>
              </w:rPr>
              <w:t>±</w:t>
            </w:r>
            <w:r>
              <w:rPr>
                <w:lang w:val="en-GB"/>
              </w:rPr>
              <w:t xml:space="preserve"> 0.45</w:t>
            </w:r>
            <w:r w:rsidR="00994487" w:rsidRPr="002B2605">
              <w:rPr>
                <w:vertAlign w:val="superscript"/>
                <w:lang w:val="en-GB"/>
              </w:rPr>
              <w:t>a</w:t>
            </w:r>
          </w:p>
        </w:tc>
      </w:tr>
      <w:tr w:rsidR="00212C5B" w:rsidTr="00C83CD3">
        <w:trPr>
          <w:trHeight w:val="244"/>
        </w:trPr>
        <w:tc>
          <w:tcPr>
            <w:tcW w:w="1549" w:type="dxa"/>
            <w:tcBorders>
              <w:top w:val="nil"/>
              <w:left w:val="nil"/>
              <w:bottom w:val="single" w:sz="12" w:space="0" w:color="009900"/>
              <w:right w:val="nil"/>
            </w:tcBorders>
            <w:shd w:val="clear" w:color="auto" w:fill="FFFFFF"/>
          </w:tcPr>
          <w:p w:rsidR="00212C5B" w:rsidRDefault="00212C5B" w:rsidP="00514964">
            <w:pPr>
              <w:pStyle w:val="CETBodytext"/>
              <w:jc w:val="left"/>
              <w:rPr>
                <w:lang w:val="en-GB"/>
              </w:rPr>
            </w:pPr>
            <w:r>
              <w:rPr>
                <w:lang w:val="en-GB"/>
              </w:rPr>
              <w:t>OE3</w:t>
            </w:r>
          </w:p>
        </w:tc>
        <w:tc>
          <w:tcPr>
            <w:tcW w:w="1286" w:type="dxa"/>
            <w:tcBorders>
              <w:top w:val="nil"/>
              <w:left w:val="nil"/>
              <w:bottom w:val="single" w:sz="12" w:space="0" w:color="009900"/>
              <w:right w:val="nil"/>
            </w:tcBorders>
            <w:shd w:val="clear" w:color="auto" w:fill="FFFFFF"/>
          </w:tcPr>
          <w:p w:rsidR="00212C5B" w:rsidRDefault="00212C5B" w:rsidP="00514964">
            <w:pPr>
              <w:pStyle w:val="CETBodytext"/>
              <w:jc w:val="left"/>
              <w:rPr>
                <w:lang w:val="en-GB"/>
              </w:rPr>
            </w:pPr>
            <w:r>
              <w:rPr>
                <w:lang w:val="en-GB"/>
              </w:rPr>
              <w:t xml:space="preserve">18.5 </w:t>
            </w:r>
            <w:r w:rsidRPr="00550F6A">
              <w:rPr>
                <w:lang w:val="en-GB"/>
              </w:rPr>
              <w:t>±</w:t>
            </w:r>
            <w:r>
              <w:rPr>
                <w:lang w:val="en-GB"/>
              </w:rPr>
              <w:t xml:space="preserve"> 0.24</w:t>
            </w:r>
            <w:r w:rsidR="00994487" w:rsidRPr="002B2605">
              <w:rPr>
                <w:vertAlign w:val="superscript"/>
                <w:lang w:val="en-GB"/>
              </w:rPr>
              <w:t>a</w:t>
            </w:r>
          </w:p>
        </w:tc>
        <w:tc>
          <w:tcPr>
            <w:tcW w:w="1276" w:type="dxa"/>
            <w:tcBorders>
              <w:top w:val="nil"/>
              <w:left w:val="nil"/>
              <w:bottom w:val="single" w:sz="12" w:space="0" w:color="009900"/>
              <w:right w:val="nil"/>
            </w:tcBorders>
            <w:shd w:val="clear" w:color="auto" w:fill="FFFFFF"/>
          </w:tcPr>
          <w:p w:rsidR="00212C5B" w:rsidRDefault="00212C5B" w:rsidP="00514964">
            <w:pPr>
              <w:pStyle w:val="CETBodytext"/>
              <w:jc w:val="left"/>
              <w:rPr>
                <w:lang w:val="en-GB"/>
              </w:rPr>
            </w:pPr>
            <w:r>
              <w:rPr>
                <w:lang w:val="en-GB"/>
              </w:rPr>
              <w:t xml:space="preserve">10.35 </w:t>
            </w:r>
            <w:r w:rsidRPr="00550F6A">
              <w:rPr>
                <w:lang w:val="en-GB"/>
              </w:rPr>
              <w:t>±</w:t>
            </w:r>
            <w:r>
              <w:rPr>
                <w:lang w:val="en-GB"/>
              </w:rPr>
              <w:t xml:space="preserve"> 0.75</w:t>
            </w:r>
            <w:r w:rsidR="00994487" w:rsidRPr="002B2605">
              <w:rPr>
                <w:vertAlign w:val="superscript"/>
                <w:lang w:val="en-GB"/>
              </w:rPr>
              <w:t>b</w:t>
            </w:r>
          </w:p>
        </w:tc>
        <w:tc>
          <w:tcPr>
            <w:tcW w:w="1276" w:type="dxa"/>
            <w:tcBorders>
              <w:top w:val="nil"/>
              <w:left w:val="nil"/>
              <w:bottom w:val="single" w:sz="12" w:space="0" w:color="009900"/>
              <w:right w:val="nil"/>
            </w:tcBorders>
            <w:shd w:val="clear" w:color="auto" w:fill="FFFFFF"/>
          </w:tcPr>
          <w:p w:rsidR="00212C5B" w:rsidRDefault="00212C5B" w:rsidP="00514964">
            <w:pPr>
              <w:pStyle w:val="CETBodytext"/>
              <w:jc w:val="left"/>
              <w:rPr>
                <w:lang w:val="en-GB"/>
              </w:rPr>
            </w:pPr>
            <w:r>
              <w:rPr>
                <w:lang w:val="en-GB"/>
              </w:rPr>
              <w:t xml:space="preserve">-7.93 </w:t>
            </w:r>
            <w:r w:rsidRPr="00550F6A">
              <w:rPr>
                <w:lang w:val="en-GB"/>
              </w:rPr>
              <w:t>±</w:t>
            </w:r>
            <w:r>
              <w:rPr>
                <w:lang w:val="en-GB"/>
              </w:rPr>
              <w:t xml:space="preserve"> 0.27</w:t>
            </w:r>
            <w:r w:rsidR="00994487" w:rsidRPr="002B2605">
              <w:rPr>
                <w:vertAlign w:val="superscript"/>
                <w:lang w:val="en-GB"/>
              </w:rPr>
              <w:t>a</w:t>
            </w:r>
          </w:p>
        </w:tc>
        <w:tc>
          <w:tcPr>
            <w:tcW w:w="1559" w:type="dxa"/>
            <w:tcBorders>
              <w:top w:val="nil"/>
              <w:left w:val="nil"/>
              <w:bottom w:val="single" w:sz="12" w:space="0" w:color="009900"/>
              <w:right w:val="nil"/>
            </w:tcBorders>
            <w:shd w:val="clear" w:color="auto" w:fill="FFFFFF"/>
          </w:tcPr>
          <w:p w:rsidR="00212C5B" w:rsidRDefault="00212C5B" w:rsidP="00514964">
            <w:pPr>
              <w:pStyle w:val="CETBodytext"/>
              <w:jc w:val="left"/>
              <w:rPr>
                <w:lang w:val="en-GB"/>
              </w:rPr>
            </w:pPr>
            <w:r>
              <w:rPr>
                <w:lang w:val="en-GB"/>
              </w:rPr>
              <w:t xml:space="preserve">322.50 </w:t>
            </w:r>
            <w:r w:rsidRPr="00550F6A">
              <w:rPr>
                <w:lang w:val="en-GB"/>
              </w:rPr>
              <w:t>±</w:t>
            </w:r>
            <w:r>
              <w:rPr>
                <w:lang w:val="en-GB"/>
              </w:rPr>
              <w:t xml:space="preserve"> 1.27</w:t>
            </w:r>
            <w:r w:rsidR="00994487" w:rsidRPr="002B2605">
              <w:rPr>
                <w:vertAlign w:val="superscript"/>
                <w:lang w:val="en-GB"/>
              </w:rPr>
              <w:t>a</w:t>
            </w:r>
          </w:p>
        </w:tc>
        <w:tc>
          <w:tcPr>
            <w:tcW w:w="1841" w:type="dxa"/>
            <w:tcBorders>
              <w:top w:val="nil"/>
              <w:left w:val="nil"/>
              <w:bottom w:val="single" w:sz="12" w:space="0" w:color="009900"/>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13.04 </w:t>
            </w:r>
            <w:r w:rsidRPr="00550F6A">
              <w:rPr>
                <w:lang w:val="en-GB"/>
              </w:rPr>
              <w:t>±</w:t>
            </w:r>
            <w:r>
              <w:rPr>
                <w:lang w:val="en-GB"/>
              </w:rPr>
              <w:t xml:space="preserve"> 0.75</w:t>
            </w:r>
            <w:r w:rsidR="00994487" w:rsidRPr="002B2605">
              <w:rPr>
                <w:vertAlign w:val="superscript"/>
                <w:lang w:val="en-GB"/>
              </w:rPr>
              <w:t>b</w:t>
            </w:r>
          </w:p>
        </w:tc>
      </w:tr>
    </w:tbl>
    <w:p w:rsidR="006041C7" w:rsidRPr="00BF6104" w:rsidRDefault="006041C7" w:rsidP="00A25CE6">
      <w:pPr>
        <w:pStyle w:val="CETTabletitle"/>
        <w:spacing w:before="0" w:after="0"/>
        <w:rPr>
          <w:sz w:val="16"/>
          <w:szCs w:val="16"/>
          <w:lang w:val="en-US"/>
        </w:rPr>
      </w:pPr>
      <w:r w:rsidRPr="00BF6104">
        <w:rPr>
          <w:rFonts w:ascii="WbksbdSTIX-Regular" w:eastAsiaTheme="minorHAnsi" w:hAnsi="WbksbdSTIX-Regular" w:cs="WbksbdSTIX-Regular"/>
          <w:sz w:val="16"/>
          <w:szCs w:val="16"/>
          <w:lang w:val="en-US"/>
        </w:rPr>
        <w:t>Values followed by the same letter within the same column were not significantly different according to Duncan’s test (</w:t>
      </w:r>
      <w:r w:rsidRPr="00BF6104">
        <w:rPr>
          <w:rFonts w:ascii="FxrjqxSTIX-Italic" w:eastAsiaTheme="minorHAnsi" w:hAnsi="FxrjqxSTIX-Italic" w:cs="FxrjqxSTIX-Italic"/>
          <w:i w:val="0"/>
          <w:iCs/>
          <w:sz w:val="16"/>
          <w:szCs w:val="16"/>
          <w:lang w:val="en-US"/>
        </w:rPr>
        <w:t xml:space="preserve">P </w:t>
      </w:r>
      <w:r w:rsidRPr="00BF6104">
        <w:rPr>
          <w:rFonts w:ascii="WbksbdSTIX-Regular" w:eastAsiaTheme="minorHAnsi" w:hAnsi="WbksbdSTIX-Regular" w:cs="WbksbdSTIX-Regular"/>
          <w:sz w:val="16"/>
          <w:szCs w:val="16"/>
          <w:lang w:val="en-US"/>
        </w:rPr>
        <w:t>&lt; 0.05)</w:t>
      </w:r>
    </w:p>
    <w:p w:rsidR="00212C5B" w:rsidRPr="001C2B85" w:rsidRDefault="00212C5B" w:rsidP="00212C5B">
      <w:pPr>
        <w:pStyle w:val="CETTabletitle"/>
      </w:pPr>
      <w:r w:rsidRPr="00E13AF2">
        <w:t xml:space="preserve">Table 4: Oxygen permeability, water vapor permeability and </w:t>
      </w:r>
      <w:r>
        <w:t xml:space="preserve">static water and 95% v/v ethanol </w:t>
      </w:r>
      <w:r w:rsidRPr="00E13AF2">
        <w:t>contact angle</w:t>
      </w:r>
      <w:r>
        <w:t xml:space="preserve"> (</w:t>
      </w:r>
      <w:proofErr w:type="spellStart"/>
      <w:r>
        <w:t>CA</w:t>
      </w:r>
      <w:r w:rsidRPr="00D00128">
        <w:rPr>
          <w:vertAlign w:val="subscript"/>
        </w:rPr>
        <w:t>w</w:t>
      </w:r>
      <w:proofErr w:type="spellEnd"/>
      <w:r>
        <w:t xml:space="preserve"> and CA</w:t>
      </w:r>
      <w:r w:rsidRPr="00D00128">
        <w:rPr>
          <w:vertAlign w:val="subscript"/>
        </w:rPr>
        <w:t>E</w:t>
      </w:r>
      <w:r>
        <w:t>, respectively),</w:t>
      </w:r>
      <w:r w:rsidRPr="00E13AF2">
        <w:t xml:space="preserve"> </w:t>
      </w:r>
      <w:r>
        <w:t>for</w:t>
      </w:r>
      <w:r w:rsidRPr="00E13AF2">
        <w:t xml:space="preserve"> all the films.</w:t>
      </w:r>
    </w:p>
    <w:tbl>
      <w:tblPr>
        <w:tblW w:w="8789" w:type="dxa"/>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127"/>
        <w:gridCol w:w="1559"/>
        <w:gridCol w:w="1559"/>
        <w:gridCol w:w="1559"/>
        <w:gridCol w:w="1985"/>
      </w:tblGrid>
      <w:tr w:rsidR="00212C5B" w:rsidRPr="007A0954" w:rsidTr="00DD0367">
        <w:tc>
          <w:tcPr>
            <w:tcW w:w="2127" w:type="dxa"/>
            <w:tcBorders>
              <w:top w:val="single" w:sz="12" w:space="0" w:color="008000"/>
              <w:left w:val="nil"/>
              <w:bottom w:val="single" w:sz="6" w:space="0" w:color="008000"/>
              <w:right w:val="nil"/>
            </w:tcBorders>
            <w:shd w:val="clear" w:color="auto" w:fill="FFFFFF"/>
            <w:hideMark/>
          </w:tcPr>
          <w:p w:rsidR="00212C5B" w:rsidRDefault="00212C5B" w:rsidP="00514964">
            <w:pPr>
              <w:pStyle w:val="CETBodytext"/>
              <w:jc w:val="left"/>
              <w:rPr>
                <w:lang w:val="en-GB"/>
              </w:rPr>
            </w:pPr>
            <w:r>
              <w:rPr>
                <w:lang w:val="en-GB"/>
              </w:rPr>
              <w:t>Sample</w:t>
            </w:r>
          </w:p>
        </w:tc>
        <w:tc>
          <w:tcPr>
            <w:tcW w:w="1559" w:type="dxa"/>
            <w:tcBorders>
              <w:top w:val="single" w:sz="12" w:space="0" w:color="008000"/>
              <w:left w:val="nil"/>
              <w:bottom w:val="single" w:sz="6" w:space="0" w:color="008000"/>
              <w:right w:val="nil"/>
            </w:tcBorders>
            <w:shd w:val="clear" w:color="auto" w:fill="FFFFFF"/>
            <w:hideMark/>
          </w:tcPr>
          <w:p w:rsidR="00212C5B" w:rsidRPr="001F0203" w:rsidRDefault="00212C5B" w:rsidP="00514964">
            <w:pPr>
              <w:pStyle w:val="CETBodytext"/>
              <w:jc w:val="left"/>
              <w:rPr>
                <w:vertAlign w:val="subscript"/>
                <w:lang w:val="it-IT"/>
              </w:rPr>
            </w:pPr>
            <w:r w:rsidRPr="001F0203">
              <w:rPr>
                <w:lang w:val="it-IT"/>
              </w:rPr>
              <w:t>P</w:t>
            </w:r>
            <w:r w:rsidRPr="001F0203">
              <w:rPr>
                <w:vertAlign w:val="subscript"/>
                <w:lang w:val="it-IT"/>
              </w:rPr>
              <w:t>O2</w:t>
            </w:r>
          </w:p>
          <w:p w:rsidR="00212C5B" w:rsidRPr="001F0203" w:rsidRDefault="00212C5B" w:rsidP="00514964">
            <w:pPr>
              <w:pStyle w:val="CETBodytext"/>
              <w:jc w:val="left"/>
              <w:rPr>
                <w:lang w:val="it-IT"/>
              </w:rPr>
            </w:pPr>
            <w:r w:rsidRPr="001F0203">
              <w:rPr>
                <w:vertAlign w:val="subscript"/>
                <w:lang w:val="it-IT"/>
              </w:rPr>
              <w:t xml:space="preserve"> </w:t>
            </w:r>
            <w:r w:rsidRPr="001F0203">
              <w:rPr>
                <w:lang w:val="it-IT"/>
              </w:rPr>
              <w:t>[cm</w:t>
            </w:r>
            <w:r w:rsidRPr="001F0203">
              <w:rPr>
                <w:vertAlign w:val="superscript"/>
                <w:lang w:val="it-IT"/>
              </w:rPr>
              <w:t xml:space="preserve">3 </w:t>
            </w:r>
            <w:r w:rsidRPr="001F0203">
              <w:rPr>
                <w:lang w:val="it-IT"/>
              </w:rPr>
              <w:t>cm/(m</w:t>
            </w:r>
            <w:r w:rsidRPr="001F0203">
              <w:rPr>
                <w:vertAlign w:val="superscript"/>
                <w:lang w:val="it-IT"/>
              </w:rPr>
              <w:t xml:space="preserve">2 </w:t>
            </w:r>
            <w:r w:rsidRPr="001F0203">
              <w:rPr>
                <w:lang w:val="it-IT"/>
              </w:rPr>
              <w:t>d bar)]</w:t>
            </w:r>
          </w:p>
        </w:tc>
        <w:tc>
          <w:tcPr>
            <w:tcW w:w="1559" w:type="dxa"/>
            <w:tcBorders>
              <w:top w:val="single" w:sz="12" w:space="0" w:color="008000"/>
              <w:left w:val="nil"/>
              <w:bottom w:val="single" w:sz="6" w:space="0" w:color="008000"/>
              <w:right w:val="nil"/>
            </w:tcBorders>
            <w:shd w:val="clear" w:color="auto" w:fill="FFFFFF"/>
            <w:hideMark/>
          </w:tcPr>
          <w:p w:rsidR="00212C5B" w:rsidRDefault="00212C5B" w:rsidP="00514964">
            <w:pPr>
              <w:pStyle w:val="CETBodytext"/>
              <w:jc w:val="left"/>
              <w:rPr>
                <w:vertAlign w:val="subscript"/>
                <w:lang w:val="it-IT"/>
              </w:rPr>
            </w:pPr>
            <w:r w:rsidRPr="006B3CDD">
              <w:rPr>
                <w:lang w:val="it-IT"/>
              </w:rPr>
              <w:t>P</w:t>
            </w:r>
            <w:r w:rsidRPr="006B3CDD">
              <w:rPr>
                <w:vertAlign w:val="subscript"/>
                <w:lang w:val="it-IT"/>
              </w:rPr>
              <w:t>WV</w:t>
            </w:r>
            <w:r>
              <w:rPr>
                <w:vertAlign w:val="subscript"/>
                <w:lang w:val="it-IT"/>
              </w:rPr>
              <w:t xml:space="preserve"> </w:t>
            </w:r>
            <w:r>
              <w:rPr>
                <w:lang w:val="it-IT"/>
              </w:rPr>
              <w:t>*10</w:t>
            </w:r>
            <w:r w:rsidRPr="00457E43">
              <w:rPr>
                <w:vertAlign w:val="superscript"/>
                <w:lang w:val="it-IT"/>
              </w:rPr>
              <w:t xml:space="preserve">12 </w:t>
            </w:r>
          </w:p>
          <w:p w:rsidR="00212C5B" w:rsidRPr="006B3CDD" w:rsidRDefault="00212C5B" w:rsidP="00514964">
            <w:pPr>
              <w:pStyle w:val="CETBodytext"/>
              <w:jc w:val="left"/>
              <w:rPr>
                <w:lang w:val="it-IT"/>
              </w:rPr>
            </w:pPr>
            <w:r w:rsidRPr="006B3CDD">
              <w:rPr>
                <w:lang w:val="it-IT"/>
              </w:rPr>
              <w:t>[g m/</w:t>
            </w:r>
            <w:r>
              <w:rPr>
                <w:lang w:val="it-IT"/>
              </w:rPr>
              <w:t>(</w:t>
            </w:r>
            <w:r w:rsidRPr="006B3CDD">
              <w:rPr>
                <w:lang w:val="it-IT"/>
              </w:rPr>
              <w:t xml:space="preserve"> m</w:t>
            </w:r>
            <w:r w:rsidRPr="006B3CDD">
              <w:rPr>
                <w:vertAlign w:val="superscript"/>
                <w:lang w:val="it-IT"/>
              </w:rPr>
              <w:t>2</w:t>
            </w:r>
            <w:r w:rsidRPr="006B3CDD">
              <w:rPr>
                <w:lang w:val="it-IT"/>
              </w:rPr>
              <w:t xml:space="preserve"> P</w:t>
            </w:r>
            <w:r>
              <w:rPr>
                <w:lang w:val="it-IT"/>
              </w:rPr>
              <w:t>a s)]</w:t>
            </w:r>
          </w:p>
        </w:tc>
        <w:tc>
          <w:tcPr>
            <w:tcW w:w="1559" w:type="dxa"/>
            <w:tcBorders>
              <w:top w:val="single" w:sz="12" w:space="0" w:color="008000"/>
              <w:left w:val="nil"/>
              <w:bottom w:val="single" w:sz="6" w:space="0" w:color="008000"/>
              <w:right w:val="nil"/>
            </w:tcBorders>
            <w:shd w:val="clear" w:color="auto" w:fill="FFFFFF"/>
          </w:tcPr>
          <w:p w:rsidR="00212C5B" w:rsidRDefault="00212C5B" w:rsidP="00514964">
            <w:pPr>
              <w:pStyle w:val="CETBodytext"/>
              <w:ind w:right="-1"/>
              <w:jc w:val="left"/>
              <w:rPr>
                <w:vertAlign w:val="subscript"/>
              </w:rPr>
            </w:pPr>
            <w:proofErr w:type="spellStart"/>
            <w:r>
              <w:t>CA</w:t>
            </w:r>
            <w:r w:rsidRPr="00D00128">
              <w:rPr>
                <w:vertAlign w:val="subscript"/>
              </w:rPr>
              <w:t>w</w:t>
            </w:r>
            <w:proofErr w:type="spellEnd"/>
          </w:p>
          <w:p w:rsidR="00212C5B" w:rsidRDefault="00212C5B" w:rsidP="00514964">
            <w:pPr>
              <w:pStyle w:val="CETBodytext"/>
              <w:ind w:right="-1"/>
              <w:jc w:val="left"/>
              <w:rPr>
                <w:rFonts w:cs="Arial"/>
                <w:szCs w:val="18"/>
                <w:lang w:val="en-GB"/>
              </w:rPr>
            </w:pPr>
            <w:r>
              <w:rPr>
                <w:rFonts w:cs="Arial"/>
                <w:szCs w:val="18"/>
                <w:lang w:val="en-GB"/>
              </w:rPr>
              <w:t>[deg]</w:t>
            </w:r>
          </w:p>
        </w:tc>
        <w:tc>
          <w:tcPr>
            <w:tcW w:w="1985" w:type="dxa"/>
            <w:tcBorders>
              <w:top w:val="single" w:sz="12" w:space="0" w:color="008000"/>
              <w:left w:val="nil"/>
              <w:bottom w:val="single" w:sz="6" w:space="0" w:color="008000"/>
              <w:right w:val="nil"/>
            </w:tcBorders>
            <w:shd w:val="clear" w:color="auto" w:fill="FFFFFF"/>
          </w:tcPr>
          <w:p w:rsidR="00212C5B" w:rsidRDefault="00212C5B" w:rsidP="00514964">
            <w:pPr>
              <w:pStyle w:val="CETBodytext"/>
              <w:ind w:right="-1"/>
              <w:jc w:val="left"/>
              <w:rPr>
                <w:vertAlign w:val="subscript"/>
              </w:rPr>
            </w:pPr>
            <w:r>
              <w:t>CA</w:t>
            </w:r>
            <w:r w:rsidRPr="00420FDC">
              <w:rPr>
                <w:vertAlign w:val="subscript"/>
              </w:rPr>
              <w:t>E</w:t>
            </w:r>
          </w:p>
          <w:p w:rsidR="00212C5B" w:rsidRDefault="00212C5B" w:rsidP="00514964">
            <w:pPr>
              <w:pStyle w:val="CETBodytext"/>
              <w:ind w:right="-1"/>
              <w:jc w:val="left"/>
              <w:rPr>
                <w:rFonts w:cs="Arial"/>
                <w:szCs w:val="18"/>
                <w:lang w:val="en-GB"/>
              </w:rPr>
            </w:pPr>
            <w:r>
              <w:rPr>
                <w:rFonts w:cs="Arial"/>
                <w:szCs w:val="18"/>
                <w:lang w:val="en-GB"/>
              </w:rPr>
              <w:t>[deg]</w:t>
            </w:r>
          </w:p>
        </w:tc>
      </w:tr>
      <w:tr w:rsidR="00212C5B" w:rsidTr="00DD0367">
        <w:tc>
          <w:tcPr>
            <w:tcW w:w="2127" w:type="dxa"/>
            <w:tcBorders>
              <w:top w:val="nil"/>
              <w:left w:val="nil"/>
              <w:bottom w:val="nil"/>
              <w:right w:val="nil"/>
            </w:tcBorders>
            <w:shd w:val="clear" w:color="auto" w:fill="FFFFFF"/>
            <w:hideMark/>
          </w:tcPr>
          <w:p w:rsidR="00212C5B" w:rsidRDefault="00DD0367" w:rsidP="00514964">
            <w:pPr>
              <w:pStyle w:val="CETBodytext"/>
              <w:jc w:val="left"/>
              <w:rPr>
                <w:lang w:val="en-GB"/>
              </w:rPr>
            </w:pPr>
            <w:r>
              <w:t>Biopolymer</w:t>
            </w:r>
          </w:p>
        </w:tc>
        <w:tc>
          <w:tcPr>
            <w:tcW w:w="1559"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5.15 </w:t>
            </w:r>
            <w:r w:rsidRPr="00550F6A">
              <w:rPr>
                <w:lang w:val="en-GB"/>
              </w:rPr>
              <w:t>±</w:t>
            </w:r>
            <w:r>
              <w:rPr>
                <w:lang w:val="en-GB"/>
              </w:rPr>
              <w:t xml:space="preserve"> 0.35</w:t>
            </w:r>
            <w:r w:rsidR="006E1B08" w:rsidRPr="002B2605">
              <w:rPr>
                <w:vertAlign w:val="superscript"/>
                <w:lang w:val="en-GB"/>
              </w:rPr>
              <w:t>b</w:t>
            </w:r>
          </w:p>
        </w:tc>
        <w:tc>
          <w:tcPr>
            <w:tcW w:w="1559"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9.19 </w:t>
            </w:r>
            <w:r w:rsidRPr="00550F6A">
              <w:rPr>
                <w:lang w:val="en-GB"/>
              </w:rPr>
              <w:t>±</w:t>
            </w:r>
            <w:r>
              <w:rPr>
                <w:lang w:val="en-GB"/>
              </w:rPr>
              <w:t xml:space="preserve"> 0.37</w:t>
            </w:r>
            <w:r w:rsidR="006E1B08" w:rsidRPr="002B2605">
              <w:rPr>
                <w:vertAlign w:val="superscript"/>
                <w:lang w:val="en-GB"/>
              </w:rPr>
              <w:t>a,b</w:t>
            </w:r>
          </w:p>
        </w:tc>
        <w:tc>
          <w:tcPr>
            <w:tcW w:w="1559" w:type="dxa"/>
            <w:tcBorders>
              <w:top w:val="nil"/>
              <w:left w:val="nil"/>
              <w:bottom w:val="nil"/>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80.64 </w:t>
            </w:r>
            <w:r w:rsidRPr="00550F6A">
              <w:rPr>
                <w:lang w:val="en-GB"/>
              </w:rPr>
              <w:t>±</w:t>
            </w:r>
            <w:r>
              <w:rPr>
                <w:lang w:val="en-GB"/>
              </w:rPr>
              <w:t xml:space="preserve"> 1.59</w:t>
            </w:r>
            <w:r w:rsidR="006E1B08" w:rsidRPr="002B2605">
              <w:rPr>
                <w:vertAlign w:val="superscript"/>
                <w:lang w:val="en-GB"/>
              </w:rPr>
              <w:t>b</w:t>
            </w:r>
          </w:p>
        </w:tc>
        <w:tc>
          <w:tcPr>
            <w:tcW w:w="1985" w:type="dxa"/>
            <w:tcBorders>
              <w:top w:val="nil"/>
              <w:left w:val="nil"/>
              <w:bottom w:val="nil"/>
              <w:right w:val="nil"/>
            </w:tcBorders>
            <w:shd w:val="clear" w:color="auto" w:fill="FFFFFF"/>
          </w:tcPr>
          <w:p w:rsidR="00212C5B" w:rsidRDefault="00212C5B" w:rsidP="00514964">
            <w:pPr>
              <w:pStyle w:val="CETBodytext"/>
              <w:ind w:right="-1"/>
              <w:jc w:val="left"/>
              <w:rPr>
                <w:lang w:val="en-GB"/>
              </w:rPr>
            </w:pPr>
            <w:r>
              <w:rPr>
                <w:lang w:val="en-GB"/>
              </w:rPr>
              <w:t xml:space="preserve">31.07 </w:t>
            </w:r>
            <w:r w:rsidRPr="00550F6A">
              <w:rPr>
                <w:lang w:val="en-GB"/>
              </w:rPr>
              <w:t>±</w:t>
            </w:r>
            <w:r>
              <w:rPr>
                <w:lang w:val="en-GB"/>
              </w:rPr>
              <w:t xml:space="preserve"> 3.61</w:t>
            </w:r>
            <w:r w:rsidR="006E1B08" w:rsidRPr="002B2605">
              <w:rPr>
                <w:vertAlign w:val="superscript"/>
                <w:lang w:val="en-GB"/>
              </w:rPr>
              <w:t>b</w:t>
            </w:r>
          </w:p>
        </w:tc>
      </w:tr>
      <w:tr w:rsidR="00212C5B" w:rsidTr="00DD0367">
        <w:trPr>
          <w:trHeight w:val="116"/>
        </w:trPr>
        <w:tc>
          <w:tcPr>
            <w:tcW w:w="2127" w:type="dxa"/>
            <w:tcBorders>
              <w:top w:val="nil"/>
              <w:left w:val="nil"/>
              <w:bottom w:val="nil"/>
              <w:right w:val="nil"/>
            </w:tcBorders>
            <w:shd w:val="clear" w:color="auto" w:fill="FFFFFF"/>
            <w:hideMark/>
          </w:tcPr>
          <w:p w:rsidR="00212C5B" w:rsidRDefault="00DD0367" w:rsidP="00514964">
            <w:pPr>
              <w:pStyle w:val="CETBodytext"/>
              <w:jc w:val="left"/>
              <w:rPr>
                <w:lang w:val="en-GB"/>
              </w:rPr>
            </w:pPr>
            <w:r>
              <w:t>Biopolymer</w:t>
            </w:r>
            <w:r w:rsidR="00212C5B">
              <w:rPr>
                <w:lang w:val="en-GB"/>
              </w:rPr>
              <w:t>/PLA</w:t>
            </w:r>
          </w:p>
        </w:tc>
        <w:tc>
          <w:tcPr>
            <w:tcW w:w="1559"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4.07 </w:t>
            </w:r>
            <w:r w:rsidRPr="00550F6A">
              <w:rPr>
                <w:lang w:val="en-GB"/>
              </w:rPr>
              <w:t>±</w:t>
            </w:r>
            <w:r>
              <w:rPr>
                <w:lang w:val="en-GB"/>
              </w:rPr>
              <w:t xml:space="preserve"> 0.09</w:t>
            </w:r>
            <w:r w:rsidR="006E1B08" w:rsidRPr="002B2605">
              <w:rPr>
                <w:vertAlign w:val="superscript"/>
                <w:lang w:val="en-GB"/>
              </w:rPr>
              <w:t>a</w:t>
            </w:r>
          </w:p>
        </w:tc>
        <w:tc>
          <w:tcPr>
            <w:tcW w:w="1559"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8.31 </w:t>
            </w:r>
            <w:r w:rsidRPr="00550F6A">
              <w:rPr>
                <w:lang w:val="en-GB"/>
              </w:rPr>
              <w:t>±</w:t>
            </w:r>
            <w:r>
              <w:rPr>
                <w:lang w:val="en-GB"/>
              </w:rPr>
              <w:t xml:space="preserve"> 0.21</w:t>
            </w:r>
            <w:r w:rsidR="006E1B08" w:rsidRPr="002B2605">
              <w:rPr>
                <w:vertAlign w:val="superscript"/>
                <w:lang w:val="en-GB"/>
              </w:rPr>
              <w:t>a</w:t>
            </w:r>
          </w:p>
        </w:tc>
        <w:tc>
          <w:tcPr>
            <w:tcW w:w="1559" w:type="dxa"/>
            <w:tcBorders>
              <w:top w:val="nil"/>
              <w:left w:val="nil"/>
              <w:bottom w:val="nil"/>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66.50 </w:t>
            </w:r>
            <w:r w:rsidRPr="00550F6A">
              <w:rPr>
                <w:lang w:val="en-GB"/>
              </w:rPr>
              <w:t>±</w:t>
            </w:r>
            <w:r>
              <w:rPr>
                <w:lang w:val="en-GB"/>
              </w:rPr>
              <w:t xml:space="preserve"> 1.77</w:t>
            </w:r>
            <w:r w:rsidR="006E1B08" w:rsidRPr="002B2605">
              <w:rPr>
                <w:vertAlign w:val="superscript"/>
                <w:lang w:val="en-GB"/>
              </w:rPr>
              <w:t>a</w:t>
            </w:r>
          </w:p>
        </w:tc>
        <w:tc>
          <w:tcPr>
            <w:tcW w:w="1985" w:type="dxa"/>
            <w:tcBorders>
              <w:top w:val="nil"/>
              <w:left w:val="nil"/>
              <w:bottom w:val="nil"/>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10.30 </w:t>
            </w:r>
            <w:r w:rsidRPr="00550F6A">
              <w:rPr>
                <w:lang w:val="en-GB"/>
              </w:rPr>
              <w:t>±</w:t>
            </w:r>
            <w:r>
              <w:rPr>
                <w:lang w:val="en-GB"/>
              </w:rPr>
              <w:t xml:space="preserve"> 0.35</w:t>
            </w:r>
            <w:r w:rsidR="006E1B08" w:rsidRPr="002B2605">
              <w:rPr>
                <w:vertAlign w:val="superscript"/>
                <w:lang w:val="en-GB"/>
              </w:rPr>
              <w:t>a</w:t>
            </w:r>
          </w:p>
        </w:tc>
      </w:tr>
      <w:tr w:rsidR="00212C5B" w:rsidTr="00DD0367">
        <w:trPr>
          <w:trHeight w:val="116"/>
        </w:trPr>
        <w:tc>
          <w:tcPr>
            <w:tcW w:w="2127" w:type="dxa"/>
            <w:tcBorders>
              <w:top w:val="nil"/>
              <w:left w:val="nil"/>
              <w:bottom w:val="nil"/>
              <w:right w:val="nil"/>
            </w:tcBorders>
            <w:shd w:val="clear" w:color="auto" w:fill="FFFFFF"/>
          </w:tcPr>
          <w:p w:rsidR="00212C5B" w:rsidRDefault="00DD0367" w:rsidP="00514964">
            <w:pPr>
              <w:pStyle w:val="CETBodytext"/>
              <w:jc w:val="left"/>
              <w:rPr>
                <w:lang w:val="en-GB"/>
              </w:rPr>
            </w:pPr>
            <w:r>
              <w:t>Biopolymer</w:t>
            </w:r>
            <w:r w:rsidR="00212C5B">
              <w:rPr>
                <w:lang w:val="en-GB"/>
              </w:rPr>
              <w:t>/PLA-1%OE3</w:t>
            </w:r>
          </w:p>
        </w:tc>
        <w:tc>
          <w:tcPr>
            <w:tcW w:w="1559"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4.08 </w:t>
            </w:r>
            <w:r w:rsidRPr="00550F6A">
              <w:rPr>
                <w:lang w:val="en-GB"/>
              </w:rPr>
              <w:t>±</w:t>
            </w:r>
            <w:r>
              <w:rPr>
                <w:lang w:val="en-GB"/>
              </w:rPr>
              <w:t xml:space="preserve"> 0.25</w:t>
            </w:r>
            <w:r w:rsidR="006E1B08" w:rsidRPr="002B2605">
              <w:rPr>
                <w:vertAlign w:val="superscript"/>
                <w:lang w:val="en-GB"/>
              </w:rPr>
              <w:t>a</w:t>
            </w:r>
          </w:p>
        </w:tc>
        <w:tc>
          <w:tcPr>
            <w:tcW w:w="1559" w:type="dxa"/>
            <w:tcBorders>
              <w:top w:val="nil"/>
              <w:left w:val="nil"/>
              <w:bottom w:val="nil"/>
              <w:right w:val="nil"/>
            </w:tcBorders>
            <w:shd w:val="clear" w:color="auto" w:fill="FFFFFF"/>
          </w:tcPr>
          <w:p w:rsidR="00212C5B" w:rsidRDefault="00212C5B" w:rsidP="00514964">
            <w:pPr>
              <w:pStyle w:val="CETBodytext"/>
              <w:jc w:val="left"/>
              <w:rPr>
                <w:lang w:val="en-GB"/>
              </w:rPr>
            </w:pPr>
            <w:r>
              <w:rPr>
                <w:lang w:val="en-GB"/>
              </w:rPr>
              <w:t xml:space="preserve">8.76 </w:t>
            </w:r>
            <w:r w:rsidRPr="00550F6A">
              <w:rPr>
                <w:lang w:val="en-GB"/>
              </w:rPr>
              <w:t>±</w:t>
            </w:r>
            <w:r>
              <w:rPr>
                <w:lang w:val="en-GB"/>
              </w:rPr>
              <w:t xml:space="preserve"> 0.67</w:t>
            </w:r>
            <w:r w:rsidR="006E1B08" w:rsidRPr="002B2605">
              <w:rPr>
                <w:vertAlign w:val="superscript"/>
                <w:lang w:val="en-GB"/>
              </w:rPr>
              <w:t>a,b</w:t>
            </w:r>
          </w:p>
        </w:tc>
        <w:tc>
          <w:tcPr>
            <w:tcW w:w="1559" w:type="dxa"/>
            <w:tcBorders>
              <w:top w:val="nil"/>
              <w:left w:val="nil"/>
              <w:bottom w:val="nil"/>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66.30 </w:t>
            </w:r>
            <w:r w:rsidRPr="00550F6A">
              <w:rPr>
                <w:lang w:val="en-GB"/>
              </w:rPr>
              <w:t>±</w:t>
            </w:r>
            <w:r>
              <w:rPr>
                <w:lang w:val="en-GB"/>
              </w:rPr>
              <w:t xml:space="preserve"> 1.09</w:t>
            </w:r>
            <w:r w:rsidR="006E1B08" w:rsidRPr="002B2605">
              <w:rPr>
                <w:vertAlign w:val="superscript"/>
                <w:lang w:val="en-GB"/>
              </w:rPr>
              <w:t>a</w:t>
            </w:r>
          </w:p>
        </w:tc>
        <w:tc>
          <w:tcPr>
            <w:tcW w:w="1985" w:type="dxa"/>
            <w:tcBorders>
              <w:top w:val="nil"/>
              <w:left w:val="nil"/>
              <w:bottom w:val="nil"/>
              <w:right w:val="nil"/>
            </w:tcBorders>
            <w:shd w:val="clear" w:color="auto" w:fill="FFFFFF"/>
          </w:tcPr>
          <w:p w:rsidR="00212C5B" w:rsidRDefault="00212C5B" w:rsidP="00514964">
            <w:pPr>
              <w:pStyle w:val="CETBodytext"/>
              <w:ind w:right="-1"/>
              <w:jc w:val="left"/>
              <w:rPr>
                <w:lang w:val="en-GB"/>
              </w:rPr>
            </w:pPr>
            <w:r>
              <w:rPr>
                <w:lang w:val="en-GB"/>
              </w:rPr>
              <w:t xml:space="preserve">10.20 </w:t>
            </w:r>
            <w:r w:rsidRPr="00550F6A">
              <w:rPr>
                <w:lang w:val="en-GB"/>
              </w:rPr>
              <w:t>±</w:t>
            </w:r>
            <w:r>
              <w:rPr>
                <w:lang w:val="en-GB"/>
              </w:rPr>
              <w:t xml:space="preserve"> 0.22</w:t>
            </w:r>
            <w:r w:rsidR="006E1B08" w:rsidRPr="002B2605">
              <w:rPr>
                <w:vertAlign w:val="superscript"/>
                <w:lang w:val="en-GB"/>
              </w:rPr>
              <w:t>a</w:t>
            </w:r>
          </w:p>
        </w:tc>
      </w:tr>
      <w:tr w:rsidR="00212C5B" w:rsidTr="00DD0367">
        <w:tc>
          <w:tcPr>
            <w:tcW w:w="2127" w:type="dxa"/>
            <w:tcBorders>
              <w:top w:val="nil"/>
              <w:left w:val="nil"/>
              <w:bottom w:val="single" w:sz="12" w:space="0" w:color="008000"/>
              <w:right w:val="nil"/>
            </w:tcBorders>
            <w:shd w:val="clear" w:color="auto" w:fill="FFFFFF"/>
            <w:hideMark/>
          </w:tcPr>
          <w:p w:rsidR="00212C5B" w:rsidRDefault="00DD0367" w:rsidP="00514964">
            <w:pPr>
              <w:pStyle w:val="CETBodytext"/>
              <w:ind w:right="-1"/>
              <w:jc w:val="left"/>
              <w:rPr>
                <w:rFonts w:cs="Arial"/>
                <w:szCs w:val="18"/>
                <w:lang w:val="en-GB"/>
              </w:rPr>
            </w:pPr>
            <w:r>
              <w:t>Biopolymer</w:t>
            </w:r>
            <w:r w:rsidR="00212C5B">
              <w:rPr>
                <w:lang w:val="en-GB"/>
              </w:rPr>
              <w:t>/PLA-3%OE3</w:t>
            </w:r>
          </w:p>
        </w:tc>
        <w:tc>
          <w:tcPr>
            <w:tcW w:w="1559" w:type="dxa"/>
            <w:tcBorders>
              <w:top w:val="nil"/>
              <w:left w:val="nil"/>
              <w:bottom w:val="single" w:sz="12" w:space="0" w:color="008000"/>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4.02 </w:t>
            </w:r>
            <w:r w:rsidRPr="00550F6A">
              <w:rPr>
                <w:lang w:val="en-GB"/>
              </w:rPr>
              <w:t>±</w:t>
            </w:r>
            <w:r>
              <w:rPr>
                <w:lang w:val="en-GB"/>
              </w:rPr>
              <w:t xml:space="preserve"> 0.39</w:t>
            </w:r>
            <w:r w:rsidR="006E1B08" w:rsidRPr="002B2605">
              <w:rPr>
                <w:vertAlign w:val="superscript"/>
                <w:lang w:val="en-GB"/>
              </w:rPr>
              <w:t>a</w:t>
            </w:r>
          </w:p>
        </w:tc>
        <w:tc>
          <w:tcPr>
            <w:tcW w:w="1559" w:type="dxa"/>
            <w:tcBorders>
              <w:top w:val="nil"/>
              <w:left w:val="nil"/>
              <w:bottom w:val="single" w:sz="12" w:space="0" w:color="008000"/>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9.26 </w:t>
            </w:r>
            <w:r w:rsidRPr="00550F6A">
              <w:rPr>
                <w:lang w:val="en-GB"/>
              </w:rPr>
              <w:t>±</w:t>
            </w:r>
            <w:r>
              <w:rPr>
                <w:lang w:val="en-GB"/>
              </w:rPr>
              <w:t xml:space="preserve"> 0.43</w:t>
            </w:r>
            <w:r w:rsidR="006E1B08" w:rsidRPr="002B2605">
              <w:rPr>
                <w:vertAlign w:val="superscript"/>
                <w:lang w:val="en-GB"/>
              </w:rPr>
              <w:t>b</w:t>
            </w:r>
          </w:p>
        </w:tc>
        <w:tc>
          <w:tcPr>
            <w:tcW w:w="1559" w:type="dxa"/>
            <w:tcBorders>
              <w:top w:val="nil"/>
              <w:left w:val="nil"/>
              <w:bottom w:val="single" w:sz="12" w:space="0" w:color="008000"/>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65.84 </w:t>
            </w:r>
            <w:r w:rsidRPr="00550F6A">
              <w:rPr>
                <w:lang w:val="en-GB"/>
              </w:rPr>
              <w:t>±</w:t>
            </w:r>
            <w:r>
              <w:rPr>
                <w:lang w:val="en-GB"/>
              </w:rPr>
              <w:t xml:space="preserve"> 1.65</w:t>
            </w:r>
            <w:r w:rsidR="006E1B08" w:rsidRPr="002B2605">
              <w:rPr>
                <w:vertAlign w:val="superscript"/>
                <w:lang w:val="en-GB"/>
              </w:rPr>
              <w:t>a</w:t>
            </w:r>
          </w:p>
        </w:tc>
        <w:tc>
          <w:tcPr>
            <w:tcW w:w="1985" w:type="dxa"/>
            <w:tcBorders>
              <w:top w:val="nil"/>
              <w:left w:val="nil"/>
              <w:bottom w:val="single" w:sz="12" w:space="0" w:color="008000"/>
              <w:right w:val="nil"/>
            </w:tcBorders>
            <w:shd w:val="clear" w:color="auto" w:fill="FFFFFF"/>
          </w:tcPr>
          <w:p w:rsidR="00212C5B" w:rsidRDefault="00212C5B" w:rsidP="00514964">
            <w:pPr>
              <w:pStyle w:val="CETBodytext"/>
              <w:ind w:right="-1"/>
              <w:jc w:val="left"/>
              <w:rPr>
                <w:rFonts w:cs="Arial"/>
                <w:szCs w:val="18"/>
                <w:lang w:val="en-GB"/>
              </w:rPr>
            </w:pPr>
            <w:r>
              <w:rPr>
                <w:lang w:val="en-GB"/>
              </w:rPr>
              <w:t xml:space="preserve">10.36 </w:t>
            </w:r>
            <w:r w:rsidRPr="00550F6A">
              <w:rPr>
                <w:lang w:val="en-GB"/>
              </w:rPr>
              <w:t>±</w:t>
            </w:r>
            <w:r>
              <w:rPr>
                <w:lang w:val="en-GB"/>
              </w:rPr>
              <w:t xml:space="preserve"> 0.06</w:t>
            </w:r>
            <w:r w:rsidR="006E1B08" w:rsidRPr="002B2605">
              <w:rPr>
                <w:vertAlign w:val="superscript"/>
                <w:lang w:val="en-GB"/>
              </w:rPr>
              <w:t>a</w:t>
            </w:r>
          </w:p>
        </w:tc>
      </w:tr>
    </w:tbl>
    <w:p w:rsidR="006041C7" w:rsidRPr="00BF6104" w:rsidRDefault="006041C7" w:rsidP="006041C7">
      <w:pPr>
        <w:pStyle w:val="CETTabletitle"/>
        <w:spacing w:before="0" w:after="0"/>
        <w:rPr>
          <w:sz w:val="16"/>
          <w:szCs w:val="16"/>
          <w:lang w:val="en-US"/>
        </w:rPr>
      </w:pPr>
      <w:r w:rsidRPr="00BF6104">
        <w:rPr>
          <w:rFonts w:ascii="WbksbdSTIX-Regular" w:eastAsiaTheme="minorHAnsi" w:hAnsi="WbksbdSTIX-Regular" w:cs="WbksbdSTIX-Regular"/>
          <w:sz w:val="16"/>
          <w:szCs w:val="16"/>
          <w:lang w:val="en-US"/>
        </w:rPr>
        <w:t>Values followed by the same letter within the same column were not significantly different according to Duncan’s test (</w:t>
      </w:r>
      <w:r w:rsidRPr="00BF6104">
        <w:rPr>
          <w:rFonts w:ascii="FxrjqxSTIX-Italic" w:eastAsiaTheme="minorHAnsi" w:hAnsi="FxrjqxSTIX-Italic" w:cs="FxrjqxSTIX-Italic"/>
          <w:i w:val="0"/>
          <w:iCs/>
          <w:sz w:val="16"/>
          <w:szCs w:val="16"/>
          <w:lang w:val="en-US"/>
        </w:rPr>
        <w:t xml:space="preserve">P </w:t>
      </w:r>
      <w:r w:rsidRPr="00BF6104">
        <w:rPr>
          <w:rFonts w:ascii="WbksbdSTIX-Regular" w:eastAsiaTheme="minorHAnsi" w:hAnsi="WbksbdSTIX-Regular" w:cs="WbksbdSTIX-Regular"/>
          <w:sz w:val="16"/>
          <w:szCs w:val="16"/>
          <w:lang w:val="en-US"/>
        </w:rPr>
        <w:t>&lt; 0.05)</w:t>
      </w:r>
    </w:p>
    <w:p w:rsidR="00212C5B" w:rsidRDefault="00212C5B" w:rsidP="00212C5B">
      <w:pPr>
        <w:pStyle w:val="CETBodytext"/>
        <w:ind w:right="-1"/>
      </w:pPr>
    </w:p>
    <w:p w:rsidR="00212C5B" w:rsidRDefault="00212C5B" w:rsidP="00212C5B">
      <w:pPr>
        <w:pStyle w:val="CETBodytext"/>
      </w:pPr>
      <w:r>
        <w:t xml:space="preserve">It is known that several factors affect the release of the migrant from solid polymer phase into simulant liquid: the polymer morphology and molecular weight distribution, the </w:t>
      </w:r>
      <w:r w:rsidRPr="007B30CF">
        <w:t xml:space="preserve">polymer–antioxidant interactions, </w:t>
      </w:r>
      <w:r>
        <w:t xml:space="preserve">the </w:t>
      </w:r>
      <w:r w:rsidRPr="007B30CF">
        <w:t>simulant polarity</w:t>
      </w:r>
      <w:r>
        <w:t>, the temperature, as well as the antioxidant solubility in the simulant</w:t>
      </w:r>
      <w:r w:rsidRPr="007B30CF">
        <w:t xml:space="preserve"> </w:t>
      </w:r>
      <w:r>
        <w:t>and its distribution within the polymer matrix. However, the results are in compliance with other studies conducted on the release of phenolic compounds from poly(lactic acid) films (</w:t>
      </w:r>
      <w:proofErr w:type="spellStart"/>
      <w:r>
        <w:t>Jamshidian</w:t>
      </w:r>
      <w:proofErr w:type="spellEnd"/>
      <w:r>
        <w:t xml:space="preserve"> et al., 2013), which underlined the effectiveness of ethanol as an aggressive solvent, able to penetrate the PLA chains and promote antioxidant diffusion  (</w:t>
      </w:r>
      <w:proofErr w:type="spellStart"/>
      <w:r>
        <w:t>Manzanarez</w:t>
      </w:r>
      <w:proofErr w:type="spellEnd"/>
      <w:r>
        <w:t xml:space="preserve">-Lopez et al., 2011). Moreover, these preliminary studies pave the way to a more complex investigation on migration kinetics with different release media and different concentration of the active agent. </w:t>
      </w:r>
    </w:p>
    <w:p w:rsidR="00212C5B" w:rsidRDefault="00212C5B" w:rsidP="00212C5B">
      <w:pPr>
        <w:pStyle w:val="CETBodytext"/>
      </w:pPr>
    </w:p>
    <w:p w:rsidR="00212C5B" w:rsidRDefault="00212C5B" w:rsidP="00212C5B">
      <w:pPr>
        <w:pStyle w:val="CETBodytext"/>
      </w:pPr>
      <w:r>
        <w:t xml:space="preserve"> </w:t>
      </w:r>
      <w:r w:rsidR="00931C8F">
        <w:rPr>
          <w:noProof/>
          <w:lang w:val="it-IT" w:eastAsia="it-IT"/>
        </w:rPr>
        <w:drawing>
          <wp:inline distT="0" distB="0" distL="0" distR="0">
            <wp:extent cx="2960717" cy="2250219"/>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1901" cy="2289120"/>
                    </a:xfrm>
                    <a:prstGeom prst="rect">
                      <a:avLst/>
                    </a:prstGeom>
                    <a:noFill/>
                  </pic:spPr>
                </pic:pic>
              </a:graphicData>
            </a:graphic>
          </wp:inline>
        </w:drawing>
      </w:r>
    </w:p>
    <w:p w:rsidR="00212C5B" w:rsidRDefault="00212C5B" w:rsidP="00212C5B">
      <w:pPr>
        <w:pStyle w:val="CETBodytext"/>
      </w:pPr>
      <w:r w:rsidRPr="00BB3CAA">
        <w:rPr>
          <w:rStyle w:val="CETCaptionCarattere"/>
        </w:rPr>
        <w:t xml:space="preserve">Figure </w:t>
      </w:r>
      <w:r w:rsidR="00580794">
        <w:rPr>
          <w:rStyle w:val="CETCaptionCarattere"/>
        </w:rPr>
        <w:t>1</w:t>
      </w:r>
      <w:r w:rsidRPr="00BB3CAA">
        <w:rPr>
          <w:rStyle w:val="CETCaptionCarattere"/>
        </w:rPr>
        <w:t xml:space="preserve">: </w:t>
      </w:r>
      <w:r>
        <w:rPr>
          <w:rStyle w:val="CETCaptionCarattere"/>
        </w:rPr>
        <w:t xml:space="preserve">DPPH antioxidant activity [%] evaluated on the release medium after contact with </w:t>
      </w:r>
      <w:r w:rsidR="008323ED">
        <w:rPr>
          <w:rStyle w:val="CETCaptionCarattere"/>
        </w:rPr>
        <w:t>Biopolymer</w:t>
      </w:r>
      <w:r>
        <w:rPr>
          <w:rStyle w:val="CETCaptionCarattere"/>
        </w:rPr>
        <w:t xml:space="preserve">, </w:t>
      </w:r>
      <w:r w:rsidR="008323ED">
        <w:rPr>
          <w:rStyle w:val="CETCaptionCarattere"/>
        </w:rPr>
        <w:t>Biopolymer</w:t>
      </w:r>
      <w:r>
        <w:rPr>
          <w:rStyle w:val="CETCaptionCarattere"/>
        </w:rPr>
        <w:t xml:space="preserve">/PLA and </w:t>
      </w:r>
      <w:r w:rsidR="008323ED">
        <w:rPr>
          <w:rStyle w:val="CETCaptionCarattere"/>
        </w:rPr>
        <w:t>Biopolymer</w:t>
      </w:r>
      <w:r>
        <w:rPr>
          <w:rStyle w:val="CETCaptionCarattere"/>
        </w:rPr>
        <w:t>/PLA-3%OE3 samples. Bars represent the standard deviation from triplicate determinations.</w:t>
      </w:r>
    </w:p>
    <w:p w:rsidR="00212C5B" w:rsidRDefault="00212C5B" w:rsidP="00212C5B">
      <w:pPr>
        <w:pStyle w:val="CETHeading1"/>
      </w:pPr>
      <w:r>
        <w:t>Conclusions</w:t>
      </w:r>
    </w:p>
    <w:p w:rsidR="00212C5B" w:rsidRPr="00B7410B" w:rsidRDefault="00212C5B" w:rsidP="00212C5B">
      <w:pPr>
        <w:pStyle w:val="CETBodytext"/>
      </w:pPr>
      <w:r>
        <w:t>In this research, novel eco-sustainable multilayer antioxidant films, based on olive milling wastewater extracts, were successfully produced by coating technique. T</w:t>
      </w:r>
      <w:r w:rsidRPr="00996394">
        <w:t>he results of the preliminary investigation</w:t>
      </w:r>
      <w:r>
        <w:t>,</w:t>
      </w:r>
      <w:r w:rsidRPr="00996394">
        <w:t xml:space="preserve"> </w:t>
      </w:r>
      <w:r>
        <w:t xml:space="preserve">carried out </w:t>
      </w:r>
      <w:r w:rsidRPr="00996394">
        <w:t>on the available phenolic extracts</w:t>
      </w:r>
      <w:r>
        <w:t>,</w:t>
      </w:r>
      <w:r w:rsidRPr="00996394">
        <w:t xml:space="preserve"> identified the OE3 as the best candidate for the development of </w:t>
      </w:r>
      <w:r>
        <w:t>the active bio-coatings</w:t>
      </w:r>
      <w:r w:rsidRPr="00996394">
        <w:t>, thanks to its highe</w:t>
      </w:r>
      <w:r>
        <w:t>st</w:t>
      </w:r>
      <w:r w:rsidRPr="00996394">
        <w:t xml:space="preserve"> antioxidant activity and lowe</w:t>
      </w:r>
      <w:r>
        <w:t>st</w:t>
      </w:r>
      <w:r w:rsidRPr="00996394">
        <w:t xml:space="preserve"> content of </w:t>
      </w:r>
      <w:r>
        <w:t>polar functional</w:t>
      </w:r>
      <w:r w:rsidRPr="00996394">
        <w:t xml:space="preserve"> groups, which </w:t>
      </w:r>
      <w:r>
        <w:t>allow an easier incorporation within the PLA non-polar coating solution. The incorporation of the olive extract within 1-3% w/w range into the multilayer films did not significantly affect the barrier performance of the systems, required for food packaging applications in real working conditions.</w:t>
      </w:r>
      <w:r w:rsidR="00E63735">
        <w:t xml:space="preserve"> </w:t>
      </w:r>
      <w:r>
        <w:t xml:space="preserve">Surface wettability measurements pointed out the stronger affinity of the polymer matrix with the 95% ethanol solvent, which was then </w:t>
      </w:r>
      <w:r w:rsidRPr="00693053">
        <w:t>selected as target food simulant for the release tests</w:t>
      </w:r>
      <w:r>
        <w:t xml:space="preserve">. Finally, DPPH antioxidant activity performed on the food simulant pointed </w:t>
      </w:r>
      <w:r>
        <w:lastRenderedPageBreak/>
        <w:t>out t</w:t>
      </w:r>
      <w:r w:rsidRPr="00A26B4E">
        <w:t>he potential of the</w:t>
      </w:r>
      <w:r>
        <w:t xml:space="preserve"> produced</w:t>
      </w:r>
      <w:r w:rsidRPr="00A26B4E">
        <w:t xml:space="preserve"> </w:t>
      </w:r>
      <w:r>
        <w:t>films t</w:t>
      </w:r>
      <w:r w:rsidRPr="00A26B4E">
        <w:t xml:space="preserve">o be used as </w:t>
      </w:r>
      <w:r>
        <w:t>carrier</w:t>
      </w:r>
      <w:r w:rsidRPr="00A26B4E">
        <w:t>s for the controlled release of the antioxidant agent</w:t>
      </w:r>
      <w:r>
        <w:t>. Therefore, these active films represent an innovative and advantageous alternative for the preservation of oxi</w:t>
      </w:r>
      <w:r w:rsidRPr="00B7410B">
        <w:t>dative-sensitive food products</w:t>
      </w:r>
      <w:r>
        <w:t>.</w:t>
      </w:r>
    </w:p>
    <w:p w:rsidR="00212C5B" w:rsidRPr="00B10C77" w:rsidRDefault="00212C5B" w:rsidP="00212C5B">
      <w:pPr>
        <w:pStyle w:val="CETBodytextBold"/>
        <w:spacing w:before="200" w:after="120"/>
      </w:pPr>
      <w:r>
        <w:t xml:space="preserve">Reference </w:t>
      </w:r>
    </w:p>
    <w:p w:rsidR="00212C5B" w:rsidRPr="00CC7F9F" w:rsidRDefault="00212C5B" w:rsidP="00212C5B">
      <w:pPr>
        <w:pStyle w:val="CETReferencetext"/>
        <w:rPr>
          <w:lang w:val="it-IT"/>
        </w:rPr>
      </w:pPr>
      <w:proofErr w:type="spellStart"/>
      <w:r w:rsidRPr="00CC7F9F">
        <w:rPr>
          <w:lang w:val="en-US"/>
        </w:rPr>
        <w:t>Adiletta</w:t>
      </w:r>
      <w:proofErr w:type="spellEnd"/>
      <w:r w:rsidRPr="00CC7F9F">
        <w:rPr>
          <w:lang w:val="en-US"/>
        </w:rPr>
        <w:t xml:space="preserve"> </w:t>
      </w:r>
      <w:r w:rsidRPr="00CC7F9F">
        <w:rPr>
          <w:color w:val="000000" w:themeColor="text1"/>
          <w:lang w:val="en-US"/>
        </w:rPr>
        <w:t xml:space="preserve">G., </w:t>
      </w:r>
      <w:proofErr w:type="spellStart"/>
      <w:r w:rsidRPr="00CC7F9F">
        <w:rPr>
          <w:color w:val="000000" w:themeColor="text1"/>
          <w:lang w:val="en-US"/>
        </w:rPr>
        <w:t>Petriccione</w:t>
      </w:r>
      <w:proofErr w:type="spellEnd"/>
      <w:r w:rsidRPr="00CC7F9F">
        <w:rPr>
          <w:color w:val="000000" w:themeColor="text1"/>
          <w:lang w:val="en-US"/>
        </w:rPr>
        <w:t xml:space="preserve"> M., Liguori L., </w:t>
      </w:r>
      <w:proofErr w:type="spellStart"/>
      <w:r w:rsidRPr="00CC7F9F">
        <w:rPr>
          <w:color w:val="000000" w:themeColor="text1"/>
          <w:lang w:val="en-US"/>
        </w:rPr>
        <w:t>Pizzolongo</w:t>
      </w:r>
      <w:proofErr w:type="spellEnd"/>
      <w:r w:rsidRPr="00CC7F9F">
        <w:rPr>
          <w:color w:val="000000" w:themeColor="text1"/>
          <w:lang w:val="en-US"/>
        </w:rPr>
        <w:t xml:space="preserve"> F., Romano R., Di Matteo M., 2018, Study of pomological traits and </w:t>
      </w:r>
      <w:proofErr w:type="spellStart"/>
      <w:r w:rsidRPr="00CC7F9F">
        <w:rPr>
          <w:color w:val="000000" w:themeColor="text1"/>
          <w:lang w:val="en-US"/>
        </w:rPr>
        <w:t>physico</w:t>
      </w:r>
      <w:proofErr w:type="spellEnd"/>
      <w:r w:rsidRPr="00CC7F9F">
        <w:rPr>
          <w:color w:val="000000" w:themeColor="text1"/>
          <w:lang w:val="en-US"/>
        </w:rPr>
        <w:t>-chemical quality of pomegranate (</w:t>
      </w:r>
      <w:proofErr w:type="spellStart"/>
      <w:r w:rsidRPr="00CC7F9F">
        <w:rPr>
          <w:color w:val="000000" w:themeColor="text1"/>
          <w:lang w:val="en-US"/>
        </w:rPr>
        <w:t>Punica</w:t>
      </w:r>
      <w:proofErr w:type="spellEnd"/>
      <w:r w:rsidRPr="00CC7F9F">
        <w:rPr>
          <w:color w:val="000000" w:themeColor="text1"/>
          <w:lang w:val="en-US"/>
        </w:rPr>
        <w:t xml:space="preserve"> </w:t>
      </w:r>
      <w:proofErr w:type="spellStart"/>
      <w:r w:rsidRPr="00CC7F9F">
        <w:rPr>
          <w:color w:val="000000" w:themeColor="text1"/>
          <w:lang w:val="en-US"/>
        </w:rPr>
        <w:t>granatum</w:t>
      </w:r>
      <w:proofErr w:type="spellEnd"/>
      <w:r w:rsidRPr="00CC7F9F">
        <w:rPr>
          <w:color w:val="000000" w:themeColor="text1"/>
          <w:lang w:val="en-US"/>
        </w:rPr>
        <w:t xml:space="preserve"> L.) genotypes grown in Italy. </w:t>
      </w:r>
      <w:proofErr w:type="spellStart"/>
      <w:r w:rsidR="002F6393" w:rsidRPr="002F6393">
        <w:rPr>
          <w:rFonts w:cs="Arial"/>
          <w:color w:val="000000" w:themeColor="text1"/>
          <w:shd w:val="clear" w:color="auto" w:fill="FFFFFF"/>
          <w:lang w:val="it-IT"/>
        </w:rPr>
        <w:t>European</w:t>
      </w:r>
      <w:proofErr w:type="spellEnd"/>
      <w:r w:rsidR="002F6393" w:rsidRPr="002F6393">
        <w:rPr>
          <w:rFonts w:cs="Arial"/>
          <w:color w:val="000000" w:themeColor="text1"/>
          <w:shd w:val="clear" w:color="auto" w:fill="FFFFFF"/>
          <w:lang w:val="it-IT"/>
        </w:rPr>
        <w:t xml:space="preserve"> Food </w:t>
      </w:r>
      <w:proofErr w:type="spellStart"/>
      <w:r w:rsidR="002F6393" w:rsidRPr="002F6393">
        <w:rPr>
          <w:rFonts w:cs="Arial"/>
          <w:color w:val="000000" w:themeColor="text1"/>
          <w:shd w:val="clear" w:color="auto" w:fill="FFFFFF"/>
          <w:lang w:val="it-IT"/>
        </w:rPr>
        <w:t>Research</w:t>
      </w:r>
      <w:proofErr w:type="spellEnd"/>
      <w:r w:rsidR="002F6393" w:rsidRPr="002F6393">
        <w:rPr>
          <w:rFonts w:cs="Arial"/>
          <w:color w:val="000000" w:themeColor="text1"/>
          <w:shd w:val="clear" w:color="auto" w:fill="FFFFFF"/>
          <w:lang w:val="it-IT"/>
        </w:rPr>
        <w:t xml:space="preserve"> and Technology</w:t>
      </w:r>
      <w:r w:rsidRPr="00CC7F9F">
        <w:rPr>
          <w:lang w:val="it-IT"/>
        </w:rPr>
        <w:t xml:space="preserve">, 244(8), 1427–1438. </w:t>
      </w:r>
    </w:p>
    <w:p w:rsidR="00212C5B" w:rsidRPr="004C1DAF" w:rsidRDefault="00212C5B" w:rsidP="00212C5B">
      <w:pPr>
        <w:pStyle w:val="CETReferencetext"/>
      </w:pPr>
      <w:proofErr w:type="spellStart"/>
      <w:r w:rsidRPr="004C1DAF">
        <w:rPr>
          <w:lang w:val="it-IT"/>
        </w:rPr>
        <w:t>Adiletta</w:t>
      </w:r>
      <w:proofErr w:type="spellEnd"/>
      <w:r w:rsidRPr="004C1DAF">
        <w:rPr>
          <w:lang w:val="it-IT"/>
        </w:rPr>
        <w:t xml:space="preserve"> G., Liguori L., Albanese D., Russo P., Di Matteo M., Crescitelli A., 2017, Soft-</w:t>
      </w:r>
      <w:proofErr w:type="spellStart"/>
      <w:r w:rsidRPr="004C1DAF">
        <w:rPr>
          <w:lang w:val="it-IT"/>
        </w:rPr>
        <w:t>Seeded</w:t>
      </w:r>
      <w:proofErr w:type="spellEnd"/>
      <w:r w:rsidRPr="004C1DAF">
        <w:rPr>
          <w:lang w:val="it-IT"/>
        </w:rPr>
        <w:t xml:space="preserve"> </w:t>
      </w:r>
      <w:proofErr w:type="spellStart"/>
      <w:r w:rsidRPr="004C1DAF">
        <w:rPr>
          <w:lang w:val="it-IT"/>
        </w:rPr>
        <w:t>Pomegranate</w:t>
      </w:r>
      <w:proofErr w:type="spellEnd"/>
      <w:r w:rsidRPr="004C1DAF">
        <w:rPr>
          <w:lang w:val="it-IT"/>
        </w:rPr>
        <w:t xml:space="preserve"> (Punica </w:t>
      </w:r>
      <w:proofErr w:type="spellStart"/>
      <w:r w:rsidRPr="004C1DAF">
        <w:rPr>
          <w:lang w:val="it-IT"/>
        </w:rPr>
        <w:t>granatum</w:t>
      </w:r>
      <w:proofErr w:type="spellEnd"/>
      <w:r w:rsidRPr="004C1DAF">
        <w:rPr>
          <w:lang w:val="it-IT"/>
        </w:rPr>
        <w:t xml:space="preserve"> L.) </w:t>
      </w:r>
      <w:r w:rsidRPr="004C1DAF">
        <w:t>Varieties: Preliminary Characterization and Quality Changes of Minimally Processed Arils During Storage. Food Bioprocess Tech</w:t>
      </w:r>
      <w:r w:rsidR="002F6393">
        <w:t>nology</w:t>
      </w:r>
      <w:r w:rsidRPr="004C1DAF">
        <w:t>, 10(9), 1631–1641.</w:t>
      </w:r>
    </w:p>
    <w:p w:rsidR="00212C5B" w:rsidRPr="004C1DAF" w:rsidRDefault="00212C5B" w:rsidP="00212C5B">
      <w:pPr>
        <w:pStyle w:val="CETReferencetext"/>
      </w:pPr>
      <w:proofErr w:type="spellStart"/>
      <w:r w:rsidRPr="004C1DAF">
        <w:rPr>
          <w:lang w:val="en-US"/>
        </w:rPr>
        <w:t>Adiletta</w:t>
      </w:r>
      <w:proofErr w:type="spellEnd"/>
      <w:r w:rsidRPr="004C1DAF">
        <w:rPr>
          <w:lang w:val="en-US"/>
        </w:rPr>
        <w:t xml:space="preserve"> G., Russo, P., </w:t>
      </w:r>
      <w:proofErr w:type="spellStart"/>
      <w:r w:rsidRPr="004C1DAF">
        <w:rPr>
          <w:lang w:val="en-US"/>
        </w:rPr>
        <w:t>Proietti</w:t>
      </w:r>
      <w:proofErr w:type="spellEnd"/>
      <w:r w:rsidRPr="004C1DAF">
        <w:rPr>
          <w:lang w:val="en-US"/>
        </w:rPr>
        <w:t xml:space="preserve"> N., </w:t>
      </w:r>
      <w:proofErr w:type="spellStart"/>
      <w:r w:rsidRPr="004C1DAF">
        <w:rPr>
          <w:lang w:val="en-US"/>
        </w:rPr>
        <w:t>Capitani</w:t>
      </w:r>
      <w:proofErr w:type="spellEnd"/>
      <w:r w:rsidRPr="004C1DAF">
        <w:rPr>
          <w:lang w:val="en-US"/>
        </w:rPr>
        <w:t xml:space="preserve"> D., </w:t>
      </w:r>
      <w:proofErr w:type="spellStart"/>
      <w:r w:rsidRPr="004C1DAF">
        <w:rPr>
          <w:lang w:val="en-US"/>
        </w:rPr>
        <w:t>Mannina</w:t>
      </w:r>
      <w:proofErr w:type="spellEnd"/>
      <w:r w:rsidRPr="004C1DAF">
        <w:rPr>
          <w:lang w:val="en-US"/>
        </w:rPr>
        <w:t xml:space="preserve"> L., </w:t>
      </w:r>
      <w:proofErr w:type="spellStart"/>
      <w:r w:rsidRPr="004C1DAF">
        <w:rPr>
          <w:lang w:val="en-US"/>
        </w:rPr>
        <w:t>Crescitelli</w:t>
      </w:r>
      <w:proofErr w:type="spellEnd"/>
      <w:r w:rsidRPr="004C1DAF">
        <w:rPr>
          <w:lang w:val="en-US"/>
        </w:rPr>
        <w:t xml:space="preserve"> A., Di Matteo, M., 2015, </w:t>
      </w:r>
      <w:r w:rsidRPr="004C1DAF">
        <w:t xml:space="preserve">Characterization of pears during drying by conventional technique and portable non invasive NMR, </w:t>
      </w:r>
      <w:r w:rsidR="002F6393" w:rsidRPr="002F6393">
        <w:t>Chemical Engineering Transactions</w:t>
      </w:r>
      <w:r w:rsidRPr="004C1DAF">
        <w:t>, 44. 151-156.</w:t>
      </w:r>
    </w:p>
    <w:p w:rsidR="00212C5B" w:rsidRPr="004C1DAF" w:rsidRDefault="00212C5B" w:rsidP="00212C5B">
      <w:pPr>
        <w:pStyle w:val="CETReferencetext"/>
        <w:rPr>
          <w:lang w:val="en-US"/>
        </w:rPr>
      </w:pPr>
      <w:proofErr w:type="spellStart"/>
      <w:r w:rsidRPr="004C1DAF">
        <w:rPr>
          <w:lang w:val="en-US"/>
        </w:rPr>
        <w:t>Ajila</w:t>
      </w:r>
      <w:proofErr w:type="spellEnd"/>
      <w:r w:rsidRPr="004C1DAF">
        <w:rPr>
          <w:lang w:val="en-US"/>
        </w:rPr>
        <w:t xml:space="preserve"> C.M., Brar S.K., Verma M., Tyagi R.D., Godbout S., Valero J.R., 2010, Extraction and Analysis of Polyphenols: Recent trends. </w:t>
      </w:r>
      <w:r w:rsidR="002F6393" w:rsidRPr="002F6393">
        <w:rPr>
          <w:lang w:val="en-US"/>
        </w:rPr>
        <w:t>Critical Reviews in Biotechnology</w:t>
      </w:r>
      <w:r w:rsidRPr="004C1DAF">
        <w:rPr>
          <w:lang w:val="en-US"/>
        </w:rPr>
        <w:t>, 31. 227-49.</w:t>
      </w:r>
    </w:p>
    <w:p w:rsidR="00212C5B" w:rsidRPr="00212C5B" w:rsidRDefault="00212C5B" w:rsidP="00212C5B">
      <w:pPr>
        <w:pStyle w:val="CETReferencetext"/>
        <w:rPr>
          <w:lang w:val="en-US"/>
        </w:rPr>
      </w:pPr>
      <w:r w:rsidRPr="004C1DAF">
        <w:rPr>
          <w:lang w:val="en-US"/>
        </w:rPr>
        <w:t>Amaro-Blanco G., Delgado-</w:t>
      </w:r>
      <w:proofErr w:type="spellStart"/>
      <w:r w:rsidRPr="004C1DAF">
        <w:rPr>
          <w:lang w:val="en-US"/>
        </w:rPr>
        <w:t>Adámez</w:t>
      </w:r>
      <w:proofErr w:type="spellEnd"/>
      <w:r w:rsidRPr="004C1DAF">
        <w:rPr>
          <w:lang w:val="en-US"/>
        </w:rPr>
        <w:t xml:space="preserve"> J., Martín M. J., Ramírez R., 2018, Active packaging using an olive leaf extract and high pressure processing for the preservation of sliced dry-cured shoulders from Iberian pigs. </w:t>
      </w:r>
      <w:r w:rsidR="00593B8A" w:rsidRPr="00593B8A">
        <w:rPr>
          <w:lang w:val="en-US"/>
        </w:rPr>
        <w:t>Innovative Food Science and Emerging Technologies</w:t>
      </w:r>
      <w:r w:rsidR="00593B8A">
        <w:rPr>
          <w:lang w:val="en-US"/>
        </w:rPr>
        <w:t xml:space="preserve">, </w:t>
      </w:r>
      <w:r w:rsidRPr="00212C5B">
        <w:rPr>
          <w:lang w:val="en-US"/>
        </w:rPr>
        <w:t>45, 1–9.</w:t>
      </w:r>
    </w:p>
    <w:p w:rsidR="00212C5B" w:rsidRPr="0033177E" w:rsidRDefault="00212C5B" w:rsidP="00212C5B">
      <w:pPr>
        <w:pStyle w:val="CETReferencetext"/>
        <w:rPr>
          <w:lang w:val="en-US"/>
        </w:rPr>
      </w:pPr>
      <w:r w:rsidRPr="009A51E0">
        <w:rPr>
          <w:lang w:val="en-US"/>
        </w:rPr>
        <w:t xml:space="preserve">Apicella A., </w:t>
      </w:r>
      <w:proofErr w:type="spellStart"/>
      <w:r w:rsidRPr="009A51E0">
        <w:rPr>
          <w:lang w:val="en-US"/>
        </w:rPr>
        <w:t>Scarfato</w:t>
      </w:r>
      <w:proofErr w:type="spellEnd"/>
      <w:r w:rsidRPr="009A51E0">
        <w:rPr>
          <w:lang w:val="en-US"/>
        </w:rPr>
        <w:t xml:space="preserve"> P., Di </w:t>
      </w:r>
      <w:proofErr w:type="spellStart"/>
      <w:r w:rsidRPr="009A51E0">
        <w:rPr>
          <w:lang w:val="en-US"/>
        </w:rPr>
        <w:t>Maio</w:t>
      </w:r>
      <w:proofErr w:type="spellEnd"/>
      <w:r w:rsidRPr="009A51E0">
        <w:rPr>
          <w:lang w:val="en-US"/>
        </w:rPr>
        <w:t xml:space="preserve"> L., </w:t>
      </w:r>
      <w:proofErr w:type="spellStart"/>
      <w:r w:rsidRPr="009A51E0">
        <w:rPr>
          <w:lang w:val="en-US"/>
        </w:rPr>
        <w:t>Incarnato</w:t>
      </w:r>
      <w:proofErr w:type="spellEnd"/>
      <w:r w:rsidRPr="009A51E0">
        <w:rPr>
          <w:lang w:val="en-US"/>
        </w:rPr>
        <w:t>, L., 2018</w:t>
      </w:r>
      <w:r>
        <w:rPr>
          <w:lang w:val="en-US"/>
        </w:rPr>
        <w:t>a</w:t>
      </w:r>
      <w:r w:rsidRPr="009A51E0">
        <w:rPr>
          <w:lang w:val="en-US"/>
        </w:rPr>
        <w:t xml:space="preserve">, </w:t>
      </w:r>
      <w:r w:rsidRPr="009A51E0">
        <w:t xml:space="preserve">Transport properties of multilayer active PET films with different layers configuration. </w:t>
      </w:r>
      <w:r w:rsidR="00593B8A" w:rsidRPr="00593B8A">
        <w:rPr>
          <w:lang w:val="en-US"/>
        </w:rPr>
        <w:t>Reactive and Functional Polymers</w:t>
      </w:r>
      <w:r w:rsidRPr="0033177E">
        <w:rPr>
          <w:lang w:val="en-US"/>
        </w:rPr>
        <w:t>, 127, 29–37.</w:t>
      </w:r>
    </w:p>
    <w:p w:rsidR="00212C5B" w:rsidRDefault="00212C5B" w:rsidP="00212C5B">
      <w:pPr>
        <w:pStyle w:val="CETReferencetext"/>
        <w:rPr>
          <w:lang w:val="en-US"/>
        </w:rPr>
      </w:pPr>
      <w:r w:rsidRPr="00CC7F9F">
        <w:rPr>
          <w:lang w:val="en-US"/>
        </w:rPr>
        <w:t xml:space="preserve">Apicella A., </w:t>
      </w:r>
      <w:proofErr w:type="spellStart"/>
      <w:r w:rsidRPr="00CC7F9F">
        <w:rPr>
          <w:lang w:val="en-US"/>
        </w:rPr>
        <w:t>Scarfato</w:t>
      </w:r>
      <w:proofErr w:type="spellEnd"/>
      <w:r w:rsidRPr="00CC7F9F">
        <w:rPr>
          <w:lang w:val="en-US"/>
        </w:rPr>
        <w:t xml:space="preserve"> P., Di </w:t>
      </w:r>
      <w:proofErr w:type="spellStart"/>
      <w:r w:rsidRPr="00CC7F9F">
        <w:rPr>
          <w:lang w:val="en-US"/>
        </w:rPr>
        <w:t>Maio</w:t>
      </w:r>
      <w:proofErr w:type="spellEnd"/>
      <w:r w:rsidRPr="00CC7F9F">
        <w:rPr>
          <w:lang w:val="en-US"/>
        </w:rPr>
        <w:t xml:space="preserve"> L., Garofalo E., </w:t>
      </w:r>
      <w:proofErr w:type="spellStart"/>
      <w:r w:rsidRPr="00CC7F9F">
        <w:rPr>
          <w:lang w:val="en-US"/>
        </w:rPr>
        <w:t>Incarnato</w:t>
      </w:r>
      <w:proofErr w:type="spellEnd"/>
      <w:r w:rsidRPr="00CC7F9F">
        <w:rPr>
          <w:lang w:val="en-US"/>
        </w:rPr>
        <w:t xml:space="preserve"> L., 2018</w:t>
      </w:r>
      <w:r>
        <w:rPr>
          <w:lang w:val="en-US"/>
        </w:rPr>
        <w:t>b,</w:t>
      </w:r>
      <w:r w:rsidRPr="00CC7F9F">
        <w:rPr>
          <w:lang w:val="en-US"/>
        </w:rPr>
        <w:t xml:space="preserve"> Evaluation of performance of PET packaging films based on different </w:t>
      </w:r>
      <w:proofErr w:type="spellStart"/>
      <w:r w:rsidRPr="00CC7F9F">
        <w:rPr>
          <w:lang w:val="en-US"/>
        </w:rPr>
        <w:t>copolyester</w:t>
      </w:r>
      <w:proofErr w:type="spellEnd"/>
      <w:r w:rsidRPr="00CC7F9F">
        <w:rPr>
          <w:lang w:val="en-US"/>
        </w:rPr>
        <w:t xml:space="preserve"> O2-scavengers. </w:t>
      </w:r>
      <w:r w:rsidRPr="00996CA2">
        <w:rPr>
          <w:lang w:val="en-US"/>
        </w:rPr>
        <w:t>AIP Conf</w:t>
      </w:r>
      <w:r w:rsidR="00593B8A">
        <w:rPr>
          <w:lang w:val="en-US"/>
        </w:rPr>
        <w:t>erence</w:t>
      </w:r>
      <w:r w:rsidRPr="00996CA2">
        <w:rPr>
          <w:lang w:val="en-US"/>
        </w:rPr>
        <w:t xml:space="preserve"> Proc</w:t>
      </w:r>
      <w:r w:rsidR="00593B8A">
        <w:rPr>
          <w:lang w:val="en-US"/>
        </w:rPr>
        <w:t>eedings</w:t>
      </w:r>
      <w:r>
        <w:rPr>
          <w:lang w:val="en-US"/>
        </w:rPr>
        <w:t>,</w:t>
      </w:r>
      <w:r w:rsidRPr="00CC7F9F">
        <w:rPr>
          <w:lang w:val="en-US"/>
        </w:rPr>
        <w:t xml:space="preserve"> 1981</w:t>
      </w:r>
      <w:r>
        <w:rPr>
          <w:lang w:val="en-US"/>
        </w:rPr>
        <w:t xml:space="preserve">(1) </w:t>
      </w:r>
      <w:r w:rsidRPr="00CC7F9F">
        <w:rPr>
          <w:lang w:val="en-US"/>
        </w:rPr>
        <w:t xml:space="preserve">020130. </w:t>
      </w:r>
    </w:p>
    <w:p w:rsidR="00212C5B" w:rsidRDefault="00212C5B" w:rsidP="00212C5B">
      <w:pPr>
        <w:pStyle w:val="CETReferencetext"/>
        <w:rPr>
          <w:lang w:val="en-US"/>
        </w:rPr>
      </w:pPr>
      <w:r w:rsidRPr="00CC7F9F">
        <w:rPr>
          <w:lang w:val="en-US"/>
        </w:rPr>
        <w:t xml:space="preserve">Apicella A., </w:t>
      </w:r>
      <w:proofErr w:type="spellStart"/>
      <w:r w:rsidRPr="00CC7F9F">
        <w:rPr>
          <w:lang w:val="en-US"/>
        </w:rPr>
        <w:t>Scarfato</w:t>
      </w:r>
      <w:proofErr w:type="spellEnd"/>
      <w:r w:rsidRPr="00CC7F9F">
        <w:rPr>
          <w:lang w:val="en-US"/>
        </w:rPr>
        <w:t xml:space="preserve"> P., </w:t>
      </w:r>
      <w:proofErr w:type="spellStart"/>
      <w:r>
        <w:rPr>
          <w:lang w:val="en-US"/>
        </w:rPr>
        <w:t>D’Arienzo</w:t>
      </w:r>
      <w:proofErr w:type="spellEnd"/>
      <w:r>
        <w:rPr>
          <w:lang w:val="en-US"/>
        </w:rPr>
        <w:t xml:space="preserve"> L., </w:t>
      </w:r>
      <w:r w:rsidRPr="00CC7F9F">
        <w:rPr>
          <w:lang w:val="en-US"/>
        </w:rPr>
        <w:t xml:space="preserve">Garofalo E., Di </w:t>
      </w:r>
      <w:proofErr w:type="spellStart"/>
      <w:r w:rsidRPr="00CC7F9F">
        <w:rPr>
          <w:lang w:val="en-US"/>
        </w:rPr>
        <w:t>Maio</w:t>
      </w:r>
      <w:proofErr w:type="spellEnd"/>
      <w:r w:rsidRPr="00CC7F9F">
        <w:rPr>
          <w:lang w:val="en-US"/>
        </w:rPr>
        <w:t xml:space="preserve"> L., </w:t>
      </w:r>
      <w:proofErr w:type="spellStart"/>
      <w:r w:rsidRPr="00CC7F9F">
        <w:rPr>
          <w:lang w:val="en-US"/>
        </w:rPr>
        <w:t>Incarnato</w:t>
      </w:r>
      <w:proofErr w:type="spellEnd"/>
      <w:r w:rsidRPr="00CC7F9F">
        <w:rPr>
          <w:lang w:val="en-US"/>
        </w:rPr>
        <w:t xml:space="preserve"> L., 2018</w:t>
      </w:r>
      <w:r>
        <w:rPr>
          <w:lang w:val="en-US"/>
        </w:rPr>
        <w:t>c,</w:t>
      </w:r>
      <w:r w:rsidRPr="00CC7F9F">
        <w:rPr>
          <w:lang w:val="en-US"/>
        </w:rPr>
        <w:t xml:space="preserve"> </w:t>
      </w:r>
      <w:r w:rsidRPr="0033177E">
        <w:rPr>
          <w:lang w:val="en-US"/>
        </w:rPr>
        <w:t>Antimicrobial biodegradable coatings based on LAE for food packaging applications</w:t>
      </w:r>
      <w:r>
        <w:rPr>
          <w:lang w:val="en-US"/>
        </w:rPr>
        <w:t>.</w:t>
      </w:r>
      <w:r w:rsidR="00593B8A" w:rsidRPr="00593B8A">
        <w:rPr>
          <w:lang w:val="en-US"/>
        </w:rPr>
        <w:t xml:space="preserve"> </w:t>
      </w:r>
      <w:r w:rsidR="00593B8A" w:rsidRPr="00996CA2">
        <w:rPr>
          <w:lang w:val="en-US"/>
        </w:rPr>
        <w:t>AIP Conf</w:t>
      </w:r>
      <w:r w:rsidR="00593B8A">
        <w:rPr>
          <w:lang w:val="en-US"/>
        </w:rPr>
        <w:t>erence</w:t>
      </w:r>
      <w:r w:rsidR="00593B8A" w:rsidRPr="00996CA2">
        <w:rPr>
          <w:lang w:val="en-US"/>
        </w:rPr>
        <w:t xml:space="preserve"> Proc</w:t>
      </w:r>
      <w:r w:rsidR="00593B8A">
        <w:rPr>
          <w:lang w:val="en-US"/>
        </w:rPr>
        <w:t>eedings</w:t>
      </w:r>
      <w:r>
        <w:rPr>
          <w:lang w:val="en-US"/>
        </w:rPr>
        <w:t>,</w:t>
      </w:r>
      <w:r w:rsidRPr="00CC7F9F">
        <w:rPr>
          <w:lang w:val="en-US"/>
        </w:rPr>
        <w:t xml:space="preserve"> 1981</w:t>
      </w:r>
      <w:r>
        <w:rPr>
          <w:lang w:val="en-US"/>
        </w:rPr>
        <w:t>(1)</w:t>
      </w:r>
      <w:r w:rsidRPr="0033177E">
        <w:rPr>
          <w:lang w:val="en-US"/>
        </w:rPr>
        <w:t>, 020010</w:t>
      </w:r>
      <w:r w:rsidRPr="00CC7F9F">
        <w:rPr>
          <w:lang w:val="en-US"/>
        </w:rPr>
        <w:t xml:space="preserve">. </w:t>
      </w:r>
    </w:p>
    <w:p w:rsidR="00212C5B" w:rsidRPr="004C1DAF" w:rsidRDefault="00212C5B" w:rsidP="00212C5B">
      <w:pPr>
        <w:pStyle w:val="CETReferencetext"/>
        <w:rPr>
          <w:lang w:val="en-US"/>
        </w:rPr>
      </w:pPr>
      <w:proofErr w:type="spellStart"/>
      <w:r w:rsidRPr="004C1DAF">
        <w:rPr>
          <w:lang w:val="en-US"/>
        </w:rPr>
        <w:t>Barbaro</w:t>
      </w:r>
      <w:proofErr w:type="spellEnd"/>
      <w:r w:rsidRPr="004C1DAF">
        <w:rPr>
          <w:lang w:val="en-US"/>
        </w:rPr>
        <w:t xml:space="preserve"> G., </w:t>
      </w:r>
      <w:proofErr w:type="spellStart"/>
      <w:r w:rsidRPr="004C1DAF">
        <w:rPr>
          <w:lang w:val="en-US"/>
        </w:rPr>
        <w:t>Galdi</w:t>
      </w:r>
      <w:proofErr w:type="spellEnd"/>
      <w:r w:rsidRPr="004C1DAF">
        <w:rPr>
          <w:lang w:val="en-US"/>
        </w:rPr>
        <w:t xml:space="preserve"> M. R., Di </w:t>
      </w:r>
      <w:proofErr w:type="spellStart"/>
      <w:r w:rsidRPr="004C1DAF">
        <w:rPr>
          <w:lang w:val="en-US"/>
        </w:rPr>
        <w:t>Maio</w:t>
      </w:r>
      <w:proofErr w:type="spellEnd"/>
      <w:r w:rsidRPr="004C1DAF">
        <w:rPr>
          <w:lang w:val="en-US"/>
        </w:rPr>
        <w:t xml:space="preserve"> L., </w:t>
      </w:r>
      <w:proofErr w:type="spellStart"/>
      <w:r w:rsidRPr="004C1DAF">
        <w:rPr>
          <w:lang w:val="en-US"/>
        </w:rPr>
        <w:t>Incarnato</w:t>
      </w:r>
      <w:proofErr w:type="spellEnd"/>
      <w:r w:rsidRPr="004C1DAF">
        <w:rPr>
          <w:lang w:val="en-US"/>
        </w:rPr>
        <w:t xml:space="preserve"> L., 2015, Effect of BOPET film surface treatments on adhesion performance of biodegradable coatings for packaging applications. </w:t>
      </w:r>
      <w:r w:rsidR="00593B8A" w:rsidRPr="00593B8A">
        <w:rPr>
          <w:lang w:val="en-US"/>
        </w:rPr>
        <w:t>European Polymer Journal</w:t>
      </w:r>
      <w:r w:rsidRPr="004C1DAF">
        <w:rPr>
          <w:lang w:val="en-US"/>
        </w:rPr>
        <w:t>, 68, 80–89.</w:t>
      </w:r>
    </w:p>
    <w:p w:rsidR="00212C5B" w:rsidRPr="004C1DAF" w:rsidRDefault="00212C5B" w:rsidP="00212C5B">
      <w:pPr>
        <w:pStyle w:val="CETReferencetext"/>
      </w:pPr>
      <w:r w:rsidRPr="004C1DAF">
        <w:t>CIE. Colorimetry, 1986, CIE Publication No. 15.2, Central Bureau of the CIE, Wien, Austria.</w:t>
      </w:r>
    </w:p>
    <w:p w:rsidR="00212C5B" w:rsidRPr="004C1DAF" w:rsidRDefault="00212C5B" w:rsidP="00212C5B">
      <w:pPr>
        <w:pStyle w:val="CETReferencetext"/>
      </w:pPr>
      <w:r w:rsidRPr="004C1DAF">
        <w:t>Commission Regulation (EU) No 10/2011 of 14 January 2011, On plastic materials and articles intended to come into contact with food.</w:t>
      </w:r>
    </w:p>
    <w:p w:rsidR="00212C5B" w:rsidRPr="004C1DAF" w:rsidRDefault="00212C5B" w:rsidP="00212C5B">
      <w:pPr>
        <w:pStyle w:val="CETReferencetext"/>
      </w:pPr>
      <w:r w:rsidRPr="004C1DAF">
        <w:t xml:space="preserve">De </w:t>
      </w:r>
      <w:proofErr w:type="spellStart"/>
      <w:r w:rsidRPr="004C1DAF">
        <w:t>Moraes</w:t>
      </w:r>
      <w:proofErr w:type="spellEnd"/>
      <w:r w:rsidRPr="004C1DAF">
        <w:t xml:space="preserve"> </w:t>
      </w:r>
      <w:proofErr w:type="spellStart"/>
      <w:r w:rsidRPr="004C1DAF">
        <w:t>Crizel</w:t>
      </w:r>
      <w:proofErr w:type="spellEnd"/>
      <w:r w:rsidRPr="004C1DAF">
        <w:t xml:space="preserve"> T., de Oliveira Rios A., D. Alves V., </w:t>
      </w:r>
      <w:proofErr w:type="spellStart"/>
      <w:r w:rsidRPr="004C1DAF">
        <w:t>Bandarra</w:t>
      </w:r>
      <w:proofErr w:type="spellEnd"/>
      <w:r w:rsidRPr="004C1DAF">
        <w:t xml:space="preserve"> N., </w:t>
      </w:r>
      <w:proofErr w:type="spellStart"/>
      <w:r w:rsidRPr="004C1DAF">
        <w:t>Moldão</w:t>
      </w:r>
      <w:proofErr w:type="spellEnd"/>
      <w:r w:rsidRPr="004C1DAF">
        <w:t xml:space="preserve">-Martins M., Hickmann </w:t>
      </w:r>
      <w:proofErr w:type="spellStart"/>
      <w:r w:rsidRPr="004C1DAF">
        <w:t>Flôres</w:t>
      </w:r>
      <w:proofErr w:type="spellEnd"/>
      <w:r w:rsidRPr="004C1DAF">
        <w:t xml:space="preserve"> S., 2018, Active food packaging prepared with chitosan and olive pomace. Food Hydrocolloid</w:t>
      </w:r>
      <w:r w:rsidR="00593B8A">
        <w:t>s</w:t>
      </w:r>
      <w:r w:rsidRPr="004C1DAF">
        <w:t xml:space="preserve">, 74, 139–150. </w:t>
      </w:r>
    </w:p>
    <w:p w:rsidR="00212C5B" w:rsidRPr="004C1DAF" w:rsidRDefault="00212C5B" w:rsidP="00212C5B">
      <w:pPr>
        <w:pStyle w:val="CETReferencetext"/>
      </w:pPr>
      <w:r w:rsidRPr="004C1DAF">
        <w:t xml:space="preserve">Di </w:t>
      </w:r>
      <w:proofErr w:type="spellStart"/>
      <w:r w:rsidRPr="004C1DAF">
        <w:t>Maio</w:t>
      </w:r>
      <w:proofErr w:type="spellEnd"/>
      <w:r w:rsidRPr="004C1DAF">
        <w:t xml:space="preserve"> L., </w:t>
      </w:r>
      <w:proofErr w:type="spellStart"/>
      <w:r w:rsidRPr="004C1DAF">
        <w:t>Marra</w:t>
      </w:r>
      <w:proofErr w:type="spellEnd"/>
      <w:r w:rsidRPr="004C1DAF">
        <w:t xml:space="preserve"> F., Apicella A., </w:t>
      </w:r>
      <w:proofErr w:type="spellStart"/>
      <w:r w:rsidRPr="004C1DAF">
        <w:t>Incarnato</w:t>
      </w:r>
      <w:proofErr w:type="spellEnd"/>
      <w:r w:rsidRPr="004C1DAF">
        <w:t xml:space="preserve"> L., 2017, Evaluation and </w:t>
      </w:r>
      <w:proofErr w:type="spellStart"/>
      <w:r w:rsidRPr="004C1DAF">
        <w:t>Modeling</w:t>
      </w:r>
      <w:proofErr w:type="spellEnd"/>
      <w:r w:rsidRPr="004C1DAF">
        <w:t xml:space="preserve"> of Scavenging Performances of Active Multilayer PET Based Films for Food Preservation</w:t>
      </w:r>
      <w:r w:rsidR="00593B8A">
        <w:t>.</w:t>
      </w:r>
      <w:r w:rsidR="00593B8A" w:rsidRPr="00593B8A">
        <w:t xml:space="preserve"> </w:t>
      </w:r>
      <w:r w:rsidR="00593B8A" w:rsidRPr="002F6393">
        <w:t>Chemical Engineering Transactions</w:t>
      </w:r>
      <w:r w:rsidRPr="004C1DAF">
        <w:t>, 57, 1879-1884.</w:t>
      </w:r>
    </w:p>
    <w:p w:rsidR="00212C5B" w:rsidRPr="004C1DAF" w:rsidRDefault="00212C5B" w:rsidP="00212C5B">
      <w:pPr>
        <w:pStyle w:val="CETReferencetext"/>
      </w:pPr>
      <w:proofErr w:type="spellStart"/>
      <w:r w:rsidRPr="004C1DAF">
        <w:rPr>
          <w:lang w:val="en-US"/>
        </w:rPr>
        <w:t>Fratianni</w:t>
      </w:r>
      <w:proofErr w:type="spellEnd"/>
      <w:r w:rsidRPr="004C1DAF">
        <w:rPr>
          <w:lang w:val="en-US"/>
        </w:rPr>
        <w:t xml:space="preserve"> A., Niro S., </w:t>
      </w:r>
      <w:proofErr w:type="spellStart"/>
      <w:r w:rsidRPr="004C1DAF">
        <w:rPr>
          <w:lang w:val="en-US"/>
        </w:rPr>
        <w:t>Alam</w:t>
      </w:r>
      <w:proofErr w:type="spellEnd"/>
      <w:r w:rsidRPr="004C1DAF">
        <w:rPr>
          <w:lang w:val="en-US"/>
        </w:rPr>
        <w:t xml:space="preserve"> M. D. R., </w:t>
      </w:r>
      <w:proofErr w:type="spellStart"/>
      <w:r w:rsidRPr="004C1DAF">
        <w:rPr>
          <w:lang w:val="en-US"/>
        </w:rPr>
        <w:t>Cinquanta</w:t>
      </w:r>
      <w:proofErr w:type="spellEnd"/>
      <w:r w:rsidRPr="004C1DAF">
        <w:rPr>
          <w:lang w:val="en-US"/>
        </w:rPr>
        <w:t xml:space="preserve"> L., Di Matteo M., </w:t>
      </w:r>
      <w:proofErr w:type="spellStart"/>
      <w:r w:rsidRPr="004C1DAF">
        <w:rPr>
          <w:lang w:val="en-US"/>
        </w:rPr>
        <w:t>Adiletta</w:t>
      </w:r>
      <w:proofErr w:type="spellEnd"/>
      <w:r w:rsidRPr="004C1DAF">
        <w:rPr>
          <w:lang w:val="en-US"/>
        </w:rPr>
        <w:t xml:space="preserve"> G., </w:t>
      </w:r>
      <w:proofErr w:type="spellStart"/>
      <w:r w:rsidRPr="004C1DAF">
        <w:rPr>
          <w:lang w:val="en-US"/>
        </w:rPr>
        <w:t>Panfili</w:t>
      </w:r>
      <w:proofErr w:type="spellEnd"/>
      <w:r w:rsidRPr="004C1DAF">
        <w:rPr>
          <w:lang w:val="en-US"/>
        </w:rPr>
        <w:t xml:space="preserve"> G., 2018, </w:t>
      </w:r>
      <w:r w:rsidRPr="004C1DAF">
        <w:t xml:space="preserve">Effect of a physical pre-treatment and drying on carotenoids of goji berries ( </w:t>
      </w:r>
      <w:proofErr w:type="spellStart"/>
      <w:r w:rsidRPr="004C1DAF">
        <w:t>Lycium</w:t>
      </w:r>
      <w:proofErr w:type="spellEnd"/>
      <w:r w:rsidRPr="004C1DAF">
        <w:t xml:space="preserve"> </w:t>
      </w:r>
      <w:proofErr w:type="spellStart"/>
      <w:r w:rsidRPr="004C1DAF">
        <w:t>barbarum</w:t>
      </w:r>
      <w:proofErr w:type="spellEnd"/>
      <w:r w:rsidRPr="004C1DAF">
        <w:t xml:space="preserve"> L.). </w:t>
      </w:r>
      <w:r w:rsidR="00593B8A" w:rsidRPr="00593B8A">
        <w:t>LWT - Food Science and Technology</w:t>
      </w:r>
      <w:r w:rsidR="00593B8A">
        <w:t>,</w:t>
      </w:r>
      <w:r w:rsidRPr="004C1DAF">
        <w:t xml:space="preserve"> 92, 318–323. </w:t>
      </w:r>
    </w:p>
    <w:p w:rsidR="00212C5B" w:rsidRPr="004C1DAF" w:rsidRDefault="00212C5B" w:rsidP="00212C5B">
      <w:pPr>
        <w:pStyle w:val="CETReferencetext"/>
      </w:pPr>
      <w:proofErr w:type="spellStart"/>
      <w:r w:rsidRPr="004C1DAF">
        <w:t>Jamshidian</w:t>
      </w:r>
      <w:proofErr w:type="spellEnd"/>
      <w:r w:rsidRPr="004C1DAF">
        <w:t xml:space="preserve"> M., Arab </w:t>
      </w:r>
      <w:proofErr w:type="spellStart"/>
      <w:r w:rsidRPr="004C1DAF">
        <w:t>Tehrany</w:t>
      </w:r>
      <w:proofErr w:type="spellEnd"/>
      <w:r w:rsidRPr="004C1DAF">
        <w:t xml:space="preserve"> E., </w:t>
      </w:r>
      <w:proofErr w:type="spellStart"/>
      <w:r w:rsidRPr="004C1DAF">
        <w:t>Desobry</w:t>
      </w:r>
      <w:proofErr w:type="spellEnd"/>
      <w:r w:rsidRPr="004C1DAF">
        <w:t xml:space="preserve"> S., 2013, Antioxidants Release from Solvent-Cast PLA Film: Investigation of PLA Antioxidant-Active Packaging. </w:t>
      </w:r>
      <w:r w:rsidR="00593B8A" w:rsidRPr="00593B8A">
        <w:t>Food and Bioprocess Technology</w:t>
      </w:r>
      <w:r w:rsidR="00593B8A">
        <w:t>,</w:t>
      </w:r>
      <w:r w:rsidRPr="004C1DAF">
        <w:t xml:space="preserve"> 6(6), 1450–1463.</w:t>
      </w:r>
    </w:p>
    <w:p w:rsidR="00212C5B" w:rsidRPr="004C1DAF" w:rsidRDefault="00212C5B" w:rsidP="00212C5B">
      <w:pPr>
        <w:pStyle w:val="CETReferencetext"/>
      </w:pPr>
      <w:r w:rsidRPr="004C1DAF">
        <w:t xml:space="preserve">Li G., Shankar S., </w:t>
      </w:r>
      <w:proofErr w:type="spellStart"/>
      <w:r w:rsidRPr="004C1DAF">
        <w:t>Rhim</w:t>
      </w:r>
      <w:proofErr w:type="spellEnd"/>
      <w:r w:rsidRPr="004C1DAF">
        <w:t xml:space="preserve"> J.-W., Oh B.-Y., 2015, Effects of preparation method on properties of poly(butylene adipate-co-terephthalate) films. </w:t>
      </w:r>
      <w:r w:rsidR="00593B8A" w:rsidRPr="00593B8A">
        <w:t>Food Science and Biotechnology</w:t>
      </w:r>
      <w:r w:rsidRPr="004C1DAF">
        <w:t>, 24(5), 1679–1685.</w:t>
      </w:r>
    </w:p>
    <w:p w:rsidR="00212C5B" w:rsidRPr="004C1DAF" w:rsidRDefault="00212C5B" w:rsidP="00212C5B">
      <w:pPr>
        <w:pStyle w:val="CETBodytext"/>
      </w:pPr>
      <w:proofErr w:type="spellStart"/>
      <w:r w:rsidRPr="004C1DAF">
        <w:t>Martelli</w:t>
      </w:r>
      <w:proofErr w:type="spellEnd"/>
      <w:r w:rsidRPr="004C1DAF">
        <w:t xml:space="preserve"> S.M., Motta C., Alberton T.C.J., Casagrande </w:t>
      </w:r>
      <w:proofErr w:type="spellStart"/>
      <w:r w:rsidRPr="004C1DAF">
        <w:t>Bellettini</w:t>
      </w:r>
      <w:proofErr w:type="spellEnd"/>
      <w:r w:rsidRPr="004C1DAF">
        <w:t xml:space="preserve"> I., Pinheiro do Prado A.C., </w:t>
      </w:r>
      <w:proofErr w:type="spellStart"/>
      <w:r w:rsidRPr="004C1DAF">
        <w:t>Manique</w:t>
      </w:r>
      <w:proofErr w:type="spellEnd"/>
      <w:r w:rsidRPr="004C1DAF">
        <w:t xml:space="preserve"> Barreto P.L., </w:t>
      </w:r>
      <w:proofErr w:type="spellStart"/>
      <w:r w:rsidRPr="004C1DAF">
        <w:t>Soldi</w:t>
      </w:r>
      <w:proofErr w:type="spellEnd"/>
      <w:r w:rsidRPr="004C1DAF">
        <w:t xml:space="preserve"> V., 2017, Edible carboxymethyl cellulose films containing natural antioxidant and surfactants: α-tocopherol stability, in vitro release and film properties. </w:t>
      </w:r>
      <w:r w:rsidR="00FF04A6" w:rsidRPr="00FF04A6">
        <w:t>LWT - Food Science and Technology</w:t>
      </w:r>
      <w:r w:rsidRPr="004C1DAF">
        <w:t>, 77, 21-29.</w:t>
      </w:r>
    </w:p>
    <w:p w:rsidR="00212C5B" w:rsidRPr="004C1DAF" w:rsidRDefault="00212C5B" w:rsidP="00212C5B">
      <w:pPr>
        <w:pStyle w:val="CETBodytext"/>
      </w:pPr>
      <w:proofErr w:type="spellStart"/>
      <w:r w:rsidRPr="004C1DAF">
        <w:t>Otles</w:t>
      </w:r>
      <w:proofErr w:type="spellEnd"/>
      <w:r w:rsidRPr="004C1DAF">
        <w:t xml:space="preserve"> S., </w:t>
      </w:r>
      <w:proofErr w:type="spellStart"/>
      <w:r w:rsidRPr="004C1DAF">
        <w:t>Semih</w:t>
      </w:r>
      <w:proofErr w:type="spellEnd"/>
      <w:r w:rsidRPr="004C1DAF">
        <w:t xml:space="preserve"> I., 2012, Treatment of Olive Mill Wastewater and the Use of Polyphenols Obtained After Treatment. </w:t>
      </w:r>
      <w:r w:rsidR="00FF04A6" w:rsidRPr="00FF04A6">
        <w:t>Italian Journal of Food Safety</w:t>
      </w:r>
      <w:r w:rsidRPr="004C1DAF">
        <w:t xml:space="preserve">, 1, 85-100. </w:t>
      </w:r>
    </w:p>
    <w:p w:rsidR="00212C5B" w:rsidRPr="004C1DAF" w:rsidRDefault="00212C5B" w:rsidP="00212C5B">
      <w:pPr>
        <w:pStyle w:val="CETReferencetext"/>
      </w:pPr>
      <w:proofErr w:type="spellStart"/>
      <w:r w:rsidRPr="004C1DAF">
        <w:rPr>
          <w:lang w:val="en-US"/>
        </w:rPr>
        <w:t>Scarfato</w:t>
      </w:r>
      <w:proofErr w:type="spellEnd"/>
      <w:r w:rsidRPr="004C1DAF">
        <w:rPr>
          <w:lang w:val="en-US"/>
        </w:rPr>
        <w:t xml:space="preserve">, P., </w:t>
      </w:r>
      <w:proofErr w:type="spellStart"/>
      <w:r w:rsidRPr="004C1DAF">
        <w:rPr>
          <w:lang w:val="en-US"/>
        </w:rPr>
        <w:t>Avallone</w:t>
      </w:r>
      <w:proofErr w:type="spellEnd"/>
      <w:r w:rsidRPr="004C1DAF">
        <w:rPr>
          <w:lang w:val="en-US"/>
        </w:rPr>
        <w:t xml:space="preserve"> E., </w:t>
      </w:r>
      <w:proofErr w:type="spellStart"/>
      <w:r w:rsidRPr="004C1DAF">
        <w:rPr>
          <w:lang w:val="en-US"/>
        </w:rPr>
        <w:t>Galdi</w:t>
      </w:r>
      <w:proofErr w:type="spellEnd"/>
      <w:r w:rsidRPr="004C1DAF">
        <w:rPr>
          <w:lang w:val="en-US"/>
        </w:rPr>
        <w:t xml:space="preserve"> M. R., Di </w:t>
      </w:r>
      <w:proofErr w:type="spellStart"/>
      <w:r w:rsidRPr="004C1DAF">
        <w:rPr>
          <w:lang w:val="en-US"/>
        </w:rPr>
        <w:t>Maio</w:t>
      </w:r>
      <w:proofErr w:type="spellEnd"/>
      <w:r w:rsidRPr="004C1DAF">
        <w:rPr>
          <w:lang w:val="en-US"/>
        </w:rPr>
        <w:t xml:space="preserve"> L., </w:t>
      </w:r>
      <w:proofErr w:type="spellStart"/>
      <w:r w:rsidRPr="004C1DAF">
        <w:rPr>
          <w:lang w:val="en-US"/>
        </w:rPr>
        <w:t>Incarnato</w:t>
      </w:r>
      <w:proofErr w:type="spellEnd"/>
      <w:r w:rsidRPr="004C1DAF">
        <w:rPr>
          <w:lang w:val="en-US"/>
        </w:rPr>
        <w:t xml:space="preserve">, L., 2015, </w:t>
      </w:r>
      <w:r w:rsidRPr="004C1DAF">
        <w:t xml:space="preserve">Preparation, characterization, and oxygen scavenging capacity of biodegradable α-tocopherol/PLA microparticles for active food packaging applications. </w:t>
      </w:r>
      <w:r w:rsidR="00FF04A6" w:rsidRPr="00FF04A6">
        <w:t>Polymer Composites</w:t>
      </w:r>
      <w:r w:rsidRPr="004C1DAF">
        <w:t>, 38(5), 981–986.</w:t>
      </w:r>
    </w:p>
    <w:p w:rsidR="00212C5B" w:rsidRDefault="00212C5B" w:rsidP="00212C5B">
      <w:pPr>
        <w:pStyle w:val="CETReferencetext"/>
      </w:pPr>
      <w:proofErr w:type="spellStart"/>
      <w:r w:rsidRPr="003B1978">
        <w:t>Sillero</w:t>
      </w:r>
      <w:proofErr w:type="spellEnd"/>
      <w:r w:rsidRPr="003B1978">
        <w:t xml:space="preserve"> L., Prado R., </w:t>
      </w:r>
      <w:proofErr w:type="spellStart"/>
      <w:r w:rsidRPr="003B1978">
        <w:t>Labidi</w:t>
      </w:r>
      <w:proofErr w:type="spellEnd"/>
      <w:r w:rsidRPr="003B1978">
        <w:t xml:space="preserve"> J., 2018, Optimization of Different Extraction Methods to Obtaining Bioactive Compounds from </w:t>
      </w:r>
      <w:proofErr w:type="spellStart"/>
      <w:r w:rsidRPr="003B1978">
        <w:t>Larix</w:t>
      </w:r>
      <w:proofErr w:type="spellEnd"/>
      <w:r w:rsidRPr="003B1978">
        <w:t xml:space="preserve"> Decidua Bark </w:t>
      </w:r>
      <w:r>
        <w:t>.</w:t>
      </w:r>
      <w:r w:rsidR="00FF04A6" w:rsidRPr="00FF04A6">
        <w:t xml:space="preserve"> </w:t>
      </w:r>
      <w:r w:rsidR="00FF04A6" w:rsidRPr="002F6393">
        <w:t>Chemical Engineering Transactions</w:t>
      </w:r>
      <w:r w:rsidRPr="003B1978">
        <w:t>, 70, 1369-1374.</w:t>
      </w:r>
    </w:p>
    <w:p w:rsidR="00212C5B" w:rsidRDefault="00212C5B" w:rsidP="00212C5B">
      <w:pPr>
        <w:pStyle w:val="CETReferencetext"/>
      </w:pPr>
      <w:proofErr w:type="spellStart"/>
      <w:r w:rsidRPr="004C1DAF">
        <w:t>Tercan</w:t>
      </w:r>
      <w:proofErr w:type="spellEnd"/>
      <w:r w:rsidRPr="004C1DAF">
        <w:t xml:space="preserve"> S., </w:t>
      </w:r>
      <w:proofErr w:type="spellStart"/>
      <w:r w:rsidRPr="004C1DAF">
        <w:t>Seker</w:t>
      </w:r>
      <w:proofErr w:type="spellEnd"/>
      <w:r w:rsidRPr="004C1DAF">
        <w:t xml:space="preserve"> M., 2012, Comparison of polyphenol extractions from olive pomace and solid fraction of olive mill waste water. </w:t>
      </w:r>
      <w:r w:rsidR="00FF04A6" w:rsidRPr="00FF04A6">
        <w:t>Natural Product Research</w:t>
      </w:r>
      <w:r w:rsidRPr="004C1DAF">
        <w:t>, 26(19), 1837–1841.</w:t>
      </w:r>
      <w:r w:rsidRPr="00357A97">
        <w:t xml:space="preserve"> </w:t>
      </w:r>
    </w:p>
    <w:sectPr w:rsidR="00212C5B" w:rsidSect="0077098D">
      <w:type w:val="continuous"/>
      <w:pgSz w:w="11906" w:h="16838" w:code="9"/>
      <w:pgMar w:top="1701" w:right="1418" w:bottom="1701" w:left="1701" w:header="1701"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92340" w:rsidRDefault="00892340" w:rsidP="004F5E36">
      <w:r>
        <w:separator/>
      </w:r>
    </w:p>
  </w:endnote>
  <w:endnote w:type="continuationSeparator" w:id="0">
    <w:p w:rsidR="00892340" w:rsidRDefault="00892340"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Times New Roman"/>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TT5FCBo00">
    <w:altName w:val="Yu Gothic"/>
    <w:panose1 w:val="00000000000000000000"/>
    <w:charset w:val="80"/>
    <w:family w:val="auto"/>
    <w:notTrueType/>
    <w:pitch w:val="default"/>
    <w:sig w:usb0="00000001" w:usb1="08070000" w:usb2="00000010" w:usb3="00000000" w:csb0="00020000" w:csb1="00000000"/>
  </w:font>
  <w:font w:name="AdvMc_Times-i">
    <w:altName w:val="Cambria"/>
    <w:panose1 w:val="00000000000000000000"/>
    <w:charset w:val="00"/>
    <w:family w:val="roman"/>
    <w:notTrueType/>
    <w:pitch w:val="default"/>
    <w:sig w:usb0="00000003" w:usb1="00000000" w:usb2="00000000" w:usb3="00000000" w:csb0="00000001" w:csb1="00000000"/>
  </w:font>
  <w:font w:name="WbksbdSTIX-Regular">
    <w:altName w:val="Cambria"/>
    <w:panose1 w:val="00000000000000000000"/>
    <w:charset w:val="00"/>
    <w:family w:val="roman"/>
    <w:notTrueType/>
    <w:pitch w:val="default"/>
    <w:sig w:usb0="00000003" w:usb1="00000000" w:usb2="00000000" w:usb3="00000000" w:csb0="00000001" w:csb1="00000000"/>
  </w:font>
  <w:font w:name="FxrjqxSTIX-Italic">
    <w:altName w:val="Cambria"/>
    <w:panose1 w:val="00000000000000000000"/>
    <w:charset w:val="00"/>
    <w:family w:val="roman"/>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92340" w:rsidRDefault="00892340" w:rsidP="004F5E36">
      <w:r>
        <w:separator/>
      </w:r>
    </w:p>
  </w:footnote>
  <w:footnote w:type="continuationSeparator" w:id="0">
    <w:p w:rsidR="00892340" w:rsidRDefault="00892340" w:rsidP="004F5E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58AF15E"/>
    <w:lvl w:ilvl="0">
      <w:start w:val="1"/>
      <w:numFmt w:val="decimal"/>
      <w:pStyle w:val="Numeroelenco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Numeroelenco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Numeroelenco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Numeroelenco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Puntoelenco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Puntoelenco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Puntoelenco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Puntoelenco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Numeroelenco"/>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Puntoelenco"/>
      <w:lvlText w:val=""/>
      <w:lvlJc w:val="left"/>
      <w:pPr>
        <w:tabs>
          <w:tab w:val="num" w:pos="360"/>
        </w:tabs>
        <w:ind w:left="360" w:hanging="360"/>
      </w:pPr>
      <w:rPr>
        <w:rFonts w:ascii="Symbol" w:hAnsi="Symbol" w:hint="default"/>
      </w:rPr>
    </w:lvl>
  </w:abstractNum>
  <w:abstractNum w:abstractNumId="10" w15:restartNumberingAfterBreak="0">
    <w:nsid w:val="09634AFB"/>
    <w:multiLevelType w:val="hybridMultilevel"/>
    <w:tmpl w:val="8292860A"/>
    <w:lvl w:ilvl="0" w:tplc="36B0902C">
      <w:start w:val="7"/>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ellasemplice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3FB13C66"/>
    <w:multiLevelType w:val="hybridMultilevel"/>
    <w:tmpl w:val="A53A4578"/>
    <w:lvl w:ilvl="0" w:tplc="1F6A6802">
      <w:start w:val="29"/>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6E02132F"/>
    <w:multiLevelType w:val="hybridMultilevel"/>
    <w:tmpl w:val="BCFEF7F6"/>
    <w:lvl w:ilvl="0" w:tplc="47A61046">
      <w:start w:val="29"/>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1"/>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3"/>
  </w:num>
  <w:num w:numId="14">
    <w:abstractNumId w:val="19"/>
  </w:num>
  <w:num w:numId="15">
    <w:abstractNumId w:val="21"/>
  </w:num>
  <w:num w:numId="16">
    <w:abstractNumId w:val="20"/>
  </w:num>
  <w:num w:numId="17">
    <w:abstractNumId w:val="12"/>
  </w:num>
  <w:num w:numId="18">
    <w:abstractNumId w:val="13"/>
    <w:lvlOverride w:ilvl="0">
      <w:startOverride w:val="1"/>
    </w:lvlOverride>
  </w:num>
  <w:num w:numId="19">
    <w:abstractNumId w:val="17"/>
  </w:num>
  <w:num w:numId="20">
    <w:abstractNumId w:val="16"/>
  </w:num>
  <w:num w:numId="21">
    <w:abstractNumId w:val="14"/>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22"/>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10F40"/>
    <w:rsid w:val="000117CB"/>
    <w:rsid w:val="0003148D"/>
    <w:rsid w:val="00036815"/>
    <w:rsid w:val="000449F7"/>
    <w:rsid w:val="00046E27"/>
    <w:rsid w:val="00047D7F"/>
    <w:rsid w:val="00051566"/>
    <w:rsid w:val="00062A9A"/>
    <w:rsid w:val="00065058"/>
    <w:rsid w:val="00086C39"/>
    <w:rsid w:val="000A03B2"/>
    <w:rsid w:val="000A24CC"/>
    <w:rsid w:val="000A3B79"/>
    <w:rsid w:val="000C15E1"/>
    <w:rsid w:val="000D34BE"/>
    <w:rsid w:val="000E102F"/>
    <w:rsid w:val="000E36F1"/>
    <w:rsid w:val="000E3A73"/>
    <w:rsid w:val="000E414A"/>
    <w:rsid w:val="000F093C"/>
    <w:rsid w:val="000F16BD"/>
    <w:rsid w:val="000F787B"/>
    <w:rsid w:val="00105699"/>
    <w:rsid w:val="0012091F"/>
    <w:rsid w:val="00126BC2"/>
    <w:rsid w:val="001308B6"/>
    <w:rsid w:val="0013121F"/>
    <w:rsid w:val="00131FAB"/>
    <w:rsid w:val="00131FE6"/>
    <w:rsid w:val="0013263F"/>
    <w:rsid w:val="00134DE4"/>
    <w:rsid w:val="0014034D"/>
    <w:rsid w:val="00150E59"/>
    <w:rsid w:val="00152CFD"/>
    <w:rsid w:val="00152DE3"/>
    <w:rsid w:val="00164CF9"/>
    <w:rsid w:val="00176E50"/>
    <w:rsid w:val="00184AD6"/>
    <w:rsid w:val="001B0349"/>
    <w:rsid w:val="001B65C1"/>
    <w:rsid w:val="001C684B"/>
    <w:rsid w:val="001D53FC"/>
    <w:rsid w:val="001E4CE2"/>
    <w:rsid w:val="001F42A5"/>
    <w:rsid w:val="001F7B9D"/>
    <w:rsid w:val="00212C5B"/>
    <w:rsid w:val="002224B4"/>
    <w:rsid w:val="002447EF"/>
    <w:rsid w:val="00251550"/>
    <w:rsid w:val="00252C1A"/>
    <w:rsid w:val="00263B05"/>
    <w:rsid w:val="0027221A"/>
    <w:rsid w:val="00275B61"/>
    <w:rsid w:val="00282656"/>
    <w:rsid w:val="002844D2"/>
    <w:rsid w:val="00294BC9"/>
    <w:rsid w:val="00296B83"/>
    <w:rsid w:val="002B2605"/>
    <w:rsid w:val="002B4415"/>
    <w:rsid w:val="002B78CE"/>
    <w:rsid w:val="002C2FB6"/>
    <w:rsid w:val="002D5BCD"/>
    <w:rsid w:val="002F4E44"/>
    <w:rsid w:val="002F6393"/>
    <w:rsid w:val="003009B7"/>
    <w:rsid w:val="00300E56"/>
    <w:rsid w:val="0030469C"/>
    <w:rsid w:val="00304D0D"/>
    <w:rsid w:val="00321CA6"/>
    <w:rsid w:val="00334C09"/>
    <w:rsid w:val="003365E3"/>
    <w:rsid w:val="003723D4"/>
    <w:rsid w:val="00384CC8"/>
    <w:rsid w:val="003871FD"/>
    <w:rsid w:val="003A1E30"/>
    <w:rsid w:val="003A7D1C"/>
    <w:rsid w:val="003B304B"/>
    <w:rsid w:val="003B3146"/>
    <w:rsid w:val="003B60F3"/>
    <w:rsid w:val="003D4839"/>
    <w:rsid w:val="003F015E"/>
    <w:rsid w:val="00400414"/>
    <w:rsid w:val="004077B0"/>
    <w:rsid w:val="0041446B"/>
    <w:rsid w:val="00422687"/>
    <w:rsid w:val="00425A38"/>
    <w:rsid w:val="0044329C"/>
    <w:rsid w:val="004577FE"/>
    <w:rsid w:val="00457B9C"/>
    <w:rsid w:val="0046164A"/>
    <w:rsid w:val="004628D2"/>
    <w:rsid w:val="00462DCD"/>
    <w:rsid w:val="004648AD"/>
    <w:rsid w:val="004703A9"/>
    <w:rsid w:val="004760DE"/>
    <w:rsid w:val="004A004E"/>
    <w:rsid w:val="004A24CF"/>
    <w:rsid w:val="004B4A59"/>
    <w:rsid w:val="004B6721"/>
    <w:rsid w:val="004C3D1D"/>
    <w:rsid w:val="004C7913"/>
    <w:rsid w:val="004E4DD6"/>
    <w:rsid w:val="004F5E36"/>
    <w:rsid w:val="00507B47"/>
    <w:rsid w:val="00507CC9"/>
    <w:rsid w:val="005119A5"/>
    <w:rsid w:val="005278B7"/>
    <w:rsid w:val="00532016"/>
    <w:rsid w:val="005346C8"/>
    <w:rsid w:val="00543E7D"/>
    <w:rsid w:val="00546B05"/>
    <w:rsid w:val="00547A68"/>
    <w:rsid w:val="005531C9"/>
    <w:rsid w:val="0055598D"/>
    <w:rsid w:val="00564B1A"/>
    <w:rsid w:val="00577A59"/>
    <w:rsid w:val="00580794"/>
    <w:rsid w:val="00593B8A"/>
    <w:rsid w:val="005B2110"/>
    <w:rsid w:val="005B61E6"/>
    <w:rsid w:val="005C77E1"/>
    <w:rsid w:val="005D6A2F"/>
    <w:rsid w:val="005E1A82"/>
    <w:rsid w:val="005E794C"/>
    <w:rsid w:val="005F0A28"/>
    <w:rsid w:val="005F0E5E"/>
    <w:rsid w:val="00600535"/>
    <w:rsid w:val="006041C7"/>
    <w:rsid w:val="00610CD6"/>
    <w:rsid w:val="00620DEE"/>
    <w:rsid w:val="00621F92"/>
    <w:rsid w:val="00625639"/>
    <w:rsid w:val="00631B33"/>
    <w:rsid w:val="0064184D"/>
    <w:rsid w:val="006422CC"/>
    <w:rsid w:val="00660E3E"/>
    <w:rsid w:val="00662E74"/>
    <w:rsid w:val="00680C23"/>
    <w:rsid w:val="00693766"/>
    <w:rsid w:val="006A3281"/>
    <w:rsid w:val="006B4888"/>
    <w:rsid w:val="006C2E45"/>
    <w:rsid w:val="006C359C"/>
    <w:rsid w:val="006C5579"/>
    <w:rsid w:val="006D0A4C"/>
    <w:rsid w:val="006E1A7B"/>
    <w:rsid w:val="006E1B08"/>
    <w:rsid w:val="006E737D"/>
    <w:rsid w:val="0070195D"/>
    <w:rsid w:val="00711175"/>
    <w:rsid w:val="00720A24"/>
    <w:rsid w:val="00732386"/>
    <w:rsid w:val="007447F3"/>
    <w:rsid w:val="0074690B"/>
    <w:rsid w:val="0075499F"/>
    <w:rsid w:val="007661C8"/>
    <w:rsid w:val="0077098D"/>
    <w:rsid w:val="00785308"/>
    <w:rsid w:val="007931FA"/>
    <w:rsid w:val="007A7BBA"/>
    <w:rsid w:val="007B0C50"/>
    <w:rsid w:val="007C1A43"/>
    <w:rsid w:val="007D28E4"/>
    <w:rsid w:val="007E1DC6"/>
    <w:rsid w:val="00813288"/>
    <w:rsid w:val="008168FC"/>
    <w:rsid w:val="00830996"/>
    <w:rsid w:val="008323ED"/>
    <w:rsid w:val="008345F1"/>
    <w:rsid w:val="00865B07"/>
    <w:rsid w:val="008667EA"/>
    <w:rsid w:val="0087637F"/>
    <w:rsid w:val="008904B9"/>
    <w:rsid w:val="00892340"/>
    <w:rsid w:val="00892AD5"/>
    <w:rsid w:val="008A1512"/>
    <w:rsid w:val="008C78C1"/>
    <w:rsid w:val="008D32B9"/>
    <w:rsid w:val="008D433B"/>
    <w:rsid w:val="008E566E"/>
    <w:rsid w:val="008E6691"/>
    <w:rsid w:val="0090161A"/>
    <w:rsid w:val="00901EB6"/>
    <w:rsid w:val="00904C62"/>
    <w:rsid w:val="00924DAC"/>
    <w:rsid w:val="00927058"/>
    <w:rsid w:val="00931C8F"/>
    <w:rsid w:val="009450CE"/>
    <w:rsid w:val="00947179"/>
    <w:rsid w:val="0095164B"/>
    <w:rsid w:val="00954090"/>
    <w:rsid w:val="009573E7"/>
    <w:rsid w:val="00961477"/>
    <w:rsid w:val="009635B9"/>
    <w:rsid w:val="00963E05"/>
    <w:rsid w:val="00967D54"/>
    <w:rsid w:val="00994487"/>
    <w:rsid w:val="00996483"/>
    <w:rsid w:val="00996F5A"/>
    <w:rsid w:val="009A0A3E"/>
    <w:rsid w:val="009B041A"/>
    <w:rsid w:val="009C7C86"/>
    <w:rsid w:val="009D2FF7"/>
    <w:rsid w:val="009E7884"/>
    <w:rsid w:val="009E788A"/>
    <w:rsid w:val="009F0E08"/>
    <w:rsid w:val="009F7F83"/>
    <w:rsid w:val="00A077D0"/>
    <w:rsid w:val="00A1763D"/>
    <w:rsid w:val="00A17CEC"/>
    <w:rsid w:val="00A25CE6"/>
    <w:rsid w:val="00A27EF0"/>
    <w:rsid w:val="00A50B20"/>
    <w:rsid w:val="00A51390"/>
    <w:rsid w:val="00A60D13"/>
    <w:rsid w:val="00A72745"/>
    <w:rsid w:val="00A76EFC"/>
    <w:rsid w:val="00A91010"/>
    <w:rsid w:val="00A97F29"/>
    <w:rsid w:val="00AA702E"/>
    <w:rsid w:val="00AB0964"/>
    <w:rsid w:val="00AB5011"/>
    <w:rsid w:val="00AC7368"/>
    <w:rsid w:val="00AD16B9"/>
    <w:rsid w:val="00AE377D"/>
    <w:rsid w:val="00B14C3A"/>
    <w:rsid w:val="00B17FBD"/>
    <w:rsid w:val="00B315A6"/>
    <w:rsid w:val="00B31813"/>
    <w:rsid w:val="00B33365"/>
    <w:rsid w:val="00B57B36"/>
    <w:rsid w:val="00B8686D"/>
    <w:rsid w:val="00BC30C9"/>
    <w:rsid w:val="00BE3E58"/>
    <w:rsid w:val="00BF09FC"/>
    <w:rsid w:val="00BF6104"/>
    <w:rsid w:val="00C01616"/>
    <w:rsid w:val="00C0162B"/>
    <w:rsid w:val="00C05975"/>
    <w:rsid w:val="00C345B1"/>
    <w:rsid w:val="00C40142"/>
    <w:rsid w:val="00C56D9E"/>
    <w:rsid w:val="00C57182"/>
    <w:rsid w:val="00C57863"/>
    <w:rsid w:val="00C655FD"/>
    <w:rsid w:val="00C83CD3"/>
    <w:rsid w:val="00C870A8"/>
    <w:rsid w:val="00C94434"/>
    <w:rsid w:val="00CA0D75"/>
    <w:rsid w:val="00CA1C95"/>
    <w:rsid w:val="00CA5A9C"/>
    <w:rsid w:val="00CD3517"/>
    <w:rsid w:val="00CD5A00"/>
    <w:rsid w:val="00CD5FE2"/>
    <w:rsid w:val="00CE7C68"/>
    <w:rsid w:val="00CF281C"/>
    <w:rsid w:val="00CF32E4"/>
    <w:rsid w:val="00D02B4C"/>
    <w:rsid w:val="00D040C4"/>
    <w:rsid w:val="00D302B3"/>
    <w:rsid w:val="00D57C84"/>
    <w:rsid w:val="00D6057D"/>
    <w:rsid w:val="00D84576"/>
    <w:rsid w:val="00DA1399"/>
    <w:rsid w:val="00DA24C6"/>
    <w:rsid w:val="00DA4D7B"/>
    <w:rsid w:val="00DD0367"/>
    <w:rsid w:val="00DD55D1"/>
    <w:rsid w:val="00DE264A"/>
    <w:rsid w:val="00DE70C0"/>
    <w:rsid w:val="00E02D18"/>
    <w:rsid w:val="00E041E7"/>
    <w:rsid w:val="00E1185B"/>
    <w:rsid w:val="00E1447F"/>
    <w:rsid w:val="00E23CA1"/>
    <w:rsid w:val="00E37309"/>
    <w:rsid w:val="00E409A8"/>
    <w:rsid w:val="00E4600F"/>
    <w:rsid w:val="00E50C12"/>
    <w:rsid w:val="00E63735"/>
    <w:rsid w:val="00E65B91"/>
    <w:rsid w:val="00E7209D"/>
    <w:rsid w:val="00E77223"/>
    <w:rsid w:val="00E8528B"/>
    <w:rsid w:val="00E85B94"/>
    <w:rsid w:val="00E945B6"/>
    <w:rsid w:val="00E978D0"/>
    <w:rsid w:val="00EA4613"/>
    <w:rsid w:val="00EA7F91"/>
    <w:rsid w:val="00EB1523"/>
    <w:rsid w:val="00EC0E49"/>
    <w:rsid w:val="00EE0131"/>
    <w:rsid w:val="00F155B2"/>
    <w:rsid w:val="00F30C64"/>
    <w:rsid w:val="00F32CDB"/>
    <w:rsid w:val="00F4281F"/>
    <w:rsid w:val="00F63A70"/>
    <w:rsid w:val="00F86C8F"/>
    <w:rsid w:val="00FA21D0"/>
    <w:rsid w:val="00FA5F5F"/>
    <w:rsid w:val="00FB730C"/>
    <w:rsid w:val="00FC2695"/>
    <w:rsid w:val="00FC3E03"/>
    <w:rsid w:val="00FC3FC1"/>
    <w:rsid w:val="00FF04A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EE0B7"/>
  <w15:docId w15:val="{988ECFC9-5D0D-486A-A04B-F86995F779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5">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itolo1">
    <w:name w:val="heading 1"/>
    <w:basedOn w:val="CETHeading1"/>
    <w:next w:val="Normale"/>
    <w:link w:val="Titolo1Carattere"/>
    <w:uiPriority w:val="9"/>
    <w:rsid w:val="004F5E36"/>
    <w:pPr>
      <w:tabs>
        <w:tab w:val="clear" w:pos="360"/>
        <w:tab w:val="right" w:pos="7100"/>
      </w:tabs>
      <w:jc w:val="both"/>
      <w:outlineLvl w:val="0"/>
    </w:pPr>
    <w:rPr>
      <w:lang w:val="en-GB"/>
    </w:rPr>
  </w:style>
  <w:style w:type="paragraph" w:styleId="Titolo2">
    <w:name w:val="heading 2"/>
    <w:basedOn w:val="Normale"/>
    <w:next w:val="Normale"/>
    <w:link w:val="Titolo2Carattere"/>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olo3">
    <w:name w:val="heading 3"/>
    <w:basedOn w:val="Normale"/>
    <w:next w:val="Normale"/>
    <w:link w:val="Titolo3Carattere"/>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itolo4">
    <w:name w:val="heading 4"/>
    <w:basedOn w:val="Normale"/>
    <w:next w:val="Normale"/>
    <w:link w:val="Titolo4Carattere"/>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itolo6">
    <w:name w:val="heading 6"/>
    <w:basedOn w:val="Normale"/>
    <w:next w:val="Normale"/>
    <w:link w:val="Titolo6Carattere"/>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itolo7">
    <w:name w:val="heading 7"/>
    <w:basedOn w:val="Normale"/>
    <w:next w:val="Normale"/>
    <w:link w:val="Titolo7Carattere"/>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itolo8">
    <w:name w:val="heading 8"/>
    <w:basedOn w:val="Normale"/>
    <w:next w:val="Normale"/>
    <w:link w:val="Titolo8Carattere"/>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itolo9">
    <w:name w:val="heading 9"/>
    <w:basedOn w:val="Normale"/>
    <w:next w:val="Normale"/>
    <w:link w:val="Titolo9Carattere"/>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link w:val="CETHeading1Carattere"/>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ellasemplice1">
    <w:name w:val="Table Simple 1"/>
    <w:basedOn w:val="Tabellanormale"/>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imandocommento">
    <w:name w:val="annotation reference"/>
    <w:basedOn w:val="Carpredefinitoparagrafo"/>
    <w:uiPriority w:val="99"/>
    <w:semiHidden/>
    <w:unhideWhenUsed/>
    <w:rsid w:val="004577FE"/>
    <w:rPr>
      <w:sz w:val="16"/>
      <w:szCs w:val="16"/>
    </w:rPr>
  </w:style>
  <w:style w:type="paragraph" w:styleId="Testofumetto">
    <w:name w:val="Balloon Text"/>
    <w:basedOn w:val="Normale"/>
    <w:link w:val="TestofumettoCarattere"/>
    <w:uiPriority w:val="99"/>
    <w:semiHidden/>
    <w:unhideWhenUsed/>
    <w:rsid w:val="000D34BE"/>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D34BE"/>
    <w:rPr>
      <w:rFonts w:ascii="Tahoma" w:hAnsi="Tahoma" w:cs="Tahoma"/>
      <w:sz w:val="16"/>
      <w:szCs w:val="16"/>
    </w:rPr>
  </w:style>
  <w:style w:type="paragraph" w:styleId="Bibliografia">
    <w:name w:val="Bibliography"/>
    <w:basedOn w:val="CETReferencetext"/>
    <w:uiPriority w:val="37"/>
    <w:unhideWhenUsed/>
    <w:rsid w:val="00631B33"/>
    <w:pPr>
      <w:spacing w:line="240" w:lineRule="auto"/>
      <w:ind w:left="720" w:hanging="720"/>
    </w:pPr>
  </w:style>
  <w:style w:type="paragraph" w:styleId="Corpodeltesto2">
    <w:name w:val="Body Text 2"/>
    <w:basedOn w:val="Normale"/>
    <w:link w:val="Corpodeltesto2Carattere"/>
    <w:uiPriority w:val="99"/>
    <w:semiHidden/>
    <w:unhideWhenUsed/>
    <w:rsid w:val="0003148D"/>
    <w:pPr>
      <w:spacing w:after="120" w:line="480" w:lineRule="auto"/>
    </w:pPr>
  </w:style>
  <w:style w:type="character" w:customStyle="1" w:styleId="Corpodeltesto2Carattere">
    <w:name w:val="Corpo del testo 2 Carattere"/>
    <w:basedOn w:val="Carpredefinitoparagrafo"/>
    <w:link w:val="Corpodeltesto2"/>
    <w:uiPriority w:val="99"/>
    <w:semiHidden/>
    <w:rsid w:val="0003148D"/>
  </w:style>
  <w:style w:type="paragraph" w:styleId="Corpodeltesto3">
    <w:name w:val="Body Text 3"/>
    <w:basedOn w:val="Normale"/>
    <w:link w:val="Corpodeltesto3Carattere"/>
    <w:uiPriority w:val="99"/>
    <w:semiHidden/>
    <w:unhideWhenUsed/>
    <w:rsid w:val="0003148D"/>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03148D"/>
    <w:rPr>
      <w:sz w:val="16"/>
      <w:szCs w:val="16"/>
    </w:rPr>
  </w:style>
  <w:style w:type="paragraph" w:styleId="Corpotesto">
    <w:name w:val="Body Text"/>
    <w:basedOn w:val="Normale"/>
    <w:link w:val="CorpotestoCarattere"/>
    <w:uiPriority w:val="99"/>
    <w:semiHidden/>
    <w:unhideWhenUsed/>
    <w:rsid w:val="0003148D"/>
    <w:pPr>
      <w:spacing w:after="120"/>
    </w:pPr>
  </w:style>
  <w:style w:type="character" w:customStyle="1" w:styleId="CorpotestoCarattere">
    <w:name w:val="Corpo testo Carattere"/>
    <w:basedOn w:val="Carpredefinitoparagrafo"/>
    <w:link w:val="Corpotesto"/>
    <w:uiPriority w:val="99"/>
    <w:semiHidden/>
    <w:rsid w:val="0003148D"/>
  </w:style>
  <w:style w:type="paragraph" w:styleId="Data">
    <w:name w:val="Date"/>
    <w:basedOn w:val="Normale"/>
    <w:next w:val="Normale"/>
    <w:link w:val="DataCarattere"/>
    <w:uiPriority w:val="99"/>
    <w:semiHidden/>
    <w:unhideWhenUsed/>
    <w:rsid w:val="0003148D"/>
  </w:style>
  <w:style w:type="character" w:customStyle="1" w:styleId="DataCarattere">
    <w:name w:val="Data Carattere"/>
    <w:basedOn w:val="Carpredefinitoparagrafo"/>
    <w:link w:val="Data"/>
    <w:uiPriority w:val="99"/>
    <w:semiHidden/>
    <w:rsid w:val="0003148D"/>
  </w:style>
  <w:style w:type="paragraph" w:styleId="Didascalia">
    <w:name w:val="caption"/>
    <w:basedOn w:val="Normale"/>
    <w:next w:val="Normale"/>
    <w:uiPriority w:val="35"/>
    <w:semiHidden/>
    <w:unhideWhenUsed/>
    <w:qFormat/>
    <w:rsid w:val="0003148D"/>
    <w:pPr>
      <w:spacing w:line="240" w:lineRule="auto"/>
    </w:pPr>
    <w:rPr>
      <w:b/>
      <w:bCs/>
      <w:color w:val="4F81BD" w:themeColor="accent1"/>
      <w:szCs w:val="18"/>
    </w:rPr>
  </w:style>
  <w:style w:type="paragraph" w:styleId="Elenco">
    <w:name w:val="List"/>
    <w:basedOn w:val="Normale"/>
    <w:uiPriority w:val="99"/>
    <w:semiHidden/>
    <w:unhideWhenUsed/>
    <w:rsid w:val="0003148D"/>
    <w:pPr>
      <w:ind w:left="283" w:hanging="283"/>
      <w:contextualSpacing/>
    </w:pPr>
  </w:style>
  <w:style w:type="paragraph" w:styleId="Elenco2">
    <w:name w:val="List 2"/>
    <w:basedOn w:val="Normale"/>
    <w:uiPriority w:val="99"/>
    <w:semiHidden/>
    <w:unhideWhenUsed/>
    <w:rsid w:val="0003148D"/>
    <w:pPr>
      <w:ind w:left="566" w:hanging="283"/>
      <w:contextualSpacing/>
    </w:pPr>
  </w:style>
  <w:style w:type="paragraph" w:styleId="Elenco3">
    <w:name w:val="List 3"/>
    <w:basedOn w:val="Normale"/>
    <w:uiPriority w:val="99"/>
    <w:semiHidden/>
    <w:unhideWhenUsed/>
    <w:rsid w:val="0003148D"/>
    <w:pPr>
      <w:ind w:left="849" w:hanging="283"/>
      <w:contextualSpacing/>
    </w:pPr>
  </w:style>
  <w:style w:type="paragraph" w:styleId="Elenco4">
    <w:name w:val="List 4"/>
    <w:basedOn w:val="Normale"/>
    <w:uiPriority w:val="99"/>
    <w:semiHidden/>
    <w:unhideWhenUsed/>
    <w:rsid w:val="0003148D"/>
    <w:pPr>
      <w:ind w:left="1132" w:hanging="283"/>
      <w:contextualSpacing/>
    </w:pPr>
  </w:style>
  <w:style w:type="paragraph" w:styleId="Elenco5">
    <w:name w:val="List 5"/>
    <w:basedOn w:val="Normale"/>
    <w:uiPriority w:val="99"/>
    <w:semiHidden/>
    <w:unhideWhenUsed/>
    <w:rsid w:val="0003148D"/>
    <w:pPr>
      <w:ind w:left="1415" w:hanging="283"/>
      <w:contextualSpacing/>
    </w:pPr>
  </w:style>
  <w:style w:type="paragraph" w:styleId="Elencocontinua">
    <w:name w:val="List Continue"/>
    <w:basedOn w:val="Normale"/>
    <w:uiPriority w:val="99"/>
    <w:semiHidden/>
    <w:unhideWhenUsed/>
    <w:rsid w:val="0003148D"/>
    <w:pPr>
      <w:spacing w:after="120"/>
      <w:ind w:left="283"/>
      <w:contextualSpacing/>
    </w:pPr>
  </w:style>
  <w:style w:type="paragraph" w:styleId="Elencocontinua2">
    <w:name w:val="List Continue 2"/>
    <w:basedOn w:val="Normale"/>
    <w:uiPriority w:val="99"/>
    <w:semiHidden/>
    <w:unhideWhenUsed/>
    <w:rsid w:val="0003148D"/>
    <w:pPr>
      <w:spacing w:after="120"/>
      <w:ind w:left="566"/>
      <w:contextualSpacing/>
    </w:pPr>
  </w:style>
  <w:style w:type="paragraph" w:styleId="Elencocontinua3">
    <w:name w:val="List Continue 3"/>
    <w:basedOn w:val="Normale"/>
    <w:uiPriority w:val="99"/>
    <w:semiHidden/>
    <w:unhideWhenUsed/>
    <w:rsid w:val="0003148D"/>
    <w:pPr>
      <w:spacing w:after="120"/>
      <w:ind w:left="849"/>
      <w:contextualSpacing/>
    </w:pPr>
  </w:style>
  <w:style w:type="paragraph" w:styleId="Elencocontinua4">
    <w:name w:val="List Continue 4"/>
    <w:basedOn w:val="Normale"/>
    <w:uiPriority w:val="99"/>
    <w:semiHidden/>
    <w:unhideWhenUsed/>
    <w:rsid w:val="0003148D"/>
    <w:pPr>
      <w:spacing w:after="120"/>
      <w:ind w:left="1132"/>
      <w:contextualSpacing/>
    </w:pPr>
  </w:style>
  <w:style w:type="paragraph" w:styleId="Elencocontinua5">
    <w:name w:val="List Continue 5"/>
    <w:basedOn w:val="Normale"/>
    <w:uiPriority w:val="99"/>
    <w:semiHidden/>
    <w:unhideWhenUsed/>
    <w:rsid w:val="0003148D"/>
    <w:pPr>
      <w:spacing w:after="120"/>
      <w:ind w:left="1415"/>
      <w:contextualSpacing/>
    </w:pPr>
  </w:style>
  <w:style w:type="paragraph" w:styleId="Firma">
    <w:name w:val="Signature"/>
    <w:basedOn w:val="Normale"/>
    <w:link w:val="FirmaCarattere"/>
    <w:uiPriority w:val="99"/>
    <w:semiHidden/>
    <w:unhideWhenUsed/>
    <w:rsid w:val="0003148D"/>
    <w:pPr>
      <w:spacing w:line="240" w:lineRule="auto"/>
      <w:ind w:left="4252"/>
    </w:pPr>
  </w:style>
  <w:style w:type="character" w:customStyle="1" w:styleId="FirmaCarattere">
    <w:name w:val="Firma Carattere"/>
    <w:basedOn w:val="Carpredefinitoparagrafo"/>
    <w:link w:val="Firma"/>
    <w:uiPriority w:val="99"/>
    <w:semiHidden/>
    <w:rsid w:val="0003148D"/>
  </w:style>
  <w:style w:type="paragraph" w:styleId="Firmadipostaelettronica">
    <w:name w:val="E-mail Signature"/>
    <w:basedOn w:val="Normale"/>
    <w:link w:val="FirmadipostaelettronicaCarattere"/>
    <w:uiPriority w:val="99"/>
    <w:semiHidden/>
    <w:unhideWhenUsed/>
    <w:rsid w:val="0003148D"/>
    <w:pPr>
      <w:spacing w:line="240" w:lineRule="auto"/>
    </w:pPr>
  </w:style>
  <w:style w:type="character" w:customStyle="1" w:styleId="FirmadipostaelettronicaCarattere">
    <w:name w:val="Firma di posta elettronica Carattere"/>
    <w:basedOn w:val="Carpredefinitoparagrafo"/>
    <w:link w:val="Firmadipostaelettronica"/>
    <w:uiPriority w:val="99"/>
    <w:semiHidden/>
    <w:rsid w:val="0003148D"/>
  </w:style>
  <w:style w:type="paragraph" w:styleId="Formuladiapertura">
    <w:name w:val="Salutation"/>
    <w:basedOn w:val="Normale"/>
    <w:next w:val="Normale"/>
    <w:link w:val="FormuladiaperturaCarattere"/>
    <w:uiPriority w:val="99"/>
    <w:semiHidden/>
    <w:unhideWhenUsed/>
    <w:rsid w:val="0003148D"/>
  </w:style>
  <w:style w:type="character" w:customStyle="1" w:styleId="FormuladiaperturaCarattere">
    <w:name w:val="Formula di apertura Carattere"/>
    <w:basedOn w:val="Carpredefinitoparagrafo"/>
    <w:link w:val="Formuladiapertura"/>
    <w:uiPriority w:val="99"/>
    <w:semiHidden/>
    <w:rsid w:val="0003148D"/>
  </w:style>
  <w:style w:type="paragraph" w:styleId="Formuladichiusura">
    <w:name w:val="Closing"/>
    <w:basedOn w:val="Normale"/>
    <w:link w:val="FormuladichiusuraCarattere"/>
    <w:uiPriority w:val="99"/>
    <w:semiHidden/>
    <w:unhideWhenUsed/>
    <w:rsid w:val="0003148D"/>
    <w:pPr>
      <w:spacing w:line="240" w:lineRule="auto"/>
      <w:ind w:left="4252"/>
    </w:pPr>
  </w:style>
  <w:style w:type="character" w:customStyle="1" w:styleId="FormuladichiusuraCarattere">
    <w:name w:val="Formula di chiusura Carattere"/>
    <w:basedOn w:val="Carpredefinitoparagrafo"/>
    <w:link w:val="Formuladichiusura"/>
    <w:uiPriority w:val="99"/>
    <w:semiHidden/>
    <w:rsid w:val="0003148D"/>
  </w:style>
  <w:style w:type="paragraph" w:styleId="Indice1">
    <w:name w:val="index 1"/>
    <w:basedOn w:val="Normale"/>
    <w:next w:val="Normale"/>
    <w:autoRedefine/>
    <w:uiPriority w:val="99"/>
    <w:semiHidden/>
    <w:unhideWhenUsed/>
    <w:rsid w:val="0003148D"/>
    <w:pPr>
      <w:spacing w:line="240" w:lineRule="auto"/>
      <w:ind w:left="220" w:hanging="220"/>
    </w:pPr>
  </w:style>
  <w:style w:type="paragraph" w:styleId="Indice2">
    <w:name w:val="index 2"/>
    <w:basedOn w:val="Normale"/>
    <w:next w:val="Normale"/>
    <w:autoRedefine/>
    <w:uiPriority w:val="99"/>
    <w:semiHidden/>
    <w:unhideWhenUsed/>
    <w:rsid w:val="0003148D"/>
    <w:pPr>
      <w:spacing w:line="240" w:lineRule="auto"/>
      <w:ind w:left="440" w:hanging="220"/>
    </w:pPr>
  </w:style>
  <w:style w:type="paragraph" w:styleId="Indice3">
    <w:name w:val="index 3"/>
    <w:basedOn w:val="Normale"/>
    <w:next w:val="Normale"/>
    <w:autoRedefine/>
    <w:uiPriority w:val="99"/>
    <w:semiHidden/>
    <w:unhideWhenUsed/>
    <w:rsid w:val="0003148D"/>
    <w:pPr>
      <w:spacing w:line="240" w:lineRule="auto"/>
      <w:ind w:left="660" w:hanging="220"/>
    </w:pPr>
  </w:style>
  <w:style w:type="paragraph" w:styleId="Indice4">
    <w:name w:val="index 4"/>
    <w:basedOn w:val="Normale"/>
    <w:next w:val="Normale"/>
    <w:autoRedefine/>
    <w:uiPriority w:val="99"/>
    <w:semiHidden/>
    <w:unhideWhenUsed/>
    <w:rsid w:val="0003148D"/>
    <w:pPr>
      <w:spacing w:line="240" w:lineRule="auto"/>
      <w:ind w:left="880" w:hanging="220"/>
    </w:pPr>
  </w:style>
  <w:style w:type="paragraph" w:styleId="Indice5">
    <w:name w:val="index 5"/>
    <w:basedOn w:val="Normale"/>
    <w:next w:val="Normale"/>
    <w:autoRedefine/>
    <w:uiPriority w:val="99"/>
    <w:semiHidden/>
    <w:unhideWhenUsed/>
    <w:rsid w:val="0003148D"/>
    <w:pPr>
      <w:spacing w:line="240" w:lineRule="auto"/>
      <w:ind w:left="1100" w:hanging="220"/>
    </w:pPr>
  </w:style>
  <w:style w:type="paragraph" w:styleId="Indice6">
    <w:name w:val="index 6"/>
    <w:basedOn w:val="Normale"/>
    <w:next w:val="Normale"/>
    <w:autoRedefine/>
    <w:uiPriority w:val="99"/>
    <w:semiHidden/>
    <w:unhideWhenUsed/>
    <w:rsid w:val="0003148D"/>
    <w:pPr>
      <w:spacing w:line="240" w:lineRule="auto"/>
      <w:ind w:left="1320" w:hanging="220"/>
    </w:pPr>
  </w:style>
  <w:style w:type="paragraph" w:styleId="Indice7">
    <w:name w:val="index 7"/>
    <w:basedOn w:val="Normale"/>
    <w:next w:val="Normale"/>
    <w:autoRedefine/>
    <w:uiPriority w:val="99"/>
    <w:semiHidden/>
    <w:unhideWhenUsed/>
    <w:rsid w:val="0003148D"/>
    <w:pPr>
      <w:spacing w:line="240" w:lineRule="auto"/>
      <w:ind w:left="1540" w:hanging="220"/>
    </w:pPr>
  </w:style>
  <w:style w:type="paragraph" w:styleId="Indice8">
    <w:name w:val="index 8"/>
    <w:basedOn w:val="Normale"/>
    <w:next w:val="Normale"/>
    <w:autoRedefine/>
    <w:uiPriority w:val="99"/>
    <w:semiHidden/>
    <w:unhideWhenUsed/>
    <w:rsid w:val="0003148D"/>
    <w:pPr>
      <w:spacing w:line="240" w:lineRule="auto"/>
      <w:ind w:left="1760" w:hanging="220"/>
    </w:pPr>
  </w:style>
  <w:style w:type="paragraph" w:styleId="Indice9">
    <w:name w:val="index 9"/>
    <w:basedOn w:val="Normale"/>
    <w:next w:val="Normale"/>
    <w:autoRedefine/>
    <w:uiPriority w:val="99"/>
    <w:semiHidden/>
    <w:unhideWhenUsed/>
    <w:rsid w:val="0003148D"/>
    <w:pPr>
      <w:spacing w:line="240" w:lineRule="auto"/>
      <w:ind w:left="1980" w:hanging="220"/>
    </w:pPr>
  </w:style>
  <w:style w:type="paragraph" w:styleId="Indicedellefigure">
    <w:name w:val="table of figures"/>
    <w:basedOn w:val="Normale"/>
    <w:next w:val="Normale"/>
    <w:uiPriority w:val="99"/>
    <w:semiHidden/>
    <w:unhideWhenUsed/>
    <w:rsid w:val="0003148D"/>
  </w:style>
  <w:style w:type="paragraph" w:styleId="Indicefonti">
    <w:name w:val="table of authorities"/>
    <w:basedOn w:val="Normale"/>
    <w:next w:val="Normale"/>
    <w:uiPriority w:val="99"/>
    <w:semiHidden/>
    <w:unhideWhenUsed/>
    <w:rsid w:val="0003148D"/>
    <w:pPr>
      <w:ind w:left="220" w:hanging="220"/>
    </w:pPr>
  </w:style>
  <w:style w:type="paragraph" w:styleId="Indirizzodestinatario">
    <w:name w:val="envelope address"/>
    <w:basedOn w:val="Normale"/>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IndirizzoHTML">
    <w:name w:val="HTML Address"/>
    <w:basedOn w:val="Normale"/>
    <w:link w:val="IndirizzoHTMLCarattere"/>
    <w:uiPriority w:val="99"/>
    <w:semiHidden/>
    <w:unhideWhenUsed/>
    <w:rsid w:val="0003148D"/>
    <w:pPr>
      <w:spacing w:line="240" w:lineRule="auto"/>
    </w:pPr>
    <w:rPr>
      <w:i/>
      <w:iCs/>
    </w:rPr>
  </w:style>
  <w:style w:type="character" w:customStyle="1" w:styleId="IndirizzoHTMLCarattere">
    <w:name w:val="Indirizzo HTML Carattere"/>
    <w:basedOn w:val="Carpredefinitoparagrafo"/>
    <w:link w:val="IndirizzoHTML"/>
    <w:uiPriority w:val="99"/>
    <w:semiHidden/>
    <w:rsid w:val="0003148D"/>
    <w:rPr>
      <w:i/>
      <w:iCs/>
    </w:rPr>
  </w:style>
  <w:style w:type="paragraph" w:styleId="Indirizzomittente">
    <w:name w:val="envelope return"/>
    <w:basedOn w:val="Normale"/>
    <w:uiPriority w:val="99"/>
    <w:semiHidden/>
    <w:unhideWhenUsed/>
    <w:rsid w:val="0003148D"/>
    <w:pPr>
      <w:spacing w:line="240" w:lineRule="auto"/>
    </w:pPr>
    <w:rPr>
      <w:rFonts w:asciiTheme="majorHAnsi" w:eastAsiaTheme="majorEastAsia" w:hAnsiTheme="majorHAnsi" w:cstheme="majorBidi"/>
    </w:rPr>
  </w:style>
  <w:style w:type="paragraph" w:styleId="Intestazionemessaggio">
    <w:name w:val="Message Header"/>
    <w:basedOn w:val="Normale"/>
    <w:link w:val="IntestazionemessaggioCarattere"/>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IntestazionemessaggioCarattere">
    <w:name w:val="Intestazione messaggio Carattere"/>
    <w:basedOn w:val="Carpredefinitoparagrafo"/>
    <w:link w:val="Intestazionemessaggio"/>
    <w:uiPriority w:val="99"/>
    <w:semiHidden/>
    <w:rsid w:val="0003148D"/>
    <w:rPr>
      <w:rFonts w:asciiTheme="majorHAnsi" w:eastAsiaTheme="majorEastAsia" w:hAnsiTheme="majorHAnsi" w:cstheme="majorBidi"/>
      <w:sz w:val="24"/>
      <w:szCs w:val="24"/>
      <w:shd w:val="pct20" w:color="auto" w:fill="auto"/>
    </w:rPr>
  </w:style>
  <w:style w:type="paragraph" w:styleId="Intestazionenota">
    <w:name w:val="Note Heading"/>
    <w:basedOn w:val="Normale"/>
    <w:next w:val="Normale"/>
    <w:link w:val="IntestazionenotaCarattere"/>
    <w:uiPriority w:val="99"/>
    <w:semiHidden/>
    <w:unhideWhenUsed/>
    <w:rsid w:val="0003148D"/>
    <w:pPr>
      <w:spacing w:line="240" w:lineRule="auto"/>
    </w:pPr>
  </w:style>
  <w:style w:type="character" w:customStyle="1" w:styleId="IntestazionenotaCarattere">
    <w:name w:val="Intestazione nota Carattere"/>
    <w:basedOn w:val="Carpredefinitoparagrafo"/>
    <w:link w:val="Intestazionenota"/>
    <w:uiPriority w:val="99"/>
    <w:semiHidden/>
    <w:rsid w:val="0003148D"/>
  </w:style>
  <w:style w:type="paragraph" w:styleId="Mappadocumento">
    <w:name w:val="Document Map"/>
    <w:basedOn w:val="Normale"/>
    <w:link w:val="MappadocumentoCarattere"/>
    <w:uiPriority w:val="99"/>
    <w:semiHidden/>
    <w:unhideWhenUsed/>
    <w:rsid w:val="0003148D"/>
    <w:pPr>
      <w:spacing w:line="240" w:lineRule="auto"/>
    </w:pPr>
    <w:rPr>
      <w:rFonts w:ascii="Tahoma" w:hAnsi="Tahoma" w:cs="Tahoma"/>
      <w:sz w:val="16"/>
      <w:szCs w:val="16"/>
    </w:rPr>
  </w:style>
  <w:style w:type="character" w:customStyle="1" w:styleId="MappadocumentoCarattere">
    <w:name w:val="Mappa documento Carattere"/>
    <w:basedOn w:val="Carpredefinitoparagrafo"/>
    <w:link w:val="Mappadocumento"/>
    <w:uiPriority w:val="99"/>
    <w:semiHidden/>
    <w:rsid w:val="0003148D"/>
    <w:rPr>
      <w:rFonts w:ascii="Tahoma" w:hAnsi="Tahoma" w:cs="Tahoma"/>
      <w:sz w:val="16"/>
      <w:szCs w:val="16"/>
    </w:rPr>
  </w:style>
  <w:style w:type="paragraph" w:styleId="NormaleWeb">
    <w:name w:val="Normal (Web)"/>
    <w:basedOn w:val="Normale"/>
    <w:uiPriority w:val="99"/>
    <w:semiHidden/>
    <w:unhideWhenUsed/>
    <w:rsid w:val="0003148D"/>
    <w:rPr>
      <w:sz w:val="24"/>
      <w:szCs w:val="24"/>
    </w:rPr>
  </w:style>
  <w:style w:type="paragraph" w:styleId="Numeroelenco">
    <w:name w:val="List Number"/>
    <w:basedOn w:val="Normale"/>
    <w:uiPriority w:val="99"/>
    <w:semiHidden/>
    <w:unhideWhenUsed/>
    <w:rsid w:val="0003148D"/>
    <w:pPr>
      <w:numPr>
        <w:numId w:val="2"/>
      </w:numPr>
      <w:contextualSpacing/>
    </w:pPr>
  </w:style>
  <w:style w:type="paragraph" w:styleId="Numeroelenco2">
    <w:name w:val="List Number 2"/>
    <w:basedOn w:val="Normale"/>
    <w:uiPriority w:val="99"/>
    <w:semiHidden/>
    <w:unhideWhenUsed/>
    <w:rsid w:val="0003148D"/>
    <w:pPr>
      <w:numPr>
        <w:numId w:val="3"/>
      </w:numPr>
      <w:contextualSpacing/>
    </w:pPr>
  </w:style>
  <w:style w:type="paragraph" w:styleId="Numeroelenco3">
    <w:name w:val="List Number 3"/>
    <w:basedOn w:val="Normale"/>
    <w:uiPriority w:val="99"/>
    <w:semiHidden/>
    <w:unhideWhenUsed/>
    <w:rsid w:val="0003148D"/>
    <w:pPr>
      <w:numPr>
        <w:numId w:val="4"/>
      </w:numPr>
      <w:contextualSpacing/>
    </w:pPr>
  </w:style>
  <w:style w:type="paragraph" w:styleId="Numeroelenco4">
    <w:name w:val="List Number 4"/>
    <w:basedOn w:val="Normale"/>
    <w:uiPriority w:val="99"/>
    <w:semiHidden/>
    <w:unhideWhenUsed/>
    <w:rsid w:val="0003148D"/>
    <w:pPr>
      <w:numPr>
        <w:numId w:val="5"/>
      </w:numPr>
      <w:contextualSpacing/>
    </w:pPr>
  </w:style>
  <w:style w:type="paragraph" w:styleId="Numeroelenco5">
    <w:name w:val="List Number 5"/>
    <w:basedOn w:val="Normale"/>
    <w:uiPriority w:val="99"/>
    <w:semiHidden/>
    <w:unhideWhenUsed/>
    <w:rsid w:val="0003148D"/>
    <w:pPr>
      <w:numPr>
        <w:numId w:val="6"/>
      </w:numPr>
      <w:contextualSpacing/>
    </w:pPr>
  </w:style>
  <w:style w:type="paragraph" w:styleId="PreformattatoHTML">
    <w:name w:val="HTML Preformatted"/>
    <w:basedOn w:val="Normale"/>
    <w:link w:val="PreformattatoHTMLCarattere"/>
    <w:uiPriority w:val="99"/>
    <w:semiHidden/>
    <w:unhideWhenUsed/>
    <w:rsid w:val="0003148D"/>
    <w:pPr>
      <w:spacing w:line="240" w:lineRule="auto"/>
    </w:pPr>
    <w:rPr>
      <w:rFonts w:ascii="Consolas" w:hAnsi="Consolas" w:cs="Consolas"/>
    </w:rPr>
  </w:style>
  <w:style w:type="character" w:customStyle="1" w:styleId="PreformattatoHTMLCarattere">
    <w:name w:val="Preformattato HTML Carattere"/>
    <w:basedOn w:val="Carpredefinitoparagrafo"/>
    <w:link w:val="PreformattatoHTML"/>
    <w:uiPriority w:val="99"/>
    <w:semiHidden/>
    <w:rsid w:val="0003148D"/>
    <w:rPr>
      <w:rFonts w:ascii="Consolas" w:hAnsi="Consolas" w:cs="Consolas"/>
      <w:sz w:val="20"/>
      <w:szCs w:val="20"/>
    </w:rPr>
  </w:style>
  <w:style w:type="paragraph" w:styleId="Primorientrocorpodeltesto">
    <w:name w:val="Body Text First Indent"/>
    <w:basedOn w:val="Corpotesto"/>
    <w:link w:val="PrimorientrocorpodeltestoCarattere"/>
    <w:uiPriority w:val="99"/>
    <w:semiHidden/>
    <w:unhideWhenUsed/>
    <w:rsid w:val="0003148D"/>
    <w:pPr>
      <w:spacing w:after="200"/>
      <w:ind w:firstLine="360"/>
    </w:pPr>
  </w:style>
  <w:style w:type="character" w:customStyle="1" w:styleId="PrimorientrocorpodeltestoCarattere">
    <w:name w:val="Primo rientro corpo del testo Carattere"/>
    <w:basedOn w:val="CorpotestoCarattere"/>
    <w:link w:val="Primorientrocorpodeltesto"/>
    <w:uiPriority w:val="99"/>
    <w:semiHidden/>
    <w:rsid w:val="0003148D"/>
  </w:style>
  <w:style w:type="paragraph" w:styleId="Rientrocorpodeltesto">
    <w:name w:val="Body Text Indent"/>
    <w:basedOn w:val="Normale"/>
    <w:link w:val="RientrocorpodeltestoCarattere"/>
    <w:uiPriority w:val="99"/>
    <w:semiHidden/>
    <w:unhideWhenUsed/>
    <w:rsid w:val="0003148D"/>
    <w:pPr>
      <w:spacing w:after="120"/>
      <w:ind w:left="283"/>
    </w:pPr>
  </w:style>
  <w:style w:type="character" w:customStyle="1" w:styleId="RientrocorpodeltestoCarattere">
    <w:name w:val="Rientro corpo del testo Carattere"/>
    <w:basedOn w:val="Carpredefinitoparagrafo"/>
    <w:link w:val="Rientrocorpodeltesto"/>
    <w:uiPriority w:val="99"/>
    <w:semiHidden/>
    <w:rsid w:val="0003148D"/>
  </w:style>
  <w:style w:type="paragraph" w:styleId="Primorientrocorpodeltesto2">
    <w:name w:val="Body Text First Indent 2"/>
    <w:basedOn w:val="Rientrocorpodeltesto"/>
    <w:link w:val="Primorientrocorpodeltesto2Carattere"/>
    <w:uiPriority w:val="99"/>
    <w:semiHidden/>
    <w:unhideWhenUsed/>
    <w:rsid w:val="0003148D"/>
    <w:pPr>
      <w:spacing w:after="200"/>
      <w:ind w:left="360" w:firstLine="360"/>
    </w:pPr>
  </w:style>
  <w:style w:type="character" w:customStyle="1" w:styleId="Primorientrocorpodeltesto2Carattere">
    <w:name w:val="Primo rientro corpo del testo 2 Carattere"/>
    <w:basedOn w:val="RientrocorpodeltestoCarattere"/>
    <w:link w:val="Primorientrocorpodeltesto2"/>
    <w:uiPriority w:val="99"/>
    <w:semiHidden/>
    <w:rsid w:val="0003148D"/>
  </w:style>
  <w:style w:type="paragraph" w:styleId="Puntoelenco">
    <w:name w:val="List Bullet"/>
    <w:basedOn w:val="Normale"/>
    <w:uiPriority w:val="99"/>
    <w:semiHidden/>
    <w:unhideWhenUsed/>
    <w:rsid w:val="0003148D"/>
    <w:pPr>
      <w:numPr>
        <w:numId w:val="7"/>
      </w:numPr>
      <w:contextualSpacing/>
    </w:pPr>
  </w:style>
  <w:style w:type="paragraph" w:styleId="Puntoelenco2">
    <w:name w:val="List Bullet 2"/>
    <w:basedOn w:val="Normale"/>
    <w:uiPriority w:val="99"/>
    <w:semiHidden/>
    <w:unhideWhenUsed/>
    <w:rsid w:val="0003148D"/>
    <w:pPr>
      <w:numPr>
        <w:numId w:val="8"/>
      </w:numPr>
      <w:contextualSpacing/>
    </w:pPr>
  </w:style>
  <w:style w:type="paragraph" w:styleId="Puntoelenco3">
    <w:name w:val="List Bullet 3"/>
    <w:basedOn w:val="Normale"/>
    <w:uiPriority w:val="99"/>
    <w:semiHidden/>
    <w:unhideWhenUsed/>
    <w:rsid w:val="0003148D"/>
    <w:pPr>
      <w:numPr>
        <w:numId w:val="9"/>
      </w:numPr>
      <w:contextualSpacing/>
    </w:pPr>
  </w:style>
  <w:style w:type="paragraph" w:styleId="Puntoelenco4">
    <w:name w:val="List Bullet 4"/>
    <w:basedOn w:val="Normale"/>
    <w:uiPriority w:val="99"/>
    <w:semiHidden/>
    <w:unhideWhenUsed/>
    <w:rsid w:val="0003148D"/>
    <w:pPr>
      <w:numPr>
        <w:numId w:val="10"/>
      </w:numPr>
      <w:contextualSpacing/>
    </w:pPr>
  </w:style>
  <w:style w:type="paragraph" w:styleId="Puntoelenco5">
    <w:name w:val="List Bullet 5"/>
    <w:basedOn w:val="Normale"/>
    <w:uiPriority w:val="99"/>
    <w:semiHidden/>
    <w:unhideWhenUsed/>
    <w:rsid w:val="0003148D"/>
    <w:pPr>
      <w:numPr>
        <w:numId w:val="11"/>
      </w:numPr>
      <w:contextualSpacing/>
    </w:pPr>
  </w:style>
  <w:style w:type="paragraph" w:styleId="Rientrocorpodeltesto2">
    <w:name w:val="Body Text Indent 2"/>
    <w:basedOn w:val="Normale"/>
    <w:link w:val="Rientrocorpodeltesto2Carattere"/>
    <w:uiPriority w:val="99"/>
    <w:semiHidden/>
    <w:unhideWhenUsed/>
    <w:rsid w:val="0003148D"/>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semiHidden/>
    <w:rsid w:val="0003148D"/>
  </w:style>
  <w:style w:type="paragraph" w:styleId="Rientrocorpodeltesto3">
    <w:name w:val="Body Text Indent 3"/>
    <w:basedOn w:val="Normale"/>
    <w:link w:val="Rientrocorpodeltesto3Carattere"/>
    <w:uiPriority w:val="99"/>
    <w:semiHidden/>
    <w:unhideWhenUsed/>
    <w:rsid w:val="0003148D"/>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03148D"/>
    <w:rPr>
      <w:sz w:val="16"/>
      <w:szCs w:val="16"/>
    </w:rPr>
  </w:style>
  <w:style w:type="paragraph" w:styleId="Rientronormale">
    <w:name w:val="Normal Indent"/>
    <w:basedOn w:val="Normale"/>
    <w:uiPriority w:val="99"/>
    <w:semiHidden/>
    <w:unhideWhenUsed/>
    <w:rsid w:val="0003148D"/>
    <w:pPr>
      <w:ind w:left="720"/>
    </w:pPr>
  </w:style>
  <w:style w:type="paragraph" w:styleId="Testocommento">
    <w:name w:val="annotation text"/>
    <w:basedOn w:val="Normale"/>
    <w:link w:val="TestocommentoCarattere"/>
    <w:uiPriority w:val="99"/>
    <w:unhideWhenUsed/>
    <w:rsid w:val="0003148D"/>
    <w:pPr>
      <w:spacing w:line="240" w:lineRule="auto"/>
    </w:pPr>
  </w:style>
  <w:style w:type="character" w:customStyle="1" w:styleId="TestocommentoCarattere">
    <w:name w:val="Testo commento Carattere"/>
    <w:basedOn w:val="Carpredefinitoparagrafo"/>
    <w:link w:val="Testocommento"/>
    <w:uiPriority w:val="99"/>
    <w:rsid w:val="0003148D"/>
    <w:rPr>
      <w:sz w:val="20"/>
      <w:szCs w:val="20"/>
    </w:rPr>
  </w:style>
  <w:style w:type="paragraph" w:styleId="Soggettocommento">
    <w:name w:val="annotation subject"/>
    <w:basedOn w:val="Testocommento"/>
    <w:next w:val="Testocommento"/>
    <w:link w:val="SoggettocommentoCarattere"/>
    <w:uiPriority w:val="99"/>
    <w:semiHidden/>
    <w:unhideWhenUsed/>
    <w:rsid w:val="0003148D"/>
    <w:rPr>
      <w:b/>
      <w:bCs/>
    </w:rPr>
  </w:style>
  <w:style w:type="character" w:customStyle="1" w:styleId="SoggettocommentoCarattere">
    <w:name w:val="Soggetto commento Carattere"/>
    <w:basedOn w:val="TestocommentoCarattere"/>
    <w:link w:val="Soggettocommento"/>
    <w:uiPriority w:val="99"/>
    <w:semiHidden/>
    <w:rsid w:val="0003148D"/>
    <w:rPr>
      <w:b/>
      <w:bCs/>
      <w:sz w:val="20"/>
      <w:szCs w:val="20"/>
    </w:rPr>
  </w:style>
  <w:style w:type="paragraph" w:styleId="Sommario1">
    <w:name w:val="toc 1"/>
    <w:basedOn w:val="Normale"/>
    <w:next w:val="Normale"/>
    <w:autoRedefine/>
    <w:uiPriority w:val="39"/>
    <w:semiHidden/>
    <w:unhideWhenUsed/>
    <w:rsid w:val="0003148D"/>
    <w:pPr>
      <w:spacing w:after="100"/>
    </w:pPr>
  </w:style>
  <w:style w:type="paragraph" w:styleId="Sommario2">
    <w:name w:val="toc 2"/>
    <w:basedOn w:val="Normale"/>
    <w:next w:val="Normale"/>
    <w:autoRedefine/>
    <w:uiPriority w:val="39"/>
    <w:semiHidden/>
    <w:unhideWhenUsed/>
    <w:rsid w:val="0003148D"/>
    <w:pPr>
      <w:spacing w:after="100"/>
      <w:ind w:left="220"/>
    </w:pPr>
  </w:style>
  <w:style w:type="paragraph" w:styleId="Sommario3">
    <w:name w:val="toc 3"/>
    <w:basedOn w:val="Normale"/>
    <w:next w:val="Normale"/>
    <w:autoRedefine/>
    <w:uiPriority w:val="39"/>
    <w:semiHidden/>
    <w:unhideWhenUsed/>
    <w:rsid w:val="0003148D"/>
    <w:pPr>
      <w:spacing w:after="100"/>
      <w:ind w:left="440"/>
    </w:pPr>
  </w:style>
  <w:style w:type="paragraph" w:styleId="Sommario4">
    <w:name w:val="toc 4"/>
    <w:basedOn w:val="Normale"/>
    <w:next w:val="Normale"/>
    <w:autoRedefine/>
    <w:uiPriority w:val="39"/>
    <w:semiHidden/>
    <w:unhideWhenUsed/>
    <w:rsid w:val="0003148D"/>
    <w:pPr>
      <w:spacing w:after="100"/>
      <w:ind w:left="660"/>
    </w:pPr>
  </w:style>
  <w:style w:type="paragraph" w:styleId="Sommario5">
    <w:name w:val="toc 5"/>
    <w:basedOn w:val="Normale"/>
    <w:next w:val="Normale"/>
    <w:autoRedefine/>
    <w:uiPriority w:val="39"/>
    <w:semiHidden/>
    <w:unhideWhenUsed/>
    <w:rsid w:val="0003148D"/>
    <w:pPr>
      <w:spacing w:after="100"/>
      <w:ind w:left="880"/>
    </w:pPr>
  </w:style>
  <w:style w:type="paragraph" w:styleId="Sommario6">
    <w:name w:val="toc 6"/>
    <w:basedOn w:val="Normale"/>
    <w:next w:val="Normale"/>
    <w:autoRedefine/>
    <w:uiPriority w:val="39"/>
    <w:semiHidden/>
    <w:unhideWhenUsed/>
    <w:rsid w:val="0003148D"/>
    <w:pPr>
      <w:spacing w:after="100"/>
      <w:ind w:left="1100"/>
    </w:pPr>
  </w:style>
  <w:style w:type="paragraph" w:styleId="Sommario7">
    <w:name w:val="toc 7"/>
    <w:basedOn w:val="Normale"/>
    <w:next w:val="Normale"/>
    <w:autoRedefine/>
    <w:uiPriority w:val="39"/>
    <w:semiHidden/>
    <w:unhideWhenUsed/>
    <w:rsid w:val="0003148D"/>
    <w:pPr>
      <w:spacing w:after="100"/>
      <w:ind w:left="1320"/>
    </w:pPr>
  </w:style>
  <w:style w:type="paragraph" w:styleId="Sommario8">
    <w:name w:val="toc 8"/>
    <w:basedOn w:val="Normale"/>
    <w:next w:val="Normale"/>
    <w:autoRedefine/>
    <w:uiPriority w:val="39"/>
    <w:semiHidden/>
    <w:unhideWhenUsed/>
    <w:rsid w:val="0003148D"/>
    <w:pPr>
      <w:spacing w:after="100"/>
      <w:ind w:left="1540"/>
    </w:pPr>
  </w:style>
  <w:style w:type="paragraph" w:styleId="Sommario9">
    <w:name w:val="toc 9"/>
    <w:basedOn w:val="Normale"/>
    <w:next w:val="Normale"/>
    <w:autoRedefine/>
    <w:uiPriority w:val="39"/>
    <w:semiHidden/>
    <w:unhideWhenUsed/>
    <w:rsid w:val="0003148D"/>
    <w:pPr>
      <w:spacing w:after="100"/>
      <w:ind w:left="1760"/>
    </w:pPr>
  </w:style>
  <w:style w:type="paragraph" w:styleId="Testodelblocco">
    <w:name w:val="Block Text"/>
    <w:basedOn w:val="Normale"/>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stomacro">
    <w:name w:val="macro"/>
    <w:link w:val="TestomacroCarattere"/>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stomacroCarattere">
    <w:name w:val="Testo macro Carattere"/>
    <w:basedOn w:val="Carpredefinitoparagrafo"/>
    <w:link w:val="Testomacro"/>
    <w:uiPriority w:val="99"/>
    <w:semiHidden/>
    <w:rsid w:val="0003148D"/>
    <w:rPr>
      <w:rFonts w:ascii="Consolas" w:hAnsi="Consolas" w:cs="Consolas"/>
      <w:sz w:val="20"/>
      <w:szCs w:val="20"/>
    </w:rPr>
  </w:style>
  <w:style w:type="paragraph" w:styleId="Testonormale">
    <w:name w:val="Plain Text"/>
    <w:basedOn w:val="Normale"/>
    <w:link w:val="TestonormaleCarattere"/>
    <w:uiPriority w:val="99"/>
    <w:semiHidden/>
    <w:unhideWhenUsed/>
    <w:rsid w:val="0003148D"/>
    <w:pPr>
      <w:spacing w:line="240" w:lineRule="auto"/>
    </w:pPr>
    <w:rPr>
      <w:rFonts w:ascii="Consolas" w:hAnsi="Consolas" w:cs="Consolas"/>
      <w:sz w:val="21"/>
      <w:szCs w:val="21"/>
    </w:rPr>
  </w:style>
  <w:style w:type="character" w:customStyle="1" w:styleId="TestonormaleCarattere">
    <w:name w:val="Testo normale Carattere"/>
    <w:basedOn w:val="Carpredefinitoparagrafo"/>
    <w:link w:val="Testonormale"/>
    <w:uiPriority w:val="99"/>
    <w:semiHidden/>
    <w:rsid w:val="0003148D"/>
    <w:rPr>
      <w:rFonts w:ascii="Consolas" w:hAnsi="Consolas" w:cs="Consolas"/>
      <w:sz w:val="21"/>
      <w:szCs w:val="21"/>
    </w:rPr>
  </w:style>
  <w:style w:type="paragraph" w:styleId="Testonotaapidipagina">
    <w:name w:val="footnote text"/>
    <w:basedOn w:val="Normale"/>
    <w:link w:val="TestonotaapidipaginaCarattere"/>
    <w:uiPriority w:val="99"/>
    <w:semiHidden/>
    <w:unhideWhenUsed/>
    <w:rsid w:val="0003148D"/>
    <w:pPr>
      <w:spacing w:line="240" w:lineRule="auto"/>
    </w:pPr>
  </w:style>
  <w:style w:type="character" w:customStyle="1" w:styleId="TestonotaapidipaginaCarattere">
    <w:name w:val="Testo nota a piè di pagina Carattere"/>
    <w:basedOn w:val="Carpredefinitoparagrafo"/>
    <w:link w:val="Testonotaapidipagina"/>
    <w:uiPriority w:val="99"/>
    <w:semiHidden/>
    <w:rsid w:val="0003148D"/>
    <w:rPr>
      <w:sz w:val="20"/>
      <w:szCs w:val="20"/>
    </w:rPr>
  </w:style>
  <w:style w:type="paragraph" w:styleId="Testonotadichiusura">
    <w:name w:val="endnote text"/>
    <w:basedOn w:val="Normale"/>
    <w:link w:val="TestonotadichiusuraCarattere"/>
    <w:uiPriority w:val="99"/>
    <w:semiHidden/>
    <w:unhideWhenUsed/>
    <w:rsid w:val="0003148D"/>
    <w:pPr>
      <w:spacing w:line="240" w:lineRule="auto"/>
    </w:pPr>
  </w:style>
  <w:style w:type="character" w:customStyle="1" w:styleId="TestonotadichiusuraCarattere">
    <w:name w:val="Testo nota di chiusura Carattere"/>
    <w:basedOn w:val="Carpredefinitoparagrafo"/>
    <w:link w:val="Testonotadichiusura"/>
    <w:uiPriority w:val="99"/>
    <w:semiHidden/>
    <w:rsid w:val="0003148D"/>
    <w:rPr>
      <w:sz w:val="20"/>
      <w:szCs w:val="20"/>
    </w:rPr>
  </w:style>
  <w:style w:type="character" w:customStyle="1" w:styleId="Titolo1Carattere">
    <w:name w:val="Titolo 1 Carattere"/>
    <w:basedOn w:val="Carpredefinitoparagrafo"/>
    <w:link w:val="Titolo1"/>
    <w:uiPriority w:val="9"/>
    <w:rsid w:val="004F5E36"/>
    <w:rPr>
      <w:rFonts w:ascii="Arial" w:eastAsia="Times New Roman" w:hAnsi="Arial" w:cs="Times New Roman"/>
      <w:b/>
      <w:sz w:val="20"/>
      <w:szCs w:val="20"/>
      <w:lang w:val="en-GB"/>
    </w:rPr>
  </w:style>
  <w:style w:type="character" w:customStyle="1" w:styleId="Titolo2Carattere">
    <w:name w:val="Titolo 2 Carattere"/>
    <w:basedOn w:val="Carpredefinitoparagrafo"/>
    <w:link w:val="Tito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itolo3Carattere">
    <w:name w:val="Titolo 3 Carattere"/>
    <w:basedOn w:val="Carpredefinitoparagrafo"/>
    <w:link w:val="Titolo3"/>
    <w:uiPriority w:val="9"/>
    <w:semiHidden/>
    <w:rsid w:val="0003148D"/>
    <w:rPr>
      <w:rFonts w:asciiTheme="majorHAnsi" w:eastAsiaTheme="majorEastAsia" w:hAnsiTheme="majorHAnsi" w:cstheme="majorBidi"/>
      <w:b/>
      <w:bCs/>
      <w:color w:val="4F81BD" w:themeColor="accent1"/>
    </w:rPr>
  </w:style>
  <w:style w:type="character" w:customStyle="1" w:styleId="Titolo4Carattere">
    <w:name w:val="Titolo 4 Carattere"/>
    <w:basedOn w:val="Carpredefinitoparagrafo"/>
    <w:link w:val="Titolo4"/>
    <w:uiPriority w:val="9"/>
    <w:semiHidden/>
    <w:rsid w:val="0003148D"/>
    <w:rPr>
      <w:rFonts w:asciiTheme="majorHAnsi" w:eastAsiaTheme="majorEastAsia" w:hAnsiTheme="majorHAnsi" w:cstheme="majorBidi"/>
      <w:b/>
      <w:bCs/>
      <w:i/>
      <w:iCs/>
      <w:color w:val="4F81BD" w:themeColor="accent1"/>
    </w:rPr>
  </w:style>
  <w:style w:type="character" w:customStyle="1" w:styleId="Titolo5Carattere">
    <w:name w:val="Titolo 5 Carattere"/>
    <w:basedOn w:val="Carpredefinitoparagrafo"/>
    <w:link w:val="Titolo5"/>
    <w:uiPriority w:val="9"/>
    <w:semiHidden/>
    <w:rsid w:val="0003148D"/>
    <w:rPr>
      <w:rFonts w:asciiTheme="majorHAnsi" w:eastAsiaTheme="majorEastAsia" w:hAnsiTheme="majorHAnsi" w:cstheme="majorBidi"/>
      <w:color w:val="243F60" w:themeColor="accent1" w:themeShade="7F"/>
    </w:rPr>
  </w:style>
  <w:style w:type="character" w:customStyle="1" w:styleId="Titolo6Carattere">
    <w:name w:val="Titolo 6 Carattere"/>
    <w:basedOn w:val="Carpredefinitoparagrafo"/>
    <w:link w:val="Titolo6"/>
    <w:uiPriority w:val="9"/>
    <w:semiHidden/>
    <w:rsid w:val="0003148D"/>
    <w:rPr>
      <w:rFonts w:asciiTheme="majorHAnsi" w:eastAsiaTheme="majorEastAsia" w:hAnsiTheme="majorHAnsi" w:cstheme="majorBidi"/>
      <w:i/>
      <w:iCs/>
      <w:color w:val="243F60" w:themeColor="accent1" w:themeShade="7F"/>
    </w:rPr>
  </w:style>
  <w:style w:type="character" w:customStyle="1" w:styleId="Titolo7Carattere">
    <w:name w:val="Titolo 7 Carattere"/>
    <w:basedOn w:val="Carpredefinitoparagrafo"/>
    <w:link w:val="Titolo7"/>
    <w:uiPriority w:val="9"/>
    <w:semiHidden/>
    <w:rsid w:val="0003148D"/>
    <w:rPr>
      <w:rFonts w:asciiTheme="majorHAnsi" w:eastAsiaTheme="majorEastAsia" w:hAnsiTheme="majorHAnsi" w:cstheme="majorBidi"/>
      <w:i/>
      <w:iCs/>
      <w:color w:val="404040" w:themeColor="text1" w:themeTint="BF"/>
    </w:rPr>
  </w:style>
  <w:style w:type="character" w:customStyle="1" w:styleId="Titolo8Carattere">
    <w:name w:val="Titolo 8 Carattere"/>
    <w:basedOn w:val="Carpredefinitoparagrafo"/>
    <w:link w:val="Tito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itolo9Carattere">
    <w:name w:val="Titolo 9 Carattere"/>
    <w:basedOn w:val="Carpredefinitoparagrafo"/>
    <w:link w:val="Titolo9"/>
    <w:uiPriority w:val="9"/>
    <w:semiHidden/>
    <w:rsid w:val="0003148D"/>
    <w:rPr>
      <w:rFonts w:asciiTheme="majorHAnsi" w:eastAsiaTheme="majorEastAsia" w:hAnsiTheme="majorHAnsi" w:cstheme="majorBidi"/>
      <w:i/>
      <w:iCs/>
      <w:color w:val="404040" w:themeColor="text1" w:themeTint="BF"/>
      <w:sz w:val="20"/>
      <w:szCs w:val="20"/>
    </w:rPr>
  </w:style>
  <w:style w:type="paragraph" w:styleId="Titoloindice">
    <w:name w:val="index heading"/>
    <w:basedOn w:val="Normale"/>
    <w:next w:val="Indice1"/>
    <w:uiPriority w:val="99"/>
    <w:semiHidden/>
    <w:unhideWhenUsed/>
    <w:rsid w:val="0003148D"/>
    <w:rPr>
      <w:rFonts w:asciiTheme="majorHAnsi" w:eastAsiaTheme="majorEastAsia" w:hAnsiTheme="majorHAnsi" w:cstheme="majorBidi"/>
      <w:b/>
      <w:bCs/>
    </w:rPr>
  </w:style>
  <w:style w:type="paragraph" w:styleId="Titoloindicefonti">
    <w:name w:val="toa heading"/>
    <w:basedOn w:val="Normale"/>
    <w:next w:val="Normale"/>
    <w:uiPriority w:val="99"/>
    <w:semiHidden/>
    <w:unhideWhenUsed/>
    <w:rsid w:val="0003148D"/>
    <w:pPr>
      <w:spacing w:before="120"/>
    </w:pPr>
    <w:rPr>
      <w:rFonts w:asciiTheme="majorHAnsi" w:eastAsiaTheme="majorEastAsia" w:hAnsiTheme="majorHAnsi" w:cstheme="majorBidi"/>
      <w:b/>
      <w:bCs/>
      <w:sz w:val="24"/>
      <w:szCs w:val="24"/>
    </w:rPr>
  </w:style>
  <w:style w:type="paragraph" w:styleId="Titolosommario">
    <w:name w:val="TOC Heading"/>
    <w:basedOn w:val="Titolo1"/>
    <w:next w:val="Normale"/>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Carpredefinitoparagrafo"/>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qForma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Intestazione">
    <w:name w:val="header"/>
    <w:basedOn w:val="Normale"/>
    <w:link w:val="IntestazioneCarattere"/>
    <w:uiPriority w:val="99"/>
    <w:unhideWhenUsed/>
    <w:rsid w:val="005278B7"/>
    <w:pPr>
      <w:tabs>
        <w:tab w:val="clear" w:pos="7100"/>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5278B7"/>
    <w:rPr>
      <w:rFonts w:ascii="Arial" w:eastAsia="Times New Roman" w:hAnsi="Arial" w:cs="Times New Roman"/>
      <w:sz w:val="18"/>
      <w:szCs w:val="20"/>
      <w:lang w:val="en-GB"/>
    </w:rPr>
  </w:style>
  <w:style w:type="paragraph" w:styleId="Pidipagina">
    <w:name w:val="footer"/>
    <w:basedOn w:val="Normale"/>
    <w:link w:val="PidipaginaCarattere"/>
    <w:uiPriority w:val="99"/>
    <w:unhideWhenUsed/>
    <w:rsid w:val="005278B7"/>
    <w:pPr>
      <w:tabs>
        <w:tab w:val="clear" w:pos="7100"/>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5278B7"/>
    <w:rPr>
      <w:rFonts w:ascii="Arial" w:eastAsia="Times New Roman" w:hAnsi="Arial" w:cs="Times New Roman"/>
      <w:sz w:val="18"/>
      <w:szCs w:val="20"/>
      <w:lang w:val="en-GB"/>
    </w:rPr>
  </w:style>
  <w:style w:type="table" w:styleId="Grigliatabella">
    <w:name w:val="Table Grid"/>
    <w:basedOn w:val="Tabellanormale"/>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904C62"/>
    <w:rPr>
      <w:color w:val="0000FF" w:themeColor="hyperlink"/>
      <w:u w:val="single"/>
    </w:rPr>
  </w:style>
  <w:style w:type="character" w:customStyle="1" w:styleId="eudoraheader">
    <w:name w:val="eudoraheader"/>
    <w:basedOn w:val="Carpredefinitoparagrafo"/>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character" w:customStyle="1" w:styleId="CETcorpoCarattere">
    <w:name w:val="CET corpo Carattere"/>
    <w:basedOn w:val="Carpredefinitoparagrafo"/>
    <w:link w:val="CETcorpo"/>
    <w:locked/>
    <w:rsid w:val="00212C5B"/>
    <w:rPr>
      <w:rFonts w:ascii="Arial" w:eastAsia="Times New Roman" w:hAnsi="Arial" w:cs="Times New Roman"/>
      <w:sz w:val="18"/>
      <w:szCs w:val="20"/>
      <w:lang w:val="en-GB"/>
    </w:rPr>
  </w:style>
  <w:style w:type="paragraph" w:customStyle="1" w:styleId="CETcorpo">
    <w:name w:val="CET corpo"/>
    <w:basedOn w:val="Normale"/>
    <w:link w:val="CETcorpoCarattere"/>
    <w:qFormat/>
    <w:rsid w:val="00212C5B"/>
    <w:pPr>
      <w:contextualSpacing/>
    </w:pPr>
  </w:style>
  <w:style w:type="character" w:customStyle="1" w:styleId="CETHeading1Carattere">
    <w:name w:val="CET Heading1 Carattere"/>
    <w:basedOn w:val="Carpredefinitoparagrafo"/>
    <w:link w:val="CETHeading1"/>
    <w:locked/>
    <w:rsid w:val="00212C5B"/>
    <w:rPr>
      <w:rFonts w:ascii="Arial" w:eastAsia="Times New Roman" w:hAnsi="Arial" w:cs="Times New Roman"/>
      <w:b/>
      <w:sz w:val="20"/>
      <w:szCs w:val="20"/>
      <w:lang w:val="en-US"/>
    </w:rPr>
  </w:style>
  <w:style w:type="character" w:customStyle="1" w:styleId="CET11Carattere">
    <w:name w:val="CET 1.1 Carattere"/>
    <w:basedOn w:val="Carpredefinitoparagrafo"/>
    <w:link w:val="CET11"/>
    <w:locked/>
    <w:rsid w:val="00212C5B"/>
    <w:rPr>
      <w:rFonts w:ascii="Arial" w:eastAsia="Times New Roman" w:hAnsi="Arial" w:cs="Times New Roman"/>
      <w:b/>
      <w:sz w:val="18"/>
      <w:szCs w:val="20"/>
      <w:lang w:val="en-US"/>
    </w:rPr>
  </w:style>
  <w:style w:type="paragraph" w:customStyle="1" w:styleId="CET11">
    <w:name w:val="CET 1.1"/>
    <w:basedOn w:val="CETheadingx"/>
    <w:link w:val="CET11Carattere"/>
    <w:qFormat/>
    <w:rsid w:val="00212C5B"/>
  </w:style>
  <w:style w:type="character" w:customStyle="1" w:styleId="CET1Carattere">
    <w:name w:val="CET 1 Carattere"/>
    <w:basedOn w:val="Carpredefinitoparagrafo"/>
    <w:link w:val="CET1"/>
    <w:locked/>
    <w:rsid w:val="00212C5B"/>
    <w:rPr>
      <w:rFonts w:ascii="Arial" w:eastAsia="Times New Roman" w:hAnsi="Arial" w:cs="Times New Roman"/>
      <w:b/>
      <w:sz w:val="20"/>
      <w:szCs w:val="20"/>
      <w:lang w:val="en-US"/>
    </w:rPr>
  </w:style>
  <w:style w:type="paragraph" w:customStyle="1" w:styleId="CET1">
    <w:name w:val="CET 1"/>
    <w:basedOn w:val="CETHeading1"/>
    <w:link w:val="CET1Carattere"/>
    <w:qFormat/>
    <w:rsid w:val="00212C5B"/>
    <w:pPr>
      <w:tabs>
        <w:tab w:val="clear" w:pos="360"/>
      </w:tabs>
    </w:pPr>
  </w:style>
  <w:style w:type="character" w:customStyle="1" w:styleId="alt-edited">
    <w:name w:val="alt-edited"/>
    <w:basedOn w:val="Carpredefinitoparagrafo"/>
    <w:rsid w:val="00212C5B"/>
  </w:style>
  <w:style w:type="paragraph" w:styleId="Paragrafoelenco">
    <w:name w:val="List Paragraph"/>
    <w:basedOn w:val="Normale"/>
    <w:uiPriority w:val="34"/>
    <w:rsid w:val="00212C5B"/>
    <w:pPr>
      <w:ind w:left="720"/>
      <w:contextualSpacing/>
    </w:pPr>
  </w:style>
  <w:style w:type="character" w:styleId="Testosegnaposto">
    <w:name w:val="Placeholder Text"/>
    <w:basedOn w:val="Carpredefinitoparagrafo"/>
    <w:uiPriority w:val="99"/>
    <w:semiHidden/>
    <w:rsid w:val="00212C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63B4A0-37D4-45E5-9B9F-73508E192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4052</Words>
  <Characters>23102</Characters>
  <Application>Microsoft Office Word</Application>
  <DocSecurity>0</DocSecurity>
  <Lines>192</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Dipartimento CMIC - Politecnico di Milano</Company>
  <LinksUpToDate>false</LinksUpToDate>
  <CharactersWithSpaces>27100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Annalisa Apicella</cp:lastModifiedBy>
  <cp:revision>9</cp:revision>
  <cp:lastPrinted>2015-05-12T18:31:00Z</cp:lastPrinted>
  <dcterms:created xsi:type="dcterms:W3CDTF">2019-04-10T14:31:00Z</dcterms:created>
  <dcterms:modified xsi:type="dcterms:W3CDTF">2019-04-10T14:48:00Z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ies>
</file>