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rsidTr="00DE264A">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BR" w:eastAsia="pt-BR"/>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cs="Arial"/>
                <w:b/>
                <w:bCs/>
                <w:i/>
                <w:iCs/>
                <w:color w:val="000066"/>
                <w:sz w:val="24"/>
                <w:szCs w:val="24"/>
                <w:lang w:eastAsia="it-IT"/>
              </w:rPr>
              <w:t>CHEMICAL ENGINEERING</w:t>
            </w:r>
            <w:r w:rsidRPr="00B57B36">
              <w:rPr>
                <w:rFonts w:cs="Arial"/>
                <w:b/>
                <w:bCs/>
                <w:i/>
                <w:iCs/>
                <w:color w:val="666666"/>
                <w:sz w:val="24"/>
                <w:szCs w:val="24"/>
                <w:lang w:eastAsia="it-IT"/>
              </w:rPr>
              <w:t>TRANSACTIONS</w:t>
            </w:r>
            <w:r w:rsidRPr="00B57B36">
              <w:rPr>
                <w:rFonts w:cs="Arial"/>
                <w:b/>
                <w:bCs/>
                <w:i/>
                <w:iCs/>
                <w:color w:val="000066"/>
                <w:sz w:val="27"/>
                <w:szCs w:val="27"/>
                <w:lang w:eastAsia="it-IT"/>
              </w:rPr>
              <w:br/>
            </w:r>
          </w:p>
          <w:p w:rsidR="000A03B2" w:rsidRPr="00B57B36" w:rsidRDefault="00A76EFC" w:rsidP="004C3D1D">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pt-BR" w:eastAsia="pt-BR"/>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rsidTr="00DE264A">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rsidTr="00DE264A">
        <w:trPr>
          <w:trHeight w:val="68"/>
          <w:jc w:val="center"/>
        </w:trPr>
        <w:tc>
          <w:tcPr>
            <w:tcW w:w="8789" w:type="dxa"/>
            <w:gridSpan w:val="2"/>
          </w:tcPr>
          <w:p w:rsidR="00300E56" w:rsidRPr="0014464F" w:rsidRDefault="00300E56" w:rsidP="00EC0E49">
            <w:pPr>
              <w:tabs>
                <w:tab w:val="left" w:pos="-108"/>
              </w:tabs>
              <w:spacing w:line="140" w:lineRule="atLeast"/>
              <w:ind w:left="-108"/>
              <w:jc w:val="left"/>
              <w:rPr>
                <w:rFonts w:ascii="Tahoma" w:hAnsi="Tahoma" w:cs="Tahoma"/>
                <w:iCs/>
                <w:color w:val="333333"/>
                <w:sz w:val="14"/>
                <w:szCs w:val="14"/>
                <w:lang w:val="en-US" w:eastAsia="it-IT"/>
              </w:rPr>
            </w:pPr>
            <w:r w:rsidRPr="0014464F">
              <w:rPr>
                <w:rFonts w:ascii="Tahoma" w:hAnsi="Tahoma" w:cs="Tahoma"/>
                <w:iCs/>
                <w:color w:val="333333"/>
                <w:sz w:val="14"/>
                <w:szCs w:val="14"/>
                <w:lang w:val="en-US" w:eastAsia="it-IT"/>
              </w:rPr>
              <w:t>Guest Editors:</w:t>
            </w:r>
          </w:p>
          <w:p w:rsidR="000A03B2" w:rsidRPr="00B57B36" w:rsidRDefault="0014464F" w:rsidP="0014464F">
            <w:pPr>
              <w:tabs>
                <w:tab w:val="left" w:pos="-108"/>
              </w:tabs>
              <w:spacing w:line="140" w:lineRule="atLeast"/>
              <w:ind w:left="-108"/>
              <w:jc w:val="left"/>
            </w:pPr>
            <w:r>
              <w:rPr>
                <w:rFonts w:ascii="Tahoma" w:hAnsi="Tahoma" w:cs="Tahoma"/>
                <w:iCs/>
                <w:color w:val="333333"/>
                <w:sz w:val="14"/>
                <w:szCs w:val="14"/>
                <w:lang w:eastAsia="it-IT"/>
              </w:rPr>
              <w:t xml:space="preserve">Copyright </w:t>
            </w:r>
            <w:proofErr w:type="gramStart"/>
            <w:r>
              <w:rPr>
                <w:rFonts w:ascii="Tahoma" w:hAnsi="Tahoma" w:cs="Tahoma"/>
                <w:iCs/>
                <w:color w:val="333333"/>
                <w:sz w:val="14"/>
                <w:szCs w:val="14"/>
                <w:lang w:eastAsia="it-IT"/>
              </w:rPr>
              <w:t xml:space="preserve">© </w:t>
            </w:r>
            <w:r w:rsidR="00904C62" w:rsidRPr="00B57B36">
              <w:rPr>
                <w:rFonts w:ascii="Tahoma" w:hAnsi="Tahoma" w:cs="Tahoma"/>
                <w:iCs/>
                <w:color w:val="333333"/>
                <w:sz w:val="14"/>
                <w:szCs w:val="14"/>
                <w:lang w:eastAsia="it-IT"/>
              </w:rPr>
              <w:t xml:space="preserve"> AIDIC</w:t>
            </w:r>
            <w:proofErr w:type="gramEnd"/>
            <w:r w:rsidR="00904C62" w:rsidRPr="00B57B36">
              <w:rPr>
                <w:rFonts w:ascii="Tahoma" w:hAnsi="Tahoma" w:cs="Tahoma"/>
                <w:iCs/>
                <w:color w:val="333333"/>
                <w:sz w:val="14"/>
                <w:szCs w:val="14"/>
                <w:lang w:eastAsia="it-IT"/>
              </w:rPr>
              <w:t xml:space="preserve">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rsidR="00E978D0" w:rsidRPr="008A22D7" w:rsidRDefault="008A22D7" w:rsidP="008A22D7">
      <w:pPr>
        <w:suppressAutoHyphens/>
        <w:spacing w:before="480" w:after="120"/>
        <w:jc w:val="center"/>
        <w:outlineLvl w:val="0"/>
        <w:rPr>
          <w:rFonts w:cs="Arial"/>
          <w:sz w:val="32"/>
          <w:szCs w:val="32"/>
          <w:lang w:val="en-US"/>
        </w:rPr>
      </w:pPr>
      <w:r w:rsidRPr="008A22D7">
        <w:rPr>
          <w:rFonts w:cs="Arial"/>
          <w:sz w:val="32"/>
          <w:szCs w:val="32"/>
          <w:lang w:val="en-US"/>
        </w:rPr>
        <w:t>Mathematical modeling of convective drying acerola (</w:t>
      </w:r>
      <w:r w:rsidRPr="008A22D7">
        <w:rPr>
          <w:rFonts w:cs="Arial"/>
          <w:i/>
          <w:sz w:val="32"/>
          <w:szCs w:val="32"/>
          <w:lang w:val="en-US"/>
        </w:rPr>
        <w:t xml:space="preserve">Malpighia </w:t>
      </w:r>
      <w:proofErr w:type="spellStart"/>
      <w:r w:rsidRPr="008A22D7">
        <w:rPr>
          <w:rFonts w:cs="Arial"/>
          <w:i/>
          <w:sz w:val="32"/>
          <w:szCs w:val="32"/>
          <w:lang w:val="en-US"/>
        </w:rPr>
        <w:t>emarginata</w:t>
      </w:r>
      <w:proofErr w:type="spellEnd"/>
      <w:r w:rsidRPr="008A22D7">
        <w:rPr>
          <w:rFonts w:cs="Arial"/>
          <w:sz w:val="32"/>
          <w:szCs w:val="32"/>
          <w:lang w:val="en-US"/>
        </w:rPr>
        <w:t xml:space="preserve">) residue in different thicknesses </w:t>
      </w:r>
    </w:p>
    <w:p w:rsidR="008A22D7" w:rsidRDefault="008A22D7" w:rsidP="00AB5011">
      <w:pPr>
        <w:pStyle w:val="CETAuthors"/>
        <w:rPr>
          <w:lang w:val="en-US"/>
        </w:rPr>
      </w:pPr>
    </w:p>
    <w:p w:rsidR="00E978D0" w:rsidRDefault="00446565" w:rsidP="00AB5011">
      <w:pPr>
        <w:pStyle w:val="CETAuthors"/>
        <w:rPr>
          <w:vertAlign w:val="superscript"/>
          <w:lang w:val="pt-BR"/>
        </w:rPr>
      </w:pPr>
      <w:r w:rsidRPr="008A22D7">
        <w:rPr>
          <w:lang w:val="pt-BR"/>
        </w:rPr>
        <w:t>Jefferson D. O. Silva</w:t>
      </w:r>
      <w:r w:rsidR="00600535" w:rsidRPr="008A22D7">
        <w:rPr>
          <w:vertAlign w:val="superscript"/>
          <w:lang w:val="pt-BR"/>
        </w:rPr>
        <w:t>a</w:t>
      </w:r>
      <w:r w:rsidR="00600535" w:rsidRPr="008A22D7">
        <w:rPr>
          <w:lang w:val="pt-BR"/>
        </w:rPr>
        <w:t xml:space="preserve">, </w:t>
      </w:r>
      <w:r w:rsidRPr="008A22D7">
        <w:rPr>
          <w:lang w:val="pt-BR"/>
        </w:rPr>
        <w:t>Débora E. L. Santos</w:t>
      </w:r>
      <w:r w:rsidR="00600535" w:rsidRPr="008A22D7">
        <w:rPr>
          <w:vertAlign w:val="superscript"/>
          <w:lang w:val="pt-BR"/>
        </w:rPr>
        <w:t>b</w:t>
      </w:r>
      <w:r w:rsidR="00600535" w:rsidRPr="008A22D7">
        <w:rPr>
          <w:lang w:val="pt-BR"/>
        </w:rPr>
        <w:t xml:space="preserve">, </w:t>
      </w:r>
      <w:r w:rsidRPr="008A22D7">
        <w:rPr>
          <w:lang w:val="pt-BR"/>
        </w:rPr>
        <w:t>Ana K</w:t>
      </w:r>
      <w:r w:rsidR="008A22D7">
        <w:rPr>
          <w:lang w:val="pt-BR"/>
        </w:rPr>
        <w:t>arla</w:t>
      </w:r>
      <w:r w:rsidRPr="008A22D7">
        <w:rPr>
          <w:lang w:val="pt-BR"/>
        </w:rPr>
        <w:t xml:space="preserve"> S. Abud</w:t>
      </w:r>
      <w:r w:rsidRPr="008A22D7">
        <w:rPr>
          <w:vertAlign w:val="superscript"/>
          <w:lang w:val="pt-BR"/>
        </w:rPr>
        <w:t>b,*</w:t>
      </w:r>
      <w:r w:rsidRPr="008A22D7">
        <w:rPr>
          <w:lang w:val="pt-BR"/>
        </w:rPr>
        <w:t xml:space="preserve">, Antonio </w:t>
      </w:r>
      <w:r w:rsidR="00EC110D" w:rsidRPr="008A22D7">
        <w:rPr>
          <w:lang w:val="pt-BR"/>
        </w:rPr>
        <w:t>M. Oli</w:t>
      </w:r>
      <w:r w:rsidRPr="008A22D7">
        <w:rPr>
          <w:lang w:val="pt-BR"/>
        </w:rPr>
        <w:t>veira Junior</w:t>
      </w:r>
      <w:r w:rsidRPr="008A22D7">
        <w:rPr>
          <w:vertAlign w:val="superscript"/>
          <w:lang w:val="pt-BR"/>
        </w:rPr>
        <w:t>a</w:t>
      </w:r>
      <w:r w:rsidR="008A22D7">
        <w:rPr>
          <w:vertAlign w:val="superscript"/>
          <w:lang w:val="pt-BR"/>
        </w:rPr>
        <w:t>,b</w:t>
      </w:r>
    </w:p>
    <w:p w:rsidR="006B727C" w:rsidRPr="008A22D7" w:rsidRDefault="00E978D0" w:rsidP="00E978D0">
      <w:pPr>
        <w:pStyle w:val="CETAddress"/>
        <w:rPr>
          <w:rFonts w:cs="Arial"/>
          <w:szCs w:val="16"/>
          <w:lang w:val="en-US"/>
        </w:rPr>
      </w:pPr>
      <w:r w:rsidRPr="008A22D7">
        <w:rPr>
          <w:rFonts w:cs="Arial"/>
          <w:szCs w:val="16"/>
          <w:vertAlign w:val="superscript"/>
          <w:lang w:val="en-US"/>
        </w:rPr>
        <w:t>a</w:t>
      </w:r>
      <w:r w:rsidR="008A22D7" w:rsidRPr="008A22D7">
        <w:rPr>
          <w:rFonts w:cs="Arial"/>
          <w:color w:val="000000"/>
          <w:szCs w:val="16"/>
          <w:shd w:val="clear" w:color="auto" w:fill="FFFFFF"/>
          <w:lang w:val="en-US"/>
        </w:rPr>
        <w:t>Postgraduate Program of Chemical Engineering, Federal University of Sergipe</w:t>
      </w:r>
      <w:r w:rsidR="006B727C" w:rsidRPr="008A22D7">
        <w:rPr>
          <w:rFonts w:cs="Arial"/>
          <w:szCs w:val="16"/>
          <w:lang w:val="en-US"/>
        </w:rPr>
        <w:t>, São Cristóvão, Sergipe, Bra</w:t>
      </w:r>
      <w:r w:rsidR="008A22D7" w:rsidRPr="008A22D7">
        <w:rPr>
          <w:rFonts w:cs="Arial"/>
          <w:szCs w:val="16"/>
          <w:lang w:val="en-US"/>
        </w:rPr>
        <w:t>z</w:t>
      </w:r>
      <w:r w:rsidR="006B727C" w:rsidRPr="008A22D7">
        <w:rPr>
          <w:rFonts w:cs="Arial"/>
          <w:szCs w:val="16"/>
          <w:lang w:val="en-US"/>
        </w:rPr>
        <w:t>il</w:t>
      </w:r>
    </w:p>
    <w:p w:rsidR="00E978D0" w:rsidRPr="008A22D7" w:rsidRDefault="00E978D0" w:rsidP="008A22D7">
      <w:pPr>
        <w:rPr>
          <w:rFonts w:cs="Arial"/>
          <w:sz w:val="16"/>
          <w:szCs w:val="16"/>
          <w:lang w:val="en-US"/>
        </w:rPr>
      </w:pPr>
      <w:proofErr w:type="spellStart"/>
      <w:r w:rsidRPr="008A22D7">
        <w:rPr>
          <w:rFonts w:cs="Arial"/>
          <w:sz w:val="16"/>
          <w:szCs w:val="16"/>
          <w:vertAlign w:val="superscript"/>
          <w:lang w:val="en-US"/>
        </w:rPr>
        <w:t>b</w:t>
      </w:r>
      <w:r w:rsidR="008A22D7" w:rsidRPr="008A22D7">
        <w:rPr>
          <w:rFonts w:cs="Arial"/>
          <w:sz w:val="16"/>
          <w:szCs w:val="16"/>
          <w:lang w:val="en-US"/>
        </w:rPr>
        <w:t>Food</w:t>
      </w:r>
      <w:proofErr w:type="spellEnd"/>
      <w:r w:rsidR="008A22D7" w:rsidRPr="008A22D7">
        <w:rPr>
          <w:rFonts w:cs="Arial"/>
          <w:sz w:val="16"/>
          <w:szCs w:val="16"/>
          <w:lang w:val="en-US"/>
        </w:rPr>
        <w:t xml:space="preserve"> Technology Department, Federal University of Sergipe</w:t>
      </w:r>
      <w:r w:rsidR="006B727C" w:rsidRPr="008A22D7">
        <w:rPr>
          <w:rFonts w:cs="Arial"/>
          <w:sz w:val="16"/>
          <w:szCs w:val="16"/>
          <w:lang w:val="en-US"/>
        </w:rPr>
        <w:t xml:space="preserve">, São </w:t>
      </w:r>
      <w:proofErr w:type="spellStart"/>
      <w:r w:rsidR="006B727C" w:rsidRPr="008A22D7">
        <w:rPr>
          <w:rFonts w:cs="Arial"/>
          <w:sz w:val="16"/>
          <w:szCs w:val="16"/>
          <w:lang w:val="en-US"/>
        </w:rPr>
        <w:t>Cristóvão</w:t>
      </w:r>
      <w:proofErr w:type="spellEnd"/>
      <w:r w:rsidR="006B727C" w:rsidRPr="008A22D7">
        <w:rPr>
          <w:rFonts w:cs="Arial"/>
          <w:sz w:val="16"/>
          <w:szCs w:val="16"/>
          <w:lang w:val="en-US"/>
        </w:rPr>
        <w:t>, Sergipe, Bra</w:t>
      </w:r>
      <w:r w:rsidR="008A22D7">
        <w:rPr>
          <w:rFonts w:cs="Arial"/>
          <w:sz w:val="16"/>
          <w:szCs w:val="16"/>
          <w:lang w:val="en-US"/>
        </w:rPr>
        <w:t>z</w:t>
      </w:r>
      <w:r w:rsidR="006B727C" w:rsidRPr="008A22D7">
        <w:rPr>
          <w:rFonts w:cs="Arial"/>
          <w:sz w:val="16"/>
          <w:szCs w:val="16"/>
          <w:lang w:val="en-US"/>
        </w:rPr>
        <w:t>il</w:t>
      </w:r>
    </w:p>
    <w:p w:rsidR="00E978D0" w:rsidRPr="008A22D7" w:rsidRDefault="006B727C" w:rsidP="00E978D0">
      <w:pPr>
        <w:pStyle w:val="CETemail"/>
        <w:rPr>
          <w:rFonts w:cs="Arial"/>
          <w:szCs w:val="16"/>
          <w:lang w:val="en-US"/>
        </w:rPr>
      </w:pPr>
      <w:r w:rsidRPr="008A22D7">
        <w:rPr>
          <w:rFonts w:cs="Arial"/>
          <w:szCs w:val="16"/>
          <w:lang w:val="en-US"/>
        </w:rPr>
        <w:t>ana.abud@gmail.com</w:t>
      </w:r>
    </w:p>
    <w:p w:rsidR="00243AA3" w:rsidRDefault="00526865" w:rsidP="008A22D7">
      <w:pPr>
        <w:pStyle w:val="PargrafodaLista"/>
        <w:ind w:left="0"/>
        <w:contextualSpacing w:val="0"/>
        <w:rPr>
          <w:rFonts w:cs="Arial"/>
          <w:szCs w:val="18"/>
          <w:lang w:val="en-US"/>
        </w:rPr>
      </w:pPr>
      <w:r>
        <w:rPr>
          <w:rFonts w:cs="Arial"/>
          <w:szCs w:val="18"/>
          <w:lang w:val="en-US"/>
        </w:rPr>
        <w:t>The</w:t>
      </w:r>
      <w:r w:rsidR="008A22D7" w:rsidRPr="008A22D7">
        <w:rPr>
          <w:rFonts w:cs="Arial"/>
          <w:szCs w:val="18"/>
          <w:lang w:val="en-US"/>
        </w:rPr>
        <w:t xml:space="preserve"> increasing demand and processing capacity of the </w:t>
      </w:r>
      <w:r w:rsidR="00FB7629">
        <w:rPr>
          <w:rFonts w:cs="Arial"/>
          <w:szCs w:val="18"/>
          <w:lang w:val="en-US"/>
        </w:rPr>
        <w:t xml:space="preserve">fruit </w:t>
      </w:r>
      <w:r w:rsidR="008A22D7" w:rsidRPr="008A22D7">
        <w:rPr>
          <w:rFonts w:cs="Arial"/>
          <w:szCs w:val="18"/>
          <w:lang w:val="en-US"/>
        </w:rPr>
        <w:t>processing industries</w:t>
      </w:r>
      <w:r>
        <w:rPr>
          <w:rFonts w:cs="Arial"/>
          <w:szCs w:val="18"/>
          <w:lang w:val="en-US"/>
        </w:rPr>
        <w:t xml:space="preserve"> generates a huge amount of waste</w:t>
      </w:r>
      <w:r w:rsidR="00243AA3">
        <w:rPr>
          <w:rFonts w:cs="Arial"/>
          <w:szCs w:val="18"/>
          <w:lang w:val="en-US"/>
        </w:rPr>
        <w:t xml:space="preserve">. </w:t>
      </w:r>
      <w:r w:rsidR="00243AA3" w:rsidRPr="008A22D7">
        <w:rPr>
          <w:rFonts w:cs="Arial"/>
          <w:szCs w:val="18"/>
          <w:lang w:val="en-US"/>
        </w:rPr>
        <w:t>Brazil stands out as a producer and exporter of acerola (</w:t>
      </w:r>
      <w:r w:rsidR="00243AA3" w:rsidRPr="008A22D7">
        <w:rPr>
          <w:rFonts w:cs="Arial"/>
          <w:i/>
          <w:szCs w:val="18"/>
          <w:lang w:val="en-US"/>
        </w:rPr>
        <w:t xml:space="preserve">Malpighia </w:t>
      </w:r>
      <w:proofErr w:type="spellStart"/>
      <w:r w:rsidR="00243AA3" w:rsidRPr="008A22D7">
        <w:rPr>
          <w:rFonts w:cs="Arial"/>
          <w:i/>
          <w:szCs w:val="18"/>
          <w:lang w:val="en-US"/>
        </w:rPr>
        <w:t>emarginata</w:t>
      </w:r>
      <w:proofErr w:type="spellEnd"/>
      <w:r w:rsidR="00243AA3">
        <w:rPr>
          <w:rFonts w:cs="Arial"/>
          <w:szCs w:val="18"/>
          <w:lang w:val="en-US"/>
        </w:rPr>
        <w:t>). O</w:t>
      </w:r>
      <w:r w:rsidR="008A22D7" w:rsidRPr="008A22D7">
        <w:rPr>
          <w:rFonts w:cs="Arial"/>
          <w:szCs w:val="18"/>
          <w:lang w:val="en-US"/>
        </w:rPr>
        <w:t>ne of the alternatives to add value to this by-product and contribute to minimizing environmental impacts from its disposal is drying.</w:t>
      </w:r>
      <w:r w:rsidR="00243AA3" w:rsidRPr="00243AA3">
        <w:rPr>
          <w:rFonts w:cs="Arial"/>
          <w:szCs w:val="18"/>
          <w:lang w:val="en-US"/>
        </w:rPr>
        <w:t xml:space="preserve"> </w:t>
      </w:r>
      <w:r w:rsidR="00243AA3" w:rsidRPr="008A22D7">
        <w:rPr>
          <w:rFonts w:cs="Arial"/>
          <w:szCs w:val="18"/>
          <w:lang w:val="en-US"/>
        </w:rPr>
        <w:t>The drying was carried out with forced air circulation at a speed of 2,20 m s</w:t>
      </w:r>
      <w:r w:rsidR="00243AA3" w:rsidRPr="008A22D7">
        <w:rPr>
          <w:rFonts w:cs="Arial"/>
          <w:szCs w:val="18"/>
          <w:vertAlign w:val="superscript"/>
          <w:lang w:val="en-US"/>
        </w:rPr>
        <w:t>-1</w:t>
      </w:r>
      <w:r w:rsidR="00243AA3" w:rsidRPr="008A22D7">
        <w:rPr>
          <w:rFonts w:cs="Arial"/>
          <w:szCs w:val="18"/>
          <w:lang w:val="en-US"/>
        </w:rPr>
        <w:t xml:space="preserve"> and a temperature of 75 ºC, in thicknesses of 3, 4, 5 and 6 mm.</w:t>
      </w:r>
      <w:r w:rsidR="00243AA3" w:rsidRPr="00243AA3">
        <w:rPr>
          <w:rFonts w:cs="Arial"/>
          <w:szCs w:val="18"/>
          <w:lang w:val="en-US"/>
        </w:rPr>
        <w:t xml:space="preserve"> </w:t>
      </w:r>
      <w:r w:rsidR="00243AA3" w:rsidRPr="008A22D7">
        <w:rPr>
          <w:rFonts w:cs="Arial"/>
          <w:szCs w:val="18"/>
          <w:lang w:val="en-US"/>
        </w:rPr>
        <w:t xml:space="preserve">The adjustment of the models to the experimental data was performed with Software </w:t>
      </w:r>
      <w:proofErr w:type="spellStart"/>
      <w:r w:rsidR="00243AA3" w:rsidRPr="008A22D7">
        <w:rPr>
          <w:rFonts w:cs="Arial"/>
          <w:szCs w:val="18"/>
          <w:lang w:val="en-US"/>
        </w:rPr>
        <w:t>Statistica</w:t>
      </w:r>
      <w:proofErr w:type="spellEnd"/>
      <w:r w:rsidR="00243AA3" w:rsidRPr="008A22D7">
        <w:rPr>
          <w:rFonts w:cs="Arial"/>
          <w:szCs w:val="18"/>
          <w:lang w:val="en-US"/>
        </w:rPr>
        <w:t xml:space="preserve"> 10.0. The effective diffusion coefficient, in the order of 10</w:t>
      </w:r>
      <w:r w:rsidR="00243AA3" w:rsidRPr="008A22D7">
        <w:rPr>
          <w:rFonts w:cs="Arial"/>
          <w:szCs w:val="18"/>
          <w:vertAlign w:val="superscript"/>
          <w:lang w:val="en-US"/>
        </w:rPr>
        <w:t>-10</w:t>
      </w:r>
      <w:r w:rsidR="00243AA3" w:rsidRPr="008A22D7">
        <w:rPr>
          <w:rFonts w:cs="Arial"/>
          <w:szCs w:val="18"/>
          <w:lang w:val="en-US"/>
        </w:rPr>
        <w:t xml:space="preserve"> m</w:t>
      </w:r>
      <w:r w:rsidR="00243AA3" w:rsidRPr="008A22D7">
        <w:rPr>
          <w:rFonts w:cs="Arial"/>
          <w:szCs w:val="18"/>
          <w:vertAlign w:val="superscript"/>
          <w:lang w:val="en-US"/>
        </w:rPr>
        <w:t>2</w:t>
      </w:r>
      <w:r w:rsidR="00243AA3" w:rsidRPr="008A22D7">
        <w:rPr>
          <w:rFonts w:cs="Arial"/>
          <w:szCs w:val="18"/>
          <w:lang w:val="en-US"/>
        </w:rPr>
        <w:t xml:space="preserve"> s</w:t>
      </w:r>
      <w:r w:rsidR="00243AA3" w:rsidRPr="008A22D7">
        <w:rPr>
          <w:rFonts w:cs="Arial"/>
          <w:szCs w:val="18"/>
          <w:vertAlign w:val="superscript"/>
          <w:lang w:val="en-US"/>
        </w:rPr>
        <w:t>-1</w:t>
      </w:r>
      <w:r w:rsidR="00243AA3" w:rsidRPr="008A22D7">
        <w:rPr>
          <w:rFonts w:cs="Arial"/>
          <w:szCs w:val="18"/>
          <w:lang w:val="en-US"/>
        </w:rPr>
        <w:t xml:space="preserve">, </w:t>
      </w:r>
      <w:r w:rsidR="00243AA3">
        <w:rPr>
          <w:rFonts w:cs="Arial"/>
          <w:szCs w:val="18"/>
          <w:lang w:val="en-US"/>
        </w:rPr>
        <w:t xml:space="preserve">is adequate and </w:t>
      </w:r>
      <w:r w:rsidR="00243AA3" w:rsidRPr="008A22D7">
        <w:rPr>
          <w:rFonts w:cs="Arial"/>
          <w:szCs w:val="18"/>
          <w:lang w:val="en-US"/>
        </w:rPr>
        <w:t>did not present a significant difference, among the three major thicknesses</w:t>
      </w:r>
      <w:r w:rsidR="00243AA3">
        <w:rPr>
          <w:rFonts w:cs="Arial"/>
          <w:szCs w:val="18"/>
          <w:lang w:val="en-US"/>
        </w:rPr>
        <w:t xml:space="preserve">. Drying </w:t>
      </w:r>
      <w:r w:rsidR="00243AA3" w:rsidRPr="008A22D7">
        <w:rPr>
          <w:rFonts w:cs="Arial"/>
          <w:szCs w:val="18"/>
          <w:lang w:val="en-US"/>
        </w:rPr>
        <w:t xml:space="preserve">parameters of design and operation </w:t>
      </w:r>
      <w:r w:rsidR="00243AA3">
        <w:rPr>
          <w:rFonts w:cs="Arial"/>
          <w:szCs w:val="18"/>
          <w:lang w:val="en-US"/>
        </w:rPr>
        <w:t xml:space="preserve">were analyzed by </w:t>
      </w:r>
      <w:r w:rsidR="00243AA3" w:rsidRPr="008A22D7">
        <w:rPr>
          <w:rFonts w:cs="Arial"/>
          <w:szCs w:val="18"/>
          <w:lang w:val="en-US"/>
        </w:rPr>
        <w:t xml:space="preserve">mathematical models of Page, Lewis and </w:t>
      </w:r>
      <w:proofErr w:type="spellStart"/>
      <w:r w:rsidR="00243AA3" w:rsidRPr="008A22D7">
        <w:rPr>
          <w:rFonts w:cs="Arial"/>
          <w:szCs w:val="18"/>
          <w:lang w:val="en-US"/>
        </w:rPr>
        <w:t>Midilli</w:t>
      </w:r>
      <w:proofErr w:type="spellEnd"/>
      <w:r w:rsidR="00243AA3" w:rsidRPr="008A22D7">
        <w:rPr>
          <w:rFonts w:cs="Arial"/>
          <w:szCs w:val="18"/>
          <w:lang w:val="en-US"/>
        </w:rPr>
        <w:t>, using performance indicators as accuracy (</w:t>
      </w:r>
      <w:proofErr w:type="spellStart"/>
      <w:r w:rsidR="00243AA3" w:rsidRPr="008A22D7">
        <w:rPr>
          <w:rFonts w:cs="Arial"/>
          <w:szCs w:val="18"/>
          <w:lang w:val="en-US"/>
        </w:rPr>
        <w:t>A</w:t>
      </w:r>
      <w:r w:rsidR="00243AA3" w:rsidRPr="008A22D7">
        <w:rPr>
          <w:rFonts w:cs="Arial"/>
          <w:szCs w:val="18"/>
          <w:vertAlign w:val="subscript"/>
          <w:lang w:val="en-US"/>
        </w:rPr>
        <w:t>f</w:t>
      </w:r>
      <w:proofErr w:type="spellEnd"/>
      <w:r w:rsidR="00243AA3" w:rsidRPr="008A22D7">
        <w:rPr>
          <w:rFonts w:cs="Arial"/>
          <w:szCs w:val="18"/>
          <w:lang w:val="en-US"/>
        </w:rPr>
        <w:t>) and noise factors (B</w:t>
      </w:r>
      <w:r w:rsidR="00243AA3" w:rsidRPr="008A22D7">
        <w:rPr>
          <w:rFonts w:cs="Arial"/>
          <w:szCs w:val="18"/>
          <w:vertAlign w:val="subscript"/>
          <w:lang w:val="en-US"/>
        </w:rPr>
        <w:t>f</w:t>
      </w:r>
      <w:r w:rsidR="00243AA3" w:rsidRPr="008A22D7">
        <w:rPr>
          <w:rFonts w:cs="Arial"/>
          <w:szCs w:val="18"/>
          <w:lang w:val="en-US"/>
        </w:rPr>
        <w:t>), mean square error (RMSE) and standard error of prediction (% SEP), associated with each model.</w:t>
      </w:r>
      <w:r w:rsidR="00243AA3">
        <w:rPr>
          <w:rFonts w:cs="Arial"/>
          <w:szCs w:val="18"/>
          <w:lang w:val="en-US"/>
        </w:rPr>
        <w:t xml:space="preserve"> All the models present a good adjustment. </w:t>
      </w:r>
      <w:r w:rsidR="00243AA3" w:rsidRPr="008A22D7">
        <w:rPr>
          <w:rFonts w:cs="Arial"/>
          <w:szCs w:val="18"/>
          <w:lang w:val="en-US"/>
        </w:rPr>
        <w:t xml:space="preserve">Despite the greater accuracy of the </w:t>
      </w:r>
      <w:proofErr w:type="spellStart"/>
      <w:r w:rsidR="00243AA3" w:rsidRPr="008A22D7">
        <w:rPr>
          <w:rFonts w:cs="Arial"/>
          <w:szCs w:val="18"/>
          <w:lang w:val="en-US"/>
        </w:rPr>
        <w:t>Midilli</w:t>
      </w:r>
      <w:proofErr w:type="spellEnd"/>
      <w:r w:rsidR="00243AA3" w:rsidRPr="008A22D7">
        <w:rPr>
          <w:rFonts w:cs="Arial"/>
          <w:szCs w:val="18"/>
          <w:lang w:val="en-US"/>
        </w:rPr>
        <w:t xml:space="preserve"> model, the Page model is considered more appropriate for process purposes, since it is necessary to adjust only two parameters. </w:t>
      </w:r>
    </w:p>
    <w:p w:rsidR="008A22D7" w:rsidRPr="00B57B36" w:rsidRDefault="008A22D7" w:rsidP="008A22D7">
      <w:pPr>
        <w:pStyle w:val="CETHeading1"/>
        <w:rPr>
          <w:lang w:val="en-GB"/>
        </w:rPr>
      </w:pPr>
      <w:r w:rsidRPr="00B57B36">
        <w:rPr>
          <w:lang w:val="en-GB"/>
        </w:rPr>
        <w:t>Introduction</w:t>
      </w:r>
    </w:p>
    <w:p w:rsidR="00274BAE" w:rsidRPr="00D15DA3" w:rsidRDefault="00965479" w:rsidP="002C0542">
      <w:pPr>
        <w:pStyle w:val="CETBodytext"/>
      </w:pPr>
      <w:r>
        <w:rPr>
          <w:rFonts w:cs="Arial"/>
          <w:color w:val="212121"/>
          <w:shd w:val="clear" w:color="auto" w:fill="FFFFFF"/>
        </w:rPr>
        <w:t xml:space="preserve">Brazil stands out as one of the largest producers in the agribusiness </w:t>
      </w:r>
      <w:r w:rsidR="00D15DA3">
        <w:rPr>
          <w:rFonts w:cs="Arial"/>
          <w:color w:val="212121"/>
          <w:shd w:val="clear" w:color="auto" w:fill="FFFFFF"/>
        </w:rPr>
        <w:t>sector</w:t>
      </w:r>
      <w:r>
        <w:rPr>
          <w:rFonts w:cs="Arial"/>
          <w:color w:val="212121"/>
          <w:shd w:val="clear" w:color="auto" w:fill="FFFFFF"/>
        </w:rPr>
        <w:t xml:space="preserve">, with acerola being one of the fruits of growing importance and progressive expansion of the </w:t>
      </w:r>
      <w:r w:rsidR="00D15DA3">
        <w:rPr>
          <w:rFonts w:cs="Arial"/>
          <w:color w:val="212121"/>
          <w:shd w:val="clear" w:color="auto" w:fill="FFFFFF"/>
        </w:rPr>
        <w:t xml:space="preserve">cultivation </w:t>
      </w:r>
      <w:r>
        <w:rPr>
          <w:rFonts w:cs="Arial"/>
          <w:color w:val="212121"/>
          <w:shd w:val="clear" w:color="auto" w:fill="FFFFFF"/>
        </w:rPr>
        <w:t>area, leading the country to the top of the world production ranking</w:t>
      </w:r>
      <w:r w:rsidR="00274BAE" w:rsidRPr="00D15DA3">
        <w:t xml:space="preserve"> (</w:t>
      </w:r>
      <w:proofErr w:type="spellStart"/>
      <w:r w:rsidR="00274BAE" w:rsidRPr="00D15DA3">
        <w:t>M</w:t>
      </w:r>
      <w:r w:rsidR="008A22D7" w:rsidRPr="00D15DA3">
        <w:t>alegori</w:t>
      </w:r>
      <w:proofErr w:type="spellEnd"/>
      <w:r w:rsidR="00274BAE" w:rsidRPr="00D15DA3">
        <w:t xml:space="preserve"> et al., 2017). </w:t>
      </w:r>
    </w:p>
    <w:p w:rsidR="00A91441" w:rsidRDefault="00D15DA3" w:rsidP="002256AC">
      <w:pPr>
        <w:shd w:val="clear" w:color="auto" w:fill="FFFFFF"/>
        <w:tabs>
          <w:tab w:val="clear" w:pos="7100"/>
        </w:tabs>
        <w:spacing w:line="240" w:lineRule="auto"/>
        <w:rPr>
          <w:lang w:val="en-US"/>
        </w:rPr>
      </w:pPr>
      <w:r w:rsidRPr="002256AC">
        <w:rPr>
          <w:rFonts w:cs="Arial"/>
          <w:szCs w:val="18"/>
          <w:shd w:val="clear" w:color="auto" w:fill="FFFFFF"/>
        </w:rPr>
        <w:t>A</w:t>
      </w:r>
      <w:r w:rsidR="00965479" w:rsidRPr="002256AC">
        <w:rPr>
          <w:rFonts w:cs="Arial"/>
          <w:szCs w:val="18"/>
          <w:shd w:val="clear" w:color="auto" w:fill="FFFFFF"/>
        </w:rPr>
        <w:t>cerola (</w:t>
      </w:r>
      <w:r w:rsidR="00965479" w:rsidRPr="002256AC">
        <w:rPr>
          <w:rFonts w:cs="Arial"/>
          <w:i/>
          <w:szCs w:val="18"/>
          <w:shd w:val="clear" w:color="auto" w:fill="FFFFFF"/>
        </w:rPr>
        <w:t xml:space="preserve">Malpighia </w:t>
      </w:r>
      <w:proofErr w:type="spellStart"/>
      <w:r w:rsidR="00965479" w:rsidRPr="002256AC">
        <w:rPr>
          <w:rFonts w:cs="Arial"/>
          <w:i/>
          <w:szCs w:val="18"/>
          <w:shd w:val="clear" w:color="auto" w:fill="FFFFFF"/>
        </w:rPr>
        <w:t>emarginata</w:t>
      </w:r>
      <w:proofErr w:type="spellEnd"/>
      <w:r w:rsidR="00965479" w:rsidRPr="002256AC">
        <w:rPr>
          <w:rFonts w:cs="Arial"/>
          <w:szCs w:val="18"/>
          <w:shd w:val="clear" w:color="auto" w:fill="FFFFFF"/>
        </w:rPr>
        <w:t xml:space="preserve">), also </w:t>
      </w:r>
      <w:r w:rsidRPr="002256AC">
        <w:rPr>
          <w:rFonts w:cs="Arial"/>
          <w:szCs w:val="18"/>
          <w:shd w:val="clear" w:color="auto" w:fill="FFFFFF"/>
        </w:rPr>
        <w:t>known as</w:t>
      </w:r>
      <w:r w:rsidR="00965479" w:rsidRPr="002256AC">
        <w:rPr>
          <w:rFonts w:cs="Arial"/>
          <w:szCs w:val="18"/>
          <w:shd w:val="clear" w:color="auto" w:fill="FFFFFF"/>
        </w:rPr>
        <w:t xml:space="preserve"> Antillean cherry</w:t>
      </w:r>
      <w:r w:rsidRPr="002256AC">
        <w:rPr>
          <w:rFonts w:cs="Arial"/>
          <w:szCs w:val="18"/>
          <w:shd w:val="clear" w:color="auto" w:fill="FFFFFF"/>
        </w:rPr>
        <w:t>, West-Indian cherry</w:t>
      </w:r>
      <w:r w:rsidR="00965479" w:rsidRPr="002256AC">
        <w:rPr>
          <w:rFonts w:cs="Arial"/>
          <w:szCs w:val="18"/>
          <w:shd w:val="clear" w:color="auto" w:fill="FFFFFF"/>
        </w:rPr>
        <w:t xml:space="preserve"> or Barbados cherry</w:t>
      </w:r>
      <w:r w:rsidR="00274BAE" w:rsidRPr="002256AC">
        <w:rPr>
          <w:szCs w:val="18"/>
          <w:lang w:val="en-US"/>
        </w:rPr>
        <w:t>,</w:t>
      </w:r>
      <w:r w:rsidR="00D330EE">
        <w:rPr>
          <w:szCs w:val="18"/>
          <w:lang w:val="en-US"/>
        </w:rPr>
        <w:t xml:space="preserve"> </w:t>
      </w:r>
      <w:r w:rsidR="00F37746" w:rsidRPr="002256AC">
        <w:rPr>
          <w:rFonts w:cs="Arial"/>
          <w:szCs w:val="18"/>
          <w:shd w:val="clear" w:color="auto" w:fill="FFFFFF"/>
        </w:rPr>
        <w:t xml:space="preserve">is a </w:t>
      </w:r>
      <w:r w:rsidR="002256AC" w:rsidRPr="002256AC">
        <w:rPr>
          <w:szCs w:val="18"/>
        </w:rPr>
        <w:t>fruit native to Central</w:t>
      </w:r>
      <w:r w:rsidR="00D330EE">
        <w:rPr>
          <w:szCs w:val="18"/>
        </w:rPr>
        <w:t xml:space="preserve"> </w:t>
      </w:r>
      <w:r w:rsidR="002256AC" w:rsidRPr="002256AC">
        <w:rPr>
          <w:szCs w:val="18"/>
        </w:rPr>
        <w:t>America</w:t>
      </w:r>
      <w:r w:rsidR="002256AC">
        <w:rPr>
          <w:szCs w:val="18"/>
        </w:rPr>
        <w:t xml:space="preserve">, </w:t>
      </w:r>
      <w:r w:rsidR="002256AC" w:rsidRPr="002256AC">
        <w:rPr>
          <w:szCs w:val="18"/>
        </w:rPr>
        <w:t>Northern South Americ</w:t>
      </w:r>
      <w:r w:rsidR="002256AC">
        <w:rPr>
          <w:szCs w:val="18"/>
        </w:rPr>
        <w:t xml:space="preserve">a </w:t>
      </w:r>
      <w:r w:rsidR="00F37746" w:rsidRPr="002256AC">
        <w:rPr>
          <w:rFonts w:cs="Arial"/>
          <w:szCs w:val="18"/>
          <w:shd w:val="clear" w:color="auto" w:fill="FFFFFF"/>
        </w:rPr>
        <w:t>and the Antilles</w:t>
      </w:r>
      <w:r w:rsidR="00D330EE">
        <w:rPr>
          <w:rFonts w:cs="Arial"/>
          <w:szCs w:val="18"/>
          <w:shd w:val="clear" w:color="auto" w:fill="FFFFFF"/>
        </w:rPr>
        <w:t xml:space="preserve"> </w:t>
      </w:r>
      <w:r w:rsidR="00274BAE" w:rsidRPr="002256AC">
        <w:rPr>
          <w:szCs w:val="18"/>
          <w:lang w:val="en-US"/>
        </w:rPr>
        <w:t>(R</w:t>
      </w:r>
      <w:r w:rsidR="008A22D7" w:rsidRPr="002256AC">
        <w:rPr>
          <w:szCs w:val="18"/>
          <w:lang w:val="en-US"/>
        </w:rPr>
        <w:t>ezende</w:t>
      </w:r>
      <w:r w:rsidR="00274BAE" w:rsidRPr="002256AC">
        <w:rPr>
          <w:szCs w:val="18"/>
          <w:lang w:val="en-US"/>
        </w:rPr>
        <w:t xml:space="preserve"> et al., 2017)</w:t>
      </w:r>
      <w:r w:rsidR="002256AC">
        <w:rPr>
          <w:szCs w:val="18"/>
          <w:lang w:val="en-US"/>
        </w:rPr>
        <w:t>. T</w:t>
      </w:r>
      <w:r w:rsidR="00F37746" w:rsidRPr="002256AC">
        <w:rPr>
          <w:szCs w:val="18"/>
          <w:lang w:val="en-US"/>
        </w:rPr>
        <w:t xml:space="preserve">he economic interest in its culture is mainly due to its high amount of vitamin </w:t>
      </w:r>
      <w:r w:rsidR="00274BAE" w:rsidRPr="002256AC">
        <w:rPr>
          <w:szCs w:val="18"/>
          <w:lang w:val="en-US"/>
        </w:rPr>
        <w:t xml:space="preserve">(695 a 4827 </w:t>
      </w:r>
      <w:r w:rsidR="00274BAE" w:rsidRPr="00E6491E">
        <w:rPr>
          <w:szCs w:val="18"/>
          <w:lang w:val="en-US"/>
        </w:rPr>
        <w:t>mg</w:t>
      </w:r>
      <w:r w:rsidR="00C74AC5" w:rsidRPr="00E6491E">
        <w:rPr>
          <w:szCs w:val="18"/>
          <w:lang w:val="en-US"/>
        </w:rPr>
        <w:t xml:space="preserve"> 0.01</w:t>
      </w:r>
      <w:r w:rsidR="00274BAE" w:rsidRPr="00E6491E">
        <w:rPr>
          <w:szCs w:val="18"/>
          <w:lang w:val="en-US"/>
        </w:rPr>
        <w:t xml:space="preserve"> g</w:t>
      </w:r>
      <w:r w:rsidR="00831406" w:rsidRPr="00E6491E">
        <w:rPr>
          <w:szCs w:val="18"/>
          <w:vertAlign w:val="superscript"/>
          <w:lang w:val="en-US"/>
        </w:rPr>
        <w:t>-1</w:t>
      </w:r>
      <w:r w:rsidR="00274BAE" w:rsidRPr="002256AC">
        <w:rPr>
          <w:szCs w:val="18"/>
          <w:lang w:val="en-US"/>
        </w:rPr>
        <w:t>),</w:t>
      </w:r>
      <w:r w:rsidR="00D330EE">
        <w:rPr>
          <w:szCs w:val="18"/>
          <w:lang w:val="en-US"/>
        </w:rPr>
        <w:t xml:space="preserve"> </w:t>
      </w:r>
      <w:r w:rsidR="0087392B" w:rsidRPr="002256AC">
        <w:rPr>
          <w:szCs w:val="18"/>
          <w:lang w:val="en-US"/>
        </w:rPr>
        <w:t>also presenting high levels of other antioxidants, such as carotenoids,</w:t>
      </w:r>
      <w:r w:rsidR="001E26EA">
        <w:rPr>
          <w:szCs w:val="18"/>
          <w:lang w:val="en-US"/>
        </w:rPr>
        <w:t xml:space="preserve"> </w:t>
      </w:r>
      <w:r w:rsidR="002256AC">
        <w:rPr>
          <w:lang w:val="en-US"/>
        </w:rPr>
        <w:t>bio</w:t>
      </w:r>
      <w:r w:rsidR="0087392B" w:rsidRPr="00D15DA3">
        <w:rPr>
          <w:lang w:val="en-US"/>
        </w:rPr>
        <w:t>flavonoids, anthocyanins and phenolics</w:t>
      </w:r>
      <w:r w:rsidR="002256AC">
        <w:rPr>
          <w:lang w:val="en-US"/>
        </w:rPr>
        <w:t xml:space="preserve"> compounds</w:t>
      </w:r>
      <w:r w:rsidR="00D330EE">
        <w:rPr>
          <w:lang w:val="en-US"/>
        </w:rPr>
        <w:t xml:space="preserve"> </w:t>
      </w:r>
      <w:r w:rsidR="00274BAE" w:rsidRPr="00D15DA3">
        <w:rPr>
          <w:lang w:val="en-US"/>
        </w:rPr>
        <w:t>(</w:t>
      </w:r>
      <w:proofErr w:type="spellStart"/>
      <w:r w:rsidR="00A91441" w:rsidRPr="00D15DA3">
        <w:rPr>
          <w:lang w:val="en-US"/>
        </w:rPr>
        <w:t>Mezadri</w:t>
      </w:r>
      <w:proofErr w:type="spellEnd"/>
      <w:r w:rsidR="00A91441" w:rsidRPr="00D15DA3">
        <w:rPr>
          <w:lang w:val="en-US"/>
        </w:rPr>
        <w:t xml:space="preserve"> et al., 2008; </w:t>
      </w:r>
      <w:r w:rsidR="00274BAE" w:rsidRPr="00D15DA3">
        <w:rPr>
          <w:lang w:val="en-US"/>
        </w:rPr>
        <w:t>R</w:t>
      </w:r>
      <w:r w:rsidR="008A22D7" w:rsidRPr="00D15DA3">
        <w:rPr>
          <w:lang w:val="en-US"/>
        </w:rPr>
        <w:t>ezende</w:t>
      </w:r>
      <w:r w:rsidR="00274BAE" w:rsidRPr="00D15DA3">
        <w:rPr>
          <w:lang w:val="en-US"/>
        </w:rPr>
        <w:t xml:space="preserve"> et al., 2018). </w:t>
      </w:r>
    </w:p>
    <w:p w:rsidR="00831406" w:rsidRPr="00D15DA3" w:rsidRDefault="002256AC" w:rsidP="002C0542">
      <w:pPr>
        <w:pStyle w:val="CETBodytext"/>
      </w:pPr>
      <w:r w:rsidRPr="002256AC">
        <w:rPr>
          <w:rFonts w:cs="Arial"/>
        </w:rPr>
        <w:t xml:space="preserve">The fruits of the acerola are industrially processed into juices and pulps, food supplements and pharmaceutical </w:t>
      </w:r>
      <w:r w:rsidR="00272AB3">
        <w:rPr>
          <w:rFonts w:cs="Arial"/>
        </w:rPr>
        <w:t>products</w:t>
      </w:r>
      <w:r w:rsidR="00D330EE">
        <w:rPr>
          <w:rFonts w:cs="Arial"/>
        </w:rPr>
        <w:t xml:space="preserve"> </w:t>
      </w:r>
      <w:r w:rsidR="00274BAE" w:rsidRPr="002256AC">
        <w:rPr>
          <w:rFonts w:cs="Arial"/>
        </w:rPr>
        <w:t>(A</w:t>
      </w:r>
      <w:r w:rsidR="008A22D7" w:rsidRPr="002256AC">
        <w:rPr>
          <w:rFonts w:cs="Arial"/>
        </w:rPr>
        <w:t>lmeida</w:t>
      </w:r>
      <w:r w:rsidR="00274BAE" w:rsidRPr="002256AC">
        <w:rPr>
          <w:rFonts w:cs="Arial"/>
        </w:rPr>
        <w:t xml:space="preserve"> et al., 2014), </w:t>
      </w:r>
      <w:r w:rsidR="0087392B" w:rsidRPr="002256AC">
        <w:rPr>
          <w:rFonts w:cs="Arial"/>
        </w:rPr>
        <w:t>serving multiple markets, which adds even more value to acerola's fruit</w:t>
      </w:r>
      <w:r w:rsidR="0087392B" w:rsidRPr="002256AC">
        <w:t xml:space="preserve"> growing, increasing its demand</w:t>
      </w:r>
      <w:r w:rsidR="00274BAE" w:rsidRPr="002256AC">
        <w:t>.</w:t>
      </w:r>
      <w:r w:rsidR="00D330EE">
        <w:t xml:space="preserve"> </w:t>
      </w:r>
      <w:r w:rsidR="00571E0F" w:rsidRPr="00D15DA3">
        <w:t xml:space="preserve">In this context, with the increase of production due to the improvement of industrial processing techniques, an enormous amount of organic waste is generated in </w:t>
      </w:r>
      <w:r w:rsidR="005C7438">
        <w:t>concomitantly</w:t>
      </w:r>
      <w:r w:rsidR="00571E0F" w:rsidRPr="00D15DA3">
        <w:t xml:space="preserve">, approximately 40% of the volume of fruit used </w:t>
      </w:r>
      <w:r w:rsidR="00274BAE" w:rsidRPr="00D15DA3">
        <w:t>(</w:t>
      </w:r>
      <w:proofErr w:type="spellStart"/>
      <w:r w:rsidR="00274BAE" w:rsidRPr="00D15DA3">
        <w:t>D</w:t>
      </w:r>
      <w:r w:rsidR="008A22D7" w:rsidRPr="00D15DA3">
        <w:t>uzionni</w:t>
      </w:r>
      <w:proofErr w:type="spellEnd"/>
      <w:r w:rsidR="00274BAE" w:rsidRPr="00D15DA3">
        <w:t xml:space="preserve"> et al., 2013), </w:t>
      </w:r>
      <w:r w:rsidR="00571E0F" w:rsidRPr="00D15DA3">
        <w:t xml:space="preserve">composed basically of bagasse, </w:t>
      </w:r>
      <w:r w:rsidR="00272AB3">
        <w:t>kernels</w:t>
      </w:r>
      <w:r w:rsidR="00571E0F" w:rsidRPr="00D15DA3">
        <w:t xml:space="preserve"> and seeds, which are generally rejected because they are considered of no commercial value and can generate a series of environmental problems when they are improperly discarded </w:t>
      </w:r>
      <w:r w:rsidR="00274BAE" w:rsidRPr="00D15DA3">
        <w:t>(</w:t>
      </w:r>
      <w:proofErr w:type="spellStart"/>
      <w:r w:rsidR="00274BAE" w:rsidRPr="00D15DA3">
        <w:t>N</w:t>
      </w:r>
      <w:r w:rsidR="008A22D7" w:rsidRPr="00D15DA3">
        <w:t>óbrega</w:t>
      </w:r>
      <w:proofErr w:type="spellEnd"/>
      <w:r w:rsidR="00274BAE" w:rsidRPr="00D15DA3">
        <w:t xml:space="preserve"> et al., 2015). </w:t>
      </w:r>
    </w:p>
    <w:p w:rsidR="00831406" w:rsidRPr="00D15DA3" w:rsidRDefault="00571E0F" w:rsidP="002C0542">
      <w:pPr>
        <w:pStyle w:val="CETBodytext"/>
      </w:pPr>
      <w:r w:rsidRPr="00D15DA3">
        <w:t>The acerola residue still presents high concentrations of bioactive compounds</w:t>
      </w:r>
      <w:r w:rsidR="00274BAE" w:rsidRPr="00D15DA3">
        <w:t xml:space="preserve">, </w:t>
      </w:r>
      <w:r w:rsidRPr="00D15DA3">
        <w:t xml:space="preserve">as well as fruit pulp </w:t>
      </w:r>
      <w:r w:rsidR="00274BAE" w:rsidRPr="00D15DA3">
        <w:t>(R</w:t>
      </w:r>
      <w:r w:rsidR="008A22D7" w:rsidRPr="00D15DA3">
        <w:t>ezende</w:t>
      </w:r>
      <w:r w:rsidR="00274BAE" w:rsidRPr="00D15DA3">
        <w:t xml:space="preserve"> et al., 2017) </w:t>
      </w:r>
      <w:r w:rsidRPr="00D15DA3">
        <w:t xml:space="preserve">and their non-reuse represents a loss of raw material and energy, since they present enormous potential for applications such as food supplements </w:t>
      </w:r>
      <w:r w:rsidR="00274BAE" w:rsidRPr="00D15DA3">
        <w:t>(S</w:t>
      </w:r>
      <w:r w:rsidR="008A22D7" w:rsidRPr="00D15DA3">
        <w:t>ancho</w:t>
      </w:r>
      <w:r w:rsidR="00274BAE" w:rsidRPr="00D15DA3">
        <w:t xml:space="preserve"> et al., 2015).</w:t>
      </w:r>
      <w:r w:rsidRPr="00D15DA3">
        <w:t xml:space="preserve">They may also contain more than 80% </w:t>
      </w:r>
      <w:r w:rsidR="00456DC8">
        <w:t>of water</w:t>
      </w:r>
      <w:r w:rsidR="00274BAE" w:rsidRPr="00D15DA3">
        <w:t xml:space="preserve"> (S</w:t>
      </w:r>
      <w:r w:rsidR="008A22D7" w:rsidRPr="00D15DA3">
        <w:t>ilva</w:t>
      </w:r>
      <w:r w:rsidR="00274BAE" w:rsidRPr="00D15DA3">
        <w:t xml:space="preserve"> et al., 2016), </w:t>
      </w:r>
      <w:r w:rsidRPr="00D15DA3">
        <w:t xml:space="preserve">which allows the occurrence of undesirable biochemical reactions that cause the degradation of the material, </w:t>
      </w:r>
      <w:r w:rsidR="00456DC8">
        <w:t xml:space="preserve">limiting their shelf life, </w:t>
      </w:r>
      <w:r w:rsidRPr="00D15DA3">
        <w:t>besides allowing microbiological contamination</w:t>
      </w:r>
      <w:r w:rsidR="00274BAE" w:rsidRPr="00D15DA3">
        <w:t xml:space="preserve">. </w:t>
      </w:r>
    </w:p>
    <w:p w:rsidR="00274BAE" w:rsidRDefault="00571E0F" w:rsidP="002C0542">
      <w:pPr>
        <w:pStyle w:val="CETBodytext"/>
      </w:pPr>
      <w:r w:rsidRPr="00D15DA3">
        <w:lastRenderedPageBreak/>
        <w:t xml:space="preserve">Aiming at a better possible alternative for the reuse of these wastes, it is necessary to subject them to a dehydration process </w:t>
      </w:r>
      <w:r w:rsidR="00274BAE" w:rsidRPr="00D15DA3">
        <w:t>(</w:t>
      </w:r>
      <w:proofErr w:type="spellStart"/>
      <w:r w:rsidR="00274BAE" w:rsidRPr="00D15DA3">
        <w:t>S</w:t>
      </w:r>
      <w:r w:rsidR="008A22D7" w:rsidRPr="00D15DA3">
        <w:t>anmartin</w:t>
      </w:r>
      <w:proofErr w:type="spellEnd"/>
      <w:r w:rsidR="00274BAE" w:rsidRPr="00D15DA3">
        <w:t xml:space="preserve"> et al., 2017). </w:t>
      </w:r>
    </w:p>
    <w:p w:rsidR="00274BAE" w:rsidRPr="00D15DA3" w:rsidRDefault="006406E6" w:rsidP="006406E6">
      <w:pPr>
        <w:pStyle w:val="CETBodytext"/>
      </w:pPr>
      <w:r w:rsidRPr="00E6491E">
        <w:t xml:space="preserve">According to Ranganathan et al. (2015), the drying kinetics study allows, through empirical equations and measures such as drying rate, moisture content, temperature and drying time, to predict the drying parameters and behavior of the materials under other conditions, describing the phenomenon of unified form, independently of the control mechanisms. The use of mathematical modeling in the process kinetics </w:t>
      </w:r>
      <w:r w:rsidR="005550D8" w:rsidRPr="00E6491E">
        <w:t xml:space="preserve">allows to estimate </w:t>
      </w:r>
      <w:r w:rsidR="00EB221E" w:rsidRPr="00E6491E">
        <w:t>parameters that significantly</w:t>
      </w:r>
      <w:r w:rsidR="00EB221E" w:rsidRPr="00D15DA3">
        <w:t xml:space="preserve"> influence the </w:t>
      </w:r>
      <w:r w:rsidR="005C7438">
        <w:t xml:space="preserve">operational </w:t>
      </w:r>
      <w:r w:rsidR="00EB221E" w:rsidRPr="00D15DA3">
        <w:t>energy cost, such as the</w:t>
      </w:r>
      <w:r w:rsidR="005C7438">
        <w:t xml:space="preserve"> batch</w:t>
      </w:r>
      <w:r w:rsidR="00EB221E" w:rsidRPr="00D15DA3">
        <w:t xml:space="preserve"> drying time.</w:t>
      </w:r>
      <w:r w:rsidR="00D330EE">
        <w:t xml:space="preserve"> </w:t>
      </w:r>
      <w:r w:rsidR="00EB221E" w:rsidRPr="00D15DA3">
        <w:t xml:space="preserve">These models are based on laws of heat transfer and mass, such as Newton's cooling law, considering the external resistance to the transport of moisture between the material and atmospheric air, thus providing a greater extension of accurate results. The semi-theoretical models of Lewis, Page and </w:t>
      </w:r>
      <w:proofErr w:type="spellStart"/>
      <w:r w:rsidR="00EB221E" w:rsidRPr="00D15DA3">
        <w:t>Midilli</w:t>
      </w:r>
      <w:proofErr w:type="spellEnd"/>
      <w:r w:rsidR="00EB221E" w:rsidRPr="00D15DA3">
        <w:t xml:space="preserve"> are some of the most widely used</w:t>
      </w:r>
      <w:r w:rsidR="00274BAE" w:rsidRPr="00D15DA3">
        <w:t xml:space="preserve"> (</w:t>
      </w:r>
      <w:proofErr w:type="spellStart"/>
      <w:r w:rsidR="00274BAE" w:rsidRPr="00D15DA3">
        <w:t>O</w:t>
      </w:r>
      <w:r w:rsidR="008A22D7" w:rsidRPr="00D15DA3">
        <w:t>nwude</w:t>
      </w:r>
      <w:proofErr w:type="spellEnd"/>
      <w:r w:rsidR="00274BAE" w:rsidRPr="00D15DA3">
        <w:t xml:space="preserve"> et al., 2016).</w:t>
      </w:r>
    </w:p>
    <w:p w:rsidR="00274BAE" w:rsidRPr="00D15DA3" w:rsidRDefault="00DB43F5" w:rsidP="00DB43F5">
      <w:pPr>
        <w:pStyle w:val="CETBodytext"/>
      </w:pPr>
      <w:r w:rsidRPr="00D15DA3">
        <w:t xml:space="preserve">The validation of the models used is </w:t>
      </w:r>
      <w:r w:rsidR="00E31141">
        <w:t xml:space="preserve">performed </w:t>
      </w:r>
      <w:proofErr w:type="gramStart"/>
      <w:r w:rsidR="00E31141">
        <w:t>t</w:t>
      </w:r>
      <w:r w:rsidR="00456DC8">
        <w:t xml:space="preserve">hrough the use </w:t>
      </w:r>
      <w:r w:rsidRPr="00456DC8">
        <w:t>of</w:t>
      </w:r>
      <w:proofErr w:type="gramEnd"/>
      <w:r w:rsidRPr="00D15DA3">
        <w:t xml:space="preserve"> statistical indicators, which evaluate the ability of each to fit the experimental data, attesting its effectiveness in providing an adequate prediction of the behavior of the drying process (S</w:t>
      </w:r>
      <w:r w:rsidR="005550D8" w:rsidRPr="00D15DA3">
        <w:t>oares</w:t>
      </w:r>
      <w:r w:rsidRPr="00D15DA3">
        <w:t>, 2014)</w:t>
      </w:r>
      <w:r w:rsidR="00274BAE" w:rsidRPr="00D15DA3">
        <w:t xml:space="preserve">. </w:t>
      </w:r>
    </w:p>
    <w:p w:rsidR="009B5FC0" w:rsidRPr="00D15DA3" w:rsidRDefault="009B5FC0" w:rsidP="002C0542">
      <w:pPr>
        <w:pStyle w:val="CETBodytext"/>
      </w:pPr>
      <w:r w:rsidRPr="00D15DA3">
        <w:t xml:space="preserve">As a way to understand this process and to determine the important parameters of design and operation of the dryer, this study aimed to analyze the mathematical models of Page, Lewis and </w:t>
      </w:r>
      <w:proofErr w:type="spellStart"/>
      <w:r w:rsidRPr="00D15DA3">
        <w:t>Midilli</w:t>
      </w:r>
      <w:proofErr w:type="spellEnd"/>
      <w:r w:rsidRPr="00D15DA3">
        <w:t xml:space="preserve"> </w:t>
      </w:r>
      <w:r w:rsidRPr="00E6491E">
        <w:t xml:space="preserve">to indicate what best suits conditions of convective drying in different </w:t>
      </w:r>
      <w:r w:rsidR="005550D8" w:rsidRPr="00E6491E">
        <w:t xml:space="preserve">layer residues </w:t>
      </w:r>
      <w:r w:rsidRPr="00E6491E">
        <w:t>thicknesses</w:t>
      </w:r>
      <w:r w:rsidRPr="00D15DA3">
        <w:t>, with the aid of performance indicators</w:t>
      </w:r>
      <w:r w:rsidR="00E31141">
        <w:t>:</w:t>
      </w:r>
      <w:r w:rsidRPr="00D15DA3">
        <w:t xml:space="preserve"> mean square error (RMSE), standard error of prediction (% SEP), factor of bias (B</w:t>
      </w:r>
      <w:r w:rsidRPr="00D15DA3">
        <w:rPr>
          <w:vertAlign w:val="subscript"/>
        </w:rPr>
        <w:t>f</w:t>
      </w:r>
      <w:r w:rsidRPr="00D15DA3">
        <w:t>) and factor of precision (</w:t>
      </w:r>
      <w:proofErr w:type="spellStart"/>
      <w:r w:rsidRPr="00D15DA3">
        <w:t>A</w:t>
      </w:r>
      <w:r w:rsidRPr="00D15DA3">
        <w:rPr>
          <w:vertAlign w:val="subscript"/>
        </w:rPr>
        <w:t>f</w:t>
      </w:r>
      <w:proofErr w:type="spellEnd"/>
      <w:r w:rsidRPr="00D15DA3">
        <w:t>), associated with each model.</w:t>
      </w:r>
    </w:p>
    <w:p w:rsidR="008A22D7" w:rsidRPr="00B57B36" w:rsidRDefault="008A22D7" w:rsidP="008A22D7">
      <w:pPr>
        <w:pStyle w:val="CETHeading1"/>
        <w:rPr>
          <w:lang w:val="en-GB"/>
        </w:rPr>
      </w:pPr>
      <w:r>
        <w:rPr>
          <w:lang w:val="en-GB"/>
        </w:rPr>
        <w:t>Methodology</w:t>
      </w:r>
    </w:p>
    <w:p w:rsidR="00456DC8" w:rsidRPr="00D15DA3" w:rsidRDefault="006F160F" w:rsidP="007E507D">
      <w:pPr>
        <w:pStyle w:val="CETBodytext"/>
        <w:rPr>
          <w:lang w:eastAsia="pt-BR"/>
        </w:rPr>
      </w:pPr>
      <w:r w:rsidRPr="00D15DA3">
        <w:rPr>
          <w:szCs w:val="18"/>
        </w:rPr>
        <w:tab/>
      </w:r>
      <w:r w:rsidR="007E507D" w:rsidRPr="007E507D">
        <w:rPr>
          <w:lang w:eastAsia="pt-BR"/>
        </w:rPr>
        <w:t xml:space="preserve">The study was developed at the Laboratory of Innovation in Drying (LIS) of the Food Technology </w:t>
      </w:r>
      <w:r w:rsidR="00456DC8" w:rsidRPr="007E507D">
        <w:rPr>
          <w:lang w:eastAsia="pt-BR"/>
        </w:rPr>
        <w:t>Department</w:t>
      </w:r>
      <w:r w:rsidR="00E31141">
        <w:rPr>
          <w:lang w:eastAsia="pt-BR"/>
        </w:rPr>
        <w:t xml:space="preserve"> </w:t>
      </w:r>
      <w:r w:rsidR="00456DC8">
        <w:rPr>
          <w:lang w:eastAsia="pt-BR"/>
        </w:rPr>
        <w:t>at</w:t>
      </w:r>
      <w:r w:rsidR="007E507D" w:rsidRPr="007E507D">
        <w:rPr>
          <w:lang w:eastAsia="pt-BR"/>
        </w:rPr>
        <w:t xml:space="preserve"> Federal University of Sergipe, in São </w:t>
      </w:r>
      <w:proofErr w:type="spellStart"/>
      <w:r w:rsidR="007E507D" w:rsidRPr="007E507D">
        <w:rPr>
          <w:lang w:eastAsia="pt-BR"/>
        </w:rPr>
        <w:t>Cristóvão</w:t>
      </w:r>
      <w:proofErr w:type="spellEnd"/>
      <w:r w:rsidR="007E507D" w:rsidRPr="007E507D">
        <w:rPr>
          <w:lang w:eastAsia="pt-BR"/>
        </w:rPr>
        <w:t xml:space="preserve">, Sergipe, Brazil. </w:t>
      </w:r>
      <w:r w:rsidR="00456DC8">
        <w:rPr>
          <w:lang w:eastAsia="pt-BR"/>
        </w:rPr>
        <w:t>T</w:t>
      </w:r>
      <w:r w:rsidR="00456DC8">
        <w:t xml:space="preserve">he residues of </w:t>
      </w:r>
      <w:r w:rsidR="00D36407">
        <w:t xml:space="preserve">green </w:t>
      </w:r>
      <w:r w:rsidR="00456DC8">
        <w:t>acerola used in the experiments came from</w:t>
      </w:r>
      <w:r w:rsidR="00E31141">
        <w:t xml:space="preserve"> </w:t>
      </w:r>
      <w:proofErr w:type="spellStart"/>
      <w:r w:rsidR="00456DC8">
        <w:t>Duas</w:t>
      </w:r>
      <w:proofErr w:type="spellEnd"/>
      <w:r w:rsidR="00E31141">
        <w:t xml:space="preserve"> </w:t>
      </w:r>
      <w:proofErr w:type="spellStart"/>
      <w:r w:rsidR="00456DC8">
        <w:t>Rodas</w:t>
      </w:r>
      <w:proofErr w:type="spellEnd"/>
      <w:r w:rsidR="00E31141">
        <w:t xml:space="preserve"> Industry</w:t>
      </w:r>
      <w:r w:rsidR="00456DC8">
        <w:t xml:space="preserve">, a fruit processing company located in </w:t>
      </w:r>
      <w:r w:rsidR="00456DC8" w:rsidRPr="00456DC8">
        <w:t>in the municipality of</w:t>
      </w:r>
      <w:r w:rsidR="00E31141">
        <w:t xml:space="preserve"> </w:t>
      </w:r>
      <w:proofErr w:type="spellStart"/>
      <w:r w:rsidR="00456DC8">
        <w:t>Estância</w:t>
      </w:r>
      <w:proofErr w:type="spellEnd"/>
      <w:r w:rsidR="00456DC8">
        <w:t>, Sergipe</w:t>
      </w:r>
      <w:r w:rsidR="007A7C10">
        <w:t>.</w:t>
      </w:r>
    </w:p>
    <w:p w:rsidR="007E507D" w:rsidRPr="00D15DA3" w:rsidRDefault="007E507D" w:rsidP="007E507D">
      <w:pPr>
        <w:rPr>
          <w:szCs w:val="18"/>
          <w:lang w:val="en-US"/>
        </w:rPr>
      </w:pPr>
      <w:r w:rsidRPr="00D15DA3">
        <w:rPr>
          <w:szCs w:val="18"/>
          <w:lang w:val="en-US"/>
        </w:rPr>
        <w:t xml:space="preserve">The </w:t>
      </w:r>
      <w:r w:rsidR="007A7C10">
        <w:rPr>
          <w:szCs w:val="18"/>
          <w:lang w:val="en-US"/>
        </w:rPr>
        <w:t>residue</w:t>
      </w:r>
      <w:r w:rsidRPr="00D15DA3">
        <w:rPr>
          <w:szCs w:val="18"/>
          <w:lang w:val="en-US"/>
        </w:rPr>
        <w:t xml:space="preserve"> was obtained </w:t>
      </w:r>
      <w:r w:rsidR="007A7C10">
        <w:rPr>
          <w:szCs w:val="18"/>
          <w:lang w:val="en-US"/>
        </w:rPr>
        <w:t xml:space="preserve">after the industrial processing, </w:t>
      </w:r>
      <w:r w:rsidRPr="00D15DA3">
        <w:rPr>
          <w:szCs w:val="18"/>
          <w:lang w:val="en-US"/>
        </w:rPr>
        <w:t>frozen</w:t>
      </w:r>
      <w:r w:rsidR="007A7C10">
        <w:rPr>
          <w:szCs w:val="18"/>
          <w:lang w:val="en-US"/>
        </w:rPr>
        <w:t xml:space="preserve"> immediately</w:t>
      </w:r>
      <w:r w:rsidRPr="00D15DA3">
        <w:rPr>
          <w:szCs w:val="18"/>
          <w:lang w:val="en-US"/>
        </w:rPr>
        <w:t xml:space="preserve"> in 10 kg containers</w:t>
      </w:r>
      <w:r w:rsidR="007A7C10">
        <w:rPr>
          <w:szCs w:val="18"/>
          <w:lang w:val="en-US"/>
        </w:rPr>
        <w:t xml:space="preserve">, </w:t>
      </w:r>
      <w:r w:rsidRPr="00D15DA3">
        <w:rPr>
          <w:szCs w:val="18"/>
          <w:lang w:val="en-US"/>
        </w:rPr>
        <w:t>and</w:t>
      </w:r>
      <w:r w:rsidR="00E31141">
        <w:rPr>
          <w:szCs w:val="18"/>
          <w:lang w:val="en-US"/>
        </w:rPr>
        <w:t xml:space="preserve"> </w:t>
      </w:r>
      <w:r w:rsidR="007A7C10" w:rsidRPr="007A7C10">
        <w:rPr>
          <w:szCs w:val="18"/>
          <w:lang w:val="en-US"/>
        </w:rPr>
        <w:t>transported to the laboratory</w:t>
      </w:r>
      <w:r w:rsidR="007A7C10">
        <w:rPr>
          <w:szCs w:val="18"/>
          <w:lang w:val="en-US"/>
        </w:rPr>
        <w:t>, where</w:t>
      </w:r>
      <w:r w:rsidR="00E31141">
        <w:rPr>
          <w:szCs w:val="18"/>
          <w:lang w:val="en-US"/>
        </w:rPr>
        <w:t xml:space="preserve"> </w:t>
      </w:r>
      <w:r w:rsidR="007A7C10">
        <w:rPr>
          <w:szCs w:val="18"/>
          <w:lang w:val="en-US"/>
        </w:rPr>
        <w:t xml:space="preserve">it </w:t>
      </w:r>
      <w:r w:rsidRPr="00D15DA3">
        <w:rPr>
          <w:szCs w:val="18"/>
          <w:lang w:val="en-US"/>
        </w:rPr>
        <w:t>was separated into small batches</w:t>
      </w:r>
      <w:r w:rsidR="007A7C10">
        <w:rPr>
          <w:szCs w:val="18"/>
          <w:lang w:val="en-US"/>
        </w:rPr>
        <w:t>.</w:t>
      </w:r>
    </w:p>
    <w:p w:rsidR="007E507D" w:rsidRPr="00D15DA3" w:rsidRDefault="007E507D" w:rsidP="007E507D">
      <w:pPr>
        <w:pStyle w:val="PargrafodaLista"/>
        <w:ind w:left="0"/>
        <w:contextualSpacing w:val="0"/>
        <w:rPr>
          <w:szCs w:val="18"/>
          <w:lang w:val="en-US"/>
        </w:rPr>
      </w:pPr>
      <w:r w:rsidRPr="00D15DA3">
        <w:rPr>
          <w:szCs w:val="18"/>
          <w:lang w:val="en-US"/>
        </w:rPr>
        <w:t xml:space="preserve">To carry out the </w:t>
      </w:r>
      <w:r w:rsidR="007A7C10">
        <w:rPr>
          <w:szCs w:val="18"/>
          <w:lang w:val="en-US"/>
        </w:rPr>
        <w:t>research</w:t>
      </w:r>
      <w:r w:rsidRPr="00D15DA3">
        <w:rPr>
          <w:szCs w:val="18"/>
          <w:lang w:val="en-US"/>
        </w:rPr>
        <w:t xml:space="preserve">, the samples were distributed in pre-weighed plates, their thickness adjusted with </w:t>
      </w:r>
      <w:r w:rsidR="007A7C10">
        <w:rPr>
          <w:szCs w:val="18"/>
          <w:lang w:val="en-US"/>
        </w:rPr>
        <w:t>a pachymeter</w:t>
      </w:r>
      <w:r w:rsidRPr="00D15DA3">
        <w:rPr>
          <w:szCs w:val="18"/>
          <w:lang w:val="en-US"/>
        </w:rPr>
        <w:t xml:space="preserve"> and their masses weighed in analytical balance. The plates were then placed in a dryer (model TE - 394/2) with forced air circulation at a speed of 2.20 m s</w:t>
      </w:r>
      <w:r w:rsidRPr="00D15DA3">
        <w:rPr>
          <w:szCs w:val="18"/>
          <w:vertAlign w:val="superscript"/>
          <w:lang w:val="en-US"/>
        </w:rPr>
        <w:t>-1</w:t>
      </w:r>
      <w:r w:rsidR="007A7C10">
        <w:rPr>
          <w:szCs w:val="18"/>
          <w:lang w:val="en-US"/>
        </w:rPr>
        <w:t xml:space="preserve"> in a </w:t>
      </w:r>
      <w:r w:rsidRPr="00D15DA3">
        <w:rPr>
          <w:szCs w:val="18"/>
          <w:lang w:val="en-US"/>
        </w:rPr>
        <w:t xml:space="preserve">temperature of 75 </w:t>
      </w:r>
      <w:proofErr w:type="gramStart"/>
      <w:r w:rsidRPr="00D15DA3">
        <w:rPr>
          <w:szCs w:val="18"/>
          <w:lang w:val="en-US"/>
        </w:rPr>
        <w:t>ºC</w:t>
      </w:r>
      <w:r w:rsidR="007A7C10">
        <w:rPr>
          <w:szCs w:val="18"/>
          <w:lang w:val="en-US"/>
        </w:rPr>
        <w:t>,</w:t>
      </w:r>
      <w:r w:rsidR="00D330EE">
        <w:rPr>
          <w:szCs w:val="18"/>
          <w:lang w:val="en-US"/>
        </w:rPr>
        <w:t xml:space="preserve"> </w:t>
      </w:r>
      <w:r w:rsidRPr="00D15DA3">
        <w:rPr>
          <w:szCs w:val="18"/>
          <w:lang w:val="en-US"/>
        </w:rPr>
        <w:t>and</w:t>
      </w:r>
      <w:proofErr w:type="gramEnd"/>
      <w:r w:rsidRPr="00D15DA3">
        <w:rPr>
          <w:szCs w:val="18"/>
          <w:lang w:val="en-US"/>
        </w:rPr>
        <w:t xml:space="preserve"> weighed at predefined time intervals up to constant weight. The experiments were performed in duplicate and the thicknesses used were 3, 4, 5 and 6 mm.</w:t>
      </w:r>
    </w:p>
    <w:p w:rsidR="006F160F" w:rsidRPr="00E6491E" w:rsidRDefault="007E507D" w:rsidP="007E507D">
      <w:pPr>
        <w:pStyle w:val="CETBodytext"/>
        <w:rPr>
          <w:szCs w:val="18"/>
        </w:rPr>
      </w:pPr>
      <w:r>
        <w:rPr>
          <w:lang w:eastAsia="pt-BR"/>
        </w:rPr>
        <w:t xml:space="preserve">The data obtained were used to construct the experimental drying curve. For the mathematical modeling, the </w:t>
      </w:r>
      <w:r w:rsidRPr="00E6491E">
        <w:rPr>
          <w:lang w:eastAsia="pt-BR"/>
        </w:rPr>
        <w:t>moisture</w:t>
      </w:r>
      <w:r w:rsidR="007D69EF" w:rsidRPr="00E6491E">
        <w:rPr>
          <w:lang w:eastAsia="pt-BR"/>
        </w:rPr>
        <w:t xml:space="preserve"> ratio</w:t>
      </w:r>
      <w:r w:rsidRPr="00E6491E">
        <w:rPr>
          <w:lang w:eastAsia="pt-BR"/>
        </w:rPr>
        <w:t xml:space="preserve"> was determined</w:t>
      </w:r>
      <w:r w:rsidR="007E7F00" w:rsidRPr="00E6491E">
        <w:rPr>
          <w:szCs w:val="18"/>
        </w:rPr>
        <w:t xml:space="preserve"> according to </w:t>
      </w:r>
      <w:proofErr w:type="gramStart"/>
      <w:r w:rsidR="006F160F" w:rsidRPr="00E6491E">
        <w:rPr>
          <w:szCs w:val="18"/>
        </w:rPr>
        <w:t>Eq(</w:t>
      </w:r>
      <w:proofErr w:type="gramEnd"/>
      <w:r w:rsidR="006F160F" w:rsidRPr="00E6491E">
        <w:rPr>
          <w:szCs w:val="18"/>
        </w:rPr>
        <w:t>1)</w:t>
      </w:r>
      <w:r w:rsidR="007E7F00" w:rsidRPr="00E6491E">
        <w:rPr>
          <w:szCs w:val="18"/>
        </w:rPr>
        <w:t>, using the experimental data</w:t>
      </w:r>
      <w:r w:rsidR="00D330EE" w:rsidRPr="00E6491E">
        <w:rPr>
          <w:szCs w:val="18"/>
        </w:rPr>
        <w:t xml:space="preserve"> </w:t>
      </w:r>
      <w:r w:rsidR="007D69EF" w:rsidRPr="00E6491E">
        <w:rPr>
          <w:lang w:eastAsia="pt-BR"/>
        </w:rPr>
        <w:t>on dry basis</w:t>
      </w:r>
      <w:r w:rsidR="006F160F" w:rsidRPr="00E6491E">
        <w:rPr>
          <w:szCs w:val="18"/>
        </w:rPr>
        <w:t>.</w:t>
      </w:r>
    </w:p>
    <w:tbl>
      <w:tblPr>
        <w:tblW w:w="5000" w:type="pct"/>
        <w:tblLook w:val="04A0" w:firstRow="1" w:lastRow="0" w:firstColumn="1" w:lastColumn="0" w:noHBand="0" w:noVBand="1"/>
      </w:tblPr>
      <w:tblGrid>
        <w:gridCol w:w="7986"/>
        <w:gridCol w:w="801"/>
      </w:tblGrid>
      <w:tr w:rsidR="00C74AC5" w:rsidRPr="00B57B36" w:rsidTr="009E4F5E">
        <w:tc>
          <w:tcPr>
            <w:tcW w:w="7986" w:type="dxa"/>
            <w:shd w:val="clear" w:color="auto" w:fill="auto"/>
            <w:vAlign w:val="center"/>
          </w:tcPr>
          <w:p w:rsidR="00C74AC5" w:rsidRPr="00E6491E" w:rsidRDefault="00C74AC5" w:rsidP="009E4F5E">
            <w:pPr>
              <w:pStyle w:val="CETEquation"/>
              <w:rPr>
                <w:i/>
              </w:rPr>
            </w:pPr>
            <m:oMathPara>
              <m:oMathParaPr>
                <m:jc m:val="left"/>
              </m:oMathParaPr>
              <m:oMath>
                <m:r>
                  <w:rPr>
                    <w:rFonts w:ascii="Cambria Math"/>
                    <w:szCs w:val="18"/>
                    <w:lang w:val="en-US"/>
                  </w:rPr>
                  <m:t>RM=</m:t>
                </m:r>
                <m:f>
                  <m:fPr>
                    <m:ctrlPr>
                      <w:rPr>
                        <w:rFonts w:ascii="Cambria Math" w:hAnsi="Cambria Math"/>
                        <w:i/>
                        <w:szCs w:val="18"/>
                      </w:rPr>
                    </m:ctrlPr>
                  </m:fPr>
                  <m:num>
                    <m:sSub>
                      <m:sSubPr>
                        <m:ctrlPr>
                          <w:rPr>
                            <w:rFonts w:ascii="Cambria Math" w:hAnsi="Cambria Math"/>
                            <w:i/>
                            <w:szCs w:val="18"/>
                          </w:rPr>
                        </m:ctrlPr>
                      </m:sSubPr>
                      <m:e>
                        <m:r>
                          <w:rPr>
                            <w:rFonts w:ascii="Cambria Math"/>
                            <w:szCs w:val="18"/>
                            <w:lang w:val="en-US"/>
                          </w:rPr>
                          <m:t>X</m:t>
                        </m:r>
                      </m:e>
                      <m:sub>
                        <m:r>
                          <w:rPr>
                            <w:rFonts w:ascii="Cambria Math"/>
                            <w:szCs w:val="18"/>
                            <w:lang w:val="en-US"/>
                          </w:rPr>
                          <m:t>(t)</m:t>
                        </m:r>
                      </m:sub>
                    </m:sSub>
                    <m:r>
                      <w:rPr>
                        <w:rFonts w:ascii="Cambria Math"/>
                        <w:szCs w:val="18"/>
                        <w:lang w:val="en-US"/>
                      </w:rPr>
                      <m:t>-</m:t>
                    </m:r>
                    <m:sSub>
                      <m:sSubPr>
                        <m:ctrlPr>
                          <w:rPr>
                            <w:rFonts w:ascii="Cambria Math" w:hAnsi="Cambria Math"/>
                            <w:i/>
                            <w:szCs w:val="18"/>
                          </w:rPr>
                        </m:ctrlPr>
                      </m:sSubPr>
                      <m:e>
                        <m:r>
                          <w:rPr>
                            <w:rFonts w:ascii="Cambria Math"/>
                            <w:szCs w:val="18"/>
                            <w:lang w:val="en-US"/>
                          </w:rPr>
                          <m:t>X</m:t>
                        </m:r>
                      </m:e>
                      <m:sub>
                        <m:r>
                          <w:rPr>
                            <w:rFonts w:ascii="Cambria Math"/>
                            <w:szCs w:val="18"/>
                            <w:lang w:val="en-US"/>
                          </w:rPr>
                          <m:t>eq</m:t>
                        </m:r>
                      </m:sub>
                    </m:sSub>
                  </m:num>
                  <m:den>
                    <m:sSub>
                      <m:sSubPr>
                        <m:ctrlPr>
                          <w:rPr>
                            <w:rFonts w:ascii="Cambria Math" w:hAnsi="Cambria Math"/>
                            <w:i/>
                            <w:szCs w:val="18"/>
                          </w:rPr>
                        </m:ctrlPr>
                      </m:sSubPr>
                      <m:e>
                        <m:r>
                          <w:rPr>
                            <w:rFonts w:ascii="Cambria Math"/>
                            <w:szCs w:val="18"/>
                            <w:lang w:val="en-US"/>
                          </w:rPr>
                          <m:t>X</m:t>
                        </m:r>
                      </m:e>
                      <m:sub>
                        <m:r>
                          <w:rPr>
                            <w:rFonts w:ascii="Cambria Math"/>
                            <w:szCs w:val="18"/>
                            <w:lang w:val="en-US"/>
                          </w:rPr>
                          <m:t>0</m:t>
                        </m:r>
                      </m:sub>
                    </m:sSub>
                    <m:r>
                      <w:rPr>
                        <w:rFonts w:ascii="Cambria Math"/>
                        <w:szCs w:val="18"/>
                        <w:lang w:val="en-US"/>
                      </w:rPr>
                      <m:t>-</m:t>
                    </m:r>
                    <m:sSub>
                      <m:sSubPr>
                        <m:ctrlPr>
                          <w:rPr>
                            <w:rFonts w:ascii="Cambria Math" w:hAnsi="Cambria Math"/>
                            <w:i/>
                            <w:szCs w:val="18"/>
                          </w:rPr>
                        </m:ctrlPr>
                      </m:sSubPr>
                      <m:e>
                        <m:r>
                          <w:rPr>
                            <w:rFonts w:ascii="Cambria Math"/>
                            <w:szCs w:val="18"/>
                            <w:lang w:val="en-US"/>
                          </w:rPr>
                          <m:t>X</m:t>
                        </m:r>
                      </m:e>
                      <m:sub>
                        <m:r>
                          <w:rPr>
                            <w:rFonts w:ascii="Cambria Math"/>
                            <w:szCs w:val="18"/>
                            <w:lang w:val="en-US"/>
                          </w:rPr>
                          <m:t>eq</m:t>
                        </m:r>
                      </m:sub>
                    </m:sSub>
                  </m:den>
                </m:f>
              </m:oMath>
            </m:oMathPara>
          </w:p>
        </w:tc>
        <w:tc>
          <w:tcPr>
            <w:tcW w:w="801" w:type="dxa"/>
            <w:shd w:val="clear" w:color="auto" w:fill="auto"/>
            <w:vAlign w:val="center"/>
          </w:tcPr>
          <w:p w:rsidR="00C74AC5" w:rsidRPr="00B57B36" w:rsidRDefault="00C74AC5" w:rsidP="009E4F5E">
            <w:pPr>
              <w:pStyle w:val="CETEquation"/>
              <w:jc w:val="right"/>
            </w:pPr>
            <w:r w:rsidRPr="00E6491E">
              <w:t>(1)</w:t>
            </w:r>
          </w:p>
        </w:tc>
      </w:tr>
    </w:tbl>
    <w:p w:rsidR="00F47017" w:rsidRPr="00851AEC" w:rsidRDefault="00851AEC" w:rsidP="00851AEC">
      <w:pPr>
        <w:tabs>
          <w:tab w:val="clear" w:pos="7100"/>
        </w:tabs>
        <w:autoSpaceDE w:val="0"/>
        <w:autoSpaceDN w:val="0"/>
        <w:adjustRightInd w:val="0"/>
        <w:spacing w:line="240" w:lineRule="auto"/>
        <w:jc w:val="left"/>
        <w:rPr>
          <w:rFonts w:eastAsiaTheme="minorHAnsi" w:cs="Arial"/>
          <w:szCs w:val="18"/>
          <w:lang w:val="en-US"/>
        </w:rPr>
      </w:pPr>
      <w:r>
        <w:rPr>
          <w:rFonts w:eastAsiaTheme="minorHAnsi" w:cs="Arial"/>
          <w:szCs w:val="18"/>
          <w:lang w:val="en-US"/>
        </w:rPr>
        <w:t>w</w:t>
      </w:r>
      <w:r w:rsidRPr="00851AEC">
        <w:rPr>
          <w:rFonts w:eastAsiaTheme="minorHAnsi" w:cs="Arial"/>
          <w:szCs w:val="18"/>
          <w:lang w:val="en-US"/>
        </w:rPr>
        <w:t xml:space="preserve">here </w:t>
      </w:r>
      <w:r w:rsidRPr="007D69EF">
        <w:rPr>
          <w:rFonts w:eastAsiaTheme="minorHAnsi" w:cs="Arial"/>
          <w:i/>
          <w:iCs/>
          <w:szCs w:val="18"/>
          <w:lang w:val="en-US"/>
        </w:rPr>
        <w:t>X</w:t>
      </w:r>
      <w:r w:rsidRPr="007D69EF">
        <w:rPr>
          <w:rFonts w:eastAsiaTheme="minorHAnsi" w:cs="Arial"/>
          <w:i/>
          <w:iCs/>
          <w:szCs w:val="18"/>
          <w:vertAlign w:val="subscript"/>
          <w:lang w:val="en-US"/>
        </w:rPr>
        <w:t>(t)</w:t>
      </w:r>
      <w:r w:rsidRPr="00851AEC">
        <w:rPr>
          <w:rFonts w:eastAsiaTheme="minorHAnsi" w:cs="Arial"/>
          <w:szCs w:val="18"/>
          <w:lang w:val="en-US"/>
        </w:rPr>
        <w:t xml:space="preserve">consists in moisture at time </w:t>
      </w:r>
      <w:r w:rsidRPr="007D69EF">
        <w:rPr>
          <w:rFonts w:eastAsiaTheme="minorHAnsi" w:cs="Arial"/>
          <w:i/>
          <w:szCs w:val="18"/>
          <w:lang w:val="en-US"/>
        </w:rPr>
        <w:t>t</w:t>
      </w:r>
      <w:r w:rsidRPr="00851AEC">
        <w:rPr>
          <w:rFonts w:eastAsiaTheme="minorHAnsi" w:cs="Arial"/>
          <w:szCs w:val="18"/>
          <w:lang w:val="en-US"/>
        </w:rPr>
        <w:t xml:space="preserve">, </w:t>
      </w:r>
      <w:proofErr w:type="spellStart"/>
      <w:r w:rsidRPr="007D69EF">
        <w:rPr>
          <w:rFonts w:eastAsiaTheme="minorHAnsi" w:cs="Arial"/>
          <w:i/>
          <w:szCs w:val="18"/>
          <w:lang w:val="en-US"/>
        </w:rPr>
        <w:t>X</w:t>
      </w:r>
      <w:r w:rsidRPr="007D69EF">
        <w:rPr>
          <w:rFonts w:eastAsiaTheme="minorHAnsi" w:cs="Arial"/>
          <w:i/>
          <w:iCs/>
          <w:szCs w:val="18"/>
          <w:vertAlign w:val="subscript"/>
          <w:lang w:val="en-US"/>
        </w:rPr>
        <w:t>eq</w:t>
      </w:r>
      <w:proofErr w:type="spellEnd"/>
      <w:r w:rsidR="00E31141">
        <w:rPr>
          <w:rFonts w:eastAsiaTheme="minorHAnsi" w:cs="Arial"/>
          <w:i/>
          <w:iCs/>
          <w:szCs w:val="18"/>
          <w:vertAlign w:val="subscript"/>
          <w:lang w:val="en-US"/>
        </w:rPr>
        <w:t xml:space="preserve"> </w:t>
      </w:r>
      <w:r>
        <w:rPr>
          <w:rFonts w:eastAsiaTheme="minorHAnsi" w:cs="Arial"/>
          <w:iCs/>
          <w:szCs w:val="18"/>
          <w:lang w:val="en-US"/>
        </w:rPr>
        <w:t xml:space="preserve">in </w:t>
      </w:r>
      <w:r w:rsidRPr="00851AEC">
        <w:rPr>
          <w:rFonts w:eastAsiaTheme="minorHAnsi" w:cs="Arial"/>
          <w:szCs w:val="18"/>
          <w:lang w:val="en-US"/>
        </w:rPr>
        <w:t>moisture balance,</w:t>
      </w:r>
      <w:r>
        <w:rPr>
          <w:rFonts w:eastAsiaTheme="minorHAnsi" w:cs="Arial"/>
          <w:szCs w:val="18"/>
          <w:lang w:val="en-US"/>
        </w:rPr>
        <w:t xml:space="preserve"> and </w:t>
      </w:r>
      <w:r w:rsidRPr="007D69EF">
        <w:rPr>
          <w:rFonts w:eastAsiaTheme="minorHAnsi" w:cs="Arial"/>
          <w:i/>
          <w:szCs w:val="18"/>
          <w:lang w:val="en-US"/>
        </w:rPr>
        <w:t>X</w:t>
      </w:r>
      <w:r w:rsidR="007D69EF" w:rsidRPr="007D69EF">
        <w:rPr>
          <w:rFonts w:eastAsiaTheme="minorHAnsi" w:cs="Arial"/>
          <w:i/>
          <w:szCs w:val="18"/>
          <w:vertAlign w:val="subscript"/>
          <w:lang w:val="en-US"/>
        </w:rPr>
        <w:t>0</w:t>
      </w:r>
      <w:r w:rsidR="00E31141">
        <w:rPr>
          <w:rFonts w:eastAsiaTheme="minorHAnsi" w:cs="Arial"/>
          <w:i/>
          <w:szCs w:val="18"/>
          <w:vertAlign w:val="subscript"/>
          <w:lang w:val="en-US"/>
        </w:rPr>
        <w:t xml:space="preserve"> </w:t>
      </w:r>
      <w:r w:rsidRPr="00851AEC">
        <w:rPr>
          <w:rFonts w:eastAsiaTheme="minorHAnsi" w:cs="Arial"/>
          <w:szCs w:val="18"/>
          <w:lang w:val="en-US"/>
        </w:rPr>
        <w:t>the initial moisture content</w:t>
      </w:r>
      <w:r>
        <w:rPr>
          <w:rFonts w:eastAsiaTheme="minorHAnsi" w:cs="Arial"/>
          <w:szCs w:val="18"/>
          <w:lang w:val="en-US"/>
        </w:rPr>
        <w:t>.</w:t>
      </w:r>
    </w:p>
    <w:p w:rsidR="00536DC0" w:rsidRDefault="007E7F00" w:rsidP="00536DC0">
      <w:pPr>
        <w:tabs>
          <w:tab w:val="clear" w:pos="7100"/>
        </w:tabs>
        <w:rPr>
          <w:rFonts w:eastAsiaTheme="minorHAnsi" w:cs="Arial"/>
          <w:szCs w:val="18"/>
          <w:lang w:val="en-US"/>
        </w:rPr>
      </w:pPr>
      <w:r w:rsidRPr="00536DC0">
        <w:rPr>
          <w:rFonts w:eastAsiaTheme="minorHAnsi" w:cs="Arial"/>
          <w:szCs w:val="18"/>
          <w:lang w:val="en-US"/>
        </w:rPr>
        <w:t xml:space="preserve">The experimental data of the ratio of moisture were used to fit the </w:t>
      </w:r>
      <w:r w:rsidRPr="00536DC0">
        <w:rPr>
          <w:rFonts w:cs="Arial"/>
          <w:szCs w:val="18"/>
          <w:lang w:val="en-US"/>
        </w:rPr>
        <w:t xml:space="preserve">Lewis, Page and </w:t>
      </w:r>
      <w:proofErr w:type="spellStart"/>
      <w:r w:rsidRPr="00536DC0">
        <w:rPr>
          <w:rFonts w:cs="Arial"/>
          <w:szCs w:val="18"/>
          <w:lang w:val="en-US"/>
        </w:rPr>
        <w:t>Midilli</w:t>
      </w:r>
      <w:proofErr w:type="spellEnd"/>
      <w:r w:rsidRPr="00536DC0">
        <w:rPr>
          <w:rFonts w:cs="Arial"/>
          <w:szCs w:val="18"/>
          <w:lang w:val="en-US"/>
        </w:rPr>
        <w:t xml:space="preserve"> models, represented by </w:t>
      </w:r>
      <w:proofErr w:type="gramStart"/>
      <w:r w:rsidRPr="00536DC0">
        <w:rPr>
          <w:rFonts w:cs="Arial"/>
          <w:szCs w:val="18"/>
          <w:lang w:val="en-US"/>
        </w:rPr>
        <w:t>Eq(</w:t>
      </w:r>
      <w:proofErr w:type="gramEnd"/>
      <w:r w:rsidRPr="00536DC0">
        <w:rPr>
          <w:rFonts w:cs="Arial"/>
          <w:szCs w:val="18"/>
          <w:lang w:val="en-US"/>
        </w:rPr>
        <w:t>2), Eq(3) and Eq(4), respectively</w:t>
      </w:r>
      <w:r w:rsidR="006F160F" w:rsidRPr="00536DC0">
        <w:rPr>
          <w:rFonts w:cs="Arial"/>
          <w:szCs w:val="18"/>
          <w:lang w:val="en-US"/>
        </w:rPr>
        <w:t xml:space="preserve">. </w:t>
      </w:r>
      <w:r w:rsidRPr="00536DC0">
        <w:rPr>
          <w:rFonts w:eastAsiaTheme="minorHAnsi" w:cs="Arial"/>
          <w:szCs w:val="18"/>
          <w:lang w:val="en-US"/>
        </w:rPr>
        <w:t>STATISTICA ® version 1</w:t>
      </w:r>
      <w:r w:rsidR="00536DC0">
        <w:rPr>
          <w:rFonts w:eastAsiaTheme="minorHAnsi" w:cs="Arial"/>
          <w:szCs w:val="18"/>
          <w:lang w:val="en-US"/>
        </w:rPr>
        <w:t>0</w:t>
      </w:r>
      <w:r w:rsidRPr="00536DC0">
        <w:rPr>
          <w:rFonts w:eastAsiaTheme="minorHAnsi" w:cs="Arial"/>
          <w:szCs w:val="18"/>
          <w:lang w:val="en-US"/>
        </w:rPr>
        <w:t>.0 software was used to perform the</w:t>
      </w:r>
      <w:r w:rsidR="00E31141">
        <w:rPr>
          <w:rFonts w:eastAsiaTheme="minorHAnsi" w:cs="Arial"/>
          <w:szCs w:val="18"/>
          <w:lang w:val="en-US"/>
        </w:rPr>
        <w:t xml:space="preserve"> </w:t>
      </w:r>
      <w:r w:rsidRPr="00536DC0">
        <w:rPr>
          <w:rFonts w:eastAsiaTheme="minorHAnsi" w:cs="Arial"/>
          <w:szCs w:val="18"/>
          <w:lang w:val="en-US"/>
        </w:rPr>
        <w:t>parameter estimation of</w:t>
      </w:r>
      <w:r w:rsidR="00E31141">
        <w:rPr>
          <w:rFonts w:eastAsiaTheme="minorHAnsi" w:cs="Arial"/>
          <w:szCs w:val="18"/>
          <w:lang w:val="en-US"/>
        </w:rPr>
        <w:t xml:space="preserve"> </w:t>
      </w:r>
      <w:r w:rsidRPr="00536DC0">
        <w:rPr>
          <w:rFonts w:eastAsiaTheme="minorHAnsi" w:cs="Arial"/>
          <w:szCs w:val="18"/>
          <w:lang w:val="en-US"/>
        </w:rPr>
        <w:t xml:space="preserve">the models of Lewis, Page and </w:t>
      </w:r>
      <w:proofErr w:type="spellStart"/>
      <w:r w:rsidRPr="00536DC0">
        <w:rPr>
          <w:rFonts w:eastAsiaTheme="minorHAnsi" w:cs="Arial"/>
          <w:szCs w:val="18"/>
          <w:lang w:val="en-US"/>
        </w:rPr>
        <w:t>Midilli</w:t>
      </w:r>
      <w:proofErr w:type="spellEnd"/>
      <w:r w:rsidR="00E31141">
        <w:rPr>
          <w:rFonts w:eastAsiaTheme="minorHAnsi" w:cs="Arial"/>
          <w:szCs w:val="18"/>
          <w:lang w:val="en-US"/>
        </w:rPr>
        <w:t xml:space="preserve"> respectively:</w:t>
      </w:r>
      <w:r w:rsidRPr="00536DC0">
        <w:rPr>
          <w:rFonts w:eastAsiaTheme="minorHAnsi" w:cs="Arial"/>
          <w:szCs w:val="18"/>
          <w:lang w:val="en-US"/>
        </w:rPr>
        <w:t xml:space="preserve"> </w:t>
      </w:r>
    </w:p>
    <w:tbl>
      <w:tblPr>
        <w:tblW w:w="5000" w:type="pct"/>
        <w:tblLook w:val="04A0" w:firstRow="1" w:lastRow="0" w:firstColumn="1" w:lastColumn="0" w:noHBand="0" w:noVBand="1"/>
      </w:tblPr>
      <w:tblGrid>
        <w:gridCol w:w="7986"/>
        <w:gridCol w:w="801"/>
      </w:tblGrid>
      <w:tr w:rsidR="00536DC0" w:rsidRPr="00B57B36" w:rsidTr="00536DC0">
        <w:tc>
          <w:tcPr>
            <w:tcW w:w="7986" w:type="dxa"/>
            <w:shd w:val="clear" w:color="auto" w:fill="auto"/>
            <w:vAlign w:val="center"/>
          </w:tcPr>
          <w:p w:rsidR="00536DC0" w:rsidRPr="007D69EF" w:rsidRDefault="007D69EF" w:rsidP="00536DC0">
            <w:pPr>
              <w:pStyle w:val="CETEquation"/>
              <w:rPr>
                <w:i/>
              </w:rPr>
            </w:pPr>
            <m:oMathPara>
              <m:oMathParaPr>
                <m:jc m:val="left"/>
              </m:oMathParaPr>
              <m:oMath>
                <m:r>
                  <w:rPr>
                    <w:rFonts w:ascii="Cambria Math" w:cs="Arial"/>
                    <w:szCs w:val="18"/>
                  </w:rPr>
                  <m:t>RM=exp</m:t>
                </m:r>
                <m:r>
                  <w:rPr>
                    <w:rFonts w:ascii="Cambria Math" w:hAnsi="Cambria Math" w:cs="Arial"/>
                    <w:szCs w:val="18"/>
                  </w:rPr>
                  <m:t>⁡</m:t>
                </m:r>
                <m:r>
                  <w:rPr>
                    <w:rFonts w:ascii="Cambria Math" w:cs="Arial"/>
                    <w:szCs w:val="18"/>
                  </w:rPr>
                  <m:t>(</m:t>
                </m:r>
                <m:r>
                  <w:rPr>
                    <w:rFonts w:ascii="Cambria Math" w:hAnsi="Cambria Math" w:cs="Arial"/>
                    <w:szCs w:val="18"/>
                  </w:rPr>
                  <m:t>-</m:t>
                </m:r>
                <m:r>
                  <w:rPr>
                    <w:rFonts w:ascii="Cambria Math" w:cs="Arial"/>
                    <w:szCs w:val="18"/>
                  </w:rPr>
                  <m:t>kt)</m:t>
                </m:r>
              </m:oMath>
            </m:oMathPara>
          </w:p>
        </w:tc>
        <w:tc>
          <w:tcPr>
            <w:tcW w:w="801" w:type="dxa"/>
            <w:shd w:val="clear" w:color="auto" w:fill="auto"/>
            <w:vAlign w:val="center"/>
          </w:tcPr>
          <w:p w:rsidR="00536DC0" w:rsidRPr="00B57B36" w:rsidRDefault="00536DC0" w:rsidP="00536DC0">
            <w:pPr>
              <w:pStyle w:val="CETEquation"/>
              <w:jc w:val="right"/>
            </w:pPr>
            <w:r w:rsidRPr="00B57B36">
              <w:t>(</w:t>
            </w:r>
            <w:r>
              <w:t>2</w:t>
            </w:r>
            <w:r w:rsidRPr="00B57B36">
              <w:t>)</w:t>
            </w:r>
          </w:p>
        </w:tc>
      </w:tr>
      <w:tr w:rsidR="00536DC0" w:rsidRPr="00B57B36" w:rsidTr="00536DC0">
        <w:tc>
          <w:tcPr>
            <w:tcW w:w="7986" w:type="dxa"/>
            <w:shd w:val="clear" w:color="auto" w:fill="auto"/>
            <w:vAlign w:val="center"/>
          </w:tcPr>
          <w:p w:rsidR="00536DC0" w:rsidRPr="007D69EF" w:rsidRDefault="007D69EF" w:rsidP="00536DC0">
            <w:pPr>
              <w:pStyle w:val="CETEquation"/>
              <w:rPr>
                <w:i/>
                <w:noProof/>
                <w:lang w:val="it-IT" w:eastAsia="it-IT"/>
              </w:rPr>
            </w:pPr>
            <m:oMathPara>
              <m:oMathParaPr>
                <m:jc m:val="left"/>
              </m:oMathParaPr>
              <m:oMath>
                <m:r>
                  <w:rPr>
                    <w:rFonts w:ascii="Cambria Math" w:cs="Arial"/>
                    <w:szCs w:val="18"/>
                  </w:rPr>
                  <m:t>RM=exp</m:t>
                </m:r>
                <m:r>
                  <w:rPr>
                    <w:rFonts w:ascii="Cambria Math" w:hAnsi="Cambria Math" w:cs="Arial"/>
                    <w:szCs w:val="18"/>
                  </w:rPr>
                  <m:t>⁡</m:t>
                </m:r>
                <m:r>
                  <w:rPr>
                    <w:rFonts w:ascii="Cambria Math" w:cs="Arial"/>
                    <w:szCs w:val="18"/>
                  </w:rPr>
                  <m:t>(</m:t>
                </m:r>
                <m:r>
                  <w:rPr>
                    <w:rFonts w:ascii="Cambria Math" w:cs="Arial"/>
                    <w:szCs w:val="18"/>
                  </w:rPr>
                  <m:t>-</m:t>
                </m:r>
                <m:r>
                  <w:rPr>
                    <w:rFonts w:ascii="Cambria Math" w:cs="Arial"/>
                    <w:szCs w:val="18"/>
                  </w:rPr>
                  <m:t>k</m:t>
                </m:r>
                <m:sSup>
                  <m:sSupPr>
                    <m:ctrlPr>
                      <w:rPr>
                        <w:rFonts w:ascii="Cambria Math" w:hAnsi="Cambria Math" w:cs="Arial"/>
                        <w:i/>
                        <w:szCs w:val="18"/>
                      </w:rPr>
                    </m:ctrlPr>
                  </m:sSupPr>
                  <m:e>
                    <m:r>
                      <w:rPr>
                        <w:rFonts w:ascii="Cambria Math" w:cs="Arial"/>
                        <w:szCs w:val="18"/>
                      </w:rPr>
                      <m:t>t</m:t>
                    </m:r>
                  </m:e>
                  <m:sup>
                    <m:r>
                      <w:rPr>
                        <w:rFonts w:ascii="Cambria Math" w:cs="Arial"/>
                        <w:szCs w:val="18"/>
                      </w:rPr>
                      <m:t>n</m:t>
                    </m:r>
                  </m:sup>
                </m:sSup>
                <m:r>
                  <w:rPr>
                    <w:rFonts w:ascii="Cambria Math" w:cs="Arial"/>
                    <w:szCs w:val="18"/>
                  </w:rPr>
                  <m:t>)</m:t>
                </m:r>
              </m:oMath>
            </m:oMathPara>
          </w:p>
        </w:tc>
        <w:tc>
          <w:tcPr>
            <w:tcW w:w="801" w:type="dxa"/>
            <w:shd w:val="clear" w:color="auto" w:fill="auto"/>
            <w:vAlign w:val="center"/>
          </w:tcPr>
          <w:p w:rsidR="00536DC0" w:rsidRPr="00B57B36" w:rsidRDefault="00536DC0" w:rsidP="00536DC0">
            <w:pPr>
              <w:pStyle w:val="CETEquation"/>
              <w:jc w:val="right"/>
            </w:pPr>
            <w:r w:rsidRPr="00B57B36">
              <w:t>(</w:t>
            </w:r>
            <w:r>
              <w:t>3</w:t>
            </w:r>
            <w:r w:rsidRPr="00B57B36">
              <w:t>)</w:t>
            </w:r>
          </w:p>
        </w:tc>
      </w:tr>
      <w:tr w:rsidR="00536DC0" w:rsidRPr="00B57B36" w:rsidTr="00536DC0">
        <w:tc>
          <w:tcPr>
            <w:tcW w:w="7986" w:type="dxa"/>
            <w:shd w:val="clear" w:color="auto" w:fill="auto"/>
            <w:vAlign w:val="center"/>
          </w:tcPr>
          <w:p w:rsidR="00536DC0" w:rsidRPr="007D69EF" w:rsidRDefault="007D69EF" w:rsidP="00536DC0">
            <w:pPr>
              <w:pStyle w:val="CETEquation"/>
              <w:rPr>
                <w:i/>
                <w:noProof/>
                <w:lang w:val="it-IT" w:eastAsia="it-IT"/>
              </w:rPr>
            </w:pPr>
            <m:oMathPara>
              <m:oMathParaPr>
                <m:jc m:val="left"/>
              </m:oMathParaPr>
              <m:oMath>
                <m:r>
                  <w:rPr>
                    <w:rFonts w:ascii="Cambria Math" w:cs="Arial"/>
                    <w:szCs w:val="18"/>
                  </w:rPr>
                  <m:t>RM=a</m:t>
                </m:r>
                <m:func>
                  <m:funcPr>
                    <m:ctrlPr>
                      <w:rPr>
                        <w:rFonts w:ascii="Cambria Math" w:hAnsi="Cambria Math" w:cs="Arial"/>
                        <w:i/>
                        <w:szCs w:val="18"/>
                      </w:rPr>
                    </m:ctrlPr>
                  </m:funcPr>
                  <m:fName>
                    <m:r>
                      <w:rPr>
                        <w:rFonts w:ascii="Cambria Math" w:cs="Arial"/>
                        <w:szCs w:val="18"/>
                      </w:rPr>
                      <m:t>exp</m:t>
                    </m:r>
                  </m:fName>
                  <m:e>
                    <m:d>
                      <m:dPr>
                        <m:ctrlPr>
                          <w:rPr>
                            <w:rFonts w:ascii="Cambria Math" w:hAnsi="Cambria Math" w:cs="Arial"/>
                            <w:i/>
                            <w:szCs w:val="18"/>
                          </w:rPr>
                        </m:ctrlPr>
                      </m:dPr>
                      <m:e>
                        <m:r>
                          <w:rPr>
                            <w:rFonts w:ascii="Cambria Math" w:cs="Arial"/>
                            <w:szCs w:val="18"/>
                          </w:rPr>
                          <m:t>-</m:t>
                        </m:r>
                        <m:r>
                          <w:rPr>
                            <w:rFonts w:ascii="Cambria Math" w:cs="Arial"/>
                            <w:szCs w:val="18"/>
                          </w:rPr>
                          <m:t>k</m:t>
                        </m:r>
                        <m:sSup>
                          <m:sSupPr>
                            <m:ctrlPr>
                              <w:rPr>
                                <w:rFonts w:ascii="Cambria Math" w:hAnsi="Cambria Math" w:cs="Arial"/>
                                <w:i/>
                                <w:szCs w:val="18"/>
                              </w:rPr>
                            </m:ctrlPr>
                          </m:sSupPr>
                          <m:e>
                            <m:r>
                              <w:rPr>
                                <w:rFonts w:ascii="Cambria Math" w:cs="Arial"/>
                                <w:szCs w:val="18"/>
                              </w:rPr>
                              <m:t>t</m:t>
                            </m:r>
                          </m:e>
                          <m:sup>
                            <m:r>
                              <w:rPr>
                                <w:rFonts w:ascii="Cambria Math" w:cs="Arial"/>
                                <w:szCs w:val="18"/>
                              </w:rPr>
                              <m:t>n</m:t>
                            </m:r>
                          </m:sup>
                        </m:sSup>
                      </m:e>
                    </m:d>
                  </m:e>
                </m:func>
                <m:r>
                  <w:rPr>
                    <w:rFonts w:ascii="Cambria Math" w:cs="Arial"/>
                    <w:szCs w:val="18"/>
                  </w:rPr>
                  <m:t>+bt</m:t>
                </m:r>
              </m:oMath>
            </m:oMathPara>
          </w:p>
        </w:tc>
        <w:tc>
          <w:tcPr>
            <w:tcW w:w="801" w:type="dxa"/>
            <w:shd w:val="clear" w:color="auto" w:fill="auto"/>
            <w:vAlign w:val="center"/>
          </w:tcPr>
          <w:p w:rsidR="00536DC0" w:rsidRPr="00B57B36" w:rsidRDefault="00536DC0" w:rsidP="00536DC0">
            <w:pPr>
              <w:pStyle w:val="CETEquation"/>
              <w:jc w:val="right"/>
            </w:pPr>
            <w:r w:rsidRPr="00B57B36">
              <w:t>(</w:t>
            </w:r>
            <w:r>
              <w:t>4</w:t>
            </w:r>
            <w:r w:rsidRPr="00B57B36">
              <w:t>)</w:t>
            </w:r>
          </w:p>
        </w:tc>
      </w:tr>
    </w:tbl>
    <w:p w:rsidR="00536DC0" w:rsidRPr="00E6491E" w:rsidRDefault="00E31141" w:rsidP="007D69EF">
      <w:pPr>
        <w:tabs>
          <w:tab w:val="clear" w:pos="7100"/>
        </w:tabs>
        <w:autoSpaceDE w:val="0"/>
        <w:autoSpaceDN w:val="0"/>
        <w:adjustRightInd w:val="0"/>
        <w:spacing w:line="240" w:lineRule="auto"/>
        <w:jc w:val="left"/>
        <w:rPr>
          <w:rFonts w:eastAsiaTheme="minorHAnsi" w:cs="Arial"/>
          <w:szCs w:val="18"/>
          <w:lang w:val="en-US"/>
        </w:rPr>
      </w:pPr>
      <w:r w:rsidRPr="00E6491E">
        <w:rPr>
          <w:rFonts w:eastAsiaTheme="minorHAnsi" w:cs="Arial"/>
          <w:szCs w:val="18"/>
          <w:lang w:val="en-US"/>
        </w:rPr>
        <w:t>W</w:t>
      </w:r>
      <w:r w:rsidR="00851AEC" w:rsidRPr="00E6491E">
        <w:rPr>
          <w:rFonts w:eastAsiaTheme="minorHAnsi" w:cs="Arial"/>
          <w:szCs w:val="18"/>
          <w:lang w:val="en-US"/>
        </w:rPr>
        <w:t>here</w:t>
      </w:r>
      <w:r w:rsidRPr="00E6491E">
        <w:rPr>
          <w:rFonts w:eastAsiaTheme="minorHAnsi" w:cs="Arial"/>
          <w:szCs w:val="18"/>
          <w:lang w:val="en-US"/>
        </w:rPr>
        <w:t xml:space="preserve"> </w:t>
      </w:r>
      <w:r w:rsidR="007D69EF" w:rsidRPr="00E6491E">
        <w:rPr>
          <w:i/>
        </w:rPr>
        <w:t>k</w:t>
      </w:r>
      <w:r w:rsidRPr="00E6491E">
        <w:rPr>
          <w:i/>
        </w:rPr>
        <w:t xml:space="preserve"> </w:t>
      </w:r>
      <w:r w:rsidR="007D69EF" w:rsidRPr="00E6491E">
        <w:t>is a drying constant (</w:t>
      </w:r>
      <w:r w:rsidR="00873107" w:rsidRPr="00E6491E">
        <w:t>min</w:t>
      </w:r>
      <w:r w:rsidR="007D69EF" w:rsidRPr="00E6491E">
        <w:rPr>
          <w:vertAlign w:val="superscript"/>
        </w:rPr>
        <w:t>-1</w:t>
      </w:r>
      <w:r w:rsidR="007D69EF" w:rsidRPr="00E6491E">
        <w:t xml:space="preserve">), </w:t>
      </w:r>
      <w:r w:rsidR="007D69EF" w:rsidRPr="00E6491E">
        <w:rPr>
          <w:i/>
        </w:rPr>
        <w:t>t</w:t>
      </w:r>
      <w:r w:rsidR="007D69EF" w:rsidRPr="00E6491E">
        <w:t xml:space="preserve"> is the time (min), </w:t>
      </w:r>
      <w:r w:rsidR="007D69EF" w:rsidRPr="00E6491E">
        <w:rPr>
          <w:i/>
        </w:rPr>
        <w:t>n</w:t>
      </w:r>
      <w:r w:rsidRPr="00E6491E">
        <w:rPr>
          <w:i/>
        </w:rPr>
        <w:t xml:space="preserve"> </w:t>
      </w:r>
      <w:r w:rsidR="007D69EF" w:rsidRPr="00E6491E">
        <w:t>is an internal resistance,</w:t>
      </w:r>
      <w:r w:rsidR="00D330EE" w:rsidRPr="00E6491E">
        <w:t xml:space="preserve"> </w:t>
      </w:r>
      <w:r w:rsidR="007D69EF" w:rsidRPr="00E6491E">
        <w:t>and</w:t>
      </w:r>
      <w:r w:rsidRPr="00E6491E">
        <w:t xml:space="preserve"> </w:t>
      </w:r>
      <w:r w:rsidR="007D69EF" w:rsidRPr="00E6491E">
        <w:rPr>
          <w:i/>
        </w:rPr>
        <w:t>a</w:t>
      </w:r>
      <w:r w:rsidR="007D69EF" w:rsidRPr="00E6491E">
        <w:t xml:space="preserve"> and</w:t>
      </w:r>
      <w:r w:rsidRPr="00E6491E">
        <w:t xml:space="preserve"> </w:t>
      </w:r>
      <w:r w:rsidR="007D69EF" w:rsidRPr="00E6491E">
        <w:rPr>
          <w:i/>
        </w:rPr>
        <w:t>b</w:t>
      </w:r>
      <w:r w:rsidR="007D69EF" w:rsidRPr="00E6491E">
        <w:t xml:space="preserve"> the constants of the </w:t>
      </w:r>
      <w:proofErr w:type="spellStart"/>
      <w:r w:rsidR="007D69EF" w:rsidRPr="00E6491E">
        <w:t>Midilli</w:t>
      </w:r>
      <w:proofErr w:type="spellEnd"/>
      <w:r w:rsidR="007D69EF" w:rsidRPr="00E6491E">
        <w:t xml:space="preserve"> model.</w:t>
      </w:r>
    </w:p>
    <w:p w:rsidR="00B56365" w:rsidRPr="00E6491E" w:rsidRDefault="00536DC0" w:rsidP="00536DC0">
      <w:pPr>
        <w:tabs>
          <w:tab w:val="clear" w:pos="7100"/>
        </w:tabs>
        <w:rPr>
          <w:rFonts w:cs="Arial"/>
          <w:szCs w:val="18"/>
          <w:shd w:val="clear" w:color="auto" w:fill="FFFFFF"/>
        </w:rPr>
      </w:pPr>
      <w:r w:rsidRPr="00E6491E">
        <w:rPr>
          <w:rFonts w:eastAsiaTheme="minorHAnsi" w:cs="Arial"/>
          <w:szCs w:val="18"/>
          <w:lang w:val="en-US"/>
        </w:rPr>
        <w:t xml:space="preserve">The parameters of the models were obtained through non-linear regression and the </w:t>
      </w:r>
      <w:r w:rsidR="00E31141" w:rsidRPr="00E6491E">
        <w:rPr>
          <w:rFonts w:eastAsiaTheme="minorHAnsi" w:cs="Arial"/>
          <w:szCs w:val="18"/>
          <w:lang w:val="en-US"/>
        </w:rPr>
        <w:t>selection</w:t>
      </w:r>
      <w:r w:rsidRPr="00E6491E">
        <w:rPr>
          <w:rFonts w:eastAsiaTheme="minorHAnsi" w:cs="Arial"/>
          <w:szCs w:val="18"/>
          <w:lang w:val="en-US"/>
        </w:rPr>
        <w:t xml:space="preserve"> of the </w:t>
      </w:r>
      <w:r w:rsidR="00B97D49" w:rsidRPr="00E6491E">
        <w:t>most appropriated model was done by performance indicators</w:t>
      </w:r>
      <w:r w:rsidRPr="00E6491E">
        <w:rPr>
          <w:rFonts w:eastAsiaTheme="minorHAnsi" w:cs="Arial"/>
          <w:szCs w:val="18"/>
          <w:lang w:val="en-US"/>
        </w:rPr>
        <w:t xml:space="preserve">, </w:t>
      </w:r>
      <w:r w:rsidR="007E7F00" w:rsidRPr="00E6491E">
        <w:rPr>
          <w:rFonts w:eastAsiaTheme="minorHAnsi" w:cs="Arial"/>
          <w:szCs w:val="18"/>
          <w:lang w:val="en-US"/>
        </w:rPr>
        <w:t>using the</w:t>
      </w:r>
      <w:r w:rsidR="00D330EE" w:rsidRPr="00E6491E">
        <w:rPr>
          <w:rFonts w:eastAsiaTheme="minorHAnsi" w:cs="Arial"/>
          <w:szCs w:val="18"/>
          <w:lang w:val="en-US"/>
        </w:rPr>
        <w:t xml:space="preserve"> </w:t>
      </w:r>
      <w:r w:rsidR="007E7F00" w:rsidRPr="00E6491E">
        <w:rPr>
          <w:rFonts w:eastAsiaTheme="minorHAnsi" w:cs="Arial"/>
          <w:szCs w:val="18"/>
          <w:lang w:val="en-US"/>
        </w:rPr>
        <w:t>software Excel® version 2007 for Windows.</w:t>
      </w:r>
      <w:r w:rsidR="00C74AC5" w:rsidRPr="00E6491E">
        <w:rPr>
          <w:rFonts w:eastAsiaTheme="minorHAnsi" w:cs="Arial"/>
          <w:szCs w:val="18"/>
          <w:lang w:val="en-US"/>
        </w:rPr>
        <w:t xml:space="preserve"> </w:t>
      </w:r>
      <w:r w:rsidR="00B56365" w:rsidRPr="00E6491E">
        <w:t>According to Ross (1996), t</w:t>
      </w:r>
      <w:r w:rsidR="00811512" w:rsidRPr="00E6491E">
        <w:rPr>
          <w:rFonts w:eastAsiaTheme="minorHAnsi" w:cs="Arial"/>
          <w:szCs w:val="18"/>
          <w:lang w:val="en-US"/>
        </w:rPr>
        <w:t xml:space="preserve">he </w:t>
      </w:r>
      <w:r w:rsidRPr="00E6491E">
        <w:rPr>
          <w:rFonts w:cs="Arial"/>
          <w:szCs w:val="18"/>
          <w:shd w:val="clear" w:color="auto" w:fill="FFFFFF"/>
        </w:rPr>
        <w:t>Root Mean Square Error (RMSE)</w:t>
      </w:r>
      <w:r w:rsidR="00811512" w:rsidRPr="00E6491E">
        <w:rPr>
          <w:rFonts w:cs="Arial"/>
          <w:szCs w:val="18"/>
          <w:shd w:val="clear" w:color="auto" w:fill="FFFFFF"/>
        </w:rPr>
        <w:t xml:space="preserve">, shown in </w:t>
      </w:r>
      <w:proofErr w:type="spellStart"/>
      <w:r w:rsidR="00811512" w:rsidRPr="00E6491E">
        <w:rPr>
          <w:rFonts w:cs="Arial"/>
          <w:szCs w:val="18"/>
          <w:shd w:val="clear" w:color="auto" w:fill="FFFFFF"/>
        </w:rPr>
        <w:t>Eq</w:t>
      </w:r>
      <w:proofErr w:type="spellEnd"/>
      <w:r w:rsidR="00811512" w:rsidRPr="00E6491E">
        <w:rPr>
          <w:rFonts w:cs="Arial"/>
          <w:szCs w:val="18"/>
          <w:shd w:val="clear" w:color="auto" w:fill="FFFFFF"/>
        </w:rPr>
        <w:t>(5),</w:t>
      </w:r>
      <w:r w:rsidRPr="00E6491E">
        <w:rPr>
          <w:rFonts w:cs="Arial"/>
          <w:szCs w:val="18"/>
          <w:shd w:val="clear" w:color="auto" w:fill="FFFFFF"/>
        </w:rPr>
        <w:t xml:space="preserve"> is a measure of how spread out these residuals are</w:t>
      </w:r>
      <w:r w:rsidR="00811512" w:rsidRPr="00E6491E">
        <w:rPr>
          <w:rFonts w:cs="Arial"/>
          <w:szCs w:val="18"/>
          <w:shd w:val="clear" w:color="auto" w:fill="FFFFFF"/>
        </w:rPr>
        <w:t xml:space="preserve">, i.e., </w:t>
      </w:r>
      <w:r w:rsidR="00B56365" w:rsidRPr="00E6491E">
        <w:t>compares the observed and predicted values. The model that best represents the experimental data should present a reduced value for this indicator</w:t>
      </w:r>
      <w:r w:rsidR="00811512" w:rsidRPr="00E6491E">
        <w:rPr>
          <w:rFonts w:cs="Arial"/>
          <w:szCs w:val="18"/>
          <w:shd w:val="clear" w:color="auto" w:fill="FFFFFF"/>
        </w:rPr>
        <w:t xml:space="preserve">. </w:t>
      </w:r>
      <w:r w:rsidRPr="00E6491E">
        <w:rPr>
          <w:rFonts w:cs="Arial"/>
          <w:szCs w:val="18"/>
          <w:shd w:val="clear" w:color="auto" w:fill="FFFFFF"/>
        </w:rPr>
        <w:t> </w:t>
      </w:r>
    </w:p>
    <w:tbl>
      <w:tblPr>
        <w:tblW w:w="5000" w:type="pct"/>
        <w:tblLook w:val="04A0" w:firstRow="1" w:lastRow="0" w:firstColumn="1" w:lastColumn="0" w:noHBand="0" w:noVBand="1"/>
      </w:tblPr>
      <w:tblGrid>
        <w:gridCol w:w="7986"/>
        <w:gridCol w:w="801"/>
      </w:tblGrid>
      <w:tr w:rsidR="00B56365" w:rsidRPr="00B57B36" w:rsidTr="00C50BD9">
        <w:tc>
          <w:tcPr>
            <w:tcW w:w="7986" w:type="dxa"/>
            <w:shd w:val="clear" w:color="auto" w:fill="auto"/>
            <w:vAlign w:val="center"/>
          </w:tcPr>
          <w:p w:rsidR="00B56365" w:rsidRPr="00E6491E" w:rsidRDefault="00B56365" w:rsidP="00C50BD9">
            <w:pPr>
              <w:pStyle w:val="CETEquation"/>
            </w:pPr>
            <m:oMathPara>
              <m:oMathParaPr>
                <m:jc m:val="left"/>
              </m:oMathParaPr>
              <m:oMath>
                <m:r>
                  <w:rPr>
                    <w:rFonts w:ascii="Cambria Math" w:hAnsi="Cambria Math"/>
                    <w:szCs w:val="18"/>
                  </w:rPr>
                  <m:t>RMSE</m:t>
                </m:r>
                <m:r>
                  <w:rPr>
                    <w:rFonts w:ascii="Cambria Math"/>
                    <w:szCs w:val="18"/>
                  </w:rPr>
                  <m:t>=</m:t>
                </m:r>
                <m:rad>
                  <m:radPr>
                    <m:degHide m:val="1"/>
                    <m:ctrlPr>
                      <w:rPr>
                        <w:rFonts w:ascii="Cambria Math" w:hAnsi="Cambria Math"/>
                        <w:i/>
                        <w:szCs w:val="18"/>
                      </w:rPr>
                    </m:ctrlPr>
                  </m:radPr>
                  <m:deg/>
                  <m:e>
                    <m:f>
                      <m:fPr>
                        <m:ctrlPr>
                          <w:rPr>
                            <w:rFonts w:ascii="Cambria Math" w:hAnsi="Cambria Math"/>
                            <w:i/>
                            <w:szCs w:val="18"/>
                          </w:rPr>
                        </m:ctrlPr>
                      </m:fPr>
                      <m:num>
                        <m:nary>
                          <m:naryPr>
                            <m:chr m:val="∑"/>
                            <m:limLoc m:val="undOvr"/>
                            <m:subHide m:val="1"/>
                            <m:supHide m:val="1"/>
                            <m:ctrlPr>
                              <w:rPr>
                                <w:rFonts w:ascii="Cambria Math" w:hAnsi="Cambria Math"/>
                                <w:i/>
                                <w:szCs w:val="18"/>
                              </w:rPr>
                            </m:ctrlPr>
                          </m:naryPr>
                          <m:sub/>
                          <m:sup/>
                          <m:e>
                            <m:sSup>
                              <m:sSupPr>
                                <m:ctrlPr>
                                  <w:rPr>
                                    <w:rFonts w:ascii="Cambria Math" w:hAnsi="Cambria Math"/>
                                    <w:i/>
                                    <w:szCs w:val="18"/>
                                  </w:rPr>
                                </m:ctrlPr>
                              </m:sSupPr>
                              <m:e>
                                <m:r>
                                  <w:rPr>
                                    <w:rFonts w:ascii="Cambria Math"/>
                                    <w:szCs w:val="18"/>
                                  </w:rPr>
                                  <m:t>(</m:t>
                                </m:r>
                                <m:r>
                                  <w:rPr>
                                    <w:rFonts w:ascii="Cambria Math" w:hAnsi="Cambria Math"/>
                                    <w:szCs w:val="18"/>
                                  </w:rPr>
                                  <m:t>obs-pred</m:t>
                                </m:r>
                                <m:r>
                                  <w:rPr>
                                    <w:rFonts w:ascii="Cambria Math"/>
                                    <w:szCs w:val="18"/>
                                  </w:rPr>
                                  <m:t>)</m:t>
                                </m:r>
                              </m:e>
                              <m:sup>
                                <m:r>
                                  <w:rPr>
                                    <w:rFonts w:ascii="Cambria Math"/>
                                    <w:szCs w:val="18"/>
                                  </w:rPr>
                                  <m:t>2</m:t>
                                </m:r>
                              </m:sup>
                            </m:sSup>
                          </m:e>
                        </m:nary>
                      </m:num>
                      <m:den>
                        <m:sSub>
                          <m:sSubPr>
                            <m:ctrlPr>
                              <w:rPr>
                                <w:rFonts w:ascii="Cambria Math" w:hAnsi="Cambria Math"/>
                                <w:i/>
                                <w:szCs w:val="18"/>
                              </w:rPr>
                            </m:ctrlPr>
                          </m:sSubPr>
                          <m:e>
                            <m:r>
                              <w:rPr>
                                <w:rFonts w:ascii="Cambria Math" w:hAnsi="Cambria Math"/>
                                <w:szCs w:val="18"/>
                              </w:rPr>
                              <m:t>n</m:t>
                            </m:r>
                          </m:e>
                          <m:sub>
                            <m:r>
                              <w:rPr>
                                <w:rFonts w:ascii="Cambria Math" w:hAnsi="Cambria Math"/>
                                <w:szCs w:val="18"/>
                              </w:rPr>
                              <m:t>samples</m:t>
                            </m:r>
                          </m:sub>
                        </m:sSub>
                      </m:den>
                    </m:f>
                  </m:e>
                </m:rad>
              </m:oMath>
            </m:oMathPara>
          </w:p>
        </w:tc>
        <w:tc>
          <w:tcPr>
            <w:tcW w:w="801" w:type="dxa"/>
            <w:shd w:val="clear" w:color="auto" w:fill="auto"/>
            <w:vAlign w:val="center"/>
          </w:tcPr>
          <w:p w:rsidR="00B56365" w:rsidRPr="00B57B36" w:rsidRDefault="00B56365" w:rsidP="00C50BD9">
            <w:pPr>
              <w:pStyle w:val="CETEquation"/>
              <w:jc w:val="right"/>
            </w:pPr>
            <w:r w:rsidRPr="00E6491E">
              <w:t>(5)</w:t>
            </w:r>
          </w:p>
        </w:tc>
      </w:tr>
    </w:tbl>
    <w:p w:rsidR="00536DC0" w:rsidRPr="00A91441" w:rsidRDefault="00811512" w:rsidP="00536DC0">
      <w:pPr>
        <w:tabs>
          <w:tab w:val="clear" w:pos="7100"/>
        </w:tabs>
        <w:rPr>
          <w:szCs w:val="18"/>
        </w:rPr>
      </w:pPr>
      <w:r w:rsidRPr="00A91441">
        <w:rPr>
          <w:rFonts w:cs="Arial"/>
          <w:szCs w:val="18"/>
          <w:shd w:val="clear" w:color="auto" w:fill="FFFFFF"/>
        </w:rPr>
        <w:lastRenderedPageBreak/>
        <w:t xml:space="preserve">The </w:t>
      </w:r>
      <w:r w:rsidRPr="00A91441">
        <w:rPr>
          <w:szCs w:val="18"/>
        </w:rPr>
        <w:t xml:space="preserve">Standard Error of Prediction (%SEP) is defined by </w:t>
      </w:r>
      <w:r w:rsidR="00A91441">
        <w:rPr>
          <w:szCs w:val="18"/>
        </w:rPr>
        <w:t>th</w:t>
      </w:r>
      <w:r w:rsidRPr="00A91441">
        <w:rPr>
          <w:szCs w:val="18"/>
        </w:rPr>
        <w:t xml:space="preserve">e estimated standard deviation of the random error between the observed values and the predicted values, as </w:t>
      </w:r>
      <w:r w:rsidR="00B56365">
        <w:rPr>
          <w:szCs w:val="18"/>
        </w:rPr>
        <w:t>determined</w:t>
      </w:r>
      <w:r w:rsidRPr="00A91441">
        <w:rPr>
          <w:szCs w:val="18"/>
        </w:rPr>
        <w:t xml:space="preserve"> the </w:t>
      </w:r>
      <w:proofErr w:type="spellStart"/>
      <w:proofErr w:type="gramStart"/>
      <w:r w:rsidRPr="00A91441">
        <w:rPr>
          <w:szCs w:val="18"/>
        </w:rPr>
        <w:t>Eq</w:t>
      </w:r>
      <w:proofErr w:type="spellEnd"/>
      <w:r w:rsidRPr="00A91441">
        <w:rPr>
          <w:szCs w:val="18"/>
        </w:rPr>
        <w:t>(</w:t>
      </w:r>
      <w:proofErr w:type="gramEnd"/>
      <w:r w:rsidRPr="00A91441">
        <w:rPr>
          <w:szCs w:val="18"/>
        </w:rPr>
        <w:t xml:space="preserve">6). </w:t>
      </w:r>
    </w:p>
    <w:tbl>
      <w:tblPr>
        <w:tblW w:w="5000" w:type="pct"/>
        <w:tblLook w:val="04A0" w:firstRow="1" w:lastRow="0" w:firstColumn="1" w:lastColumn="0" w:noHBand="0" w:noVBand="1"/>
      </w:tblPr>
      <w:tblGrid>
        <w:gridCol w:w="7986"/>
        <w:gridCol w:w="801"/>
      </w:tblGrid>
      <w:tr w:rsidR="00A91441" w:rsidRPr="00E6491E" w:rsidTr="00752C73">
        <w:tc>
          <w:tcPr>
            <w:tcW w:w="7986" w:type="dxa"/>
            <w:shd w:val="clear" w:color="auto" w:fill="auto"/>
            <w:vAlign w:val="center"/>
          </w:tcPr>
          <w:p w:rsidR="00A91441" w:rsidRPr="00E6491E" w:rsidRDefault="00A91441" w:rsidP="00752C73">
            <w:pPr>
              <w:pStyle w:val="CETEquation"/>
              <w:rPr>
                <w:noProof/>
                <w:lang w:val="it-IT" w:eastAsia="it-IT"/>
              </w:rPr>
            </w:pPr>
            <m:oMathPara>
              <m:oMathParaPr>
                <m:jc m:val="left"/>
              </m:oMathParaPr>
              <m:oMath>
                <m:r>
                  <w:rPr>
                    <w:rFonts w:ascii="Cambria Math"/>
                    <w:szCs w:val="18"/>
                  </w:rPr>
                  <m:t>%</m:t>
                </m:r>
                <m:r>
                  <w:rPr>
                    <w:rFonts w:ascii="Cambria Math" w:hAnsi="Cambria Math"/>
                    <w:szCs w:val="18"/>
                  </w:rPr>
                  <m:t>SEP</m:t>
                </m:r>
                <m:r>
                  <w:rPr>
                    <w:rFonts w:ascii="Cambria Math"/>
                    <w:szCs w:val="18"/>
                  </w:rPr>
                  <m:t>=</m:t>
                </m:r>
                <m:f>
                  <m:fPr>
                    <m:ctrlPr>
                      <w:rPr>
                        <w:rFonts w:ascii="Cambria Math" w:hAnsi="Cambria Math"/>
                        <w:i/>
                        <w:szCs w:val="18"/>
                      </w:rPr>
                    </m:ctrlPr>
                  </m:fPr>
                  <m:num>
                    <m:r>
                      <w:rPr>
                        <w:rFonts w:ascii="Cambria Math"/>
                        <w:szCs w:val="18"/>
                      </w:rPr>
                      <m:t>100</m:t>
                    </m:r>
                  </m:num>
                  <m:den>
                    <m:r>
                      <w:rPr>
                        <w:rFonts w:ascii="Cambria Math" w:hAnsi="Cambria Math"/>
                        <w:szCs w:val="18"/>
                      </w:rPr>
                      <m:t>mean obs</m:t>
                    </m:r>
                  </m:den>
                </m:f>
                <m:rad>
                  <m:radPr>
                    <m:degHide m:val="1"/>
                    <m:ctrlPr>
                      <w:rPr>
                        <w:rFonts w:ascii="Cambria Math" w:hAnsi="Cambria Math"/>
                        <w:i/>
                        <w:szCs w:val="18"/>
                      </w:rPr>
                    </m:ctrlPr>
                  </m:radPr>
                  <m:deg/>
                  <m:e>
                    <m:f>
                      <m:fPr>
                        <m:ctrlPr>
                          <w:rPr>
                            <w:rFonts w:ascii="Cambria Math" w:hAnsi="Cambria Math"/>
                            <w:i/>
                            <w:szCs w:val="18"/>
                          </w:rPr>
                        </m:ctrlPr>
                      </m:fPr>
                      <m:num>
                        <m:nary>
                          <m:naryPr>
                            <m:chr m:val="∑"/>
                            <m:limLoc m:val="undOvr"/>
                            <m:subHide m:val="1"/>
                            <m:supHide m:val="1"/>
                            <m:ctrlPr>
                              <w:rPr>
                                <w:rFonts w:ascii="Cambria Math" w:hAnsi="Cambria Math"/>
                                <w:i/>
                                <w:szCs w:val="18"/>
                              </w:rPr>
                            </m:ctrlPr>
                          </m:naryPr>
                          <m:sub/>
                          <m:sup/>
                          <m:e>
                            <m:sSup>
                              <m:sSupPr>
                                <m:ctrlPr>
                                  <w:rPr>
                                    <w:rFonts w:ascii="Cambria Math" w:hAnsi="Cambria Math"/>
                                    <w:i/>
                                    <w:szCs w:val="18"/>
                                  </w:rPr>
                                </m:ctrlPr>
                              </m:sSupPr>
                              <m:e>
                                <m:r>
                                  <w:rPr>
                                    <w:rFonts w:ascii="Cambria Math"/>
                                    <w:szCs w:val="18"/>
                                  </w:rPr>
                                  <m:t>(</m:t>
                                </m:r>
                                <m:r>
                                  <w:rPr>
                                    <w:rFonts w:ascii="Cambria Math" w:hAnsi="Cambria Math"/>
                                    <w:szCs w:val="18"/>
                                  </w:rPr>
                                  <m:t>obs-pred</m:t>
                                </m:r>
                                <m:r>
                                  <w:rPr>
                                    <w:rFonts w:ascii="Cambria Math"/>
                                    <w:szCs w:val="18"/>
                                  </w:rPr>
                                  <m:t>)</m:t>
                                </m:r>
                              </m:e>
                              <m:sup>
                                <m:r>
                                  <w:rPr>
                                    <w:rFonts w:ascii="Cambria Math"/>
                                    <w:szCs w:val="18"/>
                                  </w:rPr>
                                  <m:t>2</m:t>
                                </m:r>
                              </m:sup>
                            </m:sSup>
                          </m:e>
                        </m:nary>
                      </m:num>
                      <m:den>
                        <m:sSub>
                          <m:sSubPr>
                            <m:ctrlPr>
                              <w:rPr>
                                <w:rFonts w:ascii="Cambria Math" w:hAnsi="Cambria Math"/>
                                <w:i/>
                                <w:szCs w:val="18"/>
                              </w:rPr>
                            </m:ctrlPr>
                          </m:sSubPr>
                          <m:e>
                            <m:r>
                              <w:rPr>
                                <w:rFonts w:ascii="Cambria Math" w:hAnsi="Cambria Math"/>
                                <w:szCs w:val="18"/>
                              </w:rPr>
                              <m:t>n</m:t>
                            </m:r>
                          </m:e>
                          <m:sub>
                            <m:r>
                              <w:rPr>
                                <w:rFonts w:ascii="Cambria Math" w:hAnsi="Cambria Math"/>
                                <w:szCs w:val="18"/>
                              </w:rPr>
                              <m:t>samples</m:t>
                            </m:r>
                          </m:sub>
                        </m:sSub>
                      </m:den>
                    </m:f>
                  </m:e>
                </m:rad>
              </m:oMath>
            </m:oMathPara>
          </w:p>
        </w:tc>
        <w:tc>
          <w:tcPr>
            <w:tcW w:w="801" w:type="dxa"/>
            <w:shd w:val="clear" w:color="auto" w:fill="auto"/>
            <w:vAlign w:val="center"/>
          </w:tcPr>
          <w:p w:rsidR="00A91441" w:rsidRPr="00E6491E" w:rsidRDefault="00A91441" w:rsidP="00752C73">
            <w:pPr>
              <w:pStyle w:val="CETEquation"/>
              <w:jc w:val="right"/>
            </w:pPr>
            <w:r w:rsidRPr="00E6491E">
              <w:t>(</w:t>
            </w:r>
            <w:r w:rsidR="00B97D49" w:rsidRPr="00E6491E">
              <w:t>6</w:t>
            </w:r>
            <w:r w:rsidRPr="00E6491E">
              <w:t>)</w:t>
            </w:r>
          </w:p>
        </w:tc>
      </w:tr>
    </w:tbl>
    <w:p w:rsidR="00536DC0" w:rsidRPr="00E6491E" w:rsidRDefault="00B97D49" w:rsidP="00536DC0">
      <w:pPr>
        <w:tabs>
          <w:tab w:val="clear" w:pos="7100"/>
        </w:tabs>
      </w:pPr>
      <w:r w:rsidRPr="00E6491E">
        <w:t>The bias factor (</w:t>
      </w:r>
      <w:r w:rsidRPr="003C111D">
        <w:rPr>
          <w:i/>
        </w:rPr>
        <w:t>B</w:t>
      </w:r>
      <w:r w:rsidRPr="003C111D">
        <w:rPr>
          <w:i/>
          <w:vertAlign w:val="subscript"/>
        </w:rPr>
        <w:t>f</w:t>
      </w:r>
      <w:r w:rsidRPr="00E6491E">
        <w:t>)</w:t>
      </w:r>
      <w:r w:rsidR="00B56365" w:rsidRPr="00E6491E">
        <w:t xml:space="preserve">, shown in </w:t>
      </w:r>
      <w:proofErr w:type="spellStart"/>
      <w:r w:rsidR="00B56365" w:rsidRPr="00E6491E">
        <w:t>Eq</w:t>
      </w:r>
      <w:proofErr w:type="spellEnd"/>
      <w:r w:rsidR="00B56365" w:rsidRPr="00E6491E">
        <w:t>(7),</w:t>
      </w:r>
      <w:r w:rsidRPr="00E6491E">
        <w:t xml:space="preserve"> is the parameter that best evaluates the model performance since it relates to the agreement between the predicted and observed values</w:t>
      </w:r>
      <w:r w:rsidR="007A7C10" w:rsidRPr="00E6491E">
        <w:t>,</w:t>
      </w:r>
      <w:r w:rsidRPr="00E6491E">
        <w:t xml:space="preserve"> being the better model performance when the </w:t>
      </w:r>
      <w:r w:rsidRPr="003C111D">
        <w:rPr>
          <w:i/>
        </w:rPr>
        <w:t>B</w:t>
      </w:r>
      <w:r w:rsidRPr="003C111D">
        <w:rPr>
          <w:i/>
          <w:vertAlign w:val="subscript"/>
        </w:rPr>
        <w:t>f</w:t>
      </w:r>
      <w:r w:rsidR="00E67467" w:rsidRPr="00E6491E">
        <w:t xml:space="preserve"> is close</w:t>
      </w:r>
      <w:r w:rsidR="000214B0" w:rsidRPr="00E6491E">
        <w:t>r</w:t>
      </w:r>
      <w:r w:rsidR="00E67467" w:rsidRPr="00E6491E">
        <w:t xml:space="preserve"> to 1</w:t>
      </w:r>
      <w:r w:rsidR="000B2638" w:rsidRPr="00E6491E">
        <w:rPr>
          <w:szCs w:val="18"/>
        </w:rPr>
        <w:t xml:space="preserve">, as </w:t>
      </w:r>
      <w:r w:rsidR="000B2638" w:rsidRPr="003C111D">
        <w:rPr>
          <w:i/>
          <w:szCs w:val="18"/>
        </w:rPr>
        <w:t>B</w:t>
      </w:r>
      <w:r w:rsidR="000B2638" w:rsidRPr="003C111D">
        <w:rPr>
          <w:i/>
          <w:szCs w:val="18"/>
          <w:vertAlign w:val="subscript"/>
        </w:rPr>
        <w:t>f</w:t>
      </w:r>
      <w:r w:rsidR="000B2638" w:rsidRPr="003C111D">
        <w:rPr>
          <w:i/>
          <w:szCs w:val="18"/>
        </w:rPr>
        <w:t xml:space="preserve"> </w:t>
      </w:r>
      <w:r w:rsidR="000B2638" w:rsidRPr="00E6491E">
        <w:rPr>
          <w:szCs w:val="18"/>
        </w:rPr>
        <w:t>˃</w:t>
      </w:r>
      <w:r w:rsidR="003C111D">
        <w:rPr>
          <w:szCs w:val="18"/>
        </w:rPr>
        <w:t xml:space="preserve"> </w:t>
      </w:r>
      <w:r w:rsidR="000B2638" w:rsidRPr="00E6491E">
        <w:rPr>
          <w:szCs w:val="18"/>
        </w:rPr>
        <w:t xml:space="preserve">1 indicates how much a model overpredict the observed data and  </w:t>
      </w:r>
      <w:r w:rsidR="000B2638" w:rsidRPr="003C111D">
        <w:rPr>
          <w:i/>
          <w:szCs w:val="18"/>
        </w:rPr>
        <w:t>B</w:t>
      </w:r>
      <w:r w:rsidR="000B2638" w:rsidRPr="003C111D">
        <w:rPr>
          <w:i/>
          <w:szCs w:val="18"/>
          <w:vertAlign w:val="subscript"/>
        </w:rPr>
        <w:t>f</w:t>
      </w:r>
      <w:r w:rsidR="000B2638" w:rsidRPr="00E6491E">
        <w:rPr>
          <w:szCs w:val="18"/>
        </w:rPr>
        <w:t xml:space="preserve"> ˂</w:t>
      </w:r>
      <w:r w:rsidR="003C111D">
        <w:rPr>
          <w:szCs w:val="18"/>
        </w:rPr>
        <w:t xml:space="preserve"> </w:t>
      </w:r>
      <w:r w:rsidR="000B2638" w:rsidRPr="00E6491E">
        <w:rPr>
          <w:szCs w:val="18"/>
        </w:rPr>
        <w:t>1 how underpredict it</w:t>
      </w:r>
      <w:r w:rsidR="00E67467" w:rsidRPr="00E6491E">
        <w:t>.</w:t>
      </w:r>
      <w:r w:rsidRPr="00E6491E">
        <w:t xml:space="preserve"> The accuracy factor (</w:t>
      </w:r>
      <w:proofErr w:type="spellStart"/>
      <w:r w:rsidRPr="003C111D">
        <w:rPr>
          <w:i/>
        </w:rPr>
        <w:t>A</w:t>
      </w:r>
      <w:r w:rsidRPr="003C111D">
        <w:rPr>
          <w:i/>
          <w:vertAlign w:val="subscript"/>
        </w:rPr>
        <w:t>f</w:t>
      </w:r>
      <w:proofErr w:type="spellEnd"/>
      <w:r w:rsidRPr="00E6491E">
        <w:t>)</w:t>
      </w:r>
      <w:r w:rsidR="00B56365" w:rsidRPr="00E6491E">
        <w:t xml:space="preserve">, represented in </w:t>
      </w:r>
      <w:proofErr w:type="spellStart"/>
      <w:r w:rsidR="00B56365" w:rsidRPr="00E6491E">
        <w:t>Eq</w:t>
      </w:r>
      <w:proofErr w:type="spellEnd"/>
      <w:r w:rsidR="00B56365" w:rsidRPr="00E6491E">
        <w:t xml:space="preserve"> (8),</w:t>
      </w:r>
      <w:r w:rsidRPr="00E6491E">
        <w:t xml:space="preserve"> indicates the average difference between the predicted and observed data, and thus, the smaller the mean, the more appropriate is the model</w:t>
      </w:r>
      <w:r w:rsidR="00B56365" w:rsidRPr="00E6491E">
        <w:t xml:space="preserve"> (Santos et al., 2018)</w:t>
      </w:r>
      <w:r w:rsidRPr="00E6491E">
        <w:t>.</w:t>
      </w:r>
    </w:p>
    <w:tbl>
      <w:tblPr>
        <w:tblW w:w="5000" w:type="pct"/>
        <w:tblLook w:val="04A0" w:firstRow="1" w:lastRow="0" w:firstColumn="1" w:lastColumn="0" w:noHBand="0" w:noVBand="1"/>
      </w:tblPr>
      <w:tblGrid>
        <w:gridCol w:w="7986"/>
        <w:gridCol w:w="801"/>
      </w:tblGrid>
      <w:tr w:rsidR="00B97D49" w:rsidRPr="00E6491E" w:rsidTr="00752C73">
        <w:tc>
          <w:tcPr>
            <w:tcW w:w="7986" w:type="dxa"/>
            <w:shd w:val="clear" w:color="auto" w:fill="auto"/>
            <w:vAlign w:val="center"/>
          </w:tcPr>
          <w:p w:rsidR="00B97D49" w:rsidRPr="00E6491E" w:rsidRDefault="00644CC1" w:rsidP="00752C73">
            <w:pPr>
              <w:pStyle w:val="CETEquation"/>
              <w:rPr>
                <w:szCs w:val="18"/>
              </w:rPr>
            </w:pPr>
            <m:oMathPara>
              <m:oMathParaPr>
                <m:jc m:val="left"/>
              </m:oMathParaPr>
              <m:oMath>
                <m:sSub>
                  <m:sSubPr>
                    <m:ctrlPr>
                      <w:rPr>
                        <w:rFonts w:ascii="Cambria Math" w:hAnsi="Cambria Math"/>
                        <w:i/>
                        <w:szCs w:val="18"/>
                      </w:rPr>
                    </m:ctrlPr>
                  </m:sSubPr>
                  <m:e>
                    <m:r>
                      <w:rPr>
                        <w:rFonts w:ascii="Cambria Math" w:hAnsi="Cambria Math"/>
                        <w:szCs w:val="18"/>
                      </w:rPr>
                      <m:t>B</m:t>
                    </m:r>
                  </m:e>
                  <m:sub>
                    <m:r>
                      <w:rPr>
                        <w:rFonts w:ascii="Cambria Math" w:hAnsi="Cambria Math"/>
                        <w:szCs w:val="18"/>
                      </w:rPr>
                      <m:t>f</m:t>
                    </m:r>
                  </m:sub>
                </m:sSub>
                <m:r>
                  <w:rPr>
                    <w:rFonts w:ascii="Cambria Math"/>
                    <w:szCs w:val="18"/>
                  </w:rPr>
                  <m:t>=</m:t>
                </m:r>
                <m:sSup>
                  <m:sSupPr>
                    <m:ctrlPr>
                      <w:rPr>
                        <w:rFonts w:ascii="Cambria Math" w:hAnsi="Cambria Math"/>
                        <w:i/>
                        <w:szCs w:val="18"/>
                      </w:rPr>
                    </m:ctrlPr>
                  </m:sSupPr>
                  <m:e>
                    <m:r>
                      <w:rPr>
                        <w:rFonts w:ascii="Cambria Math"/>
                        <w:szCs w:val="18"/>
                      </w:rPr>
                      <m:t>10</m:t>
                    </m:r>
                  </m:e>
                  <m:sup>
                    <m:d>
                      <m:dPr>
                        <m:begChr m:val="["/>
                        <m:endChr m:val="]"/>
                        <m:ctrlPr>
                          <w:rPr>
                            <w:rFonts w:ascii="Cambria Math" w:hAnsi="Cambria Math"/>
                            <w:i/>
                            <w:szCs w:val="18"/>
                          </w:rPr>
                        </m:ctrlPr>
                      </m:dPr>
                      <m:e>
                        <m:f>
                          <m:fPr>
                            <m:ctrlPr>
                              <w:rPr>
                                <w:rFonts w:ascii="Cambria Math" w:hAnsi="Cambria Math"/>
                                <w:i/>
                                <w:szCs w:val="18"/>
                              </w:rPr>
                            </m:ctrlPr>
                          </m:fPr>
                          <m:num>
                            <m:nary>
                              <m:naryPr>
                                <m:chr m:val="∑"/>
                                <m:limLoc m:val="undOvr"/>
                                <m:subHide m:val="1"/>
                                <m:supHide m:val="1"/>
                                <m:ctrlPr>
                                  <w:rPr>
                                    <w:rFonts w:ascii="Cambria Math" w:hAnsi="Cambria Math"/>
                                    <w:i/>
                                    <w:szCs w:val="18"/>
                                  </w:rPr>
                                </m:ctrlPr>
                              </m:naryPr>
                              <m:sub/>
                              <m:sup/>
                              <m:e>
                                <m:r>
                                  <m:rPr>
                                    <m:sty m:val="p"/>
                                  </m:rPr>
                                  <w:rPr>
                                    <w:rFonts w:ascii="Cambria Math"/>
                                    <w:szCs w:val="18"/>
                                  </w:rPr>
                                  <m:t>log</m:t>
                                </m:r>
                                <m:r>
                                  <m:rPr>
                                    <m:sty m:val="p"/>
                                  </m:rPr>
                                  <w:rPr>
                                    <w:rFonts w:ascii="Cambria Math" w:hAnsi="Cambria Math"/>
                                    <w:szCs w:val="18"/>
                                  </w:rPr>
                                  <m:t>⁡</m:t>
                                </m:r>
                                <m:d>
                                  <m:dPr>
                                    <m:ctrlPr>
                                      <w:rPr>
                                        <w:rFonts w:ascii="Cambria Math" w:hAnsi="Cambria Math"/>
                                        <w:szCs w:val="18"/>
                                      </w:rPr>
                                    </m:ctrlPr>
                                  </m:dPr>
                                  <m:e>
                                    <m:f>
                                      <m:fPr>
                                        <m:ctrlPr>
                                          <w:rPr>
                                            <w:rFonts w:ascii="Cambria Math" w:hAnsi="Cambria Math"/>
                                            <w:szCs w:val="18"/>
                                          </w:rPr>
                                        </m:ctrlPr>
                                      </m:fPr>
                                      <m:num>
                                        <m:r>
                                          <m:rPr>
                                            <m:sty m:val="p"/>
                                          </m:rPr>
                                          <w:rPr>
                                            <w:rFonts w:ascii="Cambria Math"/>
                                            <w:szCs w:val="18"/>
                                          </w:rPr>
                                          <m:t>pred</m:t>
                                        </m:r>
                                      </m:num>
                                      <m:den>
                                        <m:r>
                                          <m:rPr>
                                            <m:sty m:val="p"/>
                                          </m:rPr>
                                          <w:rPr>
                                            <w:rFonts w:ascii="Cambria Math"/>
                                            <w:szCs w:val="18"/>
                                          </w:rPr>
                                          <m:t>obs</m:t>
                                        </m:r>
                                      </m:den>
                                    </m:f>
                                  </m:e>
                                </m:d>
                              </m:e>
                            </m:nary>
                          </m:num>
                          <m:den>
                            <m:sSub>
                              <m:sSubPr>
                                <m:ctrlPr>
                                  <w:rPr>
                                    <w:rFonts w:ascii="Cambria Math" w:hAnsi="Cambria Math"/>
                                    <w:i/>
                                    <w:szCs w:val="18"/>
                                  </w:rPr>
                                </m:ctrlPr>
                              </m:sSubPr>
                              <m:e>
                                <m:r>
                                  <w:rPr>
                                    <w:rFonts w:ascii="Cambria Math" w:hAnsi="Cambria Math"/>
                                    <w:szCs w:val="18"/>
                                  </w:rPr>
                                  <m:t>n</m:t>
                                </m:r>
                              </m:e>
                              <m:sub>
                                <m:r>
                                  <w:rPr>
                                    <w:rFonts w:ascii="Cambria Math" w:hAnsi="Cambria Math"/>
                                    <w:szCs w:val="18"/>
                                  </w:rPr>
                                  <m:t>observations</m:t>
                                </m:r>
                              </m:sub>
                            </m:sSub>
                          </m:den>
                        </m:f>
                      </m:e>
                    </m:d>
                  </m:sup>
                </m:sSup>
              </m:oMath>
            </m:oMathPara>
          </w:p>
          <w:p w:rsidR="000B2638" w:rsidRPr="00E6491E" w:rsidRDefault="000B2638" w:rsidP="000B2638">
            <w:pPr>
              <w:pStyle w:val="CETBodytext"/>
              <w:rPr>
                <w:lang w:val="en-GB"/>
              </w:rPr>
            </w:pPr>
          </w:p>
        </w:tc>
        <w:tc>
          <w:tcPr>
            <w:tcW w:w="801" w:type="dxa"/>
            <w:shd w:val="clear" w:color="auto" w:fill="auto"/>
            <w:vAlign w:val="center"/>
          </w:tcPr>
          <w:p w:rsidR="00B97D49" w:rsidRPr="00E6491E" w:rsidRDefault="00B97D49" w:rsidP="00752C73">
            <w:pPr>
              <w:pStyle w:val="CETEquation"/>
              <w:jc w:val="right"/>
            </w:pPr>
            <w:r w:rsidRPr="00E6491E">
              <w:t>(7)</w:t>
            </w:r>
          </w:p>
        </w:tc>
      </w:tr>
      <w:tr w:rsidR="00B97D49" w:rsidRPr="00B57B36" w:rsidTr="00B97D49">
        <w:tc>
          <w:tcPr>
            <w:tcW w:w="7986" w:type="dxa"/>
            <w:shd w:val="clear" w:color="auto" w:fill="auto"/>
            <w:vAlign w:val="center"/>
          </w:tcPr>
          <w:p w:rsidR="00B97D49" w:rsidRPr="00E6491E" w:rsidRDefault="00644CC1" w:rsidP="00752C73">
            <w:pPr>
              <w:pStyle w:val="CETEquation"/>
              <w:rPr>
                <w:rFonts w:ascii="Cambria Math" w:hAnsi="Cambria Math"/>
                <w:szCs w:val="18"/>
                <w:oMath/>
              </w:rPr>
            </w:pPr>
            <m:oMathPara>
              <m:oMathParaPr>
                <m:jc m:val="left"/>
              </m:oMathParaPr>
              <m:oMath>
                <m:sSub>
                  <m:sSubPr>
                    <m:ctrlPr>
                      <w:rPr>
                        <w:rFonts w:ascii="Cambria Math" w:hAnsi="Cambria Math"/>
                        <w:i/>
                        <w:szCs w:val="18"/>
                      </w:rPr>
                    </m:ctrlPr>
                  </m:sSubPr>
                  <m:e>
                    <m:r>
                      <w:rPr>
                        <w:rFonts w:ascii="Cambria Math" w:hAnsi="Cambria Math"/>
                        <w:szCs w:val="18"/>
                      </w:rPr>
                      <m:t>A</m:t>
                    </m:r>
                  </m:e>
                  <m:sub>
                    <m:r>
                      <w:rPr>
                        <w:rFonts w:ascii="Cambria Math" w:hAnsi="Cambria Math"/>
                        <w:szCs w:val="18"/>
                      </w:rPr>
                      <m:t>f</m:t>
                    </m:r>
                  </m:sub>
                </m:sSub>
                <m:r>
                  <w:rPr>
                    <w:rFonts w:ascii="Cambria Math"/>
                    <w:szCs w:val="18"/>
                  </w:rPr>
                  <m:t>=</m:t>
                </m:r>
                <m:sSup>
                  <m:sSupPr>
                    <m:ctrlPr>
                      <w:rPr>
                        <w:rFonts w:ascii="Cambria Math" w:hAnsi="Cambria Math"/>
                        <w:i/>
                        <w:szCs w:val="18"/>
                      </w:rPr>
                    </m:ctrlPr>
                  </m:sSupPr>
                  <m:e>
                    <m:r>
                      <w:rPr>
                        <w:rFonts w:ascii="Cambria Math"/>
                        <w:szCs w:val="18"/>
                      </w:rPr>
                      <m:t>10</m:t>
                    </m:r>
                  </m:e>
                  <m:sup>
                    <m:d>
                      <m:dPr>
                        <m:begChr m:val="["/>
                        <m:endChr m:val="]"/>
                        <m:ctrlPr>
                          <w:rPr>
                            <w:rFonts w:ascii="Cambria Math" w:hAnsi="Cambria Math"/>
                            <w:i/>
                            <w:szCs w:val="18"/>
                          </w:rPr>
                        </m:ctrlPr>
                      </m:dPr>
                      <m:e>
                        <m:f>
                          <m:fPr>
                            <m:ctrlPr>
                              <w:rPr>
                                <w:rFonts w:ascii="Cambria Math" w:hAnsi="Cambria Math"/>
                                <w:i/>
                                <w:szCs w:val="18"/>
                              </w:rPr>
                            </m:ctrlPr>
                          </m:fPr>
                          <m:num>
                            <m:nary>
                              <m:naryPr>
                                <m:chr m:val="∑"/>
                                <m:limLoc m:val="undOvr"/>
                                <m:subHide m:val="1"/>
                                <m:supHide m:val="1"/>
                                <m:ctrlPr>
                                  <w:rPr>
                                    <w:rFonts w:ascii="Cambria Math" w:hAnsi="Cambria Math"/>
                                    <w:i/>
                                    <w:szCs w:val="18"/>
                                  </w:rPr>
                                </m:ctrlPr>
                              </m:naryPr>
                              <m:sub/>
                              <m:sup/>
                              <m:e>
                                <m:d>
                                  <m:dPr>
                                    <m:begChr m:val="|"/>
                                    <m:endChr m:val="|"/>
                                    <m:ctrlPr>
                                      <w:rPr>
                                        <w:rFonts w:ascii="Cambria Math" w:hAnsi="Cambria Math"/>
                                        <w:szCs w:val="18"/>
                                      </w:rPr>
                                    </m:ctrlPr>
                                  </m:dPr>
                                  <m:e>
                                    <m:r>
                                      <m:rPr>
                                        <m:sty m:val="p"/>
                                      </m:rPr>
                                      <w:rPr>
                                        <w:rFonts w:ascii="Cambria Math"/>
                                        <w:szCs w:val="18"/>
                                      </w:rPr>
                                      <m:t>log</m:t>
                                    </m:r>
                                    <m:r>
                                      <m:rPr>
                                        <m:sty m:val="p"/>
                                      </m:rPr>
                                      <w:rPr>
                                        <w:rFonts w:ascii="Cambria Math" w:hAnsi="Cambria Math"/>
                                        <w:szCs w:val="18"/>
                                      </w:rPr>
                                      <m:t>⁡</m:t>
                                    </m:r>
                                    <m:d>
                                      <m:dPr>
                                        <m:ctrlPr>
                                          <w:rPr>
                                            <w:rFonts w:ascii="Cambria Math" w:hAnsi="Cambria Math"/>
                                            <w:szCs w:val="18"/>
                                          </w:rPr>
                                        </m:ctrlPr>
                                      </m:dPr>
                                      <m:e>
                                        <m:f>
                                          <m:fPr>
                                            <m:ctrlPr>
                                              <w:rPr>
                                                <w:rFonts w:ascii="Cambria Math" w:hAnsi="Cambria Math"/>
                                                <w:szCs w:val="18"/>
                                              </w:rPr>
                                            </m:ctrlPr>
                                          </m:fPr>
                                          <m:num>
                                            <m:r>
                                              <m:rPr>
                                                <m:sty m:val="p"/>
                                              </m:rPr>
                                              <w:rPr>
                                                <w:rFonts w:ascii="Cambria Math"/>
                                                <w:szCs w:val="18"/>
                                              </w:rPr>
                                              <m:t>pred</m:t>
                                            </m:r>
                                          </m:num>
                                          <m:den>
                                            <m:r>
                                              <m:rPr>
                                                <m:sty m:val="p"/>
                                              </m:rPr>
                                              <w:rPr>
                                                <w:rFonts w:ascii="Cambria Math"/>
                                                <w:szCs w:val="18"/>
                                              </w:rPr>
                                              <m:t>obs</m:t>
                                            </m:r>
                                          </m:den>
                                        </m:f>
                                      </m:e>
                                    </m:d>
                                  </m:e>
                                </m:d>
                              </m:e>
                            </m:nary>
                          </m:num>
                          <m:den>
                            <m:sSub>
                              <m:sSubPr>
                                <m:ctrlPr>
                                  <w:rPr>
                                    <w:rFonts w:ascii="Cambria Math" w:hAnsi="Cambria Math"/>
                                    <w:i/>
                                    <w:szCs w:val="18"/>
                                  </w:rPr>
                                </m:ctrlPr>
                              </m:sSubPr>
                              <m:e>
                                <m:r>
                                  <w:rPr>
                                    <w:rFonts w:ascii="Cambria Math" w:hAnsi="Cambria Math"/>
                                    <w:szCs w:val="18"/>
                                  </w:rPr>
                                  <m:t>n</m:t>
                                </m:r>
                              </m:e>
                              <m:sub>
                                <m:r>
                                  <w:rPr>
                                    <w:rFonts w:ascii="Cambria Math" w:hAnsi="Cambria Math"/>
                                    <w:szCs w:val="18"/>
                                  </w:rPr>
                                  <m:t>observations</m:t>
                                </m:r>
                              </m:sub>
                            </m:sSub>
                          </m:den>
                        </m:f>
                      </m:e>
                    </m:d>
                  </m:sup>
                </m:sSup>
              </m:oMath>
            </m:oMathPara>
          </w:p>
        </w:tc>
        <w:tc>
          <w:tcPr>
            <w:tcW w:w="801" w:type="dxa"/>
            <w:shd w:val="clear" w:color="auto" w:fill="auto"/>
            <w:vAlign w:val="center"/>
          </w:tcPr>
          <w:p w:rsidR="00B97D49" w:rsidRPr="00B57B36" w:rsidRDefault="00B97D49" w:rsidP="00752C73">
            <w:pPr>
              <w:pStyle w:val="CETEquation"/>
              <w:jc w:val="right"/>
            </w:pPr>
            <w:r w:rsidRPr="00E6491E">
              <w:t>(8)</w:t>
            </w:r>
          </w:p>
        </w:tc>
      </w:tr>
    </w:tbl>
    <w:p w:rsidR="000B2638" w:rsidRDefault="000B2638" w:rsidP="00536DC0">
      <w:pPr>
        <w:tabs>
          <w:tab w:val="clear" w:pos="7100"/>
        </w:tabs>
        <w:rPr>
          <w:rFonts w:eastAsiaTheme="minorHAnsi" w:cs="Arial"/>
          <w:szCs w:val="18"/>
          <w:lang w:val="en-US"/>
        </w:rPr>
      </w:pPr>
    </w:p>
    <w:p w:rsidR="007E7F00" w:rsidRPr="000B2638" w:rsidRDefault="00536DC0" w:rsidP="000B2638">
      <w:pPr>
        <w:tabs>
          <w:tab w:val="clear" w:pos="7100"/>
        </w:tabs>
        <w:rPr>
          <w:rFonts w:eastAsiaTheme="minorHAnsi" w:cs="Arial"/>
          <w:szCs w:val="18"/>
          <w:lang w:val="en-US"/>
        </w:rPr>
      </w:pPr>
      <w:r w:rsidRPr="00E6491E">
        <w:rPr>
          <w:rFonts w:eastAsiaTheme="minorHAnsi" w:cs="Arial"/>
          <w:szCs w:val="18"/>
          <w:lang w:val="en-US"/>
        </w:rPr>
        <w:t xml:space="preserve">The effective diffusivity </w:t>
      </w:r>
      <w:r w:rsidR="00851AEC" w:rsidRPr="00E6491E">
        <w:rPr>
          <w:rFonts w:eastAsiaTheme="minorHAnsi" w:cs="Arial"/>
          <w:szCs w:val="18"/>
          <w:lang w:val="en-US"/>
        </w:rPr>
        <w:t>(</w:t>
      </w:r>
      <w:r w:rsidR="00851AEC" w:rsidRPr="003C111D">
        <w:rPr>
          <w:rFonts w:eastAsiaTheme="minorHAnsi" w:cs="Arial"/>
          <w:i/>
          <w:szCs w:val="18"/>
          <w:lang w:val="en-US"/>
        </w:rPr>
        <w:t>D</w:t>
      </w:r>
      <w:r w:rsidR="00851AEC" w:rsidRPr="003C111D">
        <w:rPr>
          <w:rFonts w:eastAsiaTheme="minorHAnsi" w:cs="Arial"/>
          <w:i/>
          <w:szCs w:val="18"/>
          <w:vertAlign w:val="subscript"/>
          <w:lang w:val="en-US"/>
        </w:rPr>
        <w:t>ef</w:t>
      </w:r>
      <w:r w:rsidR="00851AEC" w:rsidRPr="00E6491E">
        <w:rPr>
          <w:rFonts w:eastAsiaTheme="minorHAnsi" w:cs="Arial"/>
          <w:szCs w:val="18"/>
          <w:lang w:val="en-US"/>
        </w:rPr>
        <w:t>)</w:t>
      </w:r>
      <w:r w:rsidR="000B2638" w:rsidRPr="00E6491E">
        <w:rPr>
          <w:rFonts w:eastAsiaTheme="minorHAnsi" w:cs="Arial"/>
          <w:szCs w:val="18"/>
          <w:lang w:val="en-US"/>
        </w:rPr>
        <w:t>, function of temperature and material moisture content, is an important</w:t>
      </w:r>
      <w:r w:rsidR="00A00EB7" w:rsidRPr="00E6491E">
        <w:rPr>
          <w:rFonts w:eastAsiaTheme="minorHAnsi" w:cs="Arial"/>
          <w:szCs w:val="18"/>
          <w:lang w:val="en-US"/>
        </w:rPr>
        <w:t xml:space="preserve"> mass</w:t>
      </w:r>
      <w:r w:rsidR="000B2638" w:rsidRPr="00E6491E">
        <w:rPr>
          <w:rFonts w:eastAsiaTheme="minorHAnsi" w:cs="Arial"/>
          <w:szCs w:val="18"/>
          <w:lang w:val="en-US"/>
        </w:rPr>
        <w:t xml:space="preserve"> transport property in the modeling of the drying process of fruits. It </w:t>
      </w:r>
      <w:r w:rsidRPr="00E6491E">
        <w:rPr>
          <w:rFonts w:eastAsiaTheme="minorHAnsi" w:cs="Arial"/>
          <w:szCs w:val="18"/>
          <w:lang w:val="en-US"/>
        </w:rPr>
        <w:t>was calculated by the Solver tool in Excel®, using the equation proposed by Fick's second law, with solution for flat plate geometry</w:t>
      </w:r>
      <w:r w:rsidR="007A7C10" w:rsidRPr="00E6491E">
        <w:rPr>
          <w:rFonts w:eastAsiaTheme="minorHAnsi" w:cs="Arial"/>
          <w:szCs w:val="18"/>
          <w:lang w:val="en-US"/>
        </w:rPr>
        <w:t xml:space="preserve">, according to </w:t>
      </w:r>
      <w:proofErr w:type="gramStart"/>
      <w:r w:rsidR="007A7C10" w:rsidRPr="00E6491E">
        <w:rPr>
          <w:rFonts w:eastAsiaTheme="minorHAnsi" w:cs="Arial"/>
          <w:szCs w:val="18"/>
          <w:lang w:val="en-US"/>
        </w:rPr>
        <w:t>Eq(</w:t>
      </w:r>
      <w:proofErr w:type="gramEnd"/>
      <w:r w:rsidR="007A7C10" w:rsidRPr="00E6491E">
        <w:rPr>
          <w:rFonts w:eastAsiaTheme="minorHAnsi" w:cs="Arial"/>
          <w:szCs w:val="18"/>
          <w:lang w:val="en-US"/>
        </w:rPr>
        <w:t>9)</w:t>
      </w:r>
      <w:r w:rsidR="006406E6" w:rsidRPr="00E6491E">
        <w:rPr>
          <w:rFonts w:eastAsiaTheme="minorHAnsi" w:cs="Arial"/>
          <w:szCs w:val="18"/>
          <w:lang w:val="en-US"/>
        </w:rPr>
        <w:t xml:space="preserve">, where </w:t>
      </w:r>
      <w:r w:rsidR="006406E6" w:rsidRPr="00E6491E">
        <w:rPr>
          <w:rFonts w:eastAsiaTheme="minorHAnsi" w:cs="Arial"/>
          <w:i/>
          <w:szCs w:val="18"/>
          <w:lang w:val="en-US"/>
        </w:rPr>
        <w:t>L</w:t>
      </w:r>
      <w:r w:rsidR="006406E6" w:rsidRPr="00E6491E">
        <w:rPr>
          <w:rFonts w:eastAsiaTheme="minorHAnsi" w:cs="Arial"/>
          <w:szCs w:val="18"/>
          <w:lang w:val="en-US"/>
        </w:rPr>
        <w:t xml:space="preserve"> is the length (mm)</w:t>
      </w:r>
      <w:r w:rsidR="00F47017" w:rsidRPr="00E6491E">
        <w:rPr>
          <w:rFonts w:eastAsiaTheme="minorHAnsi" w:cs="Arial"/>
          <w:szCs w:val="18"/>
          <w:lang w:val="en-US"/>
        </w:rPr>
        <w:t>.</w:t>
      </w:r>
    </w:p>
    <w:tbl>
      <w:tblPr>
        <w:tblW w:w="5000" w:type="pct"/>
        <w:tblLook w:val="04A0" w:firstRow="1" w:lastRow="0" w:firstColumn="1" w:lastColumn="0" w:noHBand="0" w:noVBand="1"/>
      </w:tblPr>
      <w:tblGrid>
        <w:gridCol w:w="7983"/>
        <w:gridCol w:w="804"/>
      </w:tblGrid>
      <w:tr w:rsidR="007A7C10" w:rsidRPr="00B57B36" w:rsidTr="00847899">
        <w:tc>
          <w:tcPr>
            <w:tcW w:w="7983" w:type="dxa"/>
            <w:shd w:val="clear" w:color="auto" w:fill="auto"/>
            <w:vAlign w:val="center"/>
          </w:tcPr>
          <w:p w:rsidR="007A7C10" w:rsidRPr="00EC2F91" w:rsidRDefault="00644CC1" w:rsidP="00EC2F91">
            <w:pPr>
              <w:pStyle w:val="CETEquation"/>
              <w:jc w:val="both"/>
              <w:rPr>
                <w:lang w:val="en-US"/>
              </w:rPr>
            </w:pPr>
            <m:oMathPara>
              <m:oMathParaPr>
                <m:jc m:val="left"/>
              </m:oMathParaPr>
              <m:oMath>
                <m:func>
                  <m:funcPr>
                    <m:ctrlPr>
                      <w:rPr>
                        <w:rFonts w:ascii="Cambria Math" w:hAnsi="Cambria Math" w:cs="Cambria Math"/>
                        <w:szCs w:val="18"/>
                        <w:lang w:val="en-US"/>
                      </w:rPr>
                    </m:ctrlPr>
                  </m:funcPr>
                  <m:fName>
                    <m:r>
                      <m:rPr>
                        <m:sty m:val="p"/>
                      </m:rPr>
                      <w:rPr>
                        <w:rFonts w:ascii="Cambria Math"/>
                        <w:szCs w:val="18"/>
                        <w:lang w:val="en-US"/>
                      </w:rPr>
                      <m:t>ln</m:t>
                    </m:r>
                    <m:ctrlPr>
                      <w:rPr>
                        <w:rFonts w:ascii="Cambria Math" w:hAnsi="Cambria Math"/>
                        <w:szCs w:val="18"/>
                        <w:lang w:val="en-US"/>
                      </w:rPr>
                    </m:ctrlPr>
                  </m:fName>
                  <m:e>
                    <m:r>
                      <w:rPr>
                        <w:rFonts w:ascii="Cambria Math"/>
                        <w:szCs w:val="18"/>
                        <w:lang w:val="en-US"/>
                      </w:rPr>
                      <m:t>RM</m:t>
                    </m:r>
                  </m:e>
                </m:func>
                <m:r>
                  <m:rPr>
                    <m:sty m:val="p"/>
                  </m:rPr>
                  <w:rPr>
                    <w:rFonts w:ascii="Cambria Math"/>
                    <w:szCs w:val="18"/>
                    <w:lang w:val="en-US"/>
                  </w:rPr>
                  <m:t>=</m:t>
                </m:r>
                <m:func>
                  <m:funcPr>
                    <m:ctrlPr>
                      <w:rPr>
                        <w:rFonts w:ascii="Cambria Math" w:hAnsi="Cambria Math" w:cs="Cambria Math"/>
                        <w:szCs w:val="18"/>
                        <w:lang w:val="en-US"/>
                      </w:rPr>
                    </m:ctrlPr>
                  </m:funcPr>
                  <m:fName>
                    <m:r>
                      <m:rPr>
                        <m:sty m:val="p"/>
                      </m:rPr>
                      <w:rPr>
                        <w:rFonts w:ascii="Cambria Math"/>
                        <w:szCs w:val="18"/>
                        <w:lang w:val="en-US"/>
                      </w:rPr>
                      <m:t>ln</m:t>
                    </m:r>
                    <m:ctrlPr>
                      <w:rPr>
                        <w:rFonts w:ascii="Cambria Math" w:hAnsi="Cambria Math"/>
                        <w:szCs w:val="18"/>
                        <w:lang w:val="en-US"/>
                      </w:rPr>
                    </m:ctrlPr>
                  </m:fName>
                  <m:e>
                    <m:f>
                      <m:fPr>
                        <m:ctrlPr>
                          <w:rPr>
                            <w:rFonts w:ascii="Cambria Math" w:hAnsi="Cambria Math"/>
                            <w:i/>
                            <w:szCs w:val="18"/>
                          </w:rPr>
                        </m:ctrlPr>
                      </m:fPr>
                      <m:num>
                        <m:sSub>
                          <m:sSubPr>
                            <m:ctrlPr>
                              <w:rPr>
                                <w:rFonts w:ascii="Cambria Math" w:hAnsi="Cambria Math"/>
                                <w:i/>
                                <w:szCs w:val="18"/>
                              </w:rPr>
                            </m:ctrlPr>
                          </m:sSubPr>
                          <m:e>
                            <m:r>
                              <w:rPr>
                                <w:rFonts w:ascii="Cambria Math"/>
                                <w:szCs w:val="18"/>
                                <w:lang w:val="en-US"/>
                              </w:rPr>
                              <m:t>X</m:t>
                            </m:r>
                          </m:e>
                          <m:sub>
                            <m:r>
                              <w:rPr>
                                <w:rFonts w:ascii="Cambria Math"/>
                                <w:szCs w:val="18"/>
                                <w:lang w:val="en-US"/>
                              </w:rPr>
                              <m:t>(t)</m:t>
                            </m:r>
                          </m:sub>
                        </m:sSub>
                        <m:r>
                          <w:rPr>
                            <w:rFonts w:ascii="Cambria Math"/>
                            <w:szCs w:val="18"/>
                            <w:lang w:val="en-US"/>
                          </w:rPr>
                          <m:t>-</m:t>
                        </m:r>
                        <m:sSub>
                          <m:sSubPr>
                            <m:ctrlPr>
                              <w:rPr>
                                <w:rFonts w:ascii="Cambria Math" w:hAnsi="Cambria Math"/>
                                <w:i/>
                                <w:szCs w:val="18"/>
                              </w:rPr>
                            </m:ctrlPr>
                          </m:sSubPr>
                          <m:e>
                            <m:r>
                              <w:rPr>
                                <w:rFonts w:ascii="Cambria Math"/>
                                <w:szCs w:val="18"/>
                                <w:lang w:val="en-US"/>
                              </w:rPr>
                              <m:t>X</m:t>
                            </m:r>
                          </m:e>
                          <m:sub>
                            <m:r>
                              <w:rPr>
                                <w:rFonts w:ascii="Cambria Math"/>
                                <w:szCs w:val="18"/>
                                <w:lang w:val="en-US"/>
                              </w:rPr>
                              <m:t>eq</m:t>
                            </m:r>
                          </m:sub>
                        </m:sSub>
                      </m:num>
                      <m:den>
                        <m:sSub>
                          <m:sSubPr>
                            <m:ctrlPr>
                              <w:rPr>
                                <w:rFonts w:ascii="Cambria Math" w:hAnsi="Cambria Math"/>
                                <w:i/>
                                <w:szCs w:val="18"/>
                              </w:rPr>
                            </m:ctrlPr>
                          </m:sSubPr>
                          <m:e>
                            <m:r>
                              <w:rPr>
                                <w:rFonts w:ascii="Cambria Math"/>
                                <w:szCs w:val="18"/>
                                <w:lang w:val="en-US"/>
                              </w:rPr>
                              <m:t>X</m:t>
                            </m:r>
                          </m:e>
                          <m:sub>
                            <m:r>
                              <w:rPr>
                                <w:rFonts w:ascii="Cambria Math"/>
                                <w:szCs w:val="18"/>
                                <w:lang w:val="en-US"/>
                              </w:rPr>
                              <m:t>0</m:t>
                            </m:r>
                          </m:sub>
                        </m:sSub>
                        <m:r>
                          <w:rPr>
                            <w:rFonts w:ascii="Cambria Math"/>
                            <w:szCs w:val="18"/>
                            <w:lang w:val="en-US"/>
                          </w:rPr>
                          <m:t>-</m:t>
                        </m:r>
                        <m:sSub>
                          <m:sSubPr>
                            <m:ctrlPr>
                              <w:rPr>
                                <w:rFonts w:ascii="Cambria Math" w:hAnsi="Cambria Math"/>
                                <w:i/>
                                <w:szCs w:val="18"/>
                              </w:rPr>
                            </m:ctrlPr>
                          </m:sSubPr>
                          <m:e>
                            <m:r>
                              <w:rPr>
                                <w:rFonts w:ascii="Cambria Math"/>
                                <w:szCs w:val="18"/>
                                <w:lang w:val="en-US"/>
                              </w:rPr>
                              <m:t>X</m:t>
                            </m:r>
                          </m:e>
                          <m:sub>
                            <m:r>
                              <w:rPr>
                                <w:rFonts w:ascii="Cambria Math"/>
                                <w:szCs w:val="18"/>
                                <w:lang w:val="en-US"/>
                              </w:rPr>
                              <m:t>eq</m:t>
                            </m:r>
                          </m:sub>
                        </m:sSub>
                      </m:den>
                    </m:f>
                  </m:e>
                </m:func>
                <m:r>
                  <w:rPr>
                    <w:rFonts w:ascii="Cambria Math" w:hAnsi="Cambria Math"/>
                    <w:szCs w:val="18"/>
                  </w:rPr>
                  <m:t>=</m:t>
                </m:r>
                <m:func>
                  <m:funcPr>
                    <m:ctrlPr>
                      <w:rPr>
                        <w:rFonts w:ascii="Cambria Math" w:hAnsi="Cambria Math"/>
                        <w:i/>
                        <w:szCs w:val="18"/>
                      </w:rPr>
                    </m:ctrlPr>
                  </m:funcPr>
                  <m:fName>
                    <m:r>
                      <m:rPr>
                        <m:sty m:val="p"/>
                      </m:rPr>
                      <w:rPr>
                        <w:rFonts w:ascii="Cambria Math" w:hAnsi="Cambria Math"/>
                        <w:szCs w:val="18"/>
                      </w:rPr>
                      <m:t>ln</m:t>
                    </m:r>
                  </m:fName>
                  <m:e>
                    <m:f>
                      <m:fPr>
                        <m:ctrlPr>
                          <w:rPr>
                            <w:rFonts w:ascii="Cambria Math" w:hAnsi="Cambria Math"/>
                            <w:i/>
                            <w:szCs w:val="18"/>
                          </w:rPr>
                        </m:ctrlPr>
                      </m:fPr>
                      <m:num>
                        <m:r>
                          <w:rPr>
                            <w:rFonts w:ascii="Cambria Math" w:hAnsi="Cambria Math"/>
                            <w:szCs w:val="18"/>
                          </w:rPr>
                          <m:t>8</m:t>
                        </m:r>
                      </m:num>
                      <m:den>
                        <m:sSup>
                          <m:sSupPr>
                            <m:ctrlPr>
                              <w:rPr>
                                <w:rFonts w:ascii="Cambria Math" w:hAnsi="Cambria Math"/>
                                <w:i/>
                                <w:szCs w:val="18"/>
                              </w:rPr>
                            </m:ctrlPr>
                          </m:sSupPr>
                          <m:e>
                            <m:r>
                              <w:rPr>
                                <w:rFonts w:ascii="Cambria Math" w:hAnsi="Cambria Math"/>
                                <w:szCs w:val="18"/>
                              </w:rPr>
                              <m:t>π</m:t>
                            </m:r>
                          </m:e>
                          <m:sup>
                            <m:r>
                              <w:rPr>
                                <w:rFonts w:ascii="Cambria Math" w:hAnsi="Cambria Math"/>
                                <w:szCs w:val="18"/>
                              </w:rPr>
                              <m:t>2</m:t>
                            </m:r>
                          </m:sup>
                        </m:sSup>
                      </m:den>
                    </m:f>
                  </m:e>
                </m:func>
                <m:r>
                  <w:rPr>
                    <w:rFonts w:ascii="Cambria Math" w:hAnsi="Cambria Math"/>
                    <w:szCs w:val="18"/>
                  </w:rPr>
                  <m:t>-</m:t>
                </m:r>
                <m:sSup>
                  <m:sSupPr>
                    <m:ctrlPr>
                      <w:rPr>
                        <w:rFonts w:ascii="Cambria Math" w:hAnsi="Cambria Math"/>
                        <w:i/>
                        <w:szCs w:val="18"/>
                      </w:rPr>
                    </m:ctrlPr>
                  </m:sSupPr>
                  <m:e>
                    <m:r>
                      <w:rPr>
                        <w:rFonts w:ascii="Cambria Math" w:hAnsi="Cambria Math"/>
                        <w:szCs w:val="18"/>
                      </w:rPr>
                      <m:t>π</m:t>
                    </m:r>
                  </m:e>
                  <m:sup>
                    <m:r>
                      <w:rPr>
                        <w:rFonts w:ascii="Cambria Math" w:hAnsi="Cambria Math"/>
                        <w:szCs w:val="18"/>
                      </w:rPr>
                      <m:t>2</m:t>
                    </m:r>
                  </m:sup>
                </m:sSup>
                <m:sSub>
                  <m:sSubPr>
                    <m:ctrlPr>
                      <w:rPr>
                        <w:rFonts w:ascii="Cambria Math" w:hAnsi="Cambria Math"/>
                        <w:i/>
                        <w:szCs w:val="18"/>
                      </w:rPr>
                    </m:ctrlPr>
                  </m:sSubPr>
                  <m:e>
                    <m:r>
                      <w:rPr>
                        <w:rFonts w:ascii="Cambria Math" w:hAnsi="Cambria Math"/>
                        <w:szCs w:val="18"/>
                      </w:rPr>
                      <m:t>D</m:t>
                    </m:r>
                  </m:e>
                  <m:sub>
                    <m:r>
                      <w:rPr>
                        <w:rFonts w:ascii="Cambria Math" w:hAnsi="Cambria Math"/>
                        <w:szCs w:val="18"/>
                      </w:rPr>
                      <m:t>ef</m:t>
                    </m:r>
                  </m:sub>
                </m:sSub>
                <m:f>
                  <m:fPr>
                    <m:ctrlPr>
                      <w:rPr>
                        <w:rFonts w:ascii="Cambria Math" w:hAnsi="Cambria Math"/>
                        <w:i/>
                        <w:szCs w:val="18"/>
                      </w:rPr>
                    </m:ctrlPr>
                  </m:fPr>
                  <m:num>
                    <m:r>
                      <w:rPr>
                        <w:rFonts w:ascii="Cambria Math" w:hAnsi="Cambria Math"/>
                        <w:szCs w:val="18"/>
                      </w:rPr>
                      <m:t>t</m:t>
                    </m:r>
                  </m:num>
                  <m:den>
                    <m:sSup>
                      <m:sSupPr>
                        <m:ctrlPr>
                          <w:rPr>
                            <w:rFonts w:ascii="Cambria Math" w:hAnsi="Cambria Math"/>
                            <w:i/>
                            <w:szCs w:val="18"/>
                          </w:rPr>
                        </m:ctrlPr>
                      </m:sSupPr>
                      <m:e>
                        <m:r>
                          <w:rPr>
                            <w:rFonts w:ascii="Cambria Math" w:hAnsi="Cambria Math"/>
                            <w:szCs w:val="18"/>
                          </w:rPr>
                          <m:t>4L</m:t>
                        </m:r>
                      </m:e>
                      <m:sup>
                        <m:r>
                          <w:rPr>
                            <w:rFonts w:ascii="Cambria Math" w:hAnsi="Cambria Math"/>
                            <w:szCs w:val="18"/>
                          </w:rPr>
                          <m:t>2</m:t>
                        </m:r>
                      </m:sup>
                    </m:sSup>
                  </m:den>
                </m:f>
              </m:oMath>
            </m:oMathPara>
          </w:p>
        </w:tc>
        <w:tc>
          <w:tcPr>
            <w:tcW w:w="804" w:type="dxa"/>
            <w:shd w:val="clear" w:color="auto" w:fill="auto"/>
            <w:vAlign w:val="center"/>
          </w:tcPr>
          <w:p w:rsidR="007A7C10" w:rsidRPr="00B57B36" w:rsidRDefault="007A7C10" w:rsidP="00847899">
            <w:pPr>
              <w:pStyle w:val="CETEquation"/>
              <w:jc w:val="right"/>
            </w:pPr>
            <w:r w:rsidRPr="00B57B36">
              <w:t>(</w:t>
            </w:r>
            <w:r w:rsidR="00851AEC">
              <w:t>9</w:t>
            </w:r>
            <w:r w:rsidRPr="00B57B36">
              <w:t>)</w:t>
            </w:r>
          </w:p>
        </w:tc>
      </w:tr>
    </w:tbl>
    <w:p w:rsidR="007A7C10" w:rsidRDefault="007A7C10" w:rsidP="00536DC0">
      <w:pPr>
        <w:tabs>
          <w:tab w:val="clear" w:pos="7100"/>
        </w:tabs>
        <w:rPr>
          <w:rFonts w:eastAsiaTheme="minorHAnsi" w:cs="Arial"/>
          <w:szCs w:val="18"/>
          <w:lang w:val="en-US"/>
        </w:rPr>
      </w:pPr>
    </w:p>
    <w:p w:rsidR="008A22D7" w:rsidRPr="00B57B36" w:rsidRDefault="008A22D7" w:rsidP="008A22D7">
      <w:pPr>
        <w:pStyle w:val="CETHeading1"/>
        <w:rPr>
          <w:lang w:val="en-GB"/>
        </w:rPr>
      </w:pPr>
      <w:r>
        <w:rPr>
          <w:lang w:val="en-GB"/>
        </w:rPr>
        <w:t>Results and Discussion</w:t>
      </w:r>
    </w:p>
    <w:p w:rsidR="0021120B" w:rsidRPr="00D15DA3" w:rsidRDefault="007D69EF" w:rsidP="00092829">
      <w:pPr>
        <w:pStyle w:val="CETBodytext"/>
        <w:rPr>
          <w:szCs w:val="18"/>
        </w:rPr>
      </w:pPr>
      <w:r w:rsidRPr="00E6491E">
        <w:rPr>
          <w:szCs w:val="18"/>
        </w:rPr>
        <w:t xml:space="preserve">The Figure 1 </w:t>
      </w:r>
      <w:r w:rsidR="0037236A" w:rsidRPr="00E6491E">
        <w:rPr>
          <w:szCs w:val="18"/>
        </w:rPr>
        <w:t>presents</w:t>
      </w:r>
      <w:r w:rsidRPr="00E6491E">
        <w:rPr>
          <w:szCs w:val="18"/>
        </w:rPr>
        <w:t xml:space="preserve"> the experimental data</w:t>
      </w:r>
      <w:r w:rsidR="0037236A" w:rsidRPr="00E6491E">
        <w:rPr>
          <w:szCs w:val="18"/>
        </w:rPr>
        <w:t xml:space="preserve"> with standard deviations</w:t>
      </w:r>
      <w:r w:rsidRPr="00E6491E">
        <w:rPr>
          <w:szCs w:val="18"/>
        </w:rPr>
        <w:t xml:space="preserve"> and the data predicted by the different models in the four studied thicknesses</w:t>
      </w:r>
      <w:r w:rsidR="00C26F78" w:rsidRPr="00E6491E">
        <w:rPr>
          <w:szCs w:val="18"/>
        </w:rPr>
        <w:t>. It was observed that there was a good correlation between the values ​​for the four thicknesses, except for the Lewis model, which did not show a good fit.</w:t>
      </w:r>
      <w:r w:rsidR="0037236A" w:rsidRPr="00E6491E">
        <w:rPr>
          <w:szCs w:val="18"/>
        </w:rPr>
        <w:t xml:space="preserve"> </w:t>
      </w:r>
      <w:r w:rsidR="00092829" w:rsidRPr="00E6491E">
        <w:rPr>
          <w:szCs w:val="18"/>
        </w:rPr>
        <w:t xml:space="preserve">Table 1 shows the estimated values ​​of the model parameters for the </w:t>
      </w:r>
      <w:r w:rsidR="00155F1E" w:rsidRPr="00E6491E">
        <w:rPr>
          <w:szCs w:val="18"/>
        </w:rPr>
        <w:t xml:space="preserve">applied </w:t>
      </w:r>
      <w:r w:rsidR="00092829" w:rsidRPr="00E6491E">
        <w:rPr>
          <w:szCs w:val="18"/>
        </w:rPr>
        <w:t xml:space="preserve">thicknesses </w:t>
      </w:r>
      <w:r w:rsidR="00155F1E" w:rsidRPr="00E6491E">
        <w:rPr>
          <w:szCs w:val="18"/>
        </w:rPr>
        <w:t>(</w:t>
      </w:r>
      <w:r w:rsidR="00092829" w:rsidRPr="00E6491E">
        <w:rPr>
          <w:szCs w:val="18"/>
        </w:rPr>
        <w:t>3, 4, 5 and 6 mm</w:t>
      </w:r>
      <w:r w:rsidR="00155F1E" w:rsidRPr="00E6491E">
        <w:rPr>
          <w:szCs w:val="18"/>
        </w:rPr>
        <w:t>)</w:t>
      </w:r>
      <w:r w:rsidR="00092829" w:rsidRPr="00E6491E">
        <w:rPr>
          <w:szCs w:val="18"/>
        </w:rPr>
        <w:t>.</w:t>
      </w:r>
      <w:r w:rsidR="00092829" w:rsidRPr="00D15DA3">
        <w:rPr>
          <w:szCs w:val="18"/>
        </w:rPr>
        <w:t xml:space="preserve"> </w:t>
      </w:r>
    </w:p>
    <w:p w:rsidR="002F6596" w:rsidRPr="00D15DA3" w:rsidRDefault="002F6596" w:rsidP="0093088C">
      <w:pPr>
        <w:pStyle w:val="CETTabletitle"/>
        <w:rPr>
          <w:lang w:val="en-US"/>
        </w:rPr>
      </w:pPr>
      <w:r w:rsidRPr="00D15DA3">
        <w:rPr>
          <w:lang w:val="en-US"/>
        </w:rPr>
        <w:t xml:space="preserve">Table 1: </w:t>
      </w:r>
      <w:r w:rsidR="002535C5" w:rsidRPr="00D15DA3">
        <w:rPr>
          <w:lang w:val="en-US"/>
        </w:rPr>
        <w:t>Parameters of drying patterns of green acerola in different thicknesses</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851"/>
        <w:gridCol w:w="567"/>
        <w:gridCol w:w="567"/>
        <w:gridCol w:w="850"/>
        <w:gridCol w:w="567"/>
        <w:gridCol w:w="567"/>
        <w:gridCol w:w="851"/>
        <w:gridCol w:w="567"/>
        <w:gridCol w:w="567"/>
        <w:gridCol w:w="830"/>
        <w:gridCol w:w="587"/>
        <w:gridCol w:w="567"/>
        <w:gridCol w:w="849"/>
      </w:tblGrid>
      <w:tr w:rsidR="002F6596" w:rsidRPr="00B57B36" w:rsidTr="00752C73">
        <w:tc>
          <w:tcPr>
            <w:tcW w:w="851" w:type="dxa"/>
            <w:tcBorders>
              <w:top w:val="single" w:sz="12" w:space="0" w:color="008000"/>
              <w:bottom w:val="single" w:sz="6" w:space="0" w:color="008000"/>
            </w:tcBorders>
            <w:shd w:val="clear" w:color="auto" w:fill="FFFFFF"/>
          </w:tcPr>
          <w:p w:rsidR="002F6596" w:rsidRPr="00B57B36" w:rsidRDefault="002F6596" w:rsidP="00752C73">
            <w:pPr>
              <w:pStyle w:val="CETBodytext"/>
              <w:rPr>
                <w:lang w:val="en-GB"/>
              </w:rPr>
            </w:pPr>
            <w:r>
              <w:rPr>
                <w:lang w:val="en-GB"/>
              </w:rPr>
              <w:t>Thickness</w:t>
            </w:r>
          </w:p>
        </w:tc>
        <w:tc>
          <w:tcPr>
            <w:tcW w:w="1984" w:type="dxa"/>
            <w:gridSpan w:val="3"/>
            <w:tcBorders>
              <w:top w:val="single" w:sz="12" w:space="0" w:color="008000"/>
              <w:bottom w:val="single" w:sz="6" w:space="0" w:color="008000"/>
            </w:tcBorders>
            <w:shd w:val="clear" w:color="auto" w:fill="FFFFFF"/>
          </w:tcPr>
          <w:p w:rsidR="002F6596" w:rsidRPr="00B57B36" w:rsidRDefault="002F6596" w:rsidP="00752C73">
            <w:pPr>
              <w:pStyle w:val="CETBodytext"/>
              <w:ind w:right="-1"/>
              <w:jc w:val="center"/>
              <w:rPr>
                <w:rFonts w:cs="Arial"/>
                <w:szCs w:val="18"/>
                <w:lang w:val="en-GB"/>
              </w:rPr>
            </w:pPr>
            <w:r>
              <w:rPr>
                <w:lang w:val="en-GB"/>
              </w:rPr>
              <w:t>3 mm</w:t>
            </w:r>
          </w:p>
        </w:tc>
        <w:tc>
          <w:tcPr>
            <w:tcW w:w="1985" w:type="dxa"/>
            <w:gridSpan w:val="3"/>
            <w:tcBorders>
              <w:top w:val="single" w:sz="12" w:space="0" w:color="008000"/>
              <w:bottom w:val="single" w:sz="6" w:space="0" w:color="008000"/>
            </w:tcBorders>
            <w:shd w:val="clear" w:color="auto" w:fill="FFFFFF"/>
          </w:tcPr>
          <w:p w:rsidR="002F6596" w:rsidRDefault="002F6596" w:rsidP="00752C73">
            <w:pPr>
              <w:pStyle w:val="CETBodytext"/>
              <w:ind w:right="-1"/>
              <w:jc w:val="center"/>
              <w:rPr>
                <w:lang w:val="en-GB"/>
              </w:rPr>
            </w:pPr>
            <w:r>
              <w:rPr>
                <w:lang w:val="en-GB"/>
              </w:rPr>
              <w:t>4 mm</w:t>
            </w:r>
          </w:p>
        </w:tc>
        <w:tc>
          <w:tcPr>
            <w:tcW w:w="1964" w:type="dxa"/>
            <w:gridSpan w:val="3"/>
            <w:tcBorders>
              <w:top w:val="single" w:sz="12" w:space="0" w:color="008000"/>
              <w:bottom w:val="single" w:sz="6" w:space="0" w:color="008000"/>
            </w:tcBorders>
            <w:shd w:val="clear" w:color="auto" w:fill="FFFFFF"/>
          </w:tcPr>
          <w:p w:rsidR="002F6596" w:rsidRDefault="002F6596" w:rsidP="00752C73">
            <w:pPr>
              <w:pStyle w:val="CETBodytext"/>
              <w:ind w:right="-1"/>
              <w:jc w:val="center"/>
              <w:rPr>
                <w:lang w:val="en-GB"/>
              </w:rPr>
            </w:pPr>
            <w:r>
              <w:rPr>
                <w:lang w:val="en-GB"/>
              </w:rPr>
              <w:t>5 mm</w:t>
            </w:r>
          </w:p>
        </w:tc>
        <w:tc>
          <w:tcPr>
            <w:tcW w:w="2003" w:type="dxa"/>
            <w:gridSpan w:val="3"/>
            <w:tcBorders>
              <w:top w:val="single" w:sz="12" w:space="0" w:color="008000"/>
              <w:bottom w:val="single" w:sz="6" w:space="0" w:color="008000"/>
            </w:tcBorders>
            <w:shd w:val="clear" w:color="auto" w:fill="FFFFFF"/>
          </w:tcPr>
          <w:p w:rsidR="002F6596" w:rsidRDefault="002F6596" w:rsidP="00752C73">
            <w:pPr>
              <w:pStyle w:val="CETBodytext"/>
              <w:ind w:right="-1"/>
              <w:jc w:val="center"/>
              <w:rPr>
                <w:lang w:val="en-GB"/>
              </w:rPr>
            </w:pPr>
            <w:r>
              <w:rPr>
                <w:lang w:val="en-GB"/>
              </w:rPr>
              <w:t>6 mm</w:t>
            </w:r>
          </w:p>
        </w:tc>
      </w:tr>
      <w:tr w:rsidR="002F6596" w:rsidRPr="00B57B36" w:rsidTr="00752C73">
        <w:tc>
          <w:tcPr>
            <w:tcW w:w="851" w:type="dxa"/>
            <w:tcBorders>
              <w:top w:val="single" w:sz="12" w:space="0" w:color="008000"/>
              <w:bottom w:val="single" w:sz="6" w:space="0" w:color="008000"/>
            </w:tcBorders>
            <w:shd w:val="clear" w:color="auto" w:fill="FFFFFF"/>
          </w:tcPr>
          <w:p w:rsidR="002F6596" w:rsidRPr="00B57B36" w:rsidRDefault="002F6596" w:rsidP="00752C73">
            <w:pPr>
              <w:pStyle w:val="CETBodytext"/>
              <w:rPr>
                <w:lang w:val="en-GB"/>
              </w:rPr>
            </w:pPr>
          </w:p>
        </w:tc>
        <w:tc>
          <w:tcPr>
            <w:tcW w:w="567" w:type="dxa"/>
            <w:tcBorders>
              <w:top w:val="single" w:sz="12" w:space="0" w:color="008000"/>
              <w:bottom w:val="single" w:sz="6" w:space="0" w:color="008000"/>
            </w:tcBorders>
            <w:shd w:val="clear" w:color="auto" w:fill="FFFFFF"/>
          </w:tcPr>
          <w:p w:rsidR="002F6596" w:rsidRPr="00B57B36" w:rsidRDefault="002F6596" w:rsidP="00752C73">
            <w:pPr>
              <w:pStyle w:val="CETBodytext"/>
              <w:rPr>
                <w:lang w:val="en-GB"/>
              </w:rPr>
            </w:pPr>
            <w:r>
              <w:rPr>
                <w:lang w:val="en-GB"/>
              </w:rPr>
              <w:t>Lewis</w:t>
            </w:r>
          </w:p>
        </w:tc>
        <w:tc>
          <w:tcPr>
            <w:tcW w:w="567" w:type="dxa"/>
            <w:tcBorders>
              <w:top w:val="single" w:sz="12" w:space="0" w:color="008000"/>
              <w:bottom w:val="single" w:sz="6" w:space="0" w:color="008000"/>
            </w:tcBorders>
            <w:shd w:val="clear" w:color="auto" w:fill="FFFFFF"/>
          </w:tcPr>
          <w:p w:rsidR="002F6596" w:rsidRPr="00B57B36" w:rsidRDefault="002F6596" w:rsidP="00752C73">
            <w:pPr>
              <w:pStyle w:val="CETBodytext"/>
              <w:rPr>
                <w:lang w:val="en-GB"/>
              </w:rPr>
            </w:pPr>
            <w:r>
              <w:rPr>
                <w:lang w:val="en-GB"/>
              </w:rPr>
              <w:t>Page</w:t>
            </w:r>
          </w:p>
        </w:tc>
        <w:tc>
          <w:tcPr>
            <w:tcW w:w="850" w:type="dxa"/>
            <w:tcBorders>
              <w:top w:val="single" w:sz="12" w:space="0" w:color="008000"/>
              <w:bottom w:val="single" w:sz="6" w:space="0" w:color="008000"/>
            </w:tcBorders>
            <w:shd w:val="clear" w:color="auto" w:fill="FFFFFF"/>
          </w:tcPr>
          <w:p w:rsidR="002F6596" w:rsidRPr="00B57B36" w:rsidRDefault="002F6596" w:rsidP="00752C73">
            <w:pPr>
              <w:pStyle w:val="CETBodytext"/>
              <w:ind w:right="-1"/>
              <w:rPr>
                <w:rFonts w:cs="Arial"/>
                <w:szCs w:val="18"/>
                <w:lang w:val="en-GB"/>
              </w:rPr>
            </w:pPr>
            <w:proofErr w:type="spellStart"/>
            <w:r>
              <w:rPr>
                <w:rFonts w:cs="Arial"/>
                <w:szCs w:val="18"/>
                <w:lang w:val="en-GB"/>
              </w:rPr>
              <w:t>Midilli</w:t>
            </w:r>
            <w:proofErr w:type="spellEnd"/>
          </w:p>
        </w:tc>
        <w:tc>
          <w:tcPr>
            <w:tcW w:w="567" w:type="dxa"/>
            <w:tcBorders>
              <w:top w:val="single" w:sz="12" w:space="0" w:color="008000"/>
              <w:bottom w:val="single" w:sz="6" w:space="0" w:color="008000"/>
            </w:tcBorders>
            <w:shd w:val="clear" w:color="auto" w:fill="FFFFFF"/>
          </w:tcPr>
          <w:p w:rsidR="002F6596" w:rsidRPr="00B57B36" w:rsidRDefault="002F6596" w:rsidP="00752C73">
            <w:pPr>
              <w:pStyle w:val="CETBodytext"/>
              <w:rPr>
                <w:lang w:val="en-GB"/>
              </w:rPr>
            </w:pPr>
            <w:r>
              <w:rPr>
                <w:lang w:val="en-GB"/>
              </w:rPr>
              <w:t>Lewis</w:t>
            </w:r>
          </w:p>
        </w:tc>
        <w:tc>
          <w:tcPr>
            <w:tcW w:w="567" w:type="dxa"/>
            <w:tcBorders>
              <w:top w:val="single" w:sz="12" w:space="0" w:color="008000"/>
              <w:bottom w:val="single" w:sz="6" w:space="0" w:color="008000"/>
            </w:tcBorders>
            <w:shd w:val="clear" w:color="auto" w:fill="FFFFFF"/>
          </w:tcPr>
          <w:p w:rsidR="002F6596" w:rsidRPr="00B57B36" w:rsidRDefault="002F6596" w:rsidP="00752C73">
            <w:pPr>
              <w:pStyle w:val="CETBodytext"/>
              <w:rPr>
                <w:lang w:val="en-GB"/>
              </w:rPr>
            </w:pPr>
            <w:r>
              <w:rPr>
                <w:lang w:val="en-GB"/>
              </w:rPr>
              <w:t>Page</w:t>
            </w:r>
          </w:p>
        </w:tc>
        <w:tc>
          <w:tcPr>
            <w:tcW w:w="851" w:type="dxa"/>
            <w:tcBorders>
              <w:top w:val="single" w:sz="12" w:space="0" w:color="008000"/>
              <w:bottom w:val="single" w:sz="6" w:space="0" w:color="008000"/>
            </w:tcBorders>
            <w:shd w:val="clear" w:color="auto" w:fill="FFFFFF"/>
          </w:tcPr>
          <w:p w:rsidR="002F6596" w:rsidRPr="00B57B36" w:rsidRDefault="002F6596" w:rsidP="00752C73">
            <w:pPr>
              <w:pStyle w:val="CETBodytext"/>
              <w:ind w:right="-1"/>
              <w:rPr>
                <w:rFonts w:cs="Arial"/>
                <w:szCs w:val="18"/>
                <w:lang w:val="en-GB"/>
              </w:rPr>
            </w:pPr>
            <w:proofErr w:type="spellStart"/>
            <w:r>
              <w:rPr>
                <w:rFonts w:cs="Arial"/>
                <w:szCs w:val="18"/>
                <w:lang w:val="en-GB"/>
              </w:rPr>
              <w:t>Midilli</w:t>
            </w:r>
            <w:proofErr w:type="spellEnd"/>
          </w:p>
        </w:tc>
        <w:tc>
          <w:tcPr>
            <w:tcW w:w="567" w:type="dxa"/>
            <w:tcBorders>
              <w:top w:val="single" w:sz="12" w:space="0" w:color="008000"/>
              <w:bottom w:val="single" w:sz="6" w:space="0" w:color="008000"/>
            </w:tcBorders>
            <w:shd w:val="clear" w:color="auto" w:fill="FFFFFF"/>
          </w:tcPr>
          <w:p w:rsidR="002F6596" w:rsidRPr="00B57B36" w:rsidRDefault="002F6596" w:rsidP="00752C73">
            <w:pPr>
              <w:pStyle w:val="CETBodytext"/>
              <w:rPr>
                <w:lang w:val="en-GB"/>
              </w:rPr>
            </w:pPr>
            <w:r>
              <w:rPr>
                <w:lang w:val="en-GB"/>
              </w:rPr>
              <w:t>Lewis</w:t>
            </w:r>
          </w:p>
        </w:tc>
        <w:tc>
          <w:tcPr>
            <w:tcW w:w="567" w:type="dxa"/>
            <w:tcBorders>
              <w:top w:val="single" w:sz="12" w:space="0" w:color="008000"/>
              <w:bottom w:val="single" w:sz="6" w:space="0" w:color="008000"/>
            </w:tcBorders>
            <w:shd w:val="clear" w:color="auto" w:fill="FFFFFF"/>
          </w:tcPr>
          <w:p w:rsidR="002F6596" w:rsidRPr="00B57B36" w:rsidRDefault="002F6596" w:rsidP="00752C73">
            <w:pPr>
              <w:pStyle w:val="CETBodytext"/>
              <w:rPr>
                <w:lang w:val="en-GB"/>
              </w:rPr>
            </w:pPr>
            <w:r>
              <w:rPr>
                <w:lang w:val="en-GB"/>
              </w:rPr>
              <w:t>Page</w:t>
            </w:r>
          </w:p>
        </w:tc>
        <w:tc>
          <w:tcPr>
            <w:tcW w:w="830" w:type="dxa"/>
            <w:tcBorders>
              <w:top w:val="single" w:sz="12" w:space="0" w:color="008000"/>
              <w:bottom w:val="single" w:sz="6" w:space="0" w:color="008000"/>
            </w:tcBorders>
            <w:shd w:val="clear" w:color="auto" w:fill="FFFFFF"/>
          </w:tcPr>
          <w:p w:rsidR="002F6596" w:rsidRPr="00B57B36" w:rsidRDefault="002F6596" w:rsidP="00752C73">
            <w:pPr>
              <w:pStyle w:val="CETBodytext"/>
              <w:ind w:right="-1"/>
              <w:rPr>
                <w:rFonts w:cs="Arial"/>
                <w:szCs w:val="18"/>
                <w:lang w:val="en-GB"/>
              </w:rPr>
            </w:pPr>
            <w:proofErr w:type="spellStart"/>
            <w:r>
              <w:rPr>
                <w:rFonts w:cs="Arial"/>
                <w:szCs w:val="18"/>
                <w:lang w:val="en-GB"/>
              </w:rPr>
              <w:t>Midilli</w:t>
            </w:r>
            <w:proofErr w:type="spellEnd"/>
          </w:p>
        </w:tc>
        <w:tc>
          <w:tcPr>
            <w:tcW w:w="587" w:type="dxa"/>
            <w:tcBorders>
              <w:top w:val="single" w:sz="12" w:space="0" w:color="008000"/>
              <w:bottom w:val="single" w:sz="6" w:space="0" w:color="008000"/>
            </w:tcBorders>
            <w:shd w:val="clear" w:color="auto" w:fill="FFFFFF"/>
          </w:tcPr>
          <w:p w:rsidR="002F6596" w:rsidRPr="00B57B36" w:rsidRDefault="002F6596" w:rsidP="00752C73">
            <w:pPr>
              <w:pStyle w:val="CETBodytext"/>
              <w:rPr>
                <w:lang w:val="en-GB"/>
              </w:rPr>
            </w:pPr>
            <w:r>
              <w:rPr>
                <w:lang w:val="en-GB"/>
              </w:rPr>
              <w:t>Lewis</w:t>
            </w:r>
          </w:p>
        </w:tc>
        <w:tc>
          <w:tcPr>
            <w:tcW w:w="567" w:type="dxa"/>
            <w:tcBorders>
              <w:top w:val="single" w:sz="12" w:space="0" w:color="008000"/>
              <w:bottom w:val="single" w:sz="6" w:space="0" w:color="008000"/>
            </w:tcBorders>
            <w:shd w:val="clear" w:color="auto" w:fill="FFFFFF"/>
          </w:tcPr>
          <w:p w:rsidR="002F6596" w:rsidRPr="00B57B36" w:rsidRDefault="002F6596" w:rsidP="00752C73">
            <w:pPr>
              <w:pStyle w:val="CETBodytext"/>
              <w:rPr>
                <w:lang w:val="en-GB"/>
              </w:rPr>
            </w:pPr>
            <w:r>
              <w:rPr>
                <w:lang w:val="en-GB"/>
              </w:rPr>
              <w:t>Page</w:t>
            </w:r>
          </w:p>
        </w:tc>
        <w:tc>
          <w:tcPr>
            <w:tcW w:w="849" w:type="dxa"/>
            <w:tcBorders>
              <w:top w:val="single" w:sz="12" w:space="0" w:color="008000"/>
              <w:bottom w:val="single" w:sz="6" w:space="0" w:color="008000"/>
            </w:tcBorders>
            <w:shd w:val="clear" w:color="auto" w:fill="FFFFFF"/>
          </w:tcPr>
          <w:p w:rsidR="002F6596" w:rsidRPr="00B57B36" w:rsidRDefault="002F6596" w:rsidP="00752C73">
            <w:pPr>
              <w:pStyle w:val="CETBodytext"/>
              <w:ind w:right="-1"/>
              <w:rPr>
                <w:rFonts w:cs="Arial"/>
                <w:szCs w:val="18"/>
                <w:lang w:val="en-GB"/>
              </w:rPr>
            </w:pPr>
            <w:proofErr w:type="spellStart"/>
            <w:r>
              <w:rPr>
                <w:rFonts w:cs="Arial"/>
                <w:szCs w:val="18"/>
                <w:lang w:val="en-GB"/>
              </w:rPr>
              <w:t>Midilli</w:t>
            </w:r>
            <w:proofErr w:type="spellEnd"/>
          </w:p>
        </w:tc>
      </w:tr>
      <w:tr w:rsidR="002F6596" w:rsidRPr="00B57B36" w:rsidTr="00752C73">
        <w:tc>
          <w:tcPr>
            <w:tcW w:w="851" w:type="dxa"/>
            <w:shd w:val="clear" w:color="auto" w:fill="FFFFFF"/>
          </w:tcPr>
          <w:p w:rsidR="002F6596" w:rsidRPr="00B57B36" w:rsidRDefault="002F6596" w:rsidP="00752C73">
            <w:pPr>
              <w:pStyle w:val="CETBodytext"/>
              <w:rPr>
                <w:lang w:val="en-GB"/>
              </w:rPr>
            </w:pPr>
            <w:r w:rsidRPr="00155F1E">
              <w:rPr>
                <w:i/>
                <w:lang w:val="en-GB"/>
              </w:rPr>
              <w:t>k</w:t>
            </w:r>
            <w:r>
              <w:rPr>
                <w:lang w:val="en-GB"/>
              </w:rPr>
              <w:t xml:space="preserve"> (min</w:t>
            </w:r>
            <w:r w:rsidRPr="002C0542">
              <w:rPr>
                <w:vertAlign w:val="superscript"/>
                <w:lang w:val="en-GB"/>
              </w:rPr>
              <w:t>-1</w:t>
            </w:r>
            <w:r>
              <w:rPr>
                <w:lang w:val="en-GB"/>
              </w:rPr>
              <w:t>)</w:t>
            </w:r>
          </w:p>
        </w:tc>
        <w:tc>
          <w:tcPr>
            <w:tcW w:w="567" w:type="dxa"/>
            <w:shd w:val="clear" w:color="auto" w:fill="FFFFFF"/>
          </w:tcPr>
          <w:p w:rsidR="002F6596" w:rsidRPr="00B57B36" w:rsidRDefault="002F6596" w:rsidP="00752C73">
            <w:pPr>
              <w:pStyle w:val="CETBodytext"/>
              <w:rPr>
                <w:lang w:val="en-GB"/>
              </w:rPr>
            </w:pPr>
            <w:r>
              <w:rPr>
                <w:lang w:val="en-GB"/>
              </w:rPr>
              <w:t>0.030</w:t>
            </w:r>
          </w:p>
        </w:tc>
        <w:tc>
          <w:tcPr>
            <w:tcW w:w="567" w:type="dxa"/>
            <w:shd w:val="clear" w:color="auto" w:fill="FFFFFF"/>
          </w:tcPr>
          <w:p w:rsidR="002F6596" w:rsidRPr="00B57B36" w:rsidRDefault="002F6596" w:rsidP="00752C73">
            <w:pPr>
              <w:pStyle w:val="CETBodytext"/>
              <w:rPr>
                <w:lang w:val="en-GB"/>
              </w:rPr>
            </w:pPr>
            <w:r>
              <w:rPr>
                <w:lang w:val="en-GB"/>
              </w:rPr>
              <w:t>0.013</w:t>
            </w:r>
          </w:p>
        </w:tc>
        <w:tc>
          <w:tcPr>
            <w:tcW w:w="850" w:type="dxa"/>
            <w:shd w:val="clear" w:color="auto" w:fill="FFFFFF"/>
          </w:tcPr>
          <w:p w:rsidR="002F6596" w:rsidRPr="00B57B36" w:rsidRDefault="002F6596" w:rsidP="00752C73">
            <w:pPr>
              <w:pStyle w:val="CETBodytext"/>
              <w:ind w:right="-1"/>
              <w:rPr>
                <w:rFonts w:cs="Arial"/>
                <w:szCs w:val="18"/>
                <w:lang w:val="en-GB"/>
              </w:rPr>
            </w:pPr>
            <w:r>
              <w:rPr>
                <w:rFonts w:cs="Arial"/>
                <w:szCs w:val="18"/>
                <w:lang w:val="en-GB"/>
              </w:rPr>
              <w:t>0.015</w:t>
            </w:r>
          </w:p>
        </w:tc>
        <w:tc>
          <w:tcPr>
            <w:tcW w:w="567" w:type="dxa"/>
            <w:shd w:val="clear" w:color="auto" w:fill="FFFFFF"/>
          </w:tcPr>
          <w:p w:rsidR="002F6596" w:rsidRDefault="002F6596" w:rsidP="00752C73">
            <w:pPr>
              <w:pStyle w:val="CETBodytext"/>
              <w:ind w:right="-1"/>
              <w:rPr>
                <w:rFonts w:cs="Arial"/>
                <w:szCs w:val="18"/>
                <w:lang w:val="en-GB"/>
              </w:rPr>
            </w:pPr>
            <w:r>
              <w:rPr>
                <w:rFonts w:cs="Arial"/>
                <w:szCs w:val="18"/>
                <w:lang w:val="en-GB"/>
              </w:rPr>
              <w:t>0.019</w:t>
            </w:r>
          </w:p>
        </w:tc>
        <w:tc>
          <w:tcPr>
            <w:tcW w:w="567" w:type="dxa"/>
            <w:shd w:val="clear" w:color="auto" w:fill="FFFFFF"/>
          </w:tcPr>
          <w:p w:rsidR="002F6596" w:rsidRDefault="002F6596" w:rsidP="00752C73">
            <w:pPr>
              <w:pStyle w:val="CETBodytext"/>
              <w:ind w:right="-1"/>
              <w:rPr>
                <w:rFonts w:cs="Arial"/>
                <w:szCs w:val="18"/>
                <w:lang w:val="en-GB"/>
              </w:rPr>
            </w:pPr>
            <w:r>
              <w:rPr>
                <w:rFonts w:cs="Arial"/>
                <w:szCs w:val="18"/>
                <w:lang w:val="en-GB"/>
              </w:rPr>
              <w:t>0.004</w:t>
            </w:r>
          </w:p>
        </w:tc>
        <w:tc>
          <w:tcPr>
            <w:tcW w:w="851" w:type="dxa"/>
            <w:shd w:val="clear" w:color="auto" w:fill="FFFFFF"/>
          </w:tcPr>
          <w:p w:rsidR="002F6596" w:rsidRDefault="002F6596" w:rsidP="00752C73">
            <w:pPr>
              <w:pStyle w:val="CETBodytext"/>
              <w:ind w:right="-1"/>
              <w:rPr>
                <w:rFonts w:cs="Arial"/>
                <w:szCs w:val="18"/>
                <w:lang w:val="en-GB"/>
              </w:rPr>
            </w:pPr>
            <w:r>
              <w:rPr>
                <w:rFonts w:cs="Arial"/>
                <w:szCs w:val="18"/>
                <w:lang w:val="en-GB"/>
              </w:rPr>
              <w:t>0.005</w:t>
            </w:r>
          </w:p>
        </w:tc>
        <w:tc>
          <w:tcPr>
            <w:tcW w:w="567" w:type="dxa"/>
            <w:shd w:val="clear" w:color="auto" w:fill="FFFFFF"/>
          </w:tcPr>
          <w:p w:rsidR="002F6596" w:rsidRDefault="002F6596" w:rsidP="00752C73">
            <w:pPr>
              <w:pStyle w:val="CETBodytext"/>
              <w:ind w:right="-1"/>
              <w:rPr>
                <w:rFonts w:cs="Arial"/>
                <w:szCs w:val="18"/>
                <w:lang w:val="en-GB"/>
              </w:rPr>
            </w:pPr>
            <w:r>
              <w:rPr>
                <w:rFonts w:cs="Arial"/>
                <w:szCs w:val="18"/>
                <w:lang w:val="en-GB"/>
              </w:rPr>
              <w:t>0.013</w:t>
            </w:r>
          </w:p>
        </w:tc>
        <w:tc>
          <w:tcPr>
            <w:tcW w:w="567" w:type="dxa"/>
            <w:shd w:val="clear" w:color="auto" w:fill="FFFFFF"/>
          </w:tcPr>
          <w:p w:rsidR="002F6596" w:rsidRDefault="002F6596" w:rsidP="00752C73">
            <w:pPr>
              <w:pStyle w:val="CETBodytext"/>
              <w:ind w:right="-1"/>
              <w:rPr>
                <w:rFonts w:cs="Arial"/>
                <w:szCs w:val="18"/>
                <w:lang w:val="en-GB"/>
              </w:rPr>
            </w:pPr>
            <w:r>
              <w:rPr>
                <w:rFonts w:cs="Arial"/>
                <w:szCs w:val="18"/>
                <w:lang w:val="en-GB"/>
              </w:rPr>
              <w:t>0.002</w:t>
            </w:r>
          </w:p>
        </w:tc>
        <w:tc>
          <w:tcPr>
            <w:tcW w:w="830" w:type="dxa"/>
            <w:shd w:val="clear" w:color="auto" w:fill="FFFFFF"/>
          </w:tcPr>
          <w:p w:rsidR="002F6596" w:rsidRDefault="002F6596" w:rsidP="00752C73">
            <w:pPr>
              <w:pStyle w:val="CETBodytext"/>
              <w:ind w:right="-1"/>
              <w:rPr>
                <w:rFonts w:cs="Arial"/>
                <w:szCs w:val="18"/>
                <w:lang w:val="en-GB"/>
              </w:rPr>
            </w:pPr>
            <w:r>
              <w:rPr>
                <w:rFonts w:cs="Arial"/>
                <w:szCs w:val="18"/>
                <w:lang w:val="en-GB"/>
              </w:rPr>
              <w:t>0.003</w:t>
            </w:r>
          </w:p>
        </w:tc>
        <w:tc>
          <w:tcPr>
            <w:tcW w:w="587" w:type="dxa"/>
            <w:shd w:val="clear" w:color="auto" w:fill="FFFFFF"/>
          </w:tcPr>
          <w:p w:rsidR="002F6596" w:rsidRDefault="002F6596" w:rsidP="00752C73">
            <w:pPr>
              <w:pStyle w:val="CETBodytext"/>
              <w:ind w:right="-1"/>
              <w:rPr>
                <w:rFonts w:cs="Arial"/>
                <w:szCs w:val="18"/>
                <w:lang w:val="en-GB"/>
              </w:rPr>
            </w:pPr>
            <w:r>
              <w:rPr>
                <w:rFonts w:cs="Arial"/>
                <w:szCs w:val="18"/>
                <w:lang w:val="en-GB"/>
              </w:rPr>
              <w:t>0.011</w:t>
            </w:r>
          </w:p>
        </w:tc>
        <w:tc>
          <w:tcPr>
            <w:tcW w:w="567" w:type="dxa"/>
            <w:shd w:val="clear" w:color="auto" w:fill="FFFFFF"/>
          </w:tcPr>
          <w:p w:rsidR="002F6596" w:rsidRDefault="002F6596" w:rsidP="00752C73">
            <w:pPr>
              <w:pStyle w:val="CETBodytext"/>
              <w:ind w:right="-1"/>
              <w:rPr>
                <w:rFonts w:cs="Arial"/>
                <w:szCs w:val="18"/>
                <w:lang w:val="en-GB"/>
              </w:rPr>
            </w:pPr>
            <w:r>
              <w:rPr>
                <w:rFonts w:cs="Arial"/>
                <w:szCs w:val="18"/>
                <w:lang w:val="en-GB"/>
              </w:rPr>
              <w:t>0.001</w:t>
            </w:r>
          </w:p>
        </w:tc>
        <w:tc>
          <w:tcPr>
            <w:tcW w:w="849" w:type="dxa"/>
            <w:shd w:val="clear" w:color="auto" w:fill="FFFFFF"/>
          </w:tcPr>
          <w:p w:rsidR="002F6596" w:rsidRDefault="002F6596" w:rsidP="00752C73">
            <w:pPr>
              <w:pStyle w:val="CETBodytext"/>
              <w:ind w:right="-1"/>
              <w:rPr>
                <w:rFonts w:cs="Arial"/>
                <w:szCs w:val="18"/>
                <w:lang w:val="en-GB"/>
              </w:rPr>
            </w:pPr>
            <w:r>
              <w:rPr>
                <w:rFonts w:cs="Arial"/>
                <w:szCs w:val="18"/>
                <w:lang w:val="en-GB"/>
              </w:rPr>
              <w:t>0.001</w:t>
            </w:r>
          </w:p>
        </w:tc>
      </w:tr>
      <w:tr w:rsidR="002F6596" w:rsidRPr="00B57B36" w:rsidTr="00752C73">
        <w:tc>
          <w:tcPr>
            <w:tcW w:w="851" w:type="dxa"/>
            <w:shd w:val="clear" w:color="auto" w:fill="FFFFFF"/>
          </w:tcPr>
          <w:p w:rsidR="002F6596" w:rsidRPr="00155F1E" w:rsidRDefault="002F6596" w:rsidP="00752C73">
            <w:pPr>
              <w:pStyle w:val="CETBodytext"/>
              <w:rPr>
                <w:i/>
                <w:lang w:val="en-GB"/>
              </w:rPr>
            </w:pPr>
            <w:r w:rsidRPr="00155F1E">
              <w:rPr>
                <w:i/>
                <w:lang w:val="en-GB"/>
              </w:rPr>
              <w:t>n</w:t>
            </w:r>
          </w:p>
        </w:tc>
        <w:tc>
          <w:tcPr>
            <w:tcW w:w="567" w:type="dxa"/>
            <w:shd w:val="clear" w:color="auto" w:fill="FFFFFF"/>
          </w:tcPr>
          <w:p w:rsidR="002F6596" w:rsidRPr="00B57B36" w:rsidRDefault="002F6596" w:rsidP="00752C73">
            <w:pPr>
              <w:pStyle w:val="CETBodytext"/>
              <w:rPr>
                <w:lang w:val="en-GB"/>
              </w:rPr>
            </w:pPr>
            <w:r>
              <w:rPr>
                <w:lang w:val="en-GB"/>
              </w:rPr>
              <w:t>-</w:t>
            </w:r>
          </w:p>
        </w:tc>
        <w:tc>
          <w:tcPr>
            <w:tcW w:w="567" w:type="dxa"/>
            <w:shd w:val="clear" w:color="auto" w:fill="FFFFFF"/>
          </w:tcPr>
          <w:p w:rsidR="002F6596" w:rsidRPr="00B57B36" w:rsidRDefault="002F6596" w:rsidP="00752C73">
            <w:pPr>
              <w:pStyle w:val="CETBodytext"/>
              <w:rPr>
                <w:lang w:val="en-GB"/>
              </w:rPr>
            </w:pPr>
            <w:r>
              <w:rPr>
                <w:lang w:val="en-GB"/>
              </w:rPr>
              <w:t>1.223</w:t>
            </w:r>
          </w:p>
        </w:tc>
        <w:tc>
          <w:tcPr>
            <w:tcW w:w="850" w:type="dxa"/>
            <w:shd w:val="clear" w:color="auto" w:fill="FFFFFF"/>
          </w:tcPr>
          <w:p w:rsidR="002F6596" w:rsidRPr="00B57B36" w:rsidRDefault="002F6596" w:rsidP="00752C73">
            <w:pPr>
              <w:pStyle w:val="CETBodytext"/>
              <w:ind w:right="-1"/>
              <w:rPr>
                <w:rFonts w:cs="Arial"/>
                <w:szCs w:val="18"/>
                <w:lang w:val="en-GB"/>
              </w:rPr>
            </w:pPr>
            <w:r>
              <w:rPr>
                <w:rFonts w:cs="Arial"/>
                <w:szCs w:val="18"/>
                <w:lang w:val="en-GB"/>
              </w:rPr>
              <w:t>1.177</w:t>
            </w:r>
          </w:p>
        </w:tc>
        <w:tc>
          <w:tcPr>
            <w:tcW w:w="567" w:type="dxa"/>
            <w:shd w:val="clear" w:color="auto" w:fill="FFFFFF"/>
          </w:tcPr>
          <w:p w:rsidR="002F6596" w:rsidRDefault="002F6596" w:rsidP="00752C73">
            <w:pPr>
              <w:pStyle w:val="CETBodytext"/>
              <w:ind w:right="-1"/>
              <w:rPr>
                <w:rFonts w:cs="Arial"/>
                <w:szCs w:val="18"/>
                <w:lang w:val="en-GB"/>
              </w:rPr>
            </w:pPr>
            <w:r>
              <w:rPr>
                <w:rFonts w:cs="Arial"/>
                <w:szCs w:val="18"/>
                <w:lang w:val="en-GB"/>
              </w:rPr>
              <w:t>-</w:t>
            </w:r>
          </w:p>
        </w:tc>
        <w:tc>
          <w:tcPr>
            <w:tcW w:w="567" w:type="dxa"/>
            <w:shd w:val="clear" w:color="auto" w:fill="FFFFFF"/>
          </w:tcPr>
          <w:p w:rsidR="002F6596" w:rsidRDefault="002F6596" w:rsidP="00752C73">
            <w:pPr>
              <w:pStyle w:val="CETBodytext"/>
              <w:ind w:right="-1"/>
              <w:rPr>
                <w:rFonts w:cs="Arial"/>
                <w:szCs w:val="18"/>
                <w:lang w:val="en-GB"/>
              </w:rPr>
            </w:pPr>
            <w:r>
              <w:rPr>
                <w:rFonts w:cs="Arial"/>
                <w:szCs w:val="18"/>
                <w:lang w:val="en-GB"/>
              </w:rPr>
              <w:t>1.372</w:t>
            </w:r>
          </w:p>
        </w:tc>
        <w:tc>
          <w:tcPr>
            <w:tcW w:w="851" w:type="dxa"/>
            <w:shd w:val="clear" w:color="auto" w:fill="FFFFFF"/>
          </w:tcPr>
          <w:p w:rsidR="002F6596" w:rsidRDefault="002F6596" w:rsidP="00752C73">
            <w:pPr>
              <w:pStyle w:val="CETBodytext"/>
              <w:ind w:right="-1"/>
              <w:rPr>
                <w:rFonts w:cs="Arial"/>
                <w:szCs w:val="18"/>
                <w:lang w:val="en-GB"/>
              </w:rPr>
            </w:pPr>
            <w:r>
              <w:rPr>
                <w:rFonts w:cs="Arial"/>
                <w:szCs w:val="18"/>
                <w:lang w:val="en-GB"/>
              </w:rPr>
              <w:t>1.326</w:t>
            </w:r>
          </w:p>
        </w:tc>
        <w:tc>
          <w:tcPr>
            <w:tcW w:w="567" w:type="dxa"/>
            <w:shd w:val="clear" w:color="auto" w:fill="FFFFFF"/>
          </w:tcPr>
          <w:p w:rsidR="002F6596" w:rsidRDefault="002F6596" w:rsidP="00752C73">
            <w:pPr>
              <w:pStyle w:val="CETBodytext"/>
              <w:ind w:right="-1"/>
              <w:rPr>
                <w:rFonts w:cs="Arial"/>
                <w:szCs w:val="18"/>
                <w:lang w:val="en-GB"/>
              </w:rPr>
            </w:pPr>
            <w:r>
              <w:rPr>
                <w:rFonts w:cs="Arial"/>
                <w:szCs w:val="18"/>
                <w:lang w:val="en-GB"/>
              </w:rPr>
              <w:t>-</w:t>
            </w:r>
          </w:p>
        </w:tc>
        <w:tc>
          <w:tcPr>
            <w:tcW w:w="567" w:type="dxa"/>
            <w:shd w:val="clear" w:color="auto" w:fill="FFFFFF"/>
          </w:tcPr>
          <w:p w:rsidR="002F6596" w:rsidRDefault="002F6596" w:rsidP="00752C73">
            <w:pPr>
              <w:pStyle w:val="CETBodytext"/>
              <w:ind w:right="-1"/>
              <w:rPr>
                <w:rFonts w:cs="Arial"/>
                <w:szCs w:val="18"/>
                <w:lang w:val="en-GB"/>
              </w:rPr>
            </w:pPr>
            <w:r>
              <w:rPr>
                <w:rFonts w:cs="Arial"/>
                <w:szCs w:val="18"/>
                <w:lang w:val="en-GB"/>
              </w:rPr>
              <w:t>1.432</w:t>
            </w:r>
          </w:p>
        </w:tc>
        <w:tc>
          <w:tcPr>
            <w:tcW w:w="830" w:type="dxa"/>
            <w:shd w:val="clear" w:color="auto" w:fill="FFFFFF"/>
          </w:tcPr>
          <w:p w:rsidR="002F6596" w:rsidRDefault="002F6596" w:rsidP="00752C73">
            <w:pPr>
              <w:pStyle w:val="CETBodytext"/>
              <w:ind w:right="-1"/>
              <w:rPr>
                <w:rFonts w:cs="Arial"/>
                <w:szCs w:val="18"/>
                <w:lang w:val="en-GB"/>
              </w:rPr>
            </w:pPr>
            <w:r>
              <w:rPr>
                <w:rFonts w:cs="Arial"/>
                <w:szCs w:val="18"/>
                <w:lang w:val="en-GB"/>
              </w:rPr>
              <w:t>1.315</w:t>
            </w:r>
          </w:p>
        </w:tc>
        <w:tc>
          <w:tcPr>
            <w:tcW w:w="587" w:type="dxa"/>
            <w:shd w:val="clear" w:color="auto" w:fill="FFFFFF"/>
          </w:tcPr>
          <w:p w:rsidR="002F6596" w:rsidRDefault="002F6596" w:rsidP="00752C73">
            <w:pPr>
              <w:pStyle w:val="CETBodytext"/>
              <w:ind w:right="-1"/>
              <w:rPr>
                <w:rFonts w:cs="Arial"/>
                <w:szCs w:val="18"/>
                <w:lang w:val="en-GB"/>
              </w:rPr>
            </w:pPr>
            <w:r>
              <w:rPr>
                <w:rFonts w:cs="Arial"/>
                <w:szCs w:val="18"/>
                <w:lang w:val="en-GB"/>
              </w:rPr>
              <w:t>-</w:t>
            </w:r>
          </w:p>
        </w:tc>
        <w:tc>
          <w:tcPr>
            <w:tcW w:w="567" w:type="dxa"/>
            <w:shd w:val="clear" w:color="auto" w:fill="FFFFFF"/>
          </w:tcPr>
          <w:p w:rsidR="002F6596" w:rsidRDefault="002F6596" w:rsidP="00752C73">
            <w:pPr>
              <w:pStyle w:val="CETBodytext"/>
              <w:ind w:right="-1"/>
              <w:rPr>
                <w:rFonts w:cs="Arial"/>
                <w:szCs w:val="18"/>
                <w:lang w:val="en-GB"/>
              </w:rPr>
            </w:pPr>
            <w:r>
              <w:rPr>
                <w:rFonts w:cs="Arial"/>
                <w:szCs w:val="18"/>
                <w:lang w:val="en-GB"/>
              </w:rPr>
              <w:t>1.426</w:t>
            </w:r>
          </w:p>
        </w:tc>
        <w:tc>
          <w:tcPr>
            <w:tcW w:w="849" w:type="dxa"/>
            <w:shd w:val="clear" w:color="auto" w:fill="FFFFFF"/>
          </w:tcPr>
          <w:p w:rsidR="002F6596" w:rsidRDefault="002F6596" w:rsidP="00752C73">
            <w:pPr>
              <w:pStyle w:val="CETBodytext"/>
              <w:ind w:right="-1"/>
              <w:rPr>
                <w:rFonts w:cs="Arial"/>
                <w:szCs w:val="18"/>
                <w:lang w:val="en-GB"/>
              </w:rPr>
            </w:pPr>
            <w:r>
              <w:rPr>
                <w:rFonts w:cs="Arial"/>
                <w:szCs w:val="18"/>
                <w:lang w:val="en-GB"/>
              </w:rPr>
              <w:t>1.342</w:t>
            </w:r>
          </w:p>
        </w:tc>
      </w:tr>
      <w:tr w:rsidR="002F6596" w:rsidRPr="00B57B36" w:rsidTr="00752C73">
        <w:tc>
          <w:tcPr>
            <w:tcW w:w="851" w:type="dxa"/>
            <w:shd w:val="clear" w:color="auto" w:fill="FFFFFF"/>
          </w:tcPr>
          <w:p w:rsidR="002F6596" w:rsidRPr="00155F1E" w:rsidRDefault="002F6596" w:rsidP="00752C73">
            <w:pPr>
              <w:pStyle w:val="CETBodytext"/>
              <w:rPr>
                <w:i/>
                <w:lang w:val="en-GB"/>
              </w:rPr>
            </w:pPr>
            <w:r w:rsidRPr="00155F1E">
              <w:rPr>
                <w:i/>
                <w:lang w:val="en-GB"/>
              </w:rPr>
              <w:t>a</w:t>
            </w:r>
          </w:p>
        </w:tc>
        <w:tc>
          <w:tcPr>
            <w:tcW w:w="567" w:type="dxa"/>
            <w:shd w:val="clear" w:color="auto" w:fill="FFFFFF"/>
          </w:tcPr>
          <w:p w:rsidR="002F6596" w:rsidRPr="00B57B36" w:rsidRDefault="002F6596" w:rsidP="00752C73">
            <w:pPr>
              <w:pStyle w:val="CETBodytext"/>
              <w:rPr>
                <w:lang w:val="en-GB"/>
              </w:rPr>
            </w:pPr>
            <w:r>
              <w:rPr>
                <w:lang w:val="en-GB"/>
              </w:rPr>
              <w:t>-</w:t>
            </w:r>
          </w:p>
        </w:tc>
        <w:tc>
          <w:tcPr>
            <w:tcW w:w="567" w:type="dxa"/>
            <w:shd w:val="clear" w:color="auto" w:fill="FFFFFF"/>
          </w:tcPr>
          <w:p w:rsidR="002F6596" w:rsidRPr="00B57B36" w:rsidRDefault="002F6596" w:rsidP="00752C73">
            <w:pPr>
              <w:pStyle w:val="CETBodytext"/>
              <w:rPr>
                <w:lang w:val="en-GB"/>
              </w:rPr>
            </w:pPr>
            <w:r>
              <w:rPr>
                <w:lang w:val="en-GB"/>
              </w:rPr>
              <w:t>-</w:t>
            </w:r>
          </w:p>
        </w:tc>
        <w:tc>
          <w:tcPr>
            <w:tcW w:w="850" w:type="dxa"/>
            <w:shd w:val="clear" w:color="auto" w:fill="FFFFFF"/>
          </w:tcPr>
          <w:p w:rsidR="002F6596" w:rsidRPr="00B57B36" w:rsidRDefault="002F6596" w:rsidP="00752C73">
            <w:pPr>
              <w:pStyle w:val="CETBodytext"/>
              <w:ind w:right="-1"/>
              <w:rPr>
                <w:rFonts w:cs="Arial"/>
                <w:szCs w:val="18"/>
                <w:lang w:val="en-GB"/>
              </w:rPr>
            </w:pPr>
            <w:r>
              <w:rPr>
                <w:rFonts w:cs="Arial"/>
                <w:szCs w:val="18"/>
                <w:lang w:val="en-GB"/>
              </w:rPr>
              <w:t>0.996</w:t>
            </w:r>
          </w:p>
        </w:tc>
        <w:tc>
          <w:tcPr>
            <w:tcW w:w="567" w:type="dxa"/>
            <w:shd w:val="clear" w:color="auto" w:fill="FFFFFF"/>
          </w:tcPr>
          <w:p w:rsidR="002F6596" w:rsidRDefault="002F6596" w:rsidP="00752C73">
            <w:pPr>
              <w:pStyle w:val="CETBodytext"/>
              <w:ind w:right="-1"/>
              <w:rPr>
                <w:rFonts w:cs="Arial"/>
                <w:szCs w:val="18"/>
                <w:lang w:val="en-GB"/>
              </w:rPr>
            </w:pPr>
            <w:r>
              <w:rPr>
                <w:rFonts w:cs="Arial"/>
                <w:szCs w:val="18"/>
                <w:lang w:val="en-GB"/>
              </w:rPr>
              <w:t>-</w:t>
            </w:r>
          </w:p>
        </w:tc>
        <w:tc>
          <w:tcPr>
            <w:tcW w:w="567" w:type="dxa"/>
            <w:shd w:val="clear" w:color="auto" w:fill="FFFFFF"/>
          </w:tcPr>
          <w:p w:rsidR="002F6596" w:rsidRDefault="002F6596" w:rsidP="00752C73">
            <w:pPr>
              <w:pStyle w:val="CETBodytext"/>
              <w:ind w:right="-1"/>
              <w:rPr>
                <w:rFonts w:cs="Arial"/>
                <w:szCs w:val="18"/>
                <w:lang w:val="en-GB"/>
              </w:rPr>
            </w:pPr>
            <w:r>
              <w:rPr>
                <w:rFonts w:cs="Arial"/>
                <w:szCs w:val="18"/>
                <w:lang w:val="en-GB"/>
              </w:rPr>
              <w:t>-</w:t>
            </w:r>
          </w:p>
        </w:tc>
        <w:tc>
          <w:tcPr>
            <w:tcW w:w="851" w:type="dxa"/>
            <w:shd w:val="clear" w:color="auto" w:fill="FFFFFF"/>
          </w:tcPr>
          <w:p w:rsidR="002F6596" w:rsidRDefault="002F6596" w:rsidP="00752C73">
            <w:pPr>
              <w:pStyle w:val="CETBodytext"/>
              <w:ind w:right="-1"/>
              <w:rPr>
                <w:rFonts w:cs="Arial"/>
                <w:szCs w:val="18"/>
                <w:lang w:val="en-GB"/>
              </w:rPr>
            </w:pPr>
            <w:r>
              <w:rPr>
                <w:rFonts w:cs="Arial"/>
                <w:szCs w:val="18"/>
                <w:lang w:val="en-GB"/>
              </w:rPr>
              <w:t>0.992</w:t>
            </w:r>
          </w:p>
        </w:tc>
        <w:tc>
          <w:tcPr>
            <w:tcW w:w="567" w:type="dxa"/>
            <w:shd w:val="clear" w:color="auto" w:fill="FFFFFF"/>
          </w:tcPr>
          <w:p w:rsidR="002F6596" w:rsidRDefault="002F6596" w:rsidP="00752C73">
            <w:pPr>
              <w:pStyle w:val="CETBodytext"/>
              <w:ind w:right="-1"/>
              <w:rPr>
                <w:rFonts w:cs="Arial"/>
                <w:szCs w:val="18"/>
                <w:lang w:val="en-GB"/>
              </w:rPr>
            </w:pPr>
            <w:r>
              <w:rPr>
                <w:rFonts w:cs="Arial"/>
                <w:szCs w:val="18"/>
                <w:lang w:val="en-GB"/>
              </w:rPr>
              <w:t>-</w:t>
            </w:r>
          </w:p>
        </w:tc>
        <w:tc>
          <w:tcPr>
            <w:tcW w:w="567" w:type="dxa"/>
            <w:shd w:val="clear" w:color="auto" w:fill="FFFFFF"/>
          </w:tcPr>
          <w:p w:rsidR="002F6596" w:rsidRDefault="002F6596" w:rsidP="00752C73">
            <w:pPr>
              <w:pStyle w:val="CETBodytext"/>
              <w:ind w:right="-1"/>
              <w:rPr>
                <w:rFonts w:cs="Arial"/>
                <w:szCs w:val="18"/>
                <w:lang w:val="en-GB"/>
              </w:rPr>
            </w:pPr>
            <w:r>
              <w:rPr>
                <w:rFonts w:cs="Arial"/>
                <w:szCs w:val="18"/>
                <w:lang w:val="en-GB"/>
              </w:rPr>
              <w:t>-</w:t>
            </w:r>
          </w:p>
        </w:tc>
        <w:tc>
          <w:tcPr>
            <w:tcW w:w="830" w:type="dxa"/>
            <w:shd w:val="clear" w:color="auto" w:fill="FFFFFF"/>
          </w:tcPr>
          <w:p w:rsidR="002F6596" w:rsidRDefault="002F6596" w:rsidP="00752C73">
            <w:pPr>
              <w:pStyle w:val="CETBodytext"/>
              <w:ind w:right="-1"/>
              <w:rPr>
                <w:rFonts w:cs="Arial"/>
                <w:szCs w:val="18"/>
                <w:lang w:val="en-GB"/>
              </w:rPr>
            </w:pPr>
            <w:r>
              <w:rPr>
                <w:rFonts w:cs="Arial"/>
                <w:szCs w:val="18"/>
                <w:lang w:val="en-GB"/>
              </w:rPr>
              <w:t>0.991</w:t>
            </w:r>
          </w:p>
        </w:tc>
        <w:tc>
          <w:tcPr>
            <w:tcW w:w="587" w:type="dxa"/>
            <w:shd w:val="clear" w:color="auto" w:fill="FFFFFF"/>
          </w:tcPr>
          <w:p w:rsidR="002F6596" w:rsidRDefault="002F6596" w:rsidP="00752C73">
            <w:pPr>
              <w:pStyle w:val="CETBodytext"/>
              <w:ind w:right="-1"/>
              <w:rPr>
                <w:rFonts w:cs="Arial"/>
                <w:szCs w:val="18"/>
                <w:lang w:val="en-GB"/>
              </w:rPr>
            </w:pPr>
            <w:r>
              <w:rPr>
                <w:rFonts w:cs="Arial"/>
                <w:szCs w:val="18"/>
                <w:lang w:val="en-GB"/>
              </w:rPr>
              <w:t>-</w:t>
            </w:r>
          </w:p>
        </w:tc>
        <w:tc>
          <w:tcPr>
            <w:tcW w:w="567" w:type="dxa"/>
            <w:shd w:val="clear" w:color="auto" w:fill="FFFFFF"/>
          </w:tcPr>
          <w:p w:rsidR="002F6596" w:rsidRDefault="002F6596" w:rsidP="00752C73">
            <w:pPr>
              <w:pStyle w:val="CETBodytext"/>
              <w:ind w:right="-1"/>
              <w:rPr>
                <w:rFonts w:cs="Arial"/>
                <w:szCs w:val="18"/>
                <w:lang w:val="en-GB"/>
              </w:rPr>
            </w:pPr>
            <w:r>
              <w:rPr>
                <w:rFonts w:cs="Arial"/>
                <w:szCs w:val="18"/>
                <w:lang w:val="en-GB"/>
              </w:rPr>
              <w:t>-</w:t>
            </w:r>
          </w:p>
        </w:tc>
        <w:tc>
          <w:tcPr>
            <w:tcW w:w="849" w:type="dxa"/>
            <w:shd w:val="clear" w:color="auto" w:fill="FFFFFF"/>
          </w:tcPr>
          <w:p w:rsidR="002F6596" w:rsidRDefault="002F6596" w:rsidP="00752C73">
            <w:pPr>
              <w:pStyle w:val="CETBodytext"/>
              <w:ind w:right="-1"/>
              <w:rPr>
                <w:rFonts w:cs="Arial"/>
                <w:szCs w:val="18"/>
                <w:lang w:val="en-GB"/>
              </w:rPr>
            </w:pPr>
            <w:r>
              <w:rPr>
                <w:rFonts w:cs="Arial"/>
                <w:szCs w:val="18"/>
                <w:lang w:val="en-GB"/>
              </w:rPr>
              <w:t>0.989</w:t>
            </w:r>
          </w:p>
        </w:tc>
      </w:tr>
      <w:tr w:rsidR="002F6596" w:rsidRPr="00B57B36" w:rsidTr="00752C73">
        <w:tc>
          <w:tcPr>
            <w:tcW w:w="851" w:type="dxa"/>
            <w:shd w:val="clear" w:color="auto" w:fill="FFFFFF"/>
          </w:tcPr>
          <w:p w:rsidR="002F6596" w:rsidRPr="00155F1E" w:rsidRDefault="002F6596" w:rsidP="00752C73">
            <w:pPr>
              <w:pStyle w:val="CETBodytext"/>
              <w:ind w:right="-1"/>
              <w:rPr>
                <w:rFonts w:cs="Arial"/>
                <w:i/>
                <w:szCs w:val="18"/>
                <w:lang w:val="en-GB"/>
              </w:rPr>
            </w:pPr>
            <w:r w:rsidRPr="00155F1E">
              <w:rPr>
                <w:rFonts w:cs="Arial"/>
                <w:i/>
                <w:szCs w:val="18"/>
                <w:lang w:val="en-GB"/>
              </w:rPr>
              <w:t>b</w:t>
            </w:r>
          </w:p>
        </w:tc>
        <w:tc>
          <w:tcPr>
            <w:tcW w:w="567" w:type="dxa"/>
            <w:shd w:val="clear" w:color="auto" w:fill="FFFFFF"/>
          </w:tcPr>
          <w:p w:rsidR="002F6596" w:rsidRPr="00B57B36" w:rsidRDefault="002F6596" w:rsidP="00752C73">
            <w:pPr>
              <w:pStyle w:val="CETBodytext"/>
              <w:ind w:right="-1"/>
              <w:rPr>
                <w:rFonts w:cs="Arial"/>
                <w:szCs w:val="18"/>
                <w:lang w:val="en-GB"/>
              </w:rPr>
            </w:pPr>
            <w:r>
              <w:rPr>
                <w:rFonts w:cs="Arial"/>
                <w:szCs w:val="18"/>
                <w:lang w:val="en-GB"/>
              </w:rPr>
              <w:t>-</w:t>
            </w:r>
          </w:p>
        </w:tc>
        <w:tc>
          <w:tcPr>
            <w:tcW w:w="567" w:type="dxa"/>
            <w:shd w:val="clear" w:color="auto" w:fill="FFFFFF"/>
          </w:tcPr>
          <w:p w:rsidR="002F6596" w:rsidRPr="00B57B36" w:rsidRDefault="002F6596" w:rsidP="00752C73">
            <w:pPr>
              <w:pStyle w:val="CETBodytext"/>
              <w:ind w:right="-1"/>
              <w:rPr>
                <w:rFonts w:cs="Arial"/>
                <w:szCs w:val="18"/>
                <w:lang w:val="en-GB"/>
              </w:rPr>
            </w:pPr>
            <w:r>
              <w:rPr>
                <w:rFonts w:cs="Arial"/>
                <w:szCs w:val="18"/>
                <w:lang w:val="en-GB"/>
              </w:rPr>
              <w:t>-</w:t>
            </w:r>
          </w:p>
        </w:tc>
        <w:tc>
          <w:tcPr>
            <w:tcW w:w="850" w:type="dxa"/>
            <w:shd w:val="clear" w:color="auto" w:fill="FFFFFF"/>
          </w:tcPr>
          <w:p w:rsidR="002F6596" w:rsidRPr="00B57B36" w:rsidRDefault="002F6596" w:rsidP="00752C73">
            <w:pPr>
              <w:pStyle w:val="CETBodytext"/>
              <w:ind w:right="-1"/>
              <w:rPr>
                <w:rFonts w:cs="Arial"/>
                <w:szCs w:val="18"/>
                <w:lang w:val="en-GB"/>
              </w:rPr>
            </w:pPr>
            <w:r>
              <w:rPr>
                <w:rFonts w:cs="Arial"/>
                <w:szCs w:val="18"/>
                <w:lang w:val="en-GB"/>
              </w:rPr>
              <w:t>-0.00015</w:t>
            </w:r>
          </w:p>
        </w:tc>
        <w:tc>
          <w:tcPr>
            <w:tcW w:w="567" w:type="dxa"/>
            <w:shd w:val="clear" w:color="auto" w:fill="FFFFFF"/>
          </w:tcPr>
          <w:p w:rsidR="002F6596" w:rsidRDefault="002F6596" w:rsidP="00752C73">
            <w:pPr>
              <w:pStyle w:val="CETBodytext"/>
              <w:ind w:right="-1"/>
              <w:rPr>
                <w:rFonts w:cs="Arial"/>
                <w:szCs w:val="18"/>
                <w:lang w:val="en-GB"/>
              </w:rPr>
            </w:pPr>
            <w:r>
              <w:rPr>
                <w:rFonts w:cs="Arial"/>
                <w:szCs w:val="18"/>
                <w:lang w:val="en-GB"/>
              </w:rPr>
              <w:t>-</w:t>
            </w:r>
          </w:p>
        </w:tc>
        <w:tc>
          <w:tcPr>
            <w:tcW w:w="567" w:type="dxa"/>
            <w:shd w:val="clear" w:color="auto" w:fill="FFFFFF"/>
          </w:tcPr>
          <w:p w:rsidR="002F6596" w:rsidRDefault="002F6596" w:rsidP="00752C73">
            <w:pPr>
              <w:pStyle w:val="CETBodytext"/>
              <w:ind w:right="-1"/>
              <w:rPr>
                <w:rFonts w:cs="Arial"/>
                <w:szCs w:val="18"/>
                <w:lang w:val="en-GB"/>
              </w:rPr>
            </w:pPr>
            <w:r>
              <w:rPr>
                <w:rFonts w:cs="Arial"/>
                <w:szCs w:val="18"/>
                <w:lang w:val="en-GB"/>
              </w:rPr>
              <w:t>-</w:t>
            </w:r>
          </w:p>
        </w:tc>
        <w:tc>
          <w:tcPr>
            <w:tcW w:w="851" w:type="dxa"/>
            <w:shd w:val="clear" w:color="auto" w:fill="FFFFFF"/>
          </w:tcPr>
          <w:p w:rsidR="002F6596" w:rsidRDefault="002F6596" w:rsidP="00752C73">
            <w:pPr>
              <w:pStyle w:val="CETBodytext"/>
              <w:ind w:right="-1"/>
              <w:rPr>
                <w:rFonts w:cs="Arial"/>
                <w:szCs w:val="18"/>
                <w:lang w:val="en-GB"/>
              </w:rPr>
            </w:pPr>
            <w:r>
              <w:rPr>
                <w:rFonts w:cs="Arial"/>
                <w:szCs w:val="18"/>
                <w:lang w:val="en-GB"/>
              </w:rPr>
              <w:t>-0.00014</w:t>
            </w:r>
          </w:p>
        </w:tc>
        <w:tc>
          <w:tcPr>
            <w:tcW w:w="567" w:type="dxa"/>
            <w:shd w:val="clear" w:color="auto" w:fill="FFFFFF"/>
          </w:tcPr>
          <w:p w:rsidR="002F6596" w:rsidRDefault="002F6596" w:rsidP="00752C73">
            <w:pPr>
              <w:pStyle w:val="CETBodytext"/>
              <w:ind w:right="-1"/>
              <w:rPr>
                <w:rFonts w:cs="Arial"/>
                <w:szCs w:val="18"/>
                <w:lang w:val="en-GB"/>
              </w:rPr>
            </w:pPr>
            <w:r>
              <w:rPr>
                <w:rFonts w:cs="Arial"/>
                <w:szCs w:val="18"/>
                <w:lang w:val="en-GB"/>
              </w:rPr>
              <w:t>-</w:t>
            </w:r>
          </w:p>
        </w:tc>
        <w:tc>
          <w:tcPr>
            <w:tcW w:w="567" w:type="dxa"/>
            <w:shd w:val="clear" w:color="auto" w:fill="FFFFFF"/>
          </w:tcPr>
          <w:p w:rsidR="002F6596" w:rsidRDefault="002F6596" w:rsidP="00752C73">
            <w:pPr>
              <w:pStyle w:val="CETBodytext"/>
              <w:ind w:right="-1"/>
              <w:rPr>
                <w:rFonts w:cs="Arial"/>
                <w:szCs w:val="18"/>
                <w:lang w:val="en-GB"/>
              </w:rPr>
            </w:pPr>
            <w:r>
              <w:rPr>
                <w:rFonts w:cs="Arial"/>
                <w:szCs w:val="18"/>
                <w:lang w:val="en-GB"/>
              </w:rPr>
              <w:t>-</w:t>
            </w:r>
          </w:p>
        </w:tc>
        <w:tc>
          <w:tcPr>
            <w:tcW w:w="830" w:type="dxa"/>
            <w:shd w:val="clear" w:color="auto" w:fill="FFFFFF"/>
          </w:tcPr>
          <w:p w:rsidR="002F6596" w:rsidRDefault="002F6596" w:rsidP="00752C73">
            <w:pPr>
              <w:pStyle w:val="CETBodytext"/>
              <w:ind w:right="-1"/>
              <w:rPr>
                <w:rFonts w:cs="Arial"/>
                <w:szCs w:val="18"/>
                <w:lang w:val="en-GB"/>
              </w:rPr>
            </w:pPr>
            <w:r>
              <w:rPr>
                <w:rFonts w:cs="Arial"/>
                <w:szCs w:val="18"/>
                <w:lang w:val="en-GB"/>
              </w:rPr>
              <w:t>-0.00029</w:t>
            </w:r>
          </w:p>
        </w:tc>
        <w:tc>
          <w:tcPr>
            <w:tcW w:w="587" w:type="dxa"/>
            <w:shd w:val="clear" w:color="auto" w:fill="FFFFFF"/>
          </w:tcPr>
          <w:p w:rsidR="002F6596" w:rsidRDefault="002F6596" w:rsidP="00752C73">
            <w:pPr>
              <w:pStyle w:val="CETBodytext"/>
              <w:ind w:right="-1"/>
              <w:rPr>
                <w:rFonts w:cs="Arial"/>
                <w:szCs w:val="18"/>
                <w:lang w:val="en-GB"/>
              </w:rPr>
            </w:pPr>
            <w:r>
              <w:rPr>
                <w:rFonts w:cs="Arial"/>
                <w:szCs w:val="18"/>
                <w:lang w:val="en-GB"/>
              </w:rPr>
              <w:t>-</w:t>
            </w:r>
          </w:p>
        </w:tc>
        <w:tc>
          <w:tcPr>
            <w:tcW w:w="567" w:type="dxa"/>
            <w:shd w:val="clear" w:color="auto" w:fill="FFFFFF"/>
          </w:tcPr>
          <w:p w:rsidR="002F6596" w:rsidRDefault="002F6596" w:rsidP="00752C73">
            <w:pPr>
              <w:pStyle w:val="CETBodytext"/>
              <w:ind w:right="-1"/>
              <w:rPr>
                <w:rFonts w:cs="Arial"/>
                <w:szCs w:val="18"/>
                <w:lang w:val="en-GB"/>
              </w:rPr>
            </w:pPr>
            <w:r>
              <w:rPr>
                <w:rFonts w:cs="Arial"/>
                <w:szCs w:val="18"/>
                <w:lang w:val="en-GB"/>
              </w:rPr>
              <w:t>-</w:t>
            </w:r>
          </w:p>
        </w:tc>
        <w:tc>
          <w:tcPr>
            <w:tcW w:w="849" w:type="dxa"/>
            <w:shd w:val="clear" w:color="auto" w:fill="FFFFFF"/>
          </w:tcPr>
          <w:p w:rsidR="002F6596" w:rsidRDefault="002F6596" w:rsidP="00752C73">
            <w:pPr>
              <w:pStyle w:val="CETBodytext"/>
              <w:ind w:right="-1"/>
              <w:rPr>
                <w:rFonts w:cs="Arial"/>
                <w:szCs w:val="18"/>
                <w:lang w:val="en-GB"/>
              </w:rPr>
            </w:pPr>
            <w:r>
              <w:rPr>
                <w:rFonts w:cs="Arial"/>
                <w:szCs w:val="18"/>
                <w:lang w:val="en-GB"/>
              </w:rPr>
              <w:t>-0.00021</w:t>
            </w:r>
          </w:p>
        </w:tc>
      </w:tr>
    </w:tbl>
    <w:p w:rsidR="00994474" w:rsidRDefault="00994474" w:rsidP="002C0542">
      <w:pPr>
        <w:rPr>
          <w:szCs w:val="18"/>
          <w:lang w:val="pt-BR"/>
        </w:rPr>
      </w:pPr>
    </w:p>
    <w:p w:rsidR="00AF0DB5" w:rsidRDefault="0037236A" w:rsidP="0037236A">
      <w:pPr>
        <w:pStyle w:val="CETBodytext"/>
        <w:rPr>
          <w:szCs w:val="18"/>
        </w:rPr>
      </w:pPr>
      <w:r>
        <w:rPr>
          <w:rFonts w:eastAsia="Calibri"/>
        </w:rPr>
        <w:t>T</w:t>
      </w:r>
      <w:r w:rsidRPr="0037236A">
        <w:rPr>
          <w:rFonts w:eastAsia="Calibri"/>
        </w:rPr>
        <w:t xml:space="preserve">he </w:t>
      </w:r>
      <w:r w:rsidR="00AF0DB5">
        <w:rPr>
          <w:rFonts w:eastAsia="Calibri"/>
        </w:rPr>
        <w:t>parameter</w:t>
      </w:r>
      <w:r w:rsidR="00AF0DB5" w:rsidRPr="0037236A">
        <w:rPr>
          <w:rFonts w:eastAsia="Calibri"/>
        </w:rPr>
        <w:t xml:space="preserve"> </w:t>
      </w:r>
      <w:r w:rsidR="00AF0DB5" w:rsidRPr="0037236A">
        <w:rPr>
          <w:rFonts w:eastAsia="Calibri"/>
          <w:i/>
        </w:rPr>
        <w:t>k</w:t>
      </w:r>
      <w:r w:rsidR="00AF0DB5" w:rsidRPr="0037236A">
        <w:rPr>
          <w:rFonts w:eastAsia="Calibri"/>
        </w:rPr>
        <w:t xml:space="preserve"> </w:t>
      </w:r>
      <w:r w:rsidRPr="0037236A">
        <w:rPr>
          <w:rFonts w:eastAsia="Calibri"/>
        </w:rPr>
        <w:t xml:space="preserve">values </w:t>
      </w:r>
      <w:r>
        <w:rPr>
          <w:rFonts w:eastAsia="Calibri"/>
        </w:rPr>
        <w:t xml:space="preserve">present the same </w:t>
      </w:r>
      <w:r w:rsidR="00AF0DB5">
        <w:rPr>
          <w:rFonts w:eastAsia="Calibri"/>
        </w:rPr>
        <w:t>magnitude order</w:t>
      </w:r>
      <w:r>
        <w:rPr>
          <w:rFonts w:eastAsia="Calibri"/>
        </w:rPr>
        <w:t xml:space="preserve"> for the models studied</w:t>
      </w:r>
      <w:r w:rsidR="00AF0DB5" w:rsidRPr="00AF0DB5">
        <w:rPr>
          <w:rFonts w:eastAsia="Calibri"/>
        </w:rPr>
        <w:t xml:space="preserve"> </w:t>
      </w:r>
      <w:r w:rsidR="00AF0DB5" w:rsidRPr="0037236A">
        <w:rPr>
          <w:rFonts w:eastAsia="Calibri"/>
        </w:rPr>
        <w:t>for each thickness</w:t>
      </w:r>
      <w:r w:rsidR="00AF0DB5">
        <w:rPr>
          <w:rFonts w:eastAsia="Calibri"/>
        </w:rPr>
        <w:t xml:space="preserve">, with exception for Lewis model to high thickness (4 mm, 5 mm and 6 mm). </w:t>
      </w:r>
      <w:r w:rsidRPr="0037236A">
        <w:rPr>
          <w:szCs w:val="18"/>
        </w:rPr>
        <w:t xml:space="preserve">The increase in thickness reduced the value of </w:t>
      </w:r>
      <w:r w:rsidRPr="0037236A">
        <w:rPr>
          <w:i/>
          <w:szCs w:val="18"/>
        </w:rPr>
        <w:t>k</w:t>
      </w:r>
      <w:r w:rsidRPr="0037236A">
        <w:rPr>
          <w:szCs w:val="18"/>
        </w:rPr>
        <w:t>, indicating a higher water resistance to diffusion.</w:t>
      </w:r>
      <w:r>
        <w:rPr>
          <w:szCs w:val="18"/>
        </w:rPr>
        <w:t xml:space="preserve"> </w:t>
      </w:r>
    </w:p>
    <w:p w:rsidR="0037236A" w:rsidRDefault="0037236A" w:rsidP="0037236A">
      <w:pPr>
        <w:pStyle w:val="CETBodytext"/>
        <w:rPr>
          <w:rFonts w:eastAsia="Calibri"/>
        </w:rPr>
      </w:pPr>
      <w:r w:rsidRPr="0037236A">
        <w:rPr>
          <w:rFonts w:eastAsia="Calibri"/>
        </w:rPr>
        <w:t xml:space="preserve">The similarity between the Page and </w:t>
      </w:r>
      <w:proofErr w:type="spellStart"/>
      <w:r w:rsidRPr="0037236A">
        <w:rPr>
          <w:rFonts w:eastAsia="Calibri"/>
        </w:rPr>
        <w:t>Midili</w:t>
      </w:r>
      <w:proofErr w:type="spellEnd"/>
      <w:r w:rsidRPr="0037236A">
        <w:rPr>
          <w:rFonts w:eastAsia="Calibri"/>
        </w:rPr>
        <w:t xml:space="preserve"> models is due to the </w:t>
      </w:r>
      <w:r w:rsidR="00AF0DB5">
        <w:rPr>
          <w:rFonts w:eastAsia="Calibri"/>
        </w:rPr>
        <w:t>parameter</w:t>
      </w:r>
      <w:r w:rsidRPr="0037236A">
        <w:rPr>
          <w:rFonts w:eastAsia="Calibri"/>
        </w:rPr>
        <w:t xml:space="preserve"> </w:t>
      </w:r>
      <w:r w:rsidRPr="0037236A">
        <w:rPr>
          <w:rFonts w:eastAsia="Calibri"/>
          <w:i/>
        </w:rPr>
        <w:t>n</w:t>
      </w:r>
      <w:r w:rsidRPr="0037236A">
        <w:rPr>
          <w:rFonts w:eastAsia="Calibri"/>
        </w:rPr>
        <w:t xml:space="preserve">. The values ​​of </w:t>
      </w:r>
      <w:r w:rsidRPr="0037236A">
        <w:rPr>
          <w:rFonts w:eastAsia="Calibri"/>
          <w:i/>
        </w:rPr>
        <w:t>n</w:t>
      </w:r>
      <w:r w:rsidRPr="00092829">
        <w:rPr>
          <w:rFonts w:eastAsia="Calibri"/>
        </w:rPr>
        <w:t xml:space="preserve"> are reasonably smaller in the </w:t>
      </w:r>
      <w:proofErr w:type="spellStart"/>
      <w:r w:rsidRPr="00092829">
        <w:rPr>
          <w:rFonts w:eastAsia="Calibri"/>
        </w:rPr>
        <w:t>Midili</w:t>
      </w:r>
      <w:proofErr w:type="spellEnd"/>
      <w:r w:rsidRPr="00092829">
        <w:rPr>
          <w:rFonts w:eastAsia="Calibri"/>
        </w:rPr>
        <w:t xml:space="preserve"> model due to the influence of the parameters </w:t>
      </w:r>
      <w:r w:rsidRPr="00155F1E">
        <w:rPr>
          <w:rFonts w:eastAsia="Calibri"/>
          <w:i/>
        </w:rPr>
        <w:t>a</w:t>
      </w:r>
      <w:r w:rsidRPr="00092829">
        <w:rPr>
          <w:rFonts w:eastAsia="Calibri"/>
        </w:rPr>
        <w:t xml:space="preserve"> and </w:t>
      </w:r>
      <w:r w:rsidRPr="00155F1E">
        <w:rPr>
          <w:rFonts w:eastAsia="Calibri"/>
          <w:i/>
        </w:rPr>
        <w:t>b</w:t>
      </w:r>
      <w:r w:rsidRPr="00092829">
        <w:rPr>
          <w:rFonts w:eastAsia="Calibri"/>
        </w:rPr>
        <w:t xml:space="preserve">, making the </w:t>
      </w:r>
      <w:proofErr w:type="spellStart"/>
      <w:r w:rsidRPr="00092829">
        <w:rPr>
          <w:rFonts w:eastAsia="Calibri"/>
        </w:rPr>
        <w:t>Midili</w:t>
      </w:r>
      <w:proofErr w:type="spellEnd"/>
      <w:r w:rsidRPr="00092829">
        <w:rPr>
          <w:rFonts w:eastAsia="Calibri"/>
        </w:rPr>
        <w:t xml:space="preserve"> model more complex to perform the adjustment.</w:t>
      </w:r>
    </w:p>
    <w:p w:rsidR="007D69EF" w:rsidRDefault="007D69EF" w:rsidP="00F665A8">
      <w:pPr>
        <w:pStyle w:val="CETBodytext"/>
        <w:rPr>
          <w:szCs w:val="18"/>
        </w:rPr>
      </w:pPr>
    </w:p>
    <w:p w:rsidR="00994474" w:rsidRDefault="00994474" w:rsidP="002C0542">
      <w:pPr>
        <w:rPr>
          <w:szCs w:val="18"/>
          <w:lang w:val="pt-BR"/>
        </w:rPr>
      </w:pPr>
      <w:r w:rsidRPr="00994474">
        <w:rPr>
          <w:noProof/>
          <w:lang w:val="pt-BR" w:eastAsia="pt-BR"/>
        </w:rPr>
        <w:lastRenderedPageBreak/>
        <w:drawing>
          <wp:inline distT="0" distB="0" distL="0" distR="0">
            <wp:extent cx="2768321" cy="1894098"/>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9290" cy="1901603"/>
                    </a:xfrm>
                    <a:prstGeom prst="rect">
                      <a:avLst/>
                    </a:prstGeom>
                    <a:noFill/>
                    <a:ln>
                      <a:noFill/>
                    </a:ln>
                  </pic:spPr>
                </pic:pic>
              </a:graphicData>
            </a:graphic>
          </wp:inline>
        </w:drawing>
      </w:r>
      <w:r w:rsidRPr="00994474">
        <w:rPr>
          <w:noProof/>
          <w:lang w:val="pt-BR" w:eastAsia="pt-BR"/>
        </w:rPr>
        <w:drawing>
          <wp:inline distT="0" distB="0" distL="0" distR="0">
            <wp:extent cx="2803490" cy="1886811"/>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5452" cy="1901592"/>
                    </a:xfrm>
                    <a:prstGeom prst="rect">
                      <a:avLst/>
                    </a:prstGeom>
                    <a:noFill/>
                    <a:ln>
                      <a:noFill/>
                    </a:ln>
                  </pic:spPr>
                </pic:pic>
              </a:graphicData>
            </a:graphic>
          </wp:inline>
        </w:drawing>
      </w:r>
      <w:r w:rsidR="002F6596" w:rsidRPr="002F6596">
        <w:rPr>
          <w:noProof/>
          <w:lang w:val="pt-BR" w:eastAsia="pt-BR"/>
        </w:rPr>
        <w:drawing>
          <wp:inline distT="0" distB="0" distL="0" distR="0">
            <wp:extent cx="2828611" cy="198129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4433" cy="1992372"/>
                    </a:xfrm>
                    <a:prstGeom prst="rect">
                      <a:avLst/>
                    </a:prstGeom>
                    <a:noFill/>
                    <a:ln>
                      <a:noFill/>
                    </a:ln>
                  </pic:spPr>
                </pic:pic>
              </a:graphicData>
            </a:graphic>
          </wp:inline>
        </w:drawing>
      </w:r>
      <w:r w:rsidR="002F6596" w:rsidRPr="002F6596">
        <w:rPr>
          <w:noProof/>
          <w:lang w:val="pt-BR" w:eastAsia="pt-BR"/>
        </w:rPr>
        <w:drawing>
          <wp:inline distT="0" distB="0" distL="0" distR="0">
            <wp:extent cx="2733151" cy="1879725"/>
            <wp:effectExtent l="0" t="0" r="0" b="635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4115" cy="1894143"/>
                    </a:xfrm>
                    <a:prstGeom prst="rect">
                      <a:avLst/>
                    </a:prstGeom>
                    <a:noFill/>
                    <a:ln>
                      <a:noFill/>
                    </a:ln>
                  </pic:spPr>
                </pic:pic>
              </a:graphicData>
            </a:graphic>
          </wp:inline>
        </w:drawing>
      </w:r>
    </w:p>
    <w:p w:rsidR="002B6B9E" w:rsidRPr="00E6491E" w:rsidRDefault="002B6B9E" w:rsidP="006674E5">
      <w:pPr>
        <w:pStyle w:val="CETTabletitle"/>
        <w:rPr>
          <w:rFonts w:eastAsia="Calibri"/>
          <w:szCs w:val="18"/>
          <w:lang w:val="en-US"/>
        </w:rPr>
      </w:pPr>
      <w:r w:rsidRPr="00F93480">
        <w:rPr>
          <w:rStyle w:val="CETCaptionCarattere"/>
          <w:rFonts w:eastAsia="Calibri"/>
          <w:i/>
          <w:lang w:val="en-US"/>
        </w:rPr>
        <w:t>Figur</w:t>
      </w:r>
      <w:r w:rsidR="002F6596" w:rsidRPr="00F93480">
        <w:rPr>
          <w:rStyle w:val="CETCaptionCarattere"/>
          <w:rFonts w:eastAsia="Calibri"/>
          <w:i/>
          <w:lang w:val="en-US"/>
        </w:rPr>
        <w:t>e</w:t>
      </w:r>
      <w:r w:rsidRPr="00F93480">
        <w:rPr>
          <w:rStyle w:val="CETCaptionCarattere"/>
          <w:rFonts w:eastAsia="Calibri"/>
          <w:i/>
          <w:lang w:val="en-US"/>
        </w:rPr>
        <w:t xml:space="preserve"> 1:</w:t>
      </w:r>
      <w:r w:rsidRPr="00D15DA3">
        <w:rPr>
          <w:rStyle w:val="CETCaptionCarattere"/>
          <w:rFonts w:eastAsia="Calibri"/>
          <w:lang w:val="en-US"/>
        </w:rPr>
        <w:t xml:space="preserve"> </w:t>
      </w:r>
      <w:r w:rsidR="006674E5" w:rsidRPr="006674E5">
        <w:rPr>
          <w:lang w:eastAsia="pt-BR"/>
        </w:rPr>
        <w:t xml:space="preserve">Comparison between the models used for green acerola in thicknesses (a) 3 mm, (b) 4 mm, (c) 5 </w:t>
      </w:r>
      <w:r w:rsidR="006674E5" w:rsidRPr="00E6491E">
        <w:rPr>
          <w:lang w:eastAsia="pt-BR"/>
        </w:rPr>
        <w:t>mm and (d) 6 mm</w:t>
      </w:r>
    </w:p>
    <w:p w:rsidR="00B649D7" w:rsidRPr="00E6491E" w:rsidRDefault="00B649D7" w:rsidP="002B6B9E">
      <w:pPr>
        <w:rPr>
          <w:rFonts w:eastAsia="Calibri"/>
          <w:szCs w:val="18"/>
          <w:lang w:val="en-US"/>
        </w:rPr>
      </w:pPr>
    </w:p>
    <w:p w:rsidR="00092829" w:rsidRDefault="00A00EB7" w:rsidP="00F665A8">
      <w:pPr>
        <w:pStyle w:val="CETBodytext"/>
        <w:rPr>
          <w:rFonts w:eastAsia="Calibri"/>
          <w:i/>
        </w:rPr>
      </w:pPr>
      <w:r w:rsidRPr="00E6491E">
        <w:rPr>
          <w:szCs w:val="18"/>
        </w:rPr>
        <w:t>In order to quantitatively evaluate which theoretical model best fits the experimental data, performance indicators were used.</w:t>
      </w:r>
      <w:r w:rsidR="0037236A" w:rsidRPr="00E6491E">
        <w:rPr>
          <w:szCs w:val="18"/>
        </w:rPr>
        <w:t xml:space="preserve"> </w:t>
      </w:r>
      <w:r w:rsidR="00092829" w:rsidRPr="00E6491E">
        <w:rPr>
          <w:rFonts w:eastAsia="Calibri"/>
        </w:rPr>
        <w:t>The results of the performance indicators are presented in Table 2. The RMSE compares</w:t>
      </w:r>
      <w:r w:rsidR="00092829" w:rsidRPr="00092829">
        <w:rPr>
          <w:rFonts w:eastAsia="Calibri"/>
        </w:rPr>
        <w:t xml:space="preserve"> the experimental and predicted values ​​and it is considered as an ideal model that presents a reduced value of this parameter. The lower values ​​obtained were in the Page and </w:t>
      </w:r>
      <w:proofErr w:type="spellStart"/>
      <w:r w:rsidR="00092829" w:rsidRPr="00092829">
        <w:rPr>
          <w:rFonts w:eastAsia="Calibri"/>
        </w:rPr>
        <w:t>Midili</w:t>
      </w:r>
      <w:proofErr w:type="spellEnd"/>
      <w:r w:rsidR="00092829" w:rsidRPr="00092829">
        <w:rPr>
          <w:rFonts w:eastAsia="Calibri"/>
        </w:rPr>
        <w:t xml:space="preserve"> models for all thicknesses, while the Lewis model showed greater divergence between the experimental data and predicted for the </w:t>
      </w:r>
      <w:r w:rsidR="001E6F87">
        <w:rPr>
          <w:rFonts w:eastAsia="Calibri"/>
        </w:rPr>
        <w:t xml:space="preserve">higher </w:t>
      </w:r>
      <w:r w:rsidR="00092829" w:rsidRPr="00092829">
        <w:rPr>
          <w:rFonts w:eastAsia="Calibri"/>
        </w:rPr>
        <w:t>thicknesses</w:t>
      </w:r>
      <w:r w:rsidR="001E6F87">
        <w:rPr>
          <w:rFonts w:eastAsia="Calibri"/>
        </w:rPr>
        <w:t xml:space="preserve"> (4 mm, 5 mm and 6 mm)</w:t>
      </w:r>
      <w:r w:rsidR="00092829" w:rsidRPr="00092829">
        <w:rPr>
          <w:rFonts w:eastAsia="Calibri"/>
        </w:rPr>
        <w:t xml:space="preserve">. </w:t>
      </w:r>
    </w:p>
    <w:p w:rsidR="002F6596" w:rsidRPr="00D36407" w:rsidRDefault="002F6596" w:rsidP="002F6596">
      <w:pPr>
        <w:pStyle w:val="CETTabletitle"/>
        <w:rPr>
          <w:rFonts w:cs="Arial"/>
          <w:szCs w:val="18"/>
          <w:lang w:val="en-US"/>
        </w:rPr>
      </w:pPr>
      <w:r w:rsidRPr="00D36407">
        <w:rPr>
          <w:rFonts w:cs="Arial"/>
          <w:szCs w:val="18"/>
          <w:lang w:val="en-US"/>
        </w:rPr>
        <w:t xml:space="preserve">Table 2: </w:t>
      </w:r>
      <w:r w:rsidR="006674E5">
        <w:rPr>
          <w:rFonts w:cs="Arial"/>
          <w:szCs w:val="18"/>
          <w:lang w:val="en-US"/>
        </w:rPr>
        <w:t>P</w:t>
      </w:r>
      <w:r w:rsidR="006674E5" w:rsidRPr="008A22D7">
        <w:rPr>
          <w:rFonts w:cs="Arial"/>
          <w:szCs w:val="18"/>
          <w:lang w:val="en-US"/>
        </w:rPr>
        <w:t>erformance indicators</w:t>
      </w:r>
      <w:r w:rsidR="00D36407">
        <w:rPr>
          <w:rFonts w:cs="Arial"/>
          <w:szCs w:val="18"/>
          <w:lang w:val="en-US"/>
        </w:rPr>
        <w:t xml:space="preserve"> of Lewis, Page and </w:t>
      </w:r>
      <w:proofErr w:type="spellStart"/>
      <w:r w:rsidR="00D36407">
        <w:rPr>
          <w:rFonts w:cs="Arial"/>
          <w:szCs w:val="18"/>
          <w:lang w:val="en-US"/>
        </w:rPr>
        <w:t>Midilli</w:t>
      </w:r>
      <w:proofErr w:type="spellEnd"/>
      <w:r w:rsidR="00D36407">
        <w:rPr>
          <w:rFonts w:cs="Arial"/>
          <w:szCs w:val="18"/>
          <w:lang w:val="en-US"/>
        </w:rPr>
        <w:t xml:space="preserve"> models in different thicknesses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29"/>
        <w:gridCol w:w="707"/>
        <w:gridCol w:w="576"/>
        <w:gridCol w:w="706"/>
        <w:gridCol w:w="708"/>
        <w:gridCol w:w="568"/>
        <w:gridCol w:w="710"/>
        <w:gridCol w:w="590"/>
        <w:gridCol w:w="685"/>
        <w:gridCol w:w="568"/>
        <w:gridCol w:w="687"/>
        <w:gridCol w:w="578"/>
        <w:gridCol w:w="575"/>
      </w:tblGrid>
      <w:tr w:rsidR="003C111D" w:rsidRPr="00B57B36" w:rsidTr="003C111D">
        <w:tc>
          <w:tcPr>
            <w:tcW w:w="642" w:type="pct"/>
            <w:tcBorders>
              <w:top w:val="single" w:sz="12" w:space="0" w:color="008000"/>
              <w:bottom w:val="single" w:sz="6" w:space="0" w:color="008000"/>
            </w:tcBorders>
            <w:shd w:val="clear" w:color="auto" w:fill="FFFFFF"/>
          </w:tcPr>
          <w:p w:rsidR="002F6596" w:rsidRPr="00B57B36" w:rsidRDefault="002F6596" w:rsidP="00752C73">
            <w:pPr>
              <w:pStyle w:val="CETBodytext"/>
              <w:rPr>
                <w:lang w:val="en-GB"/>
              </w:rPr>
            </w:pPr>
            <w:r>
              <w:rPr>
                <w:lang w:val="en-GB"/>
              </w:rPr>
              <w:t>Thickness</w:t>
            </w:r>
          </w:p>
        </w:tc>
        <w:tc>
          <w:tcPr>
            <w:tcW w:w="1132" w:type="pct"/>
            <w:gridSpan w:val="3"/>
            <w:tcBorders>
              <w:top w:val="single" w:sz="12" w:space="0" w:color="008000"/>
              <w:bottom w:val="single" w:sz="6" w:space="0" w:color="008000"/>
            </w:tcBorders>
            <w:shd w:val="clear" w:color="auto" w:fill="FFFFFF"/>
          </w:tcPr>
          <w:p w:rsidR="002F6596" w:rsidRPr="00B57B36" w:rsidRDefault="002F6596" w:rsidP="00752C73">
            <w:pPr>
              <w:pStyle w:val="CETBodytext"/>
              <w:ind w:right="-1"/>
              <w:jc w:val="center"/>
              <w:rPr>
                <w:rFonts w:cs="Arial"/>
                <w:szCs w:val="18"/>
                <w:lang w:val="en-GB"/>
              </w:rPr>
            </w:pPr>
            <w:r>
              <w:rPr>
                <w:lang w:val="en-GB"/>
              </w:rPr>
              <w:t>3 mm</w:t>
            </w:r>
          </w:p>
        </w:tc>
        <w:tc>
          <w:tcPr>
            <w:tcW w:w="1130" w:type="pct"/>
            <w:gridSpan w:val="3"/>
            <w:tcBorders>
              <w:top w:val="single" w:sz="12" w:space="0" w:color="008000"/>
              <w:bottom w:val="single" w:sz="6" w:space="0" w:color="008000"/>
            </w:tcBorders>
            <w:shd w:val="clear" w:color="auto" w:fill="FFFFFF"/>
          </w:tcPr>
          <w:p w:rsidR="002F6596" w:rsidRDefault="002F6596" w:rsidP="00752C73">
            <w:pPr>
              <w:pStyle w:val="CETBodytext"/>
              <w:ind w:right="-1"/>
              <w:jc w:val="center"/>
              <w:rPr>
                <w:lang w:val="en-GB"/>
              </w:rPr>
            </w:pPr>
            <w:r>
              <w:rPr>
                <w:lang w:val="en-GB"/>
              </w:rPr>
              <w:t>4 mm</w:t>
            </w:r>
          </w:p>
        </w:tc>
        <w:tc>
          <w:tcPr>
            <w:tcW w:w="1049" w:type="pct"/>
            <w:gridSpan w:val="3"/>
            <w:tcBorders>
              <w:top w:val="single" w:sz="12" w:space="0" w:color="008000"/>
              <w:bottom w:val="single" w:sz="6" w:space="0" w:color="008000"/>
            </w:tcBorders>
            <w:shd w:val="clear" w:color="auto" w:fill="FFFFFF"/>
          </w:tcPr>
          <w:p w:rsidR="002F6596" w:rsidRDefault="002F6596" w:rsidP="00752C73">
            <w:pPr>
              <w:pStyle w:val="CETBodytext"/>
              <w:ind w:right="-1"/>
              <w:jc w:val="center"/>
              <w:rPr>
                <w:lang w:val="en-GB"/>
              </w:rPr>
            </w:pPr>
            <w:r>
              <w:rPr>
                <w:lang w:val="en-GB"/>
              </w:rPr>
              <w:t>5 mm</w:t>
            </w:r>
          </w:p>
        </w:tc>
        <w:tc>
          <w:tcPr>
            <w:tcW w:w="1047" w:type="pct"/>
            <w:gridSpan w:val="3"/>
            <w:tcBorders>
              <w:top w:val="single" w:sz="12" w:space="0" w:color="008000"/>
              <w:bottom w:val="single" w:sz="6" w:space="0" w:color="008000"/>
            </w:tcBorders>
            <w:shd w:val="clear" w:color="auto" w:fill="FFFFFF"/>
          </w:tcPr>
          <w:p w:rsidR="002F6596" w:rsidRDefault="002F6596" w:rsidP="00752C73">
            <w:pPr>
              <w:pStyle w:val="CETBodytext"/>
              <w:ind w:right="-1"/>
              <w:jc w:val="center"/>
              <w:rPr>
                <w:lang w:val="en-GB"/>
              </w:rPr>
            </w:pPr>
            <w:r>
              <w:rPr>
                <w:lang w:val="en-GB"/>
              </w:rPr>
              <w:t>6 mm</w:t>
            </w:r>
          </w:p>
        </w:tc>
      </w:tr>
      <w:tr w:rsidR="003C111D" w:rsidRPr="00B57B36" w:rsidTr="003C111D">
        <w:tc>
          <w:tcPr>
            <w:tcW w:w="642" w:type="pct"/>
            <w:tcBorders>
              <w:top w:val="single" w:sz="12" w:space="0" w:color="008000"/>
              <w:bottom w:val="single" w:sz="6" w:space="0" w:color="008000"/>
            </w:tcBorders>
            <w:shd w:val="clear" w:color="auto" w:fill="FFFFFF"/>
          </w:tcPr>
          <w:p w:rsidR="002F6596" w:rsidRPr="00B57B36" w:rsidRDefault="002F6596" w:rsidP="00752C73">
            <w:pPr>
              <w:pStyle w:val="CETBodytext"/>
              <w:rPr>
                <w:lang w:val="en-GB"/>
              </w:rPr>
            </w:pPr>
          </w:p>
        </w:tc>
        <w:tc>
          <w:tcPr>
            <w:tcW w:w="402" w:type="pct"/>
            <w:tcBorders>
              <w:top w:val="single" w:sz="12" w:space="0" w:color="008000"/>
              <w:bottom w:val="single" w:sz="6" w:space="0" w:color="008000"/>
            </w:tcBorders>
            <w:shd w:val="clear" w:color="auto" w:fill="FFFFFF"/>
          </w:tcPr>
          <w:p w:rsidR="002F6596" w:rsidRPr="00B57B36" w:rsidRDefault="002F6596" w:rsidP="00752C73">
            <w:pPr>
              <w:pStyle w:val="CETBodytext"/>
              <w:rPr>
                <w:lang w:val="en-GB"/>
              </w:rPr>
            </w:pPr>
            <w:r>
              <w:rPr>
                <w:lang w:val="en-GB"/>
              </w:rPr>
              <w:t>Lewis</w:t>
            </w:r>
          </w:p>
        </w:tc>
        <w:tc>
          <w:tcPr>
            <w:tcW w:w="328" w:type="pct"/>
            <w:tcBorders>
              <w:top w:val="single" w:sz="12" w:space="0" w:color="008000"/>
              <w:bottom w:val="single" w:sz="6" w:space="0" w:color="008000"/>
            </w:tcBorders>
            <w:shd w:val="clear" w:color="auto" w:fill="FFFFFF"/>
          </w:tcPr>
          <w:p w:rsidR="002F6596" w:rsidRPr="00B57B36" w:rsidRDefault="002F6596" w:rsidP="00752C73">
            <w:pPr>
              <w:pStyle w:val="CETBodytext"/>
              <w:rPr>
                <w:lang w:val="en-GB"/>
              </w:rPr>
            </w:pPr>
            <w:r>
              <w:rPr>
                <w:lang w:val="en-GB"/>
              </w:rPr>
              <w:t>Page</w:t>
            </w:r>
          </w:p>
        </w:tc>
        <w:tc>
          <w:tcPr>
            <w:tcW w:w="402" w:type="pct"/>
            <w:tcBorders>
              <w:top w:val="single" w:sz="12" w:space="0" w:color="008000"/>
              <w:bottom w:val="single" w:sz="6" w:space="0" w:color="008000"/>
            </w:tcBorders>
            <w:shd w:val="clear" w:color="auto" w:fill="FFFFFF"/>
          </w:tcPr>
          <w:p w:rsidR="002F6596" w:rsidRPr="00B57B36" w:rsidRDefault="002F6596" w:rsidP="00752C73">
            <w:pPr>
              <w:pStyle w:val="CETBodytext"/>
              <w:ind w:right="-1"/>
              <w:rPr>
                <w:rFonts w:cs="Arial"/>
                <w:szCs w:val="18"/>
                <w:lang w:val="en-GB"/>
              </w:rPr>
            </w:pPr>
            <w:proofErr w:type="spellStart"/>
            <w:r>
              <w:rPr>
                <w:rFonts w:cs="Arial"/>
                <w:szCs w:val="18"/>
                <w:lang w:val="en-GB"/>
              </w:rPr>
              <w:t>Midilli</w:t>
            </w:r>
            <w:proofErr w:type="spellEnd"/>
          </w:p>
        </w:tc>
        <w:tc>
          <w:tcPr>
            <w:tcW w:w="403" w:type="pct"/>
            <w:tcBorders>
              <w:top w:val="single" w:sz="12" w:space="0" w:color="008000"/>
              <w:bottom w:val="single" w:sz="6" w:space="0" w:color="008000"/>
            </w:tcBorders>
            <w:shd w:val="clear" w:color="auto" w:fill="FFFFFF"/>
          </w:tcPr>
          <w:p w:rsidR="002F6596" w:rsidRPr="00B57B36" w:rsidRDefault="002F6596" w:rsidP="00752C73">
            <w:pPr>
              <w:pStyle w:val="CETBodytext"/>
              <w:rPr>
                <w:lang w:val="en-GB"/>
              </w:rPr>
            </w:pPr>
            <w:r>
              <w:rPr>
                <w:lang w:val="en-GB"/>
              </w:rPr>
              <w:t>Lewis</w:t>
            </w:r>
          </w:p>
        </w:tc>
        <w:tc>
          <w:tcPr>
            <w:tcW w:w="323" w:type="pct"/>
            <w:tcBorders>
              <w:top w:val="single" w:sz="12" w:space="0" w:color="008000"/>
              <w:bottom w:val="single" w:sz="6" w:space="0" w:color="008000"/>
            </w:tcBorders>
            <w:shd w:val="clear" w:color="auto" w:fill="FFFFFF"/>
          </w:tcPr>
          <w:p w:rsidR="002F6596" w:rsidRPr="00B57B36" w:rsidRDefault="002F6596" w:rsidP="00752C73">
            <w:pPr>
              <w:pStyle w:val="CETBodytext"/>
              <w:rPr>
                <w:lang w:val="en-GB"/>
              </w:rPr>
            </w:pPr>
            <w:r>
              <w:rPr>
                <w:lang w:val="en-GB"/>
              </w:rPr>
              <w:t>Page</w:t>
            </w:r>
          </w:p>
        </w:tc>
        <w:tc>
          <w:tcPr>
            <w:tcW w:w="404" w:type="pct"/>
            <w:tcBorders>
              <w:top w:val="single" w:sz="12" w:space="0" w:color="008000"/>
              <w:bottom w:val="single" w:sz="6" w:space="0" w:color="008000"/>
            </w:tcBorders>
            <w:shd w:val="clear" w:color="auto" w:fill="FFFFFF"/>
          </w:tcPr>
          <w:p w:rsidR="002F6596" w:rsidRPr="00B57B36" w:rsidRDefault="002F6596" w:rsidP="00752C73">
            <w:pPr>
              <w:pStyle w:val="CETBodytext"/>
              <w:ind w:right="-1"/>
              <w:rPr>
                <w:rFonts w:cs="Arial"/>
                <w:szCs w:val="18"/>
                <w:lang w:val="en-GB"/>
              </w:rPr>
            </w:pPr>
            <w:proofErr w:type="spellStart"/>
            <w:r>
              <w:rPr>
                <w:rFonts w:cs="Arial"/>
                <w:szCs w:val="18"/>
                <w:lang w:val="en-GB"/>
              </w:rPr>
              <w:t>Midilli</w:t>
            </w:r>
            <w:proofErr w:type="spellEnd"/>
          </w:p>
        </w:tc>
        <w:tc>
          <w:tcPr>
            <w:tcW w:w="336" w:type="pct"/>
            <w:tcBorders>
              <w:top w:val="single" w:sz="12" w:space="0" w:color="008000"/>
              <w:bottom w:val="single" w:sz="6" w:space="0" w:color="008000"/>
            </w:tcBorders>
            <w:shd w:val="clear" w:color="auto" w:fill="FFFFFF"/>
          </w:tcPr>
          <w:p w:rsidR="002F6596" w:rsidRPr="00B57B36" w:rsidRDefault="002F6596" w:rsidP="00752C73">
            <w:pPr>
              <w:pStyle w:val="CETBodytext"/>
              <w:rPr>
                <w:lang w:val="en-GB"/>
              </w:rPr>
            </w:pPr>
            <w:r>
              <w:rPr>
                <w:lang w:val="en-GB"/>
              </w:rPr>
              <w:t>Lewis</w:t>
            </w:r>
          </w:p>
        </w:tc>
        <w:tc>
          <w:tcPr>
            <w:tcW w:w="390" w:type="pct"/>
            <w:tcBorders>
              <w:top w:val="single" w:sz="12" w:space="0" w:color="008000"/>
              <w:bottom w:val="single" w:sz="6" w:space="0" w:color="008000"/>
            </w:tcBorders>
            <w:shd w:val="clear" w:color="auto" w:fill="FFFFFF"/>
          </w:tcPr>
          <w:p w:rsidR="002F6596" w:rsidRPr="00B57B36" w:rsidRDefault="002F6596" w:rsidP="00752C73">
            <w:pPr>
              <w:pStyle w:val="CETBodytext"/>
              <w:rPr>
                <w:lang w:val="en-GB"/>
              </w:rPr>
            </w:pPr>
            <w:r>
              <w:rPr>
                <w:lang w:val="en-GB"/>
              </w:rPr>
              <w:t>Page</w:t>
            </w:r>
          </w:p>
        </w:tc>
        <w:tc>
          <w:tcPr>
            <w:tcW w:w="323" w:type="pct"/>
            <w:tcBorders>
              <w:top w:val="single" w:sz="12" w:space="0" w:color="008000"/>
              <w:bottom w:val="single" w:sz="6" w:space="0" w:color="008000"/>
            </w:tcBorders>
            <w:shd w:val="clear" w:color="auto" w:fill="FFFFFF"/>
          </w:tcPr>
          <w:p w:rsidR="002F6596" w:rsidRPr="00B57B36" w:rsidRDefault="002F6596" w:rsidP="00752C73">
            <w:pPr>
              <w:pStyle w:val="CETBodytext"/>
              <w:ind w:right="-1"/>
              <w:rPr>
                <w:rFonts w:cs="Arial"/>
                <w:szCs w:val="18"/>
                <w:lang w:val="en-GB"/>
              </w:rPr>
            </w:pPr>
            <w:proofErr w:type="spellStart"/>
            <w:r>
              <w:rPr>
                <w:rFonts w:cs="Arial"/>
                <w:szCs w:val="18"/>
                <w:lang w:val="en-GB"/>
              </w:rPr>
              <w:t>Midilli</w:t>
            </w:r>
            <w:proofErr w:type="spellEnd"/>
          </w:p>
        </w:tc>
        <w:tc>
          <w:tcPr>
            <w:tcW w:w="391" w:type="pct"/>
            <w:tcBorders>
              <w:top w:val="single" w:sz="12" w:space="0" w:color="008000"/>
              <w:bottom w:val="single" w:sz="6" w:space="0" w:color="008000"/>
            </w:tcBorders>
            <w:shd w:val="clear" w:color="auto" w:fill="FFFFFF"/>
          </w:tcPr>
          <w:p w:rsidR="002F6596" w:rsidRPr="00B57B36" w:rsidRDefault="002F6596" w:rsidP="00752C73">
            <w:pPr>
              <w:pStyle w:val="CETBodytext"/>
              <w:rPr>
                <w:lang w:val="en-GB"/>
              </w:rPr>
            </w:pPr>
            <w:r>
              <w:rPr>
                <w:lang w:val="en-GB"/>
              </w:rPr>
              <w:t>Lewis</w:t>
            </w:r>
          </w:p>
        </w:tc>
        <w:tc>
          <w:tcPr>
            <w:tcW w:w="329" w:type="pct"/>
            <w:tcBorders>
              <w:top w:val="single" w:sz="12" w:space="0" w:color="008000"/>
              <w:bottom w:val="single" w:sz="6" w:space="0" w:color="008000"/>
            </w:tcBorders>
            <w:shd w:val="clear" w:color="auto" w:fill="FFFFFF"/>
          </w:tcPr>
          <w:p w:rsidR="002F6596" w:rsidRPr="00B57B36" w:rsidRDefault="002F6596" w:rsidP="00752C73">
            <w:pPr>
              <w:pStyle w:val="CETBodytext"/>
              <w:rPr>
                <w:lang w:val="en-GB"/>
              </w:rPr>
            </w:pPr>
            <w:r>
              <w:rPr>
                <w:lang w:val="en-GB"/>
              </w:rPr>
              <w:t>Page</w:t>
            </w:r>
          </w:p>
        </w:tc>
        <w:tc>
          <w:tcPr>
            <w:tcW w:w="327" w:type="pct"/>
            <w:tcBorders>
              <w:top w:val="single" w:sz="12" w:space="0" w:color="008000"/>
              <w:bottom w:val="single" w:sz="6" w:space="0" w:color="008000"/>
            </w:tcBorders>
            <w:shd w:val="clear" w:color="auto" w:fill="FFFFFF"/>
          </w:tcPr>
          <w:p w:rsidR="002F6596" w:rsidRPr="00B57B36" w:rsidRDefault="002F6596" w:rsidP="00752C73">
            <w:pPr>
              <w:pStyle w:val="CETBodytext"/>
              <w:ind w:right="-1"/>
              <w:rPr>
                <w:rFonts w:cs="Arial"/>
                <w:szCs w:val="18"/>
                <w:lang w:val="en-GB"/>
              </w:rPr>
            </w:pPr>
            <w:proofErr w:type="spellStart"/>
            <w:r>
              <w:rPr>
                <w:rFonts w:cs="Arial"/>
                <w:szCs w:val="18"/>
                <w:lang w:val="en-GB"/>
              </w:rPr>
              <w:t>Midilli</w:t>
            </w:r>
            <w:proofErr w:type="spellEnd"/>
          </w:p>
        </w:tc>
      </w:tr>
      <w:tr w:rsidR="003C111D" w:rsidRPr="00B57B36" w:rsidTr="003C111D">
        <w:tc>
          <w:tcPr>
            <w:tcW w:w="642" w:type="pct"/>
            <w:shd w:val="clear" w:color="auto" w:fill="FFFFFF"/>
            <w:vAlign w:val="center"/>
          </w:tcPr>
          <w:p w:rsidR="002F6596" w:rsidRPr="00E94CE8" w:rsidRDefault="002F6596" w:rsidP="00752C73">
            <w:pPr>
              <w:pStyle w:val="CETTabletitle"/>
              <w:keepNext w:val="0"/>
              <w:spacing w:before="0" w:after="0" w:line="264" w:lineRule="auto"/>
              <w:jc w:val="both"/>
              <w:rPr>
                <w:i w:val="0"/>
              </w:rPr>
            </w:pPr>
            <w:r w:rsidRPr="00E94CE8">
              <w:rPr>
                <w:i w:val="0"/>
              </w:rPr>
              <w:t>RMSE</w:t>
            </w:r>
          </w:p>
        </w:tc>
        <w:tc>
          <w:tcPr>
            <w:tcW w:w="402" w:type="pct"/>
            <w:shd w:val="clear" w:color="auto" w:fill="FFFFFF"/>
            <w:vAlign w:val="center"/>
          </w:tcPr>
          <w:p w:rsidR="002F6596" w:rsidRPr="00E94CE8" w:rsidRDefault="002F6596" w:rsidP="00752C73">
            <w:pPr>
              <w:pStyle w:val="CETTabletitle"/>
              <w:keepNext w:val="0"/>
              <w:spacing w:before="0" w:after="0" w:line="264" w:lineRule="auto"/>
              <w:jc w:val="both"/>
              <w:rPr>
                <w:i w:val="0"/>
              </w:rPr>
            </w:pPr>
            <w:r w:rsidRPr="00E94CE8">
              <w:rPr>
                <w:i w:val="0"/>
              </w:rPr>
              <w:t>0</w:t>
            </w:r>
            <w:r>
              <w:rPr>
                <w:i w:val="0"/>
              </w:rPr>
              <w:t>.</w:t>
            </w:r>
            <w:r w:rsidRPr="00E94CE8">
              <w:rPr>
                <w:i w:val="0"/>
              </w:rPr>
              <w:t>033</w:t>
            </w:r>
          </w:p>
        </w:tc>
        <w:tc>
          <w:tcPr>
            <w:tcW w:w="328" w:type="pct"/>
            <w:shd w:val="clear" w:color="auto" w:fill="FFFFFF"/>
            <w:vAlign w:val="center"/>
          </w:tcPr>
          <w:p w:rsidR="002F6596" w:rsidRPr="00E94CE8" w:rsidRDefault="002F6596" w:rsidP="00752C73">
            <w:pPr>
              <w:pStyle w:val="CETTabletitle"/>
              <w:keepNext w:val="0"/>
              <w:spacing w:before="0" w:after="0" w:line="264" w:lineRule="auto"/>
              <w:jc w:val="both"/>
              <w:rPr>
                <w:i w:val="0"/>
              </w:rPr>
            </w:pPr>
            <w:r w:rsidRPr="00E94CE8">
              <w:rPr>
                <w:i w:val="0"/>
              </w:rPr>
              <w:t>0</w:t>
            </w:r>
            <w:r>
              <w:rPr>
                <w:i w:val="0"/>
              </w:rPr>
              <w:t>.</w:t>
            </w:r>
            <w:r w:rsidRPr="00E94CE8">
              <w:rPr>
                <w:i w:val="0"/>
              </w:rPr>
              <w:t>020</w:t>
            </w:r>
          </w:p>
        </w:tc>
        <w:tc>
          <w:tcPr>
            <w:tcW w:w="402" w:type="pct"/>
            <w:shd w:val="clear" w:color="auto" w:fill="FFFFFF"/>
            <w:vAlign w:val="center"/>
          </w:tcPr>
          <w:p w:rsidR="002F6596" w:rsidRPr="00E94CE8" w:rsidRDefault="002F6596" w:rsidP="00752C73">
            <w:pPr>
              <w:pStyle w:val="CETTabletitle"/>
              <w:keepNext w:val="0"/>
              <w:spacing w:before="0" w:after="0" w:line="264" w:lineRule="auto"/>
              <w:jc w:val="both"/>
              <w:rPr>
                <w:i w:val="0"/>
              </w:rPr>
            </w:pPr>
            <w:r w:rsidRPr="00E94CE8">
              <w:rPr>
                <w:i w:val="0"/>
              </w:rPr>
              <w:t>0</w:t>
            </w:r>
            <w:r>
              <w:rPr>
                <w:i w:val="0"/>
              </w:rPr>
              <w:t>.</w:t>
            </w:r>
            <w:r w:rsidRPr="00E94CE8">
              <w:rPr>
                <w:i w:val="0"/>
              </w:rPr>
              <w:t>018</w:t>
            </w:r>
          </w:p>
        </w:tc>
        <w:tc>
          <w:tcPr>
            <w:tcW w:w="403" w:type="pct"/>
            <w:shd w:val="clear" w:color="auto" w:fill="FFFFFF"/>
            <w:vAlign w:val="center"/>
          </w:tcPr>
          <w:p w:rsidR="002F6596" w:rsidRPr="00E94CE8" w:rsidRDefault="002F6596" w:rsidP="00752C73">
            <w:pPr>
              <w:pStyle w:val="CETTabletitle"/>
              <w:keepNext w:val="0"/>
              <w:spacing w:before="0" w:after="0" w:line="264" w:lineRule="auto"/>
              <w:jc w:val="both"/>
              <w:rPr>
                <w:i w:val="0"/>
              </w:rPr>
            </w:pPr>
            <w:r w:rsidRPr="00E94CE8">
              <w:rPr>
                <w:i w:val="0"/>
              </w:rPr>
              <w:t>0</w:t>
            </w:r>
            <w:r>
              <w:rPr>
                <w:i w:val="0"/>
              </w:rPr>
              <w:t>.</w:t>
            </w:r>
            <w:r w:rsidRPr="00E94CE8">
              <w:rPr>
                <w:i w:val="0"/>
              </w:rPr>
              <w:t>051</w:t>
            </w:r>
          </w:p>
        </w:tc>
        <w:tc>
          <w:tcPr>
            <w:tcW w:w="323" w:type="pct"/>
            <w:shd w:val="clear" w:color="auto" w:fill="FFFFFF"/>
            <w:vAlign w:val="center"/>
          </w:tcPr>
          <w:p w:rsidR="002F6596" w:rsidRPr="00E94CE8" w:rsidRDefault="002F6596" w:rsidP="00752C73">
            <w:pPr>
              <w:pStyle w:val="CETTabletitle"/>
              <w:keepNext w:val="0"/>
              <w:spacing w:before="0" w:after="0" w:line="264" w:lineRule="auto"/>
              <w:jc w:val="both"/>
              <w:rPr>
                <w:i w:val="0"/>
              </w:rPr>
            </w:pPr>
            <w:r w:rsidRPr="00E94CE8">
              <w:rPr>
                <w:i w:val="0"/>
              </w:rPr>
              <w:t>0</w:t>
            </w:r>
            <w:r>
              <w:rPr>
                <w:i w:val="0"/>
              </w:rPr>
              <w:t>.</w:t>
            </w:r>
            <w:r w:rsidRPr="00E94CE8">
              <w:rPr>
                <w:i w:val="0"/>
              </w:rPr>
              <w:t>018</w:t>
            </w:r>
          </w:p>
        </w:tc>
        <w:tc>
          <w:tcPr>
            <w:tcW w:w="404" w:type="pct"/>
            <w:shd w:val="clear" w:color="auto" w:fill="FFFFFF"/>
            <w:vAlign w:val="center"/>
          </w:tcPr>
          <w:p w:rsidR="002F6596" w:rsidRPr="00E94CE8" w:rsidRDefault="002F6596" w:rsidP="00752C73">
            <w:pPr>
              <w:pStyle w:val="CETTabletitle"/>
              <w:keepNext w:val="0"/>
              <w:spacing w:before="0" w:after="0" w:line="264" w:lineRule="auto"/>
              <w:jc w:val="both"/>
              <w:rPr>
                <w:i w:val="0"/>
              </w:rPr>
            </w:pPr>
            <w:r w:rsidRPr="00E94CE8">
              <w:rPr>
                <w:i w:val="0"/>
              </w:rPr>
              <w:t>0</w:t>
            </w:r>
            <w:r>
              <w:rPr>
                <w:i w:val="0"/>
              </w:rPr>
              <w:t>.</w:t>
            </w:r>
            <w:r w:rsidRPr="00E94CE8">
              <w:rPr>
                <w:i w:val="0"/>
              </w:rPr>
              <w:t>015</w:t>
            </w:r>
          </w:p>
        </w:tc>
        <w:tc>
          <w:tcPr>
            <w:tcW w:w="336" w:type="pct"/>
            <w:shd w:val="clear" w:color="auto" w:fill="FFFFFF"/>
            <w:vAlign w:val="center"/>
          </w:tcPr>
          <w:p w:rsidR="002F6596" w:rsidRPr="00AC7CD7" w:rsidRDefault="002F6596" w:rsidP="00752C73">
            <w:pPr>
              <w:rPr>
                <w:color w:val="000000"/>
                <w:szCs w:val="18"/>
              </w:rPr>
            </w:pPr>
            <w:r w:rsidRPr="00AC7CD7">
              <w:rPr>
                <w:color w:val="000000"/>
                <w:szCs w:val="18"/>
              </w:rPr>
              <w:t>0</w:t>
            </w:r>
            <w:r>
              <w:rPr>
                <w:color w:val="000000"/>
                <w:szCs w:val="18"/>
              </w:rPr>
              <w:t>.</w:t>
            </w:r>
            <w:r w:rsidRPr="00AC7CD7">
              <w:rPr>
                <w:color w:val="000000"/>
                <w:szCs w:val="18"/>
              </w:rPr>
              <w:t>062</w:t>
            </w:r>
          </w:p>
        </w:tc>
        <w:tc>
          <w:tcPr>
            <w:tcW w:w="390" w:type="pct"/>
            <w:shd w:val="clear" w:color="auto" w:fill="FFFFFF"/>
            <w:vAlign w:val="center"/>
          </w:tcPr>
          <w:p w:rsidR="002F6596" w:rsidRPr="00AC7CD7" w:rsidRDefault="002F6596" w:rsidP="00752C73">
            <w:pPr>
              <w:rPr>
                <w:szCs w:val="18"/>
              </w:rPr>
            </w:pPr>
            <w:r w:rsidRPr="00AC7CD7">
              <w:rPr>
                <w:szCs w:val="18"/>
              </w:rPr>
              <w:t>0</w:t>
            </w:r>
            <w:r>
              <w:rPr>
                <w:szCs w:val="18"/>
              </w:rPr>
              <w:t>.</w:t>
            </w:r>
            <w:r w:rsidRPr="00AC7CD7">
              <w:rPr>
                <w:szCs w:val="18"/>
              </w:rPr>
              <w:t>023</w:t>
            </w:r>
          </w:p>
        </w:tc>
        <w:tc>
          <w:tcPr>
            <w:tcW w:w="323" w:type="pct"/>
            <w:shd w:val="clear" w:color="auto" w:fill="FFFFFF"/>
            <w:vAlign w:val="center"/>
          </w:tcPr>
          <w:p w:rsidR="002F6596" w:rsidRPr="00AC7CD7" w:rsidRDefault="002F6596" w:rsidP="00752C73">
            <w:pPr>
              <w:rPr>
                <w:color w:val="000000"/>
                <w:szCs w:val="18"/>
              </w:rPr>
            </w:pPr>
            <w:r w:rsidRPr="00AC7CD7">
              <w:rPr>
                <w:color w:val="000000"/>
                <w:szCs w:val="18"/>
              </w:rPr>
              <w:t>0</w:t>
            </w:r>
            <w:r>
              <w:rPr>
                <w:color w:val="000000"/>
                <w:szCs w:val="18"/>
              </w:rPr>
              <w:t>.</w:t>
            </w:r>
            <w:r w:rsidRPr="00AC7CD7">
              <w:rPr>
                <w:color w:val="000000"/>
                <w:szCs w:val="18"/>
              </w:rPr>
              <w:t>016</w:t>
            </w:r>
          </w:p>
        </w:tc>
        <w:tc>
          <w:tcPr>
            <w:tcW w:w="391" w:type="pct"/>
            <w:shd w:val="clear" w:color="auto" w:fill="FFFFFF"/>
            <w:vAlign w:val="center"/>
          </w:tcPr>
          <w:p w:rsidR="002F6596" w:rsidRPr="00AC7CD7" w:rsidRDefault="002F6596" w:rsidP="00752C73">
            <w:pPr>
              <w:rPr>
                <w:color w:val="000000"/>
                <w:szCs w:val="18"/>
              </w:rPr>
            </w:pPr>
            <w:r w:rsidRPr="00AC7CD7">
              <w:rPr>
                <w:color w:val="000000"/>
                <w:szCs w:val="18"/>
              </w:rPr>
              <w:t>0</w:t>
            </w:r>
            <w:r>
              <w:rPr>
                <w:color w:val="000000"/>
                <w:szCs w:val="18"/>
              </w:rPr>
              <w:t>.</w:t>
            </w:r>
            <w:r w:rsidRPr="00AC7CD7">
              <w:rPr>
                <w:color w:val="000000"/>
                <w:szCs w:val="18"/>
              </w:rPr>
              <w:t>057</w:t>
            </w:r>
          </w:p>
        </w:tc>
        <w:tc>
          <w:tcPr>
            <w:tcW w:w="329" w:type="pct"/>
            <w:shd w:val="clear" w:color="auto" w:fill="FFFFFF"/>
            <w:vAlign w:val="center"/>
          </w:tcPr>
          <w:p w:rsidR="002F6596" w:rsidRPr="00107444" w:rsidRDefault="002F6596" w:rsidP="00752C73">
            <w:pPr>
              <w:pStyle w:val="CETTabletitle"/>
              <w:keepNext w:val="0"/>
              <w:spacing w:before="0" w:after="0" w:line="264" w:lineRule="auto"/>
              <w:jc w:val="both"/>
              <w:rPr>
                <w:i w:val="0"/>
              </w:rPr>
            </w:pPr>
            <w:r w:rsidRPr="00107444">
              <w:rPr>
                <w:i w:val="0"/>
              </w:rPr>
              <w:t>0</w:t>
            </w:r>
            <w:r>
              <w:rPr>
                <w:i w:val="0"/>
              </w:rPr>
              <w:t>.</w:t>
            </w:r>
            <w:r w:rsidRPr="00107444">
              <w:rPr>
                <w:i w:val="0"/>
              </w:rPr>
              <w:t>018</w:t>
            </w:r>
          </w:p>
        </w:tc>
        <w:tc>
          <w:tcPr>
            <w:tcW w:w="327" w:type="pct"/>
            <w:shd w:val="clear" w:color="auto" w:fill="FFFFFF"/>
            <w:vAlign w:val="center"/>
          </w:tcPr>
          <w:p w:rsidR="002F6596" w:rsidRPr="00E94CE8" w:rsidRDefault="002F6596" w:rsidP="00752C73">
            <w:pPr>
              <w:pStyle w:val="CETTabletitle"/>
              <w:keepNext w:val="0"/>
              <w:spacing w:before="0" w:after="0" w:line="264" w:lineRule="auto"/>
              <w:jc w:val="both"/>
              <w:rPr>
                <w:i w:val="0"/>
              </w:rPr>
            </w:pPr>
            <w:r w:rsidRPr="00E94CE8">
              <w:rPr>
                <w:i w:val="0"/>
              </w:rPr>
              <w:t>0</w:t>
            </w:r>
            <w:r>
              <w:rPr>
                <w:i w:val="0"/>
              </w:rPr>
              <w:t>.</w:t>
            </w:r>
            <w:r w:rsidRPr="00E94CE8">
              <w:rPr>
                <w:i w:val="0"/>
              </w:rPr>
              <w:t>015</w:t>
            </w:r>
          </w:p>
        </w:tc>
      </w:tr>
      <w:tr w:rsidR="003C111D" w:rsidRPr="00B57B36" w:rsidTr="003C111D">
        <w:tc>
          <w:tcPr>
            <w:tcW w:w="642" w:type="pct"/>
            <w:shd w:val="clear" w:color="auto" w:fill="FFFFFF"/>
            <w:vAlign w:val="center"/>
          </w:tcPr>
          <w:p w:rsidR="002F6596" w:rsidRPr="00E94CE8" w:rsidRDefault="002F6596" w:rsidP="00752C73">
            <w:pPr>
              <w:pStyle w:val="CETTabletitle"/>
              <w:keepNext w:val="0"/>
              <w:spacing w:before="0" w:after="0" w:line="264" w:lineRule="auto"/>
              <w:jc w:val="both"/>
              <w:rPr>
                <w:i w:val="0"/>
              </w:rPr>
            </w:pPr>
            <w:r w:rsidRPr="00E94CE8">
              <w:rPr>
                <w:i w:val="0"/>
              </w:rPr>
              <w:t>% SEP</w:t>
            </w:r>
          </w:p>
        </w:tc>
        <w:tc>
          <w:tcPr>
            <w:tcW w:w="402" w:type="pct"/>
            <w:shd w:val="clear" w:color="auto" w:fill="FFFFFF"/>
            <w:vAlign w:val="center"/>
          </w:tcPr>
          <w:p w:rsidR="002F6596" w:rsidRPr="00E94CE8" w:rsidRDefault="002F6596" w:rsidP="00752C73">
            <w:pPr>
              <w:pStyle w:val="CETTabletitle"/>
              <w:keepNext w:val="0"/>
              <w:spacing w:before="0" w:after="0" w:line="264" w:lineRule="auto"/>
              <w:jc w:val="both"/>
              <w:rPr>
                <w:i w:val="0"/>
              </w:rPr>
            </w:pPr>
            <w:r w:rsidRPr="00E94CE8">
              <w:rPr>
                <w:i w:val="0"/>
              </w:rPr>
              <w:t>12</w:t>
            </w:r>
            <w:r>
              <w:rPr>
                <w:i w:val="0"/>
              </w:rPr>
              <w:t>.</w:t>
            </w:r>
            <w:r w:rsidRPr="00E94CE8">
              <w:rPr>
                <w:i w:val="0"/>
              </w:rPr>
              <w:t>50</w:t>
            </w:r>
          </w:p>
        </w:tc>
        <w:tc>
          <w:tcPr>
            <w:tcW w:w="328" w:type="pct"/>
            <w:shd w:val="clear" w:color="auto" w:fill="FFFFFF"/>
            <w:vAlign w:val="center"/>
          </w:tcPr>
          <w:p w:rsidR="002F6596" w:rsidRPr="00E94CE8" w:rsidRDefault="002F6596" w:rsidP="00752C73">
            <w:pPr>
              <w:pStyle w:val="CETTabletitle"/>
              <w:keepNext w:val="0"/>
              <w:spacing w:before="0" w:after="0" w:line="264" w:lineRule="auto"/>
              <w:jc w:val="both"/>
              <w:rPr>
                <w:i w:val="0"/>
              </w:rPr>
            </w:pPr>
            <w:r w:rsidRPr="00E94CE8">
              <w:rPr>
                <w:i w:val="0"/>
              </w:rPr>
              <w:t>7</w:t>
            </w:r>
            <w:r>
              <w:rPr>
                <w:i w:val="0"/>
              </w:rPr>
              <w:t>.</w:t>
            </w:r>
            <w:r w:rsidRPr="00E94CE8">
              <w:rPr>
                <w:i w:val="0"/>
              </w:rPr>
              <w:t>61</w:t>
            </w:r>
          </w:p>
        </w:tc>
        <w:tc>
          <w:tcPr>
            <w:tcW w:w="402" w:type="pct"/>
            <w:shd w:val="clear" w:color="auto" w:fill="FFFFFF"/>
            <w:vAlign w:val="center"/>
          </w:tcPr>
          <w:p w:rsidR="002F6596" w:rsidRPr="00E94CE8" w:rsidRDefault="002F6596" w:rsidP="00752C73">
            <w:pPr>
              <w:pStyle w:val="CETTabletitle"/>
              <w:keepNext w:val="0"/>
              <w:spacing w:before="0" w:after="0" w:line="264" w:lineRule="auto"/>
              <w:jc w:val="both"/>
              <w:rPr>
                <w:i w:val="0"/>
              </w:rPr>
            </w:pPr>
            <w:r w:rsidRPr="00E94CE8">
              <w:rPr>
                <w:i w:val="0"/>
              </w:rPr>
              <w:t>6</w:t>
            </w:r>
            <w:r>
              <w:rPr>
                <w:i w:val="0"/>
              </w:rPr>
              <w:t>.</w:t>
            </w:r>
            <w:r w:rsidRPr="00E94CE8">
              <w:rPr>
                <w:i w:val="0"/>
              </w:rPr>
              <w:t>74</w:t>
            </w:r>
          </w:p>
        </w:tc>
        <w:tc>
          <w:tcPr>
            <w:tcW w:w="403" w:type="pct"/>
            <w:shd w:val="clear" w:color="auto" w:fill="FFFFFF"/>
            <w:vAlign w:val="center"/>
          </w:tcPr>
          <w:p w:rsidR="002F6596" w:rsidRPr="00E94CE8" w:rsidRDefault="002F6596" w:rsidP="00752C73">
            <w:pPr>
              <w:pStyle w:val="CETTabletitle"/>
              <w:keepNext w:val="0"/>
              <w:spacing w:before="0" w:after="0" w:line="264" w:lineRule="auto"/>
              <w:jc w:val="both"/>
              <w:rPr>
                <w:i w:val="0"/>
              </w:rPr>
            </w:pPr>
            <w:r w:rsidRPr="00E94CE8">
              <w:rPr>
                <w:i w:val="0"/>
              </w:rPr>
              <w:t>17</w:t>
            </w:r>
            <w:r>
              <w:rPr>
                <w:i w:val="0"/>
              </w:rPr>
              <w:t>.</w:t>
            </w:r>
            <w:r w:rsidRPr="00E94CE8">
              <w:rPr>
                <w:i w:val="0"/>
              </w:rPr>
              <w:t>03</w:t>
            </w:r>
          </w:p>
        </w:tc>
        <w:tc>
          <w:tcPr>
            <w:tcW w:w="323" w:type="pct"/>
            <w:shd w:val="clear" w:color="auto" w:fill="FFFFFF"/>
            <w:vAlign w:val="center"/>
          </w:tcPr>
          <w:p w:rsidR="002F6596" w:rsidRPr="00E94CE8" w:rsidRDefault="002F6596" w:rsidP="00752C73">
            <w:pPr>
              <w:pStyle w:val="CETTabletitle"/>
              <w:keepNext w:val="0"/>
              <w:spacing w:before="0" w:after="0" w:line="264" w:lineRule="auto"/>
              <w:jc w:val="both"/>
              <w:rPr>
                <w:i w:val="0"/>
              </w:rPr>
            </w:pPr>
            <w:r w:rsidRPr="00E94CE8">
              <w:rPr>
                <w:i w:val="0"/>
              </w:rPr>
              <w:t>6</w:t>
            </w:r>
            <w:r>
              <w:rPr>
                <w:i w:val="0"/>
              </w:rPr>
              <w:t>.</w:t>
            </w:r>
            <w:r w:rsidRPr="00E94CE8">
              <w:rPr>
                <w:i w:val="0"/>
              </w:rPr>
              <w:t>16</w:t>
            </w:r>
          </w:p>
        </w:tc>
        <w:tc>
          <w:tcPr>
            <w:tcW w:w="404" w:type="pct"/>
            <w:shd w:val="clear" w:color="auto" w:fill="FFFFFF"/>
            <w:vAlign w:val="center"/>
          </w:tcPr>
          <w:p w:rsidR="002F6596" w:rsidRPr="00E94CE8" w:rsidRDefault="002F6596" w:rsidP="00752C73">
            <w:pPr>
              <w:pStyle w:val="CETTabletitle"/>
              <w:keepNext w:val="0"/>
              <w:spacing w:before="0" w:after="0" w:line="264" w:lineRule="auto"/>
              <w:jc w:val="both"/>
              <w:rPr>
                <w:i w:val="0"/>
              </w:rPr>
            </w:pPr>
            <w:r w:rsidRPr="00E94CE8">
              <w:rPr>
                <w:i w:val="0"/>
              </w:rPr>
              <w:t>4</w:t>
            </w:r>
            <w:r>
              <w:rPr>
                <w:i w:val="0"/>
              </w:rPr>
              <w:t>.</w:t>
            </w:r>
            <w:r w:rsidRPr="00E94CE8">
              <w:rPr>
                <w:i w:val="0"/>
              </w:rPr>
              <w:t>93</w:t>
            </w:r>
          </w:p>
        </w:tc>
        <w:tc>
          <w:tcPr>
            <w:tcW w:w="336" w:type="pct"/>
            <w:shd w:val="clear" w:color="auto" w:fill="FFFFFF"/>
            <w:vAlign w:val="center"/>
          </w:tcPr>
          <w:p w:rsidR="002F6596" w:rsidRPr="00AC7CD7" w:rsidRDefault="002F6596" w:rsidP="00752C73">
            <w:pPr>
              <w:rPr>
                <w:color w:val="000000"/>
                <w:szCs w:val="18"/>
              </w:rPr>
            </w:pPr>
            <w:r w:rsidRPr="00AC7CD7">
              <w:rPr>
                <w:color w:val="000000"/>
                <w:szCs w:val="18"/>
              </w:rPr>
              <w:t>18</w:t>
            </w:r>
            <w:r>
              <w:rPr>
                <w:color w:val="000000"/>
                <w:szCs w:val="18"/>
              </w:rPr>
              <w:t>.</w:t>
            </w:r>
            <w:r w:rsidRPr="00AC7CD7">
              <w:rPr>
                <w:color w:val="000000"/>
                <w:szCs w:val="18"/>
              </w:rPr>
              <w:t>45</w:t>
            </w:r>
          </w:p>
        </w:tc>
        <w:tc>
          <w:tcPr>
            <w:tcW w:w="390" w:type="pct"/>
            <w:shd w:val="clear" w:color="auto" w:fill="FFFFFF"/>
            <w:vAlign w:val="center"/>
          </w:tcPr>
          <w:p w:rsidR="002F6596" w:rsidRPr="00AC7CD7" w:rsidRDefault="002F6596" w:rsidP="00752C73">
            <w:pPr>
              <w:rPr>
                <w:szCs w:val="18"/>
              </w:rPr>
            </w:pPr>
            <w:r w:rsidRPr="00AC7CD7">
              <w:rPr>
                <w:szCs w:val="18"/>
              </w:rPr>
              <w:t>6</w:t>
            </w:r>
            <w:r>
              <w:rPr>
                <w:szCs w:val="18"/>
              </w:rPr>
              <w:t>.</w:t>
            </w:r>
            <w:r w:rsidRPr="00AC7CD7">
              <w:rPr>
                <w:szCs w:val="18"/>
              </w:rPr>
              <w:t>69</w:t>
            </w:r>
          </w:p>
        </w:tc>
        <w:tc>
          <w:tcPr>
            <w:tcW w:w="323" w:type="pct"/>
            <w:shd w:val="clear" w:color="auto" w:fill="FFFFFF"/>
            <w:vAlign w:val="center"/>
          </w:tcPr>
          <w:p w:rsidR="002F6596" w:rsidRPr="00AC7CD7" w:rsidRDefault="002F6596" w:rsidP="00752C73">
            <w:pPr>
              <w:rPr>
                <w:color w:val="000000"/>
                <w:szCs w:val="18"/>
              </w:rPr>
            </w:pPr>
            <w:r w:rsidRPr="00AC7CD7">
              <w:rPr>
                <w:color w:val="000000"/>
                <w:szCs w:val="18"/>
              </w:rPr>
              <w:t>4</w:t>
            </w:r>
            <w:r>
              <w:rPr>
                <w:color w:val="000000"/>
                <w:szCs w:val="18"/>
              </w:rPr>
              <w:t>.</w:t>
            </w:r>
            <w:r w:rsidRPr="00AC7CD7">
              <w:rPr>
                <w:color w:val="000000"/>
                <w:szCs w:val="18"/>
              </w:rPr>
              <w:t>64</w:t>
            </w:r>
          </w:p>
        </w:tc>
        <w:tc>
          <w:tcPr>
            <w:tcW w:w="391" w:type="pct"/>
            <w:shd w:val="clear" w:color="auto" w:fill="FFFFFF"/>
            <w:vAlign w:val="center"/>
          </w:tcPr>
          <w:p w:rsidR="002F6596" w:rsidRPr="00AC7CD7" w:rsidRDefault="002F6596" w:rsidP="00752C73">
            <w:pPr>
              <w:rPr>
                <w:color w:val="000000"/>
                <w:szCs w:val="18"/>
              </w:rPr>
            </w:pPr>
            <w:r w:rsidRPr="00AC7CD7">
              <w:rPr>
                <w:color w:val="000000"/>
                <w:szCs w:val="18"/>
              </w:rPr>
              <w:t>16</w:t>
            </w:r>
            <w:r>
              <w:rPr>
                <w:color w:val="000000"/>
                <w:szCs w:val="18"/>
              </w:rPr>
              <w:t>.</w:t>
            </w:r>
            <w:r w:rsidRPr="00AC7CD7">
              <w:rPr>
                <w:color w:val="000000"/>
                <w:szCs w:val="18"/>
              </w:rPr>
              <w:t>47</w:t>
            </w:r>
          </w:p>
        </w:tc>
        <w:tc>
          <w:tcPr>
            <w:tcW w:w="329" w:type="pct"/>
            <w:shd w:val="clear" w:color="auto" w:fill="FFFFFF"/>
            <w:vAlign w:val="center"/>
          </w:tcPr>
          <w:p w:rsidR="002F6596" w:rsidRPr="00AC7CD7" w:rsidRDefault="002F6596" w:rsidP="00752C73">
            <w:pPr>
              <w:pStyle w:val="CETTabletitle"/>
              <w:keepNext w:val="0"/>
              <w:spacing w:before="0" w:after="0" w:line="264" w:lineRule="auto"/>
              <w:jc w:val="both"/>
              <w:rPr>
                <w:i w:val="0"/>
                <w:szCs w:val="18"/>
              </w:rPr>
            </w:pPr>
            <w:r w:rsidRPr="00AC7CD7">
              <w:rPr>
                <w:i w:val="0"/>
                <w:szCs w:val="18"/>
              </w:rPr>
              <w:t>6</w:t>
            </w:r>
            <w:r>
              <w:rPr>
                <w:i w:val="0"/>
                <w:szCs w:val="18"/>
              </w:rPr>
              <w:t>.</w:t>
            </w:r>
            <w:r w:rsidRPr="00AC7CD7">
              <w:rPr>
                <w:i w:val="0"/>
                <w:szCs w:val="18"/>
              </w:rPr>
              <w:t>16</w:t>
            </w:r>
          </w:p>
        </w:tc>
        <w:tc>
          <w:tcPr>
            <w:tcW w:w="327" w:type="pct"/>
            <w:shd w:val="clear" w:color="auto" w:fill="FFFFFF"/>
            <w:vAlign w:val="center"/>
          </w:tcPr>
          <w:p w:rsidR="002F6596" w:rsidRPr="00E94CE8" w:rsidRDefault="002F6596" w:rsidP="00752C73">
            <w:pPr>
              <w:pStyle w:val="CETTabletitle"/>
              <w:keepNext w:val="0"/>
              <w:spacing w:before="0" w:after="0" w:line="264" w:lineRule="auto"/>
              <w:jc w:val="both"/>
              <w:rPr>
                <w:i w:val="0"/>
              </w:rPr>
            </w:pPr>
            <w:r w:rsidRPr="00E94CE8">
              <w:rPr>
                <w:i w:val="0"/>
              </w:rPr>
              <w:t>4</w:t>
            </w:r>
            <w:r>
              <w:rPr>
                <w:i w:val="0"/>
              </w:rPr>
              <w:t>.</w:t>
            </w:r>
            <w:r w:rsidRPr="00E94CE8">
              <w:rPr>
                <w:i w:val="0"/>
              </w:rPr>
              <w:t>93</w:t>
            </w:r>
          </w:p>
        </w:tc>
      </w:tr>
      <w:tr w:rsidR="003C111D" w:rsidRPr="00B57B36" w:rsidTr="003C111D">
        <w:tc>
          <w:tcPr>
            <w:tcW w:w="642" w:type="pct"/>
            <w:shd w:val="clear" w:color="auto" w:fill="FFFFFF"/>
            <w:vAlign w:val="center"/>
          </w:tcPr>
          <w:p w:rsidR="002F6596" w:rsidRPr="003C111D" w:rsidRDefault="002F6596" w:rsidP="00752C73">
            <w:pPr>
              <w:pStyle w:val="CETTabletitle"/>
              <w:keepNext w:val="0"/>
              <w:spacing w:before="0" w:after="0" w:line="264" w:lineRule="auto"/>
              <w:jc w:val="both"/>
            </w:pPr>
            <w:r w:rsidRPr="003C111D">
              <w:t>B</w:t>
            </w:r>
            <w:r w:rsidRPr="003C111D">
              <w:rPr>
                <w:vertAlign w:val="subscript"/>
              </w:rPr>
              <w:t>f</w:t>
            </w:r>
          </w:p>
        </w:tc>
        <w:tc>
          <w:tcPr>
            <w:tcW w:w="402" w:type="pct"/>
            <w:shd w:val="clear" w:color="auto" w:fill="FFFFFF"/>
            <w:vAlign w:val="center"/>
          </w:tcPr>
          <w:p w:rsidR="002F6596" w:rsidRPr="00E94CE8" w:rsidRDefault="002F6596" w:rsidP="00752C73">
            <w:pPr>
              <w:pStyle w:val="CETTabletitle"/>
              <w:keepNext w:val="0"/>
              <w:spacing w:before="0" w:after="0" w:line="264" w:lineRule="auto"/>
              <w:jc w:val="both"/>
              <w:rPr>
                <w:i w:val="0"/>
              </w:rPr>
            </w:pPr>
            <w:r w:rsidRPr="00E94CE8">
              <w:rPr>
                <w:i w:val="0"/>
              </w:rPr>
              <w:t>3</w:t>
            </w:r>
            <w:r>
              <w:rPr>
                <w:i w:val="0"/>
              </w:rPr>
              <w:t>.</w:t>
            </w:r>
            <w:r w:rsidRPr="00E94CE8">
              <w:rPr>
                <w:i w:val="0"/>
              </w:rPr>
              <w:t>46</w:t>
            </w:r>
          </w:p>
        </w:tc>
        <w:tc>
          <w:tcPr>
            <w:tcW w:w="328" w:type="pct"/>
            <w:shd w:val="clear" w:color="auto" w:fill="FFFFFF"/>
            <w:vAlign w:val="center"/>
          </w:tcPr>
          <w:p w:rsidR="002F6596" w:rsidRPr="00E94CE8" w:rsidRDefault="002F6596" w:rsidP="00752C73">
            <w:pPr>
              <w:pStyle w:val="CETTabletitle"/>
              <w:keepNext w:val="0"/>
              <w:spacing w:before="0" w:after="0" w:line="264" w:lineRule="auto"/>
              <w:jc w:val="both"/>
              <w:rPr>
                <w:i w:val="0"/>
              </w:rPr>
            </w:pPr>
            <w:r w:rsidRPr="00E94CE8">
              <w:rPr>
                <w:i w:val="0"/>
              </w:rPr>
              <w:t>2</w:t>
            </w:r>
            <w:r>
              <w:rPr>
                <w:i w:val="0"/>
              </w:rPr>
              <w:t>.</w:t>
            </w:r>
            <w:r w:rsidRPr="00E94CE8">
              <w:rPr>
                <w:i w:val="0"/>
              </w:rPr>
              <w:t>44</w:t>
            </w:r>
          </w:p>
        </w:tc>
        <w:tc>
          <w:tcPr>
            <w:tcW w:w="402" w:type="pct"/>
            <w:shd w:val="clear" w:color="auto" w:fill="FFFFFF"/>
            <w:vAlign w:val="center"/>
          </w:tcPr>
          <w:p w:rsidR="002F6596" w:rsidRPr="00E94CE8" w:rsidRDefault="002F6596" w:rsidP="00752C73">
            <w:pPr>
              <w:pStyle w:val="CETTabletitle"/>
              <w:keepNext w:val="0"/>
              <w:spacing w:before="0" w:after="0" w:line="264" w:lineRule="auto"/>
              <w:jc w:val="both"/>
              <w:rPr>
                <w:i w:val="0"/>
              </w:rPr>
            </w:pPr>
            <w:r w:rsidRPr="00E94CE8">
              <w:rPr>
                <w:i w:val="0"/>
              </w:rPr>
              <w:t>0</w:t>
            </w:r>
            <w:r>
              <w:rPr>
                <w:i w:val="0"/>
              </w:rPr>
              <w:t>.</w:t>
            </w:r>
            <w:r w:rsidRPr="00E94CE8">
              <w:rPr>
                <w:i w:val="0"/>
              </w:rPr>
              <w:t>80</w:t>
            </w:r>
          </w:p>
        </w:tc>
        <w:tc>
          <w:tcPr>
            <w:tcW w:w="403" w:type="pct"/>
            <w:shd w:val="clear" w:color="auto" w:fill="FFFFFF"/>
            <w:vAlign w:val="center"/>
          </w:tcPr>
          <w:p w:rsidR="002F6596" w:rsidRPr="00E94CE8" w:rsidRDefault="002F6596" w:rsidP="00752C73">
            <w:pPr>
              <w:pStyle w:val="CETTabletitle"/>
              <w:keepNext w:val="0"/>
              <w:spacing w:before="0" w:after="0" w:line="264" w:lineRule="auto"/>
              <w:jc w:val="both"/>
              <w:rPr>
                <w:i w:val="0"/>
              </w:rPr>
            </w:pPr>
            <w:r w:rsidRPr="00E94CE8">
              <w:rPr>
                <w:i w:val="0"/>
              </w:rPr>
              <w:t>3</w:t>
            </w:r>
            <w:r>
              <w:rPr>
                <w:i w:val="0"/>
              </w:rPr>
              <w:t>.</w:t>
            </w:r>
            <w:r w:rsidRPr="00E94CE8">
              <w:rPr>
                <w:i w:val="0"/>
              </w:rPr>
              <w:t>15</w:t>
            </w:r>
          </w:p>
        </w:tc>
        <w:tc>
          <w:tcPr>
            <w:tcW w:w="323" w:type="pct"/>
            <w:shd w:val="clear" w:color="auto" w:fill="FFFFFF"/>
            <w:vAlign w:val="center"/>
          </w:tcPr>
          <w:p w:rsidR="002F6596" w:rsidRPr="00E94CE8" w:rsidRDefault="002F6596" w:rsidP="00752C73">
            <w:pPr>
              <w:pStyle w:val="CETTabletitle"/>
              <w:keepNext w:val="0"/>
              <w:spacing w:before="0" w:after="0" w:line="264" w:lineRule="auto"/>
              <w:jc w:val="both"/>
              <w:rPr>
                <w:i w:val="0"/>
              </w:rPr>
            </w:pPr>
            <w:r w:rsidRPr="00E94CE8">
              <w:rPr>
                <w:i w:val="0"/>
              </w:rPr>
              <w:t>1</w:t>
            </w:r>
            <w:r>
              <w:rPr>
                <w:i w:val="0"/>
              </w:rPr>
              <w:t>.</w:t>
            </w:r>
            <w:r w:rsidRPr="00E94CE8">
              <w:rPr>
                <w:i w:val="0"/>
              </w:rPr>
              <w:t>90</w:t>
            </w:r>
          </w:p>
        </w:tc>
        <w:tc>
          <w:tcPr>
            <w:tcW w:w="404" w:type="pct"/>
            <w:shd w:val="clear" w:color="auto" w:fill="FFFFFF"/>
            <w:vAlign w:val="center"/>
          </w:tcPr>
          <w:p w:rsidR="002F6596" w:rsidRPr="00E94CE8" w:rsidRDefault="002F6596" w:rsidP="00752C73">
            <w:pPr>
              <w:pStyle w:val="CETTabletitle"/>
              <w:keepNext w:val="0"/>
              <w:spacing w:before="0" w:after="0" w:line="264" w:lineRule="auto"/>
              <w:jc w:val="both"/>
              <w:rPr>
                <w:i w:val="0"/>
              </w:rPr>
            </w:pPr>
            <w:r w:rsidRPr="00E94CE8">
              <w:rPr>
                <w:i w:val="0"/>
              </w:rPr>
              <w:t>0</w:t>
            </w:r>
            <w:r>
              <w:rPr>
                <w:i w:val="0"/>
              </w:rPr>
              <w:t>.</w:t>
            </w:r>
            <w:r w:rsidRPr="00E94CE8">
              <w:rPr>
                <w:i w:val="0"/>
              </w:rPr>
              <w:t>64</w:t>
            </w:r>
          </w:p>
        </w:tc>
        <w:tc>
          <w:tcPr>
            <w:tcW w:w="336" w:type="pct"/>
            <w:shd w:val="clear" w:color="auto" w:fill="FFFFFF"/>
            <w:vAlign w:val="center"/>
          </w:tcPr>
          <w:p w:rsidR="002F6596" w:rsidRPr="00AC7CD7" w:rsidRDefault="002F6596" w:rsidP="00752C73">
            <w:pPr>
              <w:rPr>
                <w:color w:val="000000"/>
                <w:szCs w:val="18"/>
              </w:rPr>
            </w:pPr>
            <w:r w:rsidRPr="00AC7CD7">
              <w:rPr>
                <w:color w:val="000000"/>
                <w:szCs w:val="18"/>
              </w:rPr>
              <w:t>2</w:t>
            </w:r>
            <w:r>
              <w:rPr>
                <w:color w:val="000000"/>
                <w:szCs w:val="18"/>
              </w:rPr>
              <w:t>.</w:t>
            </w:r>
            <w:r w:rsidRPr="00AC7CD7">
              <w:rPr>
                <w:color w:val="000000"/>
                <w:szCs w:val="18"/>
              </w:rPr>
              <w:t>65</w:t>
            </w:r>
          </w:p>
        </w:tc>
        <w:tc>
          <w:tcPr>
            <w:tcW w:w="390" w:type="pct"/>
            <w:shd w:val="clear" w:color="auto" w:fill="FFFFFF"/>
            <w:vAlign w:val="center"/>
          </w:tcPr>
          <w:p w:rsidR="002F6596" w:rsidRPr="00AC7CD7" w:rsidRDefault="002F6596" w:rsidP="00752C73">
            <w:pPr>
              <w:rPr>
                <w:szCs w:val="18"/>
              </w:rPr>
            </w:pPr>
            <w:r w:rsidRPr="00AC7CD7">
              <w:rPr>
                <w:szCs w:val="18"/>
              </w:rPr>
              <w:t>1</w:t>
            </w:r>
            <w:r>
              <w:rPr>
                <w:szCs w:val="18"/>
              </w:rPr>
              <w:t>.</w:t>
            </w:r>
            <w:r w:rsidRPr="00AC7CD7">
              <w:rPr>
                <w:szCs w:val="18"/>
              </w:rPr>
              <w:t>72</w:t>
            </w:r>
          </w:p>
        </w:tc>
        <w:tc>
          <w:tcPr>
            <w:tcW w:w="323" w:type="pct"/>
            <w:shd w:val="clear" w:color="auto" w:fill="FFFFFF"/>
            <w:vAlign w:val="center"/>
          </w:tcPr>
          <w:p w:rsidR="002F6596" w:rsidRPr="00AC7CD7" w:rsidRDefault="002F6596" w:rsidP="00752C73">
            <w:pPr>
              <w:rPr>
                <w:color w:val="000000"/>
                <w:szCs w:val="18"/>
              </w:rPr>
            </w:pPr>
            <w:r w:rsidRPr="00AC7CD7">
              <w:rPr>
                <w:color w:val="000000"/>
                <w:szCs w:val="18"/>
              </w:rPr>
              <w:t>0</w:t>
            </w:r>
            <w:r>
              <w:rPr>
                <w:color w:val="000000"/>
                <w:szCs w:val="18"/>
              </w:rPr>
              <w:t>.</w:t>
            </w:r>
            <w:r w:rsidRPr="00AC7CD7">
              <w:rPr>
                <w:color w:val="000000"/>
                <w:szCs w:val="18"/>
              </w:rPr>
              <w:t>60</w:t>
            </w:r>
          </w:p>
        </w:tc>
        <w:tc>
          <w:tcPr>
            <w:tcW w:w="391" w:type="pct"/>
            <w:shd w:val="clear" w:color="auto" w:fill="FFFFFF"/>
            <w:vAlign w:val="center"/>
          </w:tcPr>
          <w:p w:rsidR="002F6596" w:rsidRPr="00AC7CD7" w:rsidRDefault="002F6596" w:rsidP="00752C73">
            <w:pPr>
              <w:rPr>
                <w:color w:val="000000"/>
                <w:szCs w:val="18"/>
              </w:rPr>
            </w:pPr>
            <w:r w:rsidRPr="00AC7CD7">
              <w:rPr>
                <w:color w:val="000000"/>
                <w:szCs w:val="18"/>
              </w:rPr>
              <w:t>2</w:t>
            </w:r>
            <w:r>
              <w:rPr>
                <w:color w:val="000000"/>
                <w:szCs w:val="18"/>
              </w:rPr>
              <w:t>.</w:t>
            </w:r>
            <w:r w:rsidRPr="00AC7CD7">
              <w:rPr>
                <w:color w:val="000000"/>
                <w:szCs w:val="18"/>
              </w:rPr>
              <w:t>51</w:t>
            </w:r>
          </w:p>
        </w:tc>
        <w:tc>
          <w:tcPr>
            <w:tcW w:w="329" w:type="pct"/>
            <w:shd w:val="clear" w:color="auto" w:fill="FFFFFF"/>
            <w:vAlign w:val="center"/>
          </w:tcPr>
          <w:p w:rsidR="002F6596" w:rsidRPr="00AC7CD7" w:rsidRDefault="002F6596" w:rsidP="00752C73">
            <w:pPr>
              <w:pStyle w:val="CETTabletitle"/>
              <w:keepNext w:val="0"/>
              <w:spacing w:before="0" w:after="0" w:line="264" w:lineRule="auto"/>
              <w:jc w:val="both"/>
              <w:rPr>
                <w:i w:val="0"/>
                <w:szCs w:val="18"/>
              </w:rPr>
            </w:pPr>
            <w:r w:rsidRPr="00AC7CD7">
              <w:rPr>
                <w:i w:val="0"/>
                <w:szCs w:val="18"/>
              </w:rPr>
              <w:t>1</w:t>
            </w:r>
            <w:r>
              <w:rPr>
                <w:i w:val="0"/>
                <w:szCs w:val="18"/>
              </w:rPr>
              <w:t>.</w:t>
            </w:r>
            <w:r w:rsidRPr="00AC7CD7">
              <w:rPr>
                <w:i w:val="0"/>
                <w:szCs w:val="18"/>
              </w:rPr>
              <w:t>90</w:t>
            </w:r>
          </w:p>
        </w:tc>
        <w:tc>
          <w:tcPr>
            <w:tcW w:w="327" w:type="pct"/>
            <w:shd w:val="clear" w:color="auto" w:fill="FFFFFF"/>
            <w:vAlign w:val="center"/>
          </w:tcPr>
          <w:p w:rsidR="002F6596" w:rsidRPr="00E94CE8" w:rsidRDefault="002F6596" w:rsidP="00752C73">
            <w:pPr>
              <w:pStyle w:val="CETTabletitle"/>
              <w:keepNext w:val="0"/>
              <w:spacing w:before="0" w:after="0" w:line="264" w:lineRule="auto"/>
              <w:jc w:val="both"/>
              <w:rPr>
                <w:i w:val="0"/>
              </w:rPr>
            </w:pPr>
            <w:r w:rsidRPr="00E94CE8">
              <w:rPr>
                <w:i w:val="0"/>
              </w:rPr>
              <w:t>0</w:t>
            </w:r>
            <w:r>
              <w:rPr>
                <w:i w:val="0"/>
              </w:rPr>
              <w:t>.</w:t>
            </w:r>
            <w:r w:rsidRPr="00E94CE8">
              <w:rPr>
                <w:i w:val="0"/>
              </w:rPr>
              <w:t>64</w:t>
            </w:r>
          </w:p>
        </w:tc>
      </w:tr>
      <w:tr w:rsidR="003C111D" w:rsidRPr="00B57B36" w:rsidTr="003C111D">
        <w:tc>
          <w:tcPr>
            <w:tcW w:w="642" w:type="pct"/>
            <w:shd w:val="clear" w:color="auto" w:fill="FFFFFF"/>
            <w:vAlign w:val="center"/>
          </w:tcPr>
          <w:p w:rsidR="002F6596" w:rsidRPr="003C111D" w:rsidRDefault="002F6596" w:rsidP="00752C73">
            <w:pPr>
              <w:pStyle w:val="CETTabletitle"/>
              <w:keepNext w:val="0"/>
              <w:spacing w:before="0" w:after="0" w:line="264" w:lineRule="auto"/>
              <w:jc w:val="both"/>
            </w:pPr>
            <w:proofErr w:type="spellStart"/>
            <w:r w:rsidRPr="003C111D">
              <w:t>A</w:t>
            </w:r>
            <w:r w:rsidRPr="003C111D">
              <w:rPr>
                <w:vertAlign w:val="subscript"/>
              </w:rPr>
              <w:t>f</w:t>
            </w:r>
            <w:proofErr w:type="spellEnd"/>
          </w:p>
        </w:tc>
        <w:tc>
          <w:tcPr>
            <w:tcW w:w="402" w:type="pct"/>
            <w:shd w:val="clear" w:color="auto" w:fill="FFFFFF"/>
            <w:vAlign w:val="center"/>
          </w:tcPr>
          <w:p w:rsidR="002F6596" w:rsidRPr="00E94CE8" w:rsidRDefault="002F6596" w:rsidP="00752C73">
            <w:pPr>
              <w:pStyle w:val="CETTabletitle"/>
              <w:keepNext w:val="0"/>
              <w:spacing w:before="0" w:after="0" w:line="264" w:lineRule="auto"/>
              <w:jc w:val="both"/>
              <w:rPr>
                <w:i w:val="0"/>
              </w:rPr>
            </w:pPr>
            <w:r w:rsidRPr="00E94CE8">
              <w:rPr>
                <w:i w:val="0"/>
              </w:rPr>
              <w:t>3</w:t>
            </w:r>
            <w:r>
              <w:rPr>
                <w:i w:val="0"/>
              </w:rPr>
              <w:t>.</w:t>
            </w:r>
            <w:r w:rsidRPr="00E94CE8">
              <w:rPr>
                <w:i w:val="0"/>
              </w:rPr>
              <w:t>68</w:t>
            </w:r>
          </w:p>
        </w:tc>
        <w:tc>
          <w:tcPr>
            <w:tcW w:w="328" w:type="pct"/>
            <w:shd w:val="clear" w:color="auto" w:fill="FFFFFF"/>
            <w:vAlign w:val="center"/>
          </w:tcPr>
          <w:p w:rsidR="002F6596" w:rsidRPr="00E94CE8" w:rsidRDefault="002F6596" w:rsidP="00752C73">
            <w:pPr>
              <w:pStyle w:val="CETTabletitle"/>
              <w:keepNext w:val="0"/>
              <w:spacing w:before="0" w:after="0" w:line="264" w:lineRule="auto"/>
              <w:jc w:val="both"/>
              <w:rPr>
                <w:i w:val="0"/>
              </w:rPr>
            </w:pPr>
            <w:r w:rsidRPr="00E94CE8">
              <w:rPr>
                <w:i w:val="0"/>
              </w:rPr>
              <w:t>2</w:t>
            </w:r>
            <w:r>
              <w:rPr>
                <w:i w:val="0"/>
              </w:rPr>
              <w:t>.</w:t>
            </w:r>
            <w:r w:rsidRPr="00E94CE8">
              <w:rPr>
                <w:i w:val="0"/>
              </w:rPr>
              <w:t>58</w:t>
            </w:r>
          </w:p>
        </w:tc>
        <w:tc>
          <w:tcPr>
            <w:tcW w:w="402" w:type="pct"/>
            <w:shd w:val="clear" w:color="auto" w:fill="FFFFFF"/>
            <w:vAlign w:val="center"/>
          </w:tcPr>
          <w:p w:rsidR="002F6596" w:rsidRPr="00E94CE8" w:rsidRDefault="002F6596" w:rsidP="00752C73">
            <w:pPr>
              <w:pStyle w:val="CETTabletitle"/>
              <w:keepNext w:val="0"/>
              <w:spacing w:before="0" w:after="0" w:line="264" w:lineRule="auto"/>
              <w:jc w:val="both"/>
              <w:rPr>
                <w:i w:val="0"/>
              </w:rPr>
            </w:pPr>
            <w:r w:rsidRPr="00E94CE8">
              <w:rPr>
                <w:i w:val="0"/>
              </w:rPr>
              <w:t>0</w:t>
            </w:r>
            <w:r>
              <w:rPr>
                <w:i w:val="0"/>
              </w:rPr>
              <w:t>.</w:t>
            </w:r>
            <w:r w:rsidRPr="00E94CE8">
              <w:rPr>
                <w:i w:val="0"/>
              </w:rPr>
              <w:t>92</w:t>
            </w:r>
          </w:p>
        </w:tc>
        <w:tc>
          <w:tcPr>
            <w:tcW w:w="403" w:type="pct"/>
            <w:shd w:val="clear" w:color="auto" w:fill="FFFFFF"/>
            <w:vAlign w:val="center"/>
          </w:tcPr>
          <w:p w:rsidR="002F6596" w:rsidRPr="00E94CE8" w:rsidRDefault="002F6596" w:rsidP="00752C73">
            <w:pPr>
              <w:pStyle w:val="CETTabletitle"/>
              <w:keepNext w:val="0"/>
              <w:spacing w:before="0" w:after="0" w:line="264" w:lineRule="auto"/>
              <w:jc w:val="both"/>
              <w:rPr>
                <w:i w:val="0"/>
              </w:rPr>
            </w:pPr>
            <w:r w:rsidRPr="00E94CE8">
              <w:rPr>
                <w:i w:val="0"/>
              </w:rPr>
              <w:t>3</w:t>
            </w:r>
            <w:r>
              <w:rPr>
                <w:i w:val="0"/>
              </w:rPr>
              <w:t>.</w:t>
            </w:r>
            <w:r w:rsidRPr="00E94CE8">
              <w:rPr>
                <w:i w:val="0"/>
              </w:rPr>
              <w:t>46</w:t>
            </w:r>
          </w:p>
        </w:tc>
        <w:tc>
          <w:tcPr>
            <w:tcW w:w="323" w:type="pct"/>
            <w:shd w:val="clear" w:color="auto" w:fill="FFFFFF"/>
            <w:vAlign w:val="center"/>
          </w:tcPr>
          <w:p w:rsidR="002F6596" w:rsidRPr="00E94CE8" w:rsidRDefault="002F6596" w:rsidP="00752C73">
            <w:pPr>
              <w:pStyle w:val="CETTabletitle"/>
              <w:keepNext w:val="0"/>
              <w:spacing w:before="0" w:after="0" w:line="264" w:lineRule="auto"/>
              <w:jc w:val="both"/>
              <w:rPr>
                <w:i w:val="0"/>
              </w:rPr>
            </w:pPr>
            <w:r w:rsidRPr="00E94CE8">
              <w:rPr>
                <w:i w:val="0"/>
              </w:rPr>
              <w:t>2</w:t>
            </w:r>
            <w:r>
              <w:rPr>
                <w:i w:val="0"/>
              </w:rPr>
              <w:t>.</w:t>
            </w:r>
            <w:r w:rsidRPr="00E94CE8">
              <w:rPr>
                <w:i w:val="0"/>
              </w:rPr>
              <w:t>00</w:t>
            </w:r>
          </w:p>
        </w:tc>
        <w:tc>
          <w:tcPr>
            <w:tcW w:w="404" w:type="pct"/>
            <w:shd w:val="clear" w:color="auto" w:fill="FFFFFF"/>
            <w:vAlign w:val="center"/>
          </w:tcPr>
          <w:p w:rsidR="002F6596" w:rsidRPr="00E94CE8" w:rsidRDefault="002F6596" w:rsidP="00752C73">
            <w:pPr>
              <w:pStyle w:val="CETTabletitle"/>
              <w:keepNext w:val="0"/>
              <w:spacing w:before="0" w:after="0" w:line="264" w:lineRule="auto"/>
              <w:jc w:val="both"/>
              <w:rPr>
                <w:i w:val="0"/>
              </w:rPr>
            </w:pPr>
            <w:r w:rsidRPr="00E94CE8">
              <w:rPr>
                <w:i w:val="0"/>
              </w:rPr>
              <w:t>0</w:t>
            </w:r>
            <w:r>
              <w:rPr>
                <w:i w:val="0"/>
              </w:rPr>
              <w:t>.</w:t>
            </w:r>
            <w:r w:rsidRPr="00E94CE8">
              <w:rPr>
                <w:i w:val="0"/>
              </w:rPr>
              <w:t>73</w:t>
            </w:r>
          </w:p>
        </w:tc>
        <w:tc>
          <w:tcPr>
            <w:tcW w:w="336" w:type="pct"/>
            <w:shd w:val="clear" w:color="auto" w:fill="FFFFFF"/>
            <w:vAlign w:val="center"/>
          </w:tcPr>
          <w:p w:rsidR="002F6596" w:rsidRPr="00AC7CD7" w:rsidRDefault="002F6596" w:rsidP="00752C73">
            <w:pPr>
              <w:rPr>
                <w:color w:val="000000"/>
                <w:szCs w:val="18"/>
              </w:rPr>
            </w:pPr>
            <w:r w:rsidRPr="00AC7CD7">
              <w:rPr>
                <w:color w:val="000000"/>
                <w:szCs w:val="18"/>
              </w:rPr>
              <w:t>3</w:t>
            </w:r>
            <w:r>
              <w:rPr>
                <w:color w:val="000000"/>
                <w:szCs w:val="18"/>
              </w:rPr>
              <w:t>.</w:t>
            </w:r>
            <w:r w:rsidRPr="00AC7CD7">
              <w:rPr>
                <w:color w:val="000000"/>
                <w:szCs w:val="18"/>
              </w:rPr>
              <w:t>05</w:t>
            </w:r>
          </w:p>
        </w:tc>
        <w:tc>
          <w:tcPr>
            <w:tcW w:w="390" w:type="pct"/>
            <w:shd w:val="clear" w:color="auto" w:fill="FFFFFF"/>
            <w:vAlign w:val="center"/>
          </w:tcPr>
          <w:p w:rsidR="002F6596" w:rsidRPr="00AC7CD7" w:rsidRDefault="002F6596" w:rsidP="00752C73">
            <w:pPr>
              <w:rPr>
                <w:szCs w:val="18"/>
              </w:rPr>
            </w:pPr>
            <w:r w:rsidRPr="00AC7CD7">
              <w:rPr>
                <w:szCs w:val="18"/>
              </w:rPr>
              <w:t>1</w:t>
            </w:r>
            <w:r>
              <w:rPr>
                <w:szCs w:val="18"/>
              </w:rPr>
              <w:t>.</w:t>
            </w:r>
            <w:r w:rsidRPr="00AC7CD7">
              <w:rPr>
                <w:szCs w:val="18"/>
              </w:rPr>
              <w:t>89</w:t>
            </w:r>
          </w:p>
        </w:tc>
        <w:tc>
          <w:tcPr>
            <w:tcW w:w="323" w:type="pct"/>
            <w:shd w:val="clear" w:color="auto" w:fill="FFFFFF"/>
            <w:vAlign w:val="center"/>
          </w:tcPr>
          <w:p w:rsidR="002F6596" w:rsidRPr="00AC7CD7" w:rsidRDefault="002F6596" w:rsidP="00752C73">
            <w:pPr>
              <w:rPr>
                <w:color w:val="000000"/>
                <w:szCs w:val="18"/>
              </w:rPr>
            </w:pPr>
            <w:r w:rsidRPr="00AC7CD7">
              <w:rPr>
                <w:color w:val="000000"/>
                <w:szCs w:val="18"/>
              </w:rPr>
              <w:t>0</w:t>
            </w:r>
            <w:r>
              <w:rPr>
                <w:color w:val="000000"/>
                <w:szCs w:val="18"/>
              </w:rPr>
              <w:t>.</w:t>
            </w:r>
            <w:r w:rsidRPr="00AC7CD7">
              <w:rPr>
                <w:color w:val="000000"/>
                <w:szCs w:val="18"/>
              </w:rPr>
              <w:t>64</w:t>
            </w:r>
          </w:p>
        </w:tc>
        <w:tc>
          <w:tcPr>
            <w:tcW w:w="391" w:type="pct"/>
            <w:shd w:val="clear" w:color="auto" w:fill="FFFFFF"/>
            <w:vAlign w:val="center"/>
          </w:tcPr>
          <w:p w:rsidR="002F6596" w:rsidRPr="00AC7CD7" w:rsidRDefault="002F6596" w:rsidP="00752C73">
            <w:pPr>
              <w:rPr>
                <w:color w:val="000000"/>
                <w:szCs w:val="18"/>
              </w:rPr>
            </w:pPr>
            <w:r w:rsidRPr="00AC7CD7">
              <w:rPr>
                <w:color w:val="000000"/>
                <w:szCs w:val="18"/>
              </w:rPr>
              <w:t>2</w:t>
            </w:r>
            <w:r>
              <w:rPr>
                <w:color w:val="000000"/>
                <w:szCs w:val="18"/>
              </w:rPr>
              <w:t>.</w:t>
            </w:r>
            <w:r w:rsidRPr="00AC7CD7">
              <w:rPr>
                <w:color w:val="000000"/>
                <w:szCs w:val="18"/>
              </w:rPr>
              <w:t>90</w:t>
            </w:r>
          </w:p>
        </w:tc>
        <w:tc>
          <w:tcPr>
            <w:tcW w:w="329" w:type="pct"/>
            <w:shd w:val="clear" w:color="auto" w:fill="FFFFFF"/>
            <w:vAlign w:val="center"/>
          </w:tcPr>
          <w:p w:rsidR="002F6596" w:rsidRPr="00AC7CD7" w:rsidRDefault="002F6596" w:rsidP="00752C73">
            <w:pPr>
              <w:pStyle w:val="CETTabletitle"/>
              <w:keepNext w:val="0"/>
              <w:spacing w:before="0" w:after="0" w:line="264" w:lineRule="auto"/>
              <w:jc w:val="both"/>
              <w:rPr>
                <w:i w:val="0"/>
                <w:szCs w:val="18"/>
              </w:rPr>
            </w:pPr>
            <w:r w:rsidRPr="00AC7CD7">
              <w:rPr>
                <w:i w:val="0"/>
                <w:szCs w:val="18"/>
              </w:rPr>
              <w:t>2</w:t>
            </w:r>
            <w:r>
              <w:rPr>
                <w:i w:val="0"/>
                <w:szCs w:val="18"/>
              </w:rPr>
              <w:t>.</w:t>
            </w:r>
            <w:r w:rsidRPr="00AC7CD7">
              <w:rPr>
                <w:i w:val="0"/>
                <w:szCs w:val="18"/>
              </w:rPr>
              <w:t>00</w:t>
            </w:r>
          </w:p>
        </w:tc>
        <w:tc>
          <w:tcPr>
            <w:tcW w:w="327" w:type="pct"/>
            <w:shd w:val="clear" w:color="auto" w:fill="FFFFFF"/>
            <w:vAlign w:val="center"/>
          </w:tcPr>
          <w:p w:rsidR="002F6596" w:rsidRPr="00E94CE8" w:rsidRDefault="002F6596" w:rsidP="00752C73">
            <w:pPr>
              <w:pStyle w:val="CETTabletitle"/>
              <w:keepNext w:val="0"/>
              <w:spacing w:before="0" w:after="0" w:line="264" w:lineRule="auto"/>
              <w:jc w:val="both"/>
              <w:rPr>
                <w:i w:val="0"/>
              </w:rPr>
            </w:pPr>
            <w:r w:rsidRPr="00E94CE8">
              <w:rPr>
                <w:i w:val="0"/>
              </w:rPr>
              <w:t>0</w:t>
            </w:r>
            <w:r>
              <w:rPr>
                <w:i w:val="0"/>
              </w:rPr>
              <w:t>.</w:t>
            </w:r>
            <w:r w:rsidRPr="00E94CE8">
              <w:rPr>
                <w:i w:val="0"/>
              </w:rPr>
              <w:t>73</w:t>
            </w:r>
          </w:p>
        </w:tc>
      </w:tr>
      <w:tr w:rsidR="003C111D" w:rsidRPr="00B57B36" w:rsidTr="003C111D">
        <w:tc>
          <w:tcPr>
            <w:tcW w:w="642" w:type="pct"/>
            <w:shd w:val="clear" w:color="auto" w:fill="FFFFFF"/>
            <w:vAlign w:val="center"/>
          </w:tcPr>
          <w:p w:rsidR="002F6596" w:rsidRPr="00E94CE8" w:rsidRDefault="003C111D" w:rsidP="00752C73">
            <w:pPr>
              <w:pStyle w:val="CETTabletitle"/>
              <w:keepNext w:val="0"/>
              <w:spacing w:before="0" w:after="0" w:line="264" w:lineRule="auto"/>
              <w:jc w:val="both"/>
              <w:rPr>
                <w:i w:val="0"/>
              </w:rPr>
            </w:pPr>
            <w:r w:rsidRPr="003C111D">
              <w:rPr>
                <w:rFonts w:eastAsiaTheme="minorHAnsi" w:cs="Arial"/>
                <w:szCs w:val="18"/>
                <w:lang w:val="en-US"/>
              </w:rPr>
              <w:t>D</w:t>
            </w:r>
            <w:r w:rsidRPr="003C111D">
              <w:rPr>
                <w:rFonts w:eastAsiaTheme="minorHAnsi" w:cs="Arial"/>
                <w:szCs w:val="18"/>
                <w:vertAlign w:val="subscript"/>
                <w:lang w:val="en-US"/>
              </w:rPr>
              <w:t>ef</w:t>
            </w:r>
            <w:r w:rsidR="002F6596" w:rsidRPr="00E94CE8">
              <w:rPr>
                <w:i w:val="0"/>
              </w:rPr>
              <w:t xml:space="preserve"> (m</w:t>
            </w:r>
            <w:r w:rsidR="002F6596" w:rsidRPr="00E94CE8">
              <w:rPr>
                <w:i w:val="0"/>
                <w:vertAlign w:val="superscript"/>
              </w:rPr>
              <w:t>2</w:t>
            </w:r>
            <w:r w:rsidR="00EC2F91">
              <w:rPr>
                <w:i w:val="0"/>
                <w:vertAlign w:val="superscript"/>
              </w:rPr>
              <w:t xml:space="preserve"> </w:t>
            </w:r>
            <w:r w:rsidR="002F6596" w:rsidRPr="00E94CE8">
              <w:rPr>
                <w:i w:val="0"/>
              </w:rPr>
              <w:t>s</w:t>
            </w:r>
            <w:r w:rsidR="002F6596" w:rsidRPr="00F75B21">
              <w:rPr>
                <w:i w:val="0"/>
                <w:vertAlign w:val="superscript"/>
              </w:rPr>
              <w:t>-1</w:t>
            </w:r>
            <w:r w:rsidR="002F6596" w:rsidRPr="00E94CE8">
              <w:rPr>
                <w:i w:val="0"/>
              </w:rPr>
              <w:t>)</w:t>
            </w:r>
          </w:p>
        </w:tc>
        <w:tc>
          <w:tcPr>
            <w:tcW w:w="1132" w:type="pct"/>
            <w:gridSpan w:val="3"/>
            <w:shd w:val="clear" w:color="auto" w:fill="FFFFFF"/>
            <w:vAlign w:val="center"/>
          </w:tcPr>
          <w:p w:rsidR="002F6596" w:rsidRPr="00B57B36" w:rsidRDefault="002F6596" w:rsidP="00752C73">
            <w:pPr>
              <w:pStyle w:val="CETBodytext"/>
              <w:ind w:right="-1"/>
              <w:rPr>
                <w:rFonts w:cs="Arial"/>
                <w:szCs w:val="18"/>
                <w:lang w:val="en-GB"/>
              </w:rPr>
            </w:pPr>
            <w:r w:rsidRPr="00E94CE8">
              <w:t>3</w:t>
            </w:r>
            <w:r>
              <w:t>.</w:t>
            </w:r>
            <w:r w:rsidRPr="00E94CE8">
              <w:t>25.10</w:t>
            </w:r>
            <w:r w:rsidRPr="00AC7CD7">
              <w:rPr>
                <w:vertAlign w:val="superscript"/>
              </w:rPr>
              <w:t>-10</w:t>
            </w:r>
          </w:p>
        </w:tc>
        <w:tc>
          <w:tcPr>
            <w:tcW w:w="1130" w:type="pct"/>
            <w:gridSpan w:val="3"/>
            <w:shd w:val="clear" w:color="auto" w:fill="FFFFFF"/>
          </w:tcPr>
          <w:p w:rsidR="002F6596" w:rsidRDefault="002F6596" w:rsidP="00752C73">
            <w:pPr>
              <w:pStyle w:val="CETBodytext"/>
              <w:ind w:right="-1"/>
              <w:rPr>
                <w:rFonts w:cs="Arial"/>
                <w:szCs w:val="18"/>
                <w:lang w:val="en-GB"/>
              </w:rPr>
            </w:pPr>
            <w:r w:rsidRPr="00E94CE8">
              <w:t>5</w:t>
            </w:r>
            <w:r>
              <w:t>.</w:t>
            </w:r>
            <w:r w:rsidRPr="00E94CE8">
              <w:t>00.10</w:t>
            </w:r>
            <w:r w:rsidRPr="00AC7CD7">
              <w:rPr>
                <w:vertAlign w:val="superscript"/>
              </w:rPr>
              <w:t>-10</w:t>
            </w:r>
          </w:p>
        </w:tc>
        <w:tc>
          <w:tcPr>
            <w:tcW w:w="1049" w:type="pct"/>
            <w:gridSpan w:val="3"/>
            <w:shd w:val="clear" w:color="auto" w:fill="FFFFFF"/>
            <w:vAlign w:val="center"/>
          </w:tcPr>
          <w:p w:rsidR="002F6596" w:rsidRDefault="002F6596" w:rsidP="00752C73">
            <w:pPr>
              <w:pStyle w:val="CETBodytext"/>
              <w:ind w:right="-1"/>
              <w:rPr>
                <w:rFonts w:cs="Arial"/>
                <w:szCs w:val="18"/>
                <w:lang w:val="en-GB"/>
              </w:rPr>
            </w:pPr>
            <w:r w:rsidRPr="00AC7CD7">
              <w:rPr>
                <w:color w:val="000000"/>
                <w:szCs w:val="18"/>
              </w:rPr>
              <w:t>4</w:t>
            </w:r>
            <w:r>
              <w:rPr>
                <w:color w:val="000000"/>
                <w:szCs w:val="18"/>
              </w:rPr>
              <w:t>.</w:t>
            </w:r>
            <w:r w:rsidRPr="00AC7CD7">
              <w:rPr>
                <w:color w:val="000000"/>
                <w:szCs w:val="18"/>
              </w:rPr>
              <w:t>83.10</w:t>
            </w:r>
            <w:r w:rsidRPr="00AC7CD7">
              <w:rPr>
                <w:color w:val="000000"/>
                <w:szCs w:val="18"/>
                <w:vertAlign w:val="superscript"/>
              </w:rPr>
              <w:t>-10</w:t>
            </w:r>
          </w:p>
        </w:tc>
        <w:tc>
          <w:tcPr>
            <w:tcW w:w="1047" w:type="pct"/>
            <w:gridSpan w:val="3"/>
            <w:shd w:val="clear" w:color="auto" w:fill="FFFFFF"/>
            <w:vAlign w:val="center"/>
          </w:tcPr>
          <w:p w:rsidR="002F6596" w:rsidRDefault="002F6596" w:rsidP="00752C73">
            <w:pPr>
              <w:pStyle w:val="CETBodytext"/>
              <w:ind w:right="-1"/>
              <w:rPr>
                <w:rFonts w:cs="Arial"/>
                <w:szCs w:val="18"/>
                <w:lang w:val="en-GB"/>
              </w:rPr>
            </w:pPr>
            <w:r w:rsidRPr="00AC7CD7">
              <w:rPr>
                <w:color w:val="000000"/>
                <w:szCs w:val="18"/>
              </w:rPr>
              <w:t>5</w:t>
            </w:r>
            <w:r>
              <w:rPr>
                <w:color w:val="000000"/>
                <w:szCs w:val="18"/>
              </w:rPr>
              <w:t>.</w:t>
            </w:r>
            <w:r w:rsidRPr="00AC7CD7">
              <w:rPr>
                <w:color w:val="000000"/>
                <w:szCs w:val="18"/>
              </w:rPr>
              <w:t>33.10</w:t>
            </w:r>
            <w:r w:rsidRPr="00AC7CD7">
              <w:rPr>
                <w:color w:val="000000"/>
                <w:szCs w:val="18"/>
                <w:vertAlign w:val="superscript"/>
              </w:rPr>
              <w:t>-10</w:t>
            </w:r>
          </w:p>
        </w:tc>
      </w:tr>
    </w:tbl>
    <w:p w:rsidR="002F6596" w:rsidRDefault="002F6596" w:rsidP="002F6596">
      <w:pPr>
        <w:pStyle w:val="CETBodytext"/>
        <w:rPr>
          <w:rFonts w:eastAsia="Calibri"/>
          <w:lang w:val="pt-BR"/>
        </w:rPr>
      </w:pPr>
    </w:p>
    <w:p w:rsidR="0021120B" w:rsidRPr="00D15DA3" w:rsidRDefault="0021120B" w:rsidP="00F63B4A">
      <w:pPr>
        <w:pStyle w:val="CETBodytext"/>
        <w:rPr>
          <w:rFonts w:eastAsia="Calibri"/>
        </w:rPr>
      </w:pPr>
      <w:r w:rsidRPr="00D15DA3">
        <w:rPr>
          <w:rFonts w:eastAsia="Calibri"/>
        </w:rPr>
        <w:t xml:space="preserve">The standard error of prediction (% SEP) makes analysis of the residual of the models and, because of this, its value must be reduced. It was verified that the </w:t>
      </w:r>
      <w:proofErr w:type="spellStart"/>
      <w:r w:rsidR="00E6491E">
        <w:rPr>
          <w:rFonts w:cs="Arial"/>
          <w:szCs w:val="18"/>
          <w:lang w:val="en-GB"/>
        </w:rPr>
        <w:t>Midilli</w:t>
      </w:r>
      <w:proofErr w:type="spellEnd"/>
      <w:r w:rsidRPr="00D15DA3">
        <w:rPr>
          <w:rFonts w:eastAsia="Calibri"/>
        </w:rPr>
        <w:t xml:space="preserve"> model was better adjusted to the experimental data in the different thicknesses.</w:t>
      </w:r>
    </w:p>
    <w:p w:rsidR="00C55789" w:rsidRPr="00D15DA3" w:rsidRDefault="00C55789" w:rsidP="006B1B92">
      <w:pPr>
        <w:pStyle w:val="CETBodytext"/>
        <w:rPr>
          <w:rFonts w:eastAsia="Calibri"/>
        </w:rPr>
      </w:pPr>
      <w:r w:rsidRPr="00D15DA3">
        <w:rPr>
          <w:rFonts w:eastAsia="Calibri"/>
        </w:rPr>
        <w:t>The bias factor (</w:t>
      </w:r>
      <w:r w:rsidRPr="003C111D">
        <w:rPr>
          <w:rFonts w:eastAsia="Calibri"/>
          <w:i/>
        </w:rPr>
        <w:t>B</w:t>
      </w:r>
      <w:r w:rsidRPr="003C111D">
        <w:rPr>
          <w:rFonts w:eastAsia="Calibri"/>
          <w:i/>
          <w:vertAlign w:val="subscript"/>
        </w:rPr>
        <w:t>f</w:t>
      </w:r>
      <w:r w:rsidRPr="00D15DA3">
        <w:rPr>
          <w:rFonts w:eastAsia="Calibri"/>
        </w:rPr>
        <w:t>) is the parameter that indicates the best performance of the model</w:t>
      </w:r>
      <w:r w:rsidR="00155F1E">
        <w:rPr>
          <w:rFonts w:eastAsia="Calibri"/>
        </w:rPr>
        <w:t>, and a</w:t>
      </w:r>
      <w:r w:rsidRPr="00D15DA3">
        <w:rPr>
          <w:rFonts w:eastAsia="Calibri"/>
        </w:rPr>
        <w:t xml:space="preserve">ccording to Oliveira Junior et al. (2016), the perfect agreement between the predicted and observed values represent a </w:t>
      </w:r>
      <w:r w:rsidRPr="003C111D">
        <w:rPr>
          <w:rFonts w:eastAsia="Calibri"/>
          <w:i/>
        </w:rPr>
        <w:t>B</w:t>
      </w:r>
      <w:r w:rsidRPr="003C111D">
        <w:rPr>
          <w:rFonts w:eastAsia="Calibri"/>
          <w:i/>
          <w:vertAlign w:val="subscript"/>
        </w:rPr>
        <w:t>f</w:t>
      </w:r>
      <w:r w:rsidRPr="003C111D">
        <w:rPr>
          <w:rFonts w:eastAsia="Calibri"/>
          <w:i/>
        </w:rPr>
        <w:t xml:space="preserve"> </w:t>
      </w:r>
      <w:r w:rsidRPr="001E6F87">
        <w:rPr>
          <w:rFonts w:eastAsia="Calibri"/>
        </w:rPr>
        <w:t xml:space="preserve">equal to 1. Among the models used, the </w:t>
      </w:r>
      <w:proofErr w:type="spellStart"/>
      <w:r w:rsidRPr="001E6F87">
        <w:rPr>
          <w:rFonts w:eastAsia="Calibri"/>
        </w:rPr>
        <w:t>Midi</w:t>
      </w:r>
      <w:r w:rsidR="00E6491E">
        <w:rPr>
          <w:rFonts w:eastAsia="Calibri"/>
        </w:rPr>
        <w:t>l</w:t>
      </w:r>
      <w:r w:rsidRPr="001E6F87">
        <w:rPr>
          <w:rFonts w:eastAsia="Calibri"/>
        </w:rPr>
        <w:t>li</w:t>
      </w:r>
      <w:proofErr w:type="spellEnd"/>
      <w:r w:rsidRPr="001E6F87">
        <w:rPr>
          <w:rFonts w:eastAsia="Calibri"/>
        </w:rPr>
        <w:t xml:space="preserve"> model </w:t>
      </w:r>
      <w:r w:rsidR="001E6F87">
        <w:rPr>
          <w:rFonts w:eastAsia="Calibri"/>
        </w:rPr>
        <w:t>shows</w:t>
      </w:r>
      <w:r w:rsidRPr="001E6F87">
        <w:rPr>
          <w:rFonts w:eastAsia="Calibri"/>
        </w:rPr>
        <w:t xml:space="preserve"> the best fit</w:t>
      </w:r>
      <w:r w:rsidR="001E6F87">
        <w:rPr>
          <w:rFonts w:eastAsia="Calibri"/>
        </w:rPr>
        <w:t>.</w:t>
      </w:r>
    </w:p>
    <w:p w:rsidR="005B64FB" w:rsidRPr="00D15DA3" w:rsidRDefault="005B64FB" w:rsidP="00897A11">
      <w:pPr>
        <w:pStyle w:val="CETBodytext"/>
        <w:rPr>
          <w:rFonts w:eastAsia="Calibri"/>
        </w:rPr>
      </w:pPr>
      <w:r w:rsidRPr="00D15DA3">
        <w:rPr>
          <w:rFonts w:eastAsia="Calibri"/>
        </w:rPr>
        <w:t>The accuracy factor (</w:t>
      </w:r>
      <w:proofErr w:type="spellStart"/>
      <w:r w:rsidRPr="003C111D">
        <w:rPr>
          <w:rFonts w:eastAsia="Calibri"/>
          <w:i/>
        </w:rPr>
        <w:t>A</w:t>
      </w:r>
      <w:r w:rsidRPr="003C111D">
        <w:rPr>
          <w:rFonts w:eastAsia="Calibri"/>
          <w:i/>
          <w:vertAlign w:val="subscript"/>
        </w:rPr>
        <w:t>f</w:t>
      </w:r>
      <w:proofErr w:type="spellEnd"/>
      <w:r w:rsidRPr="00D15DA3">
        <w:rPr>
          <w:rFonts w:eastAsia="Calibri"/>
        </w:rPr>
        <w:t xml:space="preserve">) establishes the mean difference between the experimental and predicted data, where its increase suggests the low accuracy between estimated and observed values. Therefore, the appropriate model will be the one in which this factor is smaller. In this case, the </w:t>
      </w:r>
      <w:proofErr w:type="spellStart"/>
      <w:r w:rsidRPr="00D15DA3">
        <w:rPr>
          <w:rFonts w:eastAsia="Calibri"/>
        </w:rPr>
        <w:t>Midili</w:t>
      </w:r>
      <w:proofErr w:type="spellEnd"/>
      <w:r w:rsidRPr="00D15DA3">
        <w:rPr>
          <w:rFonts w:eastAsia="Calibri"/>
        </w:rPr>
        <w:t xml:space="preserve"> model presents values ​​considerably </w:t>
      </w:r>
      <w:r w:rsidRPr="00D15DA3">
        <w:rPr>
          <w:rFonts w:eastAsia="Calibri"/>
        </w:rPr>
        <w:lastRenderedPageBreak/>
        <w:t>smaller than the other models, in the four thicknesses studied. As previously noted, the thickness of 6 mm exhibits a more precise adjustment when compared with the other thicknesses.</w:t>
      </w:r>
    </w:p>
    <w:p w:rsidR="005B64FB" w:rsidRPr="00D15DA3" w:rsidRDefault="005B64FB" w:rsidP="00897A11">
      <w:pPr>
        <w:pStyle w:val="CETBodytext"/>
        <w:rPr>
          <w:rFonts w:eastAsia="Calibri"/>
        </w:rPr>
      </w:pPr>
      <w:r w:rsidRPr="00D15DA3">
        <w:rPr>
          <w:rFonts w:eastAsia="Calibri"/>
        </w:rPr>
        <w:t xml:space="preserve">From the results, it can be deduced that the Page and </w:t>
      </w:r>
      <w:proofErr w:type="spellStart"/>
      <w:r w:rsidRPr="00D15DA3">
        <w:rPr>
          <w:rFonts w:eastAsia="Calibri"/>
        </w:rPr>
        <w:t>Midili</w:t>
      </w:r>
      <w:proofErr w:type="spellEnd"/>
      <w:r w:rsidRPr="00D15DA3">
        <w:rPr>
          <w:rFonts w:eastAsia="Calibri"/>
        </w:rPr>
        <w:t xml:space="preserve"> models are the ones that best fit the experimental data, regardless of the thickness of the layer of green acerola residue. However, the Page model is more appropriate for process control purposes because it requires only two parameters to adjust the data, offering an adjustment with performance indicators</w:t>
      </w:r>
      <w:r w:rsidR="00EC2F91">
        <w:rPr>
          <w:rFonts w:eastAsia="Calibri"/>
        </w:rPr>
        <w:t xml:space="preserve"> </w:t>
      </w:r>
      <w:proofErr w:type="gramStart"/>
      <w:r w:rsidR="00155F1E">
        <w:rPr>
          <w:rFonts w:eastAsia="Calibri"/>
        </w:rPr>
        <w:t>similar to</w:t>
      </w:r>
      <w:proofErr w:type="gramEnd"/>
      <w:r w:rsidRPr="00D15DA3">
        <w:rPr>
          <w:rFonts w:eastAsia="Calibri"/>
        </w:rPr>
        <w:t xml:space="preserve"> the </w:t>
      </w:r>
      <w:proofErr w:type="spellStart"/>
      <w:r w:rsidRPr="00D15DA3">
        <w:rPr>
          <w:rFonts w:eastAsia="Calibri"/>
        </w:rPr>
        <w:t>Midili</w:t>
      </w:r>
      <w:proofErr w:type="spellEnd"/>
      <w:r w:rsidRPr="00D15DA3">
        <w:rPr>
          <w:rFonts w:eastAsia="Calibri"/>
        </w:rPr>
        <w:t xml:space="preserve"> model.</w:t>
      </w:r>
    </w:p>
    <w:p w:rsidR="00F3559C" w:rsidRPr="00D15DA3" w:rsidRDefault="005B64FB" w:rsidP="006B1B92">
      <w:pPr>
        <w:pStyle w:val="CETBodytext"/>
        <w:rPr>
          <w:rFonts w:eastAsia="Calibri"/>
        </w:rPr>
      </w:pPr>
      <w:r w:rsidRPr="00D15DA3">
        <w:rPr>
          <w:rFonts w:eastAsia="Calibri"/>
        </w:rPr>
        <w:t xml:space="preserve">In the work of Soares et al. (2014), in convective drying of jackfruit at 50 °C for a period of 9 h, the Page model also provided a good adjustment with observed values, as well as other models, for example the </w:t>
      </w:r>
      <w:proofErr w:type="spellStart"/>
      <w:r w:rsidRPr="00D15DA3">
        <w:rPr>
          <w:rFonts w:eastAsia="Calibri"/>
        </w:rPr>
        <w:t>Midilli</w:t>
      </w:r>
      <w:proofErr w:type="spellEnd"/>
      <w:r w:rsidRPr="00D15DA3">
        <w:rPr>
          <w:rFonts w:eastAsia="Calibri"/>
        </w:rPr>
        <w:t xml:space="preserve"> model. However, the Page template was selected because of its simplicity.</w:t>
      </w:r>
    </w:p>
    <w:p w:rsidR="00DD61A2" w:rsidRPr="003C111D" w:rsidRDefault="00DD61A2" w:rsidP="00DD61A2">
      <w:pPr>
        <w:pStyle w:val="CETBodytext"/>
        <w:rPr>
          <w:rFonts w:eastAsia="Calibri" w:cs="Arial"/>
          <w:szCs w:val="18"/>
        </w:rPr>
      </w:pPr>
      <w:r w:rsidRPr="003C111D">
        <w:rPr>
          <w:rFonts w:eastAsia="Calibri" w:cs="Arial"/>
          <w:szCs w:val="18"/>
        </w:rPr>
        <w:t>The effective diffusivity for the three thicknesses presented values in the order of 10</w:t>
      </w:r>
      <w:r w:rsidRPr="003C111D">
        <w:rPr>
          <w:rFonts w:eastAsia="Calibri" w:cs="Arial"/>
          <w:szCs w:val="18"/>
          <w:vertAlign w:val="superscript"/>
        </w:rPr>
        <w:t>-10</w:t>
      </w:r>
      <w:r w:rsidRPr="003C111D">
        <w:rPr>
          <w:rFonts w:eastAsia="Calibri" w:cs="Arial"/>
          <w:szCs w:val="18"/>
        </w:rPr>
        <w:t xml:space="preserve"> m</w:t>
      </w:r>
      <w:r w:rsidRPr="003C111D">
        <w:rPr>
          <w:rFonts w:eastAsia="Calibri" w:cs="Arial"/>
          <w:szCs w:val="18"/>
          <w:vertAlign w:val="superscript"/>
        </w:rPr>
        <w:t>2</w:t>
      </w:r>
      <w:r w:rsidRPr="003C111D">
        <w:rPr>
          <w:rFonts w:eastAsia="Calibri" w:cs="Arial"/>
          <w:szCs w:val="18"/>
        </w:rPr>
        <w:t xml:space="preserve"> s</w:t>
      </w:r>
      <w:r w:rsidRPr="003C111D">
        <w:rPr>
          <w:rFonts w:eastAsia="Calibri" w:cs="Arial"/>
          <w:szCs w:val="18"/>
          <w:vertAlign w:val="superscript"/>
        </w:rPr>
        <w:t>-1</w:t>
      </w:r>
      <w:r w:rsidRPr="003C111D">
        <w:rPr>
          <w:rFonts w:eastAsia="Calibri" w:cs="Arial"/>
          <w:szCs w:val="18"/>
        </w:rPr>
        <w:t xml:space="preserve">, with no significant difference between the three thicknesses, close to those obtained by </w:t>
      </w:r>
      <w:proofErr w:type="spellStart"/>
      <w:r w:rsidRPr="003C111D">
        <w:rPr>
          <w:rFonts w:eastAsia="Calibri" w:cs="Arial"/>
          <w:szCs w:val="18"/>
        </w:rPr>
        <w:t>Corrêa</w:t>
      </w:r>
      <w:proofErr w:type="spellEnd"/>
      <w:r w:rsidRPr="003C111D">
        <w:rPr>
          <w:rFonts w:eastAsia="Calibri" w:cs="Arial"/>
          <w:szCs w:val="18"/>
        </w:rPr>
        <w:t xml:space="preserve"> et al. (2008) in dehydration process of acerola, 1.80 x 10</w:t>
      </w:r>
      <w:r w:rsidRPr="003C111D">
        <w:rPr>
          <w:rFonts w:eastAsia="Calibri" w:cs="Arial"/>
          <w:szCs w:val="18"/>
          <w:vertAlign w:val="superscript"/>
        </w:rPr>
        <w:t>-10</w:t>
      </w:r>
      <w:r w:rsidRPr="003C111D">
        <w:rPr>
          <w:rFonts w:eastAsia="Calibri" w:cs="Arial"/>
          <w:szCs w:val="18"/>
        </w:rPr>
        <w:t xml:space="preserve"> to 5.98 x 10</w:t>
      </w:r>
      <w:r w:rsidRPr="003C111D">
        <w:rPr>
          <w:rFonts w:eastAsia="Calibri" w:cs="Arial"/>
          <w:szCs w:val="18"/>
          <w:vertAlign w:val="superscript"/>
        </w:rPr>
        <w:t>-10</w:t>
      </w:r>
      <w:r w:rsidRPr="003C111D">
        <w:rPr>
          <w:rFonts w:eastAsia="Calibri" w:cs="Arial"/>
          <w:szCs w:val="18"/>
        </w:rPr>
        <w:t xml:space="preserve"> m</w:t>
      </w:r>
      <w:r w:rsidRPr="003C111D">
        <w:rPr>
          <w:rFonts w:eastAsia="Calibri" w:cs="Arial"/>
          <w:szCs w:val="18"/>
          <w:vertAlign w:val="superscript"/>
        </w:rPr>
        <w:t>2</w:t>
      </w:r>
      <w:r w:rsidRPr="003C111D">
        <w:rPr>
          <w:rFonts w:eastAsia="Calibri" w:cs="Arial"/>
          <w:szCs w:val="18"/>
        </w:rPr>
        <w:t xml:space="preserve"> s</w:t>
      </w:r>
      <w:r w:rsidRPr="003C111D">
        <w:rPr>
          <w:rFonts w:eastAsia="Calibri" w:cs="Arial"/>
          <w:szCs w:val="18"/>
          <w:vertAlign w:val="superscript"/>
        </w:rPr>
        <w:t>-1</w:t>
      </w:r>
      <w:r w:rsidRPr="003C111D">
        <w:rPr>
          <w:rFonts w:eastAsia="Calibri" w:cs="Arial"/>
          <w:szCs w:val="18"/>
        </w:rPr>
        <w:t>. Gomes et al. (2018) found values of 5.79 x 10</w:t>
      </w:r>
      <w:r w:rsidRPr="003C111D">
        <w:rPr>
          <w:rFonts w:eastAsia="Calibri" w:cs="Arial"/>
          <w:szCs w:val="18"/>
          <w:vertAlign w:val="superscript"/>
        </w:rPr>
        <w:t>-10</w:t>
      </w:r>
      <w:r w:rsidRPr="003C111D">
        <w:rPr>
          <w:rFonts w:eastAsia="Calibri" w:cs="Arial"/>
          <w:szCs w:val="18"/>
        </w:rPr>
        <w:t xml:space="preserve"> and 2.03 x 10</w:t>
      </w:r>
      <w:r w:rsidRPr="003C111D">
        <w:rPr>
          <w:rFonts w:eastAsia="Calibri" w:cs="Arial"/>
          <w:szCs w:val="18"/>
          <w:vertAlign w:val="superscript"/>
        </w:rPr>
        <w:t>-9</w:t>
      </w:r>
      <w:r w:rsidRPr="003C111D">
        <w:rPr>
          <w:rFonts w:eastAsia="Calibri" w:cs="Arial"/>
          <w:szCs w:val="18"/>
        </w:rPr>
        <w:t xml:space="preserve"> m</w:t>
      </w:r>
      <w:r w:rsidRPr="003C111D">
        <w:rPr>
          <w:rFonts w:eastAsia="Calibri" w:cs="Arial"/>
          <w:szCs w:val="18"/>
          <w:vertAlign w:val="superscript"/>
        </w:rPr>
        <w:t>2</w:t>
      </w:r>
      <w:r w:rsidRPr="003C111D">
        <w:rPr>
          <w:rFonts w:eastAsia="Calibri" w:cs="Arial"/>
          <w:szCs w:val="18"/>
        </w:rPr>
        <w:t xml:space="preserve"> s</w:t>
      </w:r>
      <w:r w:rsidRPr="003C111D">
        <w:rPr>
          <w:rFonts w:eastAsia="Calibri" w:cs="Arial"/>
          <w:szCs w:val="18"/>
          <w:vertAlign w:val="superscript"/>
        </w:rPr>
        <w:t>-1</w:t>
      </w:r>
      <w:r w:rsidRPr="003C111D">
        <w:rPr>
          <w:rFonts w:eastAsia="Calibri" w:cs="Arial"/>
          <w:szCs w:val="18"/>
        </w:rPr>
        <w:t xml:space="preserve"> for ‘</w:t>
      </w:r>
      <w:proofErr w:type="spellStart"/>
      <w:r w:rsidRPr="003C111D">
        <w:rPr>
          <w:rFonts w:eastAsia="Calibri" w:cs="Arial"/>
          <w:szCs w:val="18"/>
        </w:rPr>
        <w:t>jambu</w:t>
      </w:r>
      <w:proofErr w:type="spellEnd"/>
      <w:r w:rsidRPr="003C111D">
        <w:rPr>
          <w:rFonts w:eastAsia="Calibri" w:cs="Arial"/>
          <w:szCs w:val="18"/>
        </w:rPr>
        <w:t>’ leaves crushed mass effective diffusion coefficients in the thicknesses of 5 and 10 mm, respectively. Nag &amp; Dash (2016) in elephant apple drying showed a diffusion coefficient with a minimum value of 1,095.10</w:t>
      </w:r>
      <w:r w:rsidRPr="003C111D">
        <w:rPr>
          <w:rFonts w:eastAsia="Calibri" w:cs="Arial"/>
          <w:szCs w:val="18"/>
          <w:vertAlign w:val="superscript"/>
        </w:rPr>
        <w:t>-10</w:t>
      </w:r>
      <w:r w:rsidRPr="003C111D">
        <w:rPr>
          <w:rFonts w:eastAsia="Calibri" w:cs="Arial"/>
          <w:szCs w:val="18"/>
        </w:rPr>
        <w:t xml:space="preserve"> m</w:t>
      </w:r>
      <w:r w:rsidRPr="003C111D">
        <w:rPr>
          <w:rFonts w:eastAsia="Calibri" w:cs="Arial"/>
          <w:szCs w:val="18"/>
          <w:vertAlign w:val="superscript"/>
        </w:rPr>
        <w:t>2</w:t>
      </w:r>
      <w:r w:rsidRPr="003C111D">
        <w:rPr>
          <w:rFonts w:eastAsia="Calibri" w:cs="Arial"/>
          <w:szCs w:val="18"/>
        </w:rPr>
        <w:t xml:space="preserve"> s</w:t>
      </w:r>
      <w:r w:rsidRPr="003C111D">
        <w:rPr>
          <w:rFonts w:eastAsia="Calibri" w:cs="Arial"/>
          <w:szCs w:val="18"/>
          <w:vertAlign w:val="superscript"/>
        </w:rPr>
        <w:t>-1</w:t>
      </w:r>
      <w:r w:rsidRPr="003C111D">
        <w:rPr>
          <w:rFonts w:eastAsia="Calibri" w:cs="Arial"/>
          <w:szCs w:val="18"/>
        </w:rPr>
        <w:t>, at a temperature of 50 ºC, and a maximum value of 2,283.10</w:t>
      </w:r>
      <w:r w:rsidRPr="003C111D">
        <w:rPr>
          <w:rFonts w:eastAsia="Calibri" w:cs="Arial"/>
          <w:szCs w:val="18"/>
          <w:vertAlign w:val="superscript"/>
        </w:rPr>
        <w:t>-10</w:t>
      </w:r>
      <w:r w:rsidRPr="003C111D">
        <w:rPr>
          <w:rFonts w:eastAsia="Calibri" w:cs="Arial"/>
          <w:szCs w:val="18"/>
        </w:rPr>
        <w:t xml:space="preserve"> m</w:t>
      </w:r>
      <w:r w:rsidRPr="003C111D">
        <w:rPr>
          <w:rFonts w:eastAsia="Calibri" w:cs="Arial"/>
          <w:szCs w:val="18"/>
          <w:vertAlign w:val="superscript"/>
        </w:rPr>
        <w:t>2</w:t>
      </w:r>
      <w:r w:rsidRPr="003C111D">
        <w:rPr>
          <w:rFonts w:eastAsia="Calibri" w:cs="Arial"/>
          <w:szCs w:val="18"/>
        </w:rPr>
        <w:t xml:space="preserve"> s</w:t>
      </w:r>
      <w:r w:rsidRPr="003C111D">
        <w:rPr>
          <w:rFonts w:eastAsia="Calibri" w:cs="Arial"/>
          <w:szCs w:val="18"/>
          <w:vertAlign w:val="superscript"/>
        </w:rPr>
        <w:t>-1</w:t>
      </w:r>
      <w:r w:rsidRPr="003C111D">
        <w:rPr>
          <w:rFonts w:eastAsia="Calibri" w:cs="Arial"/>
          <w:szCs w:val="18"/>
        </w:rPr>
        <w:t xml:space="preserve"> at 80 °C. These data are in line with what is stated by </w:t>
      </w:r>
      <w:proofErr w:type="spellStart"/>
      <w:r w:rsidRPr="003C111D">
        <w:rPr>
          <w:rFonts w:eastAsia="Calibri" w:cs="Arial"/>
          <w:szCs w:val="18"/>
        </w:rPr>
        <w:t>Onwude</w:t>
      </w:r>
      <w:proofErr w:type="spellEnd"/>
      <w:r w:rsidRPr="003C111D">
        <w:rPr>
          <w:rFonts w:eastAsia="Calibri" w:cs="Arial"/>
          <w:szCs w:val="18"/>
        </w:rPr>
        <w:t xml:space="preserve"> et al. (2016), where over 80% of </w:t>
      </w:r>
      <w:r w:rsidR="003C111D" w:rsidRPr="003C111D">
        <w:rPr>
          <w:rFonts w:cs="Arial"/>
          <w:szCs w:val="18"/>
        </w:rPr>
        <w:t>d</w:t>
      </w:r>
      <w:r w:rsidR="003C111D" w:rsidRPr="003C111D">
        <w:rPr>
          <w:rFonts w:cs="Arial"/>
          <w:szCs w:val="18"/>
        </w:rPr>
        <w:t>i</w:t>
      </w:r>
      <w:r w:rsidR="003C111D" w:rsidRPr="003C111D">
        <w:rPr>
          <w:rFonts w:cs="Arial"/>
          <w:szCs w:val="18"/>
        </w:rPr>
        <w:t>f</w:t>
      </w:r>
      <w:r w:rsidR="003C111D" w:rsidRPr="003C111D">
        <w:rPr>
          <w:rFonts w:cs="Arial"/>
          <w:szCs w:val="18"/>
        </w:rPr>
        <w:t>fusivity</w:t>
      </w:r>
      <w:r w:rsidRPr="003C111D">
        <w:rPr>
          <w:rFonts w:eastAsia="Calibri" w:cs="Arial"/>
          <w:szCs w:val="18"/>
        </w:rPr>
        <w:t xml:space="preserve"> values of fruits and vegetables are</w:t>
      </w:r>
      <w:r w:rsidR="003C111D" w:rsidRPr="003C111D">
        <w:rPr>
          <w:rFonts w:eastAsia="Calibri" w:cs="Arial"/>
          <w:szCs w:val="18"/>
        </w:rPr>
        <w:t xml:space="preserve"> </w:t>
      </w:r>
      <w:r w:rsidRPr="003C111D">
        <w:rPr>
          <w:rFonts w:eastAsia="Calibri" w:cs="Arial"/>
          <w:szCs w:val="18"/>
        </w:rPr>
        <w:t>in the region 10</w:t>
      </w:r>
      <w:r w:rsidRPr="003C111D">
        <w:rPr>
          <w:rFonts w:eastAsia="Calibri" w:cs="Arial"/>
          <w:szCs w:val="18"/>
          <w:vertAlign w:val="superscript"/>
        </w:rPr>
        <w:t>−11</w:t>
      </w:r>
      <w:r w:rsidRPr="003C111D">
        <w:rPr>
          <w:rFonts w:eastAsia="Calibri" w:cs="Arial"/>
          <w:szCs w:val="18"/>
        </w:rPr>
        <w:t xml:space="preserve"> to 10</w:t>
      </w:r>
      <w:r w:rsidRPr="003C111D">
        <w:rPr>
          <w:rFonts w:eastAsia="Calibri" w:cs="Arial"/>
          <w:szCs w:val="18"/>
          <w:vertAlign w:val="superscript"/>
        </w:rPr>
        <w:t>−8</w:t>
      </w:r>
      <w:r w:rsidRPr="003C111D">
        <w:rPr>
          <w:rFonts w:eastAsia="Calibri" w:cs="Arial"/>
          <w:szCs w:val="18"/>
        </w:rPr>
        <w:t xml:space="preserve"> </w:t>
      </w:r>
      <w:r w:rsidR="001A0151" w:rsidRPr="003C111D">
        <w:rPr>
          <w:rFonts w:eastAsia="Calibri" w:cs="Arial"/>
          <w:szCs w:val="18"/>
        </w:rPr>
        <w:t>m</w:t>
      </w:r>
      <w:r w:rsidR="001A0151" w:rsidRPr="003C111D">
        <w:rPr>
          <w:rFonts w:eastAsia="Calibri" w:cs="Arial"/>
          <w:szCs w:val="18"/>
          <w:vertAlign w:val="superscript"/>
        </w:rPr>
        <w:t>2</w:t>
      </w:r>
      <w:r w:rsidR="001A0151" w:rsidRPr="003C111D">
        <w:rPr>
          <w:rFonts w:eastAsia="Calibri" w:cs="Arial"/>
          <w:szCs w:val="18"/>
        </w:rPr>
        <w:t xml:space="preserve"> s</w:t>
      </w:r>
      <w:r w:rsidR="001A0151" w:rsidRPr="003C111D">
        <w:rPr>
          <w:rFonts w:eastAsia="Calibri" w:cs="Arial"/>
          <w:szCs w:val="18"/>
          <w:vertAlign w:val="superscript"/>
        </w:rPr>
        <w:t>-1</w:t>
      </w:r>
      <w:r w:rsidRPr="003C111D">
        <w:rPr>
          <w:rFonts w:eastAsia="Calibri" w:cs="Arial"/>
          <w:szCs w:val="18"/>
        </w:rPr>
        <w:t>.</w:t>
      </w:r>
    </w:p>
    <w:p w:rsidR="008A22D7" w:rsidRPr="00B57B36" w:rsidRDefault="008A22D7" w:rsidP="008A22D7">
      <w:pPr>
        <w:pStyle w:val="CETHeading1"/>
        <w:rPr>
          <w:lang w:val="en-GB"/>
        </w:rPr>
      </w:pPr>
      <w:r>
        <w:rPr>
          <w:lang w:val="en-GB"/>
        </w:rPr>
        <w:t>Conclusions</w:t>
      </w:r>
    </w:p>
    <w:p w:rsidR="008E4CB3" w:rsidRPr="008E4CB3" w:rsidRDefault="008E4CB3" w:rsidP="008E4CB3">
      <w:pPr>
        <w:pStyle w:val="CETBodytext"/>
      </w:pPr>
      <w:r w:rsidRPr="00DE2098">
        <w:t xml:space="preserve">It was observed that, among the analyzed models, the </w:t>
      </w:r>
      <w:proofErr w:type="spellStart"/>
      <w:r w:rsidR="00243AA3">
        <w:t>Midilli</w:t>
      </w:r>
      <w:proofErr w:type="spellEnd"/>
      <w:r w:rsidRPr="00DE2098">
        <w:t xml:space="preserve"> model presented kinetics whose predicted data correlated well with the observed values ​​for the four thicknesses. This choice was made by the performance </w:t>
      </w:r>
      <w:r w:rsidRPr="00243AA3">
        <w:t xml:space="preserve">indicators, </w:t>
      </w:r>
      <w:r w:rsidR="00243AA3">
        <w:t>but</w:t>
      </w:r>
      <w:r w:rsidR="00243AA3" w:rsidRPr="00243AA3">
        <w:t xml:space="preserve"> </w:t>
      </w:r>
      <w:r w:rsidR="00243AA3" w:rsidRPr="00243AA3">
        <w:rPr>
          <w:rFonts w:cs="Arial"/>
          <w:szCs w:val="18"/>
        </w:rPr>
        <w:t>the Page model is considered more appropriate for process purposes, since it is necessary to adjust only two</w:t>
      </w:r>
      <w:r w:rsidR="00243AA3" w:rsidRPr="008A22D7">
        <w:rPr>
          <w:rFonts w:cs="Arial"/>
          <w:szCs w:val="18"/>
        </w:rPr>
        <w:t xml:space="preserve"> parameters</w:t>
      </w:r>
      <w:r w:rsidRPr="00DE2098">
        <w:t xml:space="preserve">. Regarding the parameters found, </w:t>
      </w:r>
      <w:r w:rsidRPr="00DE2098">
        <w:rPr>
          <w:i/>
        </w:rPr>
        <w:t>k</w:t>
      </w:r>
      <w:r w:rsidRPr="00DE2098">
        <w:t xml:space="preserve"> was lower for the thickness of 6 mm, probably due to the higher resistance of the layer to mass transfer. The diffusion coefficient presented close values</w:t>
      </w:r>
      <w:r w:rsidR="00DE2098">
        <w:t>,</w:t>
      </w:r>
      <w:r w:rsidRPr="00DE2098">
        <w:t xml:space="preserve"> ​​in the order of 10</w:t>
      </w:r>
      <w:r w:rsidRPr="00DE2098">
        <w:rPr>
          <w:vertAlign w:val="superscript"/>
        </w:rPr>
        <w:t>-10</w:t>
      </w:r>
      <w:r w:rsidRPr="00DE2098">
        <w:t xml:space="preserve"> m</w:t>
      </w:r>
      <w:r w:rsidRPr="00DE2098">
        <w:rPr>
          <w:vertAlign w:val="superscript"/>
        </w:rPr>
        <w:t>2</w:t>
      </w:r>
      <w:r w:rsidRPr="00DE2098">
        <w:t xml:space="preserve"> s</w:t>
      </w:r>
      <w:r w:rsidRPr="00DE2098">
        <w:rPr>
          <w:vertAlign w:val="superscript"/>
        </w:rPr>
        <w:t>-1</w:t>
      </w:r>
      <w:r w:rsidRPr="00DE2098">
        <w:t>.</w:t>
      </w:r>
    </w:p>
    <w:p w:rsidR="008A22D7" w:rsidRPr="00D15DA3" w:rsidRDefault="008A22D7" w:rsidP="008A22D7">
      <w:pPr>
        <w:pStyle w:val="CETAcknowledgementstitle"/>
        <w:rPr>
          <w:lang w:val="en-US"/>
        </w:rPr>
      </w:pPr>
      <w:r w:rsidRPr="00D15DA3">
        <w:rPr>
          <w:lang w:val="en-US"/>
        </w:rPr>
        <w:t>Acknowledgments</w:t>
      </w:r>
    </w:p>
    <w:p w:rsidR="00B97D49" w:rsidRPr="00270A93" w:rsidRDefault="00270A93" w:rsidP="00600535">
      <w:pPr>
        <w:pStyle w:val="CETBodytext"/>
      </w:pPr>
      <w:r>
        <w:t xml:space="preserve">The authors gratefully acknowledge the </w:t>
      </w:r>
      <w:r w:rsidR="00B97D49">
        <w:t xml:space="preserve">Federal University of Sergipe for the infrastructure and </w:t>
      </w:r>
      <w:proofErr w:type="spellStart"/>
      <w:r>
        <w:t>CNPq</w:t>
      </w:r>
      <w:proofErr w:type="spellEnd"/>
      <w:r>
        <w:t xml:space="preserve"> and Capes</w:t>
      </w:r>
      <w:r w:rsidR="00B97D49">
        <w:t xml:space="preserve"> for the research support with scholarships</w:t>
      </w:r>
    </w:p>
    <w:p w:rsidR="00661941" w:rsidRPr="00270A93" w:rsidRDefault="00661941" w:rsidP="00661941">
      <w:pPr>
        <w:pStyle w:val="CETReference"/>
        <w:rPr>
          <w:lang w:val="en-US"/>
        </w:rPr>
      </w:pPr>
      <w:r w:rsidRPr="00270A93">
        <w:rPr>
          <w:lang w:val="en-US"/>
        </w:rPr>
        <w:t>References</w:t>
      </w:r>
    </w:p>
    <w:p w:rsidR="00F63B4A" w:rsidRDefault="00F63B4A" w:rsidP="00661941">
      <w:pPr>
        <w:pStyle w:val="CETReferencetext"/>
        <w:rPr>
          <w:lang w:val="en-US"/>
        </w:rPr>
      </w:pPr>
      <w:r w:rsidRPr="00661941">
        <w:rPr>
          <w:lang w:val="en-US"/>
        </w:rPr>
        <w:t>Almeida J.P.N</w:t>
      </w:r>
      <w:r w:rsidR="00D07EC8">
        <w:rPr>
          <w:lang w:val="en-US"/>
        </w:rPr>
        <w:t>.</w:t>
      </w:r>
      <w:r w:rsidRPr="00661941">
        <w:rPr>
          <w:lang w:val="en-US"/>
        </w:rPr>
        <w:t xml:space="preserve">, </w:t>
      </w:r>
      <w:proofErr w:type="spellStart"/>
      <w:r w:rsidRPr="00661941">
        <w:rPr>
          <w:lang w:val="en-US"/>
        </w:rPr>
        <w:t>Dantas</w:t>
      </w:r>
      <w:proofErr w:type="spellEnd"/>
      <w:r w:rsidRPr="00661941">
        <w:rPr>
          <w:lang w:val="en-US"/>
        </w:rPr>
        <w:t xml:space="preserve"> L.L.G.R</w:t>
      </w:r>
      <w:r w:rsidR="00D07EC8">
        <w:rPr>
          <w:lang w:val="en-US"/>
        </w:rPr>
        <w:t>.</w:t>
      </w:r>
      <w:r w:rsidRPr="00661941">
        <w:rPr>
          <w:lang w:val="en-US"/>
        </w:rPr>
        <w:t xml:space="preserve">, 2014, </w:t>
      </w:r>
      <w:r w:rsidR="00661941" w:rsidRPr="00661941">
        <w:rPr>
          <w:lang w:val="en-US"/>
        </w:rPr>
        <w:t>Arbuscular mycorrhizal fungus and seaweed extract in the initial growth of acerola rootstock</w:t>
      </w:r>
      <w:r w:rsidRPr="00661941">
        <w:rPr>
          <w:lang w:val="en-US"/>
        </w:rPr>
        <w:t xml:space="preserve">, </w:t>
      </w:r>
      <w:r w:rsidR="00661941" w:rsidRPr="00661941">
        <w:rPr>
          <w:lang w:val="en-US"/>
        </w:rPr>
        <w:t>Ama</w:t>
      </w:r>
      <w:r w:rsidR="00661941">
        <w:rPr>
          <w:lang w:val="en-US"/>
        </w:rPr>
        <w:t>zonian Journal of Agricultural and Environmental Sciences</w:t>
      </w:r>
      <w:r w:rsidRPr="00661941">
        <w:rPr>
          <w:lang w:val="en-US"/>
        </w:rPr>
        <w:t>, 57, 22</w:t>
      </w:r>
      <w:r w:rsidR="00661941">
        <w:rPr>
          <w:lang w:val="en-US"/>
        </w:rPr>
        <w:t>-</w:t>
      </w:r>
      <w:r w:rsidRPr="00661941">
        <w:rPr>
          <w:lang w:val="en-US"/>
        </w:rPr>
        <w:t>28.</w:t>
      </w:r>
    </w:p>
    <w:p w:rsidR="001A0151" w:rsidRPr="001A0151" w:rsidRDefault="001A0151" w:rsidP="00661941">
      <w:pPr>
        <w:pStyle w:val="CETReferencetext"/>
        <w:rPr>
          <w:lang w:val="en-US"/>
        </w:rPr>
      </w:pPr>
      <w:proofErr w:type="spellStart"/>
      <w:r w:rsidRPr="001A0151">
        <w:rPr>
          <w:lang w:val="en-US"/>
        </w:rPr>
        <w:t>Corrêa</w:t>
      </w:r>
      <w:proofErr w:type="spellEnd"/>
      <w:r w:rsidRPr="001A0151">
        <w:rPr>
          <w:lang w:val="en-US"/>
        </w:rPr>
        <w:t xml:space="preserve"> J.L.G., Cacciatore F.A., Silva Z.E., Arakaki T., 2008, Osmotic dehydration of</w:t>
      </w:r>
      <w:r>
        <w:rPr>
          <w:lang w:val="en-US"/>
        </w:rPr>
        <w:t xml:space="preserve"> West Indian cherry </w:t>
      </w:r>
      <w:r>
        <w:t>(</w:t>
      </w:r>
      <w:r w:rsidRPr="00661941">
        <w:rPr>
          <w:i/>
        </w:rPr>
        <w:t xml:space="preserve">Malpighia </w:t>
      </w:r>
      <w:proofErr w:type="spellStart"/>
      <w:r w:rsidRPr="00661941">
        <w:rPr>
          <w:i/>
        </w:rPr>
        <w:t>emarginata</w:t>
      </w:r>
      <w:proofErr w:type="spellEnd"/>
      <w:r>
        <w:t xml:space="preserve"> D.C.) – Mass transfer kinetics, </w:t>
      </w:r>
      <w:proofErr w:type="spellStart"/>
      <w:r>
        <w:t>Revista</w:t>
      </w:r>
      <w:proofErr w:type="spellEnd"/>
      <w:r>
        <w:t xml:space="preserve"> </w:t>
      </w:r>
      <w:proofErr w:type="spellStart"/>
      <w:r>
        <w:t>Ciência</w:t>
      </w:r>
      <w:proofErr w:type="spellEnd"/>
      <w:r>
        <w:t xml:space="preserve"> </w:t>
      </w:r>
      <w:proofErr w:type="spellStart"/>
      <w:r>
        <w:t>Agronômica</w:t>
      </w:r>
      <w:proofErr w:type="spellEnd"/>
      <w:r>
        <w:t>, 39(3), 403-409.</w:t>
      </w:r>
    </w:p>
    <w:p w:rsidR="00F63B4A" w:rsidRDefault="00F63B4A" w:rsidP="00661941">
      <w:pPr>
        <w:shd w:val="clear" w:color="auto" w:fill="FFFFFF"/>
        <w:tabs>
          <w:tab w:val="clear" w:pos="7100"/>
        </w:tabs>
        <w:ind w:left="284" w:hanging="284"/>
      </w:pPr>
      <w:proofErr w:type="spellStart"/>
      <w:r>
        <w:t>Duzzioni</w:t>
      </w:r>
      <w:proofErr w:type="spellEnd"/>
      <w:r>
        <w:t xml:space="preserve"> A.G</w:t>
      </w:r>
      <w:r w:rsidR="00D07EC8">
        <w:t>.</w:t>
      </w:r>
      <w:r>
        <w:t xml:space="preserve">, </w:t>
      </w:r>
      <w:proofErr w:type="spellStart"/>
      <w:r>
        <w:t>Lenton</w:t>
      </w:r>
      <w:proofErr w:type="spellEnd"/>
      <w:r>
        <w:t xml:space="preserve"> V.M</w:t>
      </w:r>
      <w:r w:rsidR="00D07EC8">
        <w:t>.</w:t>
      </w:r>
      <w:r>
        <w:t>, Silva D.I.S</w:t>
      </w:r>
      <w:r w:rsidR="00D07EC8">
        <w:t>.</w:t>
      </w:r>
      <w:r>
        <w:t xml:space="preserve">, </w:t>
      </w:r>
      <w:proofErr w:type="spellStart"/>
      <w:r>
        <w:t>Barrozo</w:t>
      </w:r>
      <w:proofErr w:type="spellEnd"/>
      <w:r>
        <w:t xml:space="preserve"> M.A.S</w:t>
      </w:r>
      <w:r w:rsidR="00D07EC8">
        <w:t>.</w:t>
      </w:r>
      <w:r>
        <w:t>, 2013, Effect of drying kinetics on main bioactive compounds and antioxidant activity of acerola (</w:t>
      </w:r>
      <w:r w:rsidRPr="00661941">
        <w:rPr>
          <w:i/>
        </w:rPr>
        <w:t xml:space="preserve">Malpighia </w:t>
      </w:r>
      <w:proofErr w:type="spellStart"/>
      <w:r w:rsidRPr="00661941">
        <w:rPr>
          <w:i/>
        </w:rPr>
        <w:t>emarginata</w:t>
      </w:r>
      <w:proofErr w:type="spellEnd"/>
      <w:r>
        <w:t xml:space="preserve"> D.C.) residue, International Journal of Food Science and Technology, 48, 1041</w:t>
      </w:r>
      <w:r w:rsidR="00661941">
        <w:t>-</w:t>
      </w:r>
      <w:r>
        <w:t>1047.</w:t>
      </w:r>
    </w:p>
    <w:p w:rsidR="00FA0812" w:rsidRPr="00FA0812" w:rsidRDefault="00FA0812" w:rsidP="00661941">
      <w:pPr>
        <w:shd w:val="clear" w:color="auto" w:fill="FFFFFF"/>
        <w:tabs>
          <w:tab w:val="clear" w:pos="7100"/>
        </w:tabs>
        <w:ind w:left="284" w:hanging="284"/>
      </w:pPr>
      <w:r w:rsidRPr="00FA0812">
        <w:t xml:space="preserve">Gomes F.P., </w:t>
      </w:r>
      <w:proofErr w:type="spellStart"/>
      <w:r w:rsidRPr="00FA0812">
        <w:t>Resende</w:t>
      </w:r>
      <w:proofErr w:type="spellEnd"/>
      <w:r w:rsidRPr="00FA0812">
        <w:t xml:space="preserve"> O., Sousa E.P., Oliveira D.E.C., Araújo </w:t>
      </w:r>
      <w:proofErr w:type="spellStart"/>
      <w:r w:rsidRPr="00FA0812">
        <w:t>Neto</w:t>
      </w:r>
      <w:proofErr w:type="spellEnd"/>
      <w:r w:rsidRPr="00FA0812">
        <w:t xml:space="preserve"> F.R., 2018, Drying kinetics of crushed mass of ‘</w:t>
      </w:r>
      <w:proofErr w:type="spellStart"/>
      <w:r w:rsidRPr="00FA0812">
        <w:t>jambu</w:t>
      </w:r>
      <w:proofErr w:type="spellEnd"/>
      <w:r w:rsidRPr="00FA0812">
        <w:t xml:space="preserve">’: Effective diffusivity and activation energy, </w:t>
      </w:r>
      <w:proofErr w:type="spellStart"/>
      <w:r w:rsidRPr="00FA0812">
        <w:t>Revista</w:t>
      </w:r>
      <w:proofErr w:type="spellEnd"/>
      <w:r w:rsidRPr="00FA0812">
        <w:t xml:space="preserve"> </w:t>
      </w:r>
      <w:proofErr w:type="spellStart"/>
      <w:r w:rsidRPr="00FA0812">
        <w:t>Brasileira</w:t>
      </w:r>
      <w:proofErr w:type="spellEnd"/>
      <w:r w:rsidRPr="00FA0812">
        <w:t xml:space="preserve"> de </w:t>
      </w:r>
      <w:proofErr w:type="spellStart"/>
      <w:r w:rsidRPr="00FA0812">
        <w:t>Engenharia</w:t>
      </w:r>
      <w:proofErr w:type="spellEnd"/>
      <w:r w:rsidRPr="00FA0812">
        <w:t xml:space="preserve"> </w:t>
      </w:r>
      <w:proofErr w:type="spellStart"/>
      <w:r w:rsidRPr="00FA0812">
        <w:t>Agrícola</w:t>
      </w:r>
      <w:proofErr w:type="spellEnd"/>
      <w:r w:rsidRPr="00FA0812">
        <w:t xml:space="preserve"> e Ambiental</w:t>
      </w:r>
      <w:r>
        <w:t>, 22(7), 499-505.</w:t>
      </w:r>
    </w:p>
    <w:p w:rsidR="00F63B4A" w:rsidRDefault="00F63B4A" w:rsidP="00661941">
      <w:pPr>
        <w:pStyle w:val="CETReferencetext"/>
      </w:pPr>
      <w:proofErr w:type="spellStart"/>
      <w:r>
        <w:t>Malegori</w:t>
      </w:r>
      <w:proofErr w:type="spellEnd"/>
      <w:r>
        <w:t xml:space="preserve"> C</w:t>
      </w:r>
      <w:r w:rsidR="00A73C83">
        <w:t>.</w:t>
      </w:r>
      <w:r>
        <w:t>, Nascimento Marques E.J</w:t>
      </w:r>
      <w:r w:rsidR="00A73C83">
        <w:t>.</w:t>
      </w:r>
      <w:r>
        <w:t>, de Freitas S.T</w:t>
      </w:r>
      <w:r w:rsidR="00A73C83">
        <w:t>.</w:t>
      </w:r>
      <w:r>
        <w:t>, Pimentel M.F</w:t>
      </w:r>
      <w:r w:rsidR="00A73C83">
        <w:t>.</w:t>
      </w:r>
      <w:r>
        <w:t xml:space="preserve">, </w:t>
      </w:r>
      <w:proofErr w:type="spellStart"/>
      <w:r>
        <w:t>Pasquini</w:t>
      </w:r>
      <w:proofErr w:type="spellEnd"/>
      <w:r>
        <w:t xml:space="preserve"> C</w:t>
      </w:r>
      <w:r w:rsidR="00A73C83">
        <w:t>.</w:t>
      </w:r>
      <w:r>
        <w:t>, Casiraghi E</w:t>
      </w:r>
      <w:r w:rsidR="00A73C83">
        <w:t>.</w:t>
      </w:r>
      <w:r>
        <w:t xml:space="preserve">, 2017, Comparing the analytical performances of Micro-NIR and FT-NIR spectrometers in the evaluation of acerola fruit quality, using PLS and SVM regression algorithms, </w:t>
      </w:r>
      <w:proofErr w:type="spellStart"/>
      <w:r>
        <w:t>Talanta</w:t>
      </w:r>
      <w:proofErr w:type="spellEnd"/>
      <w:r>
        <w:t>, 165, 112-116.</w:t>
      </w:r>
    </w:p>
    <w:p w:rsidR="00F63B4A" w:rsidRDefault="00F63B4A" w:rsidP="00661941">
      <w:pPr>
        <w:pStyle w:val="CETReferencetext"/>
      </w:pPr>
      <w:proofErr w:type="spellStart"/>
      <w:r>
        <w:t>Mezadri</w:t>
      </w:r>
      <w:proofErr w:type="spellEnd"/>
      <w:r>
        <w:t xml:space="preserve"> T</w:t>
      </w:r>
      <w:r w:rsidR="00A73C83">
        <w:t>.</w:t>
      </w:r>
      <w:r>
        <w:t xml:space="preserve">, </w:t>
      </w:r>
      <w:proofErr w:type="spellStart"/>
      <w:r>
        <w:t>Villano</w:t>
      </w:r>
      <w:proofErr w:type="spellEnd"/>
      <w:r>
        <w:t xml:space="preserve"> D</w:t>
      </w:r>
      <w:r w:rsidR="00A73C83">
        <w:t>.</w:t>
      </w:r>
      <w:r>
        <w:t>, Fernandez-</w:t>
      </w:r>
      <w:proofErr w:type="spellStart"/>
      <w:r>
        <w:t>Pachon</w:t>
      </w:r>
      <w:proofErr w:type="spellEnd"/>
      <w:r>
        <w:t xml:space="preserve"> M.S</w:t>
      </w:r>
      <w:r w:rsidR="00A73C83">
        <w:t>.</w:t>
      </w:r>
      <w:r>
        <w:t>, Garcia-Parrilla M.C</w:t>
      </w:r>
      <w:r w:rsidR="00A73C83">
        <w:t>.</w:t>
      </w:r>
      <w:r>
        <w:t xml:space="preserve">, </w:t>
      </w:r>
      <w:proofErr w:type="spellStart"/>
      <w:r>
        <w:t>Troncoso</w:t>
      </w:r>
      <w:proofErr w:type="spellEnd"/>
      <w:r>
        <w:t xml:space="preserve"> A.M</w:t>
      </w:r>
      <w:r w:rsidR="00A73C83">
        <w:t>.</w:t>
      </w:r>
      <w:r>
        <w:t>,</w:t>
      </w:r>
      <w:r w:rsidR="00A73C83">
        <w:t xml:space="preserve"> 2008, </w:t>
      </w:r>
      <w:r>
        <w:t>Antioxidant compounds and antioxidant activity in acerola (</w:t>
      </w:r>
      <w:r>
        <w:rPr>
          <w:i/>
        </w:rPr>
        <w:t xml:space="preserve">Malpighia </w:t>
      </w:r>
      <w:proofErr w:type="spellStart"/>
      <w:r>
        <w:rPr>
          <w:i/>
        </w:rPr>
        <w:t>emarginata</w:t>
      </w:r>
      <w:proofErr w:type="spellEnd"/>
      <w:r>
        <w:rPr>
          <w:i/>
        </w:rPr>
        <w:t xml:space="preserve"> DC</w:t>
      </w:r>
      <w:r>
        <w:t>.) fruits and derivatives, Journal of Food Composition and Analysis, 21, 282</w:t>
      </w:r>
      <w:r w:rsidR="00661941">
        <w:t>-</w:t>
      </w:r>
      <w:r>
        <w:t>290.</w:t>
      </w:r>
    </w:p>
    <w:p w:rsidR="00F63B4A" w:rsidRPr="003F6F38" w:rsidRDefault="00F63B4A" w:rsidP="00661941">
      <w:pPr>
        <w:pStyle w:val="CETReferencetext"/>
        <w:rPr>
          <w:rFonts w:eastAsia="Calibri" w:cs="Arial"/>
          <w:szCs w:val="18"/>
        </w:rPr>
      </w:pPr>
      <w:r w:rsidRPr="003F6F38">
        <w:rPr>
          <w:rFonts w:cs="Arial"/>
          <w:szCs w:val="18"/>
        </w:rPr>
        <w:t xml:space="preserve">Nag, S., Dash, K. K., 2016, Mathematical </w:t>
      </w:r>
      <w:proofErr w:type="spellStart"/>
      <w:r w:rsidRPr="003F6F38">
        <w:rPr>
          <w:rFonts w:cs="Arial"/>
          <w:szCs w:val="18"/>
        </w:rPr>
        <w:t>modeling</w:t>
      </w:r>
      <w:proofErr w:type="spellEnd"/>
      <w:r w:rsidRPr="003F6F38">
        <w:rPr>
          <w:rFonts w:cs="Arial"/>
          <w:szCs w:val="18"/>
        </w:rPr>
        <w:t xml:space="preserve"> of thin layer drying kinetics and moisture diffusivity study of elephant, Apple International Food Research Journal, 23, 2594-2600;</w:t>
      </w:r>
    </w:p>
    <w:p w:rsidR="00F63B4A" w:rsidRDefault="00F63B4A" w:rsidP="00661941">
      <w:pPr>
        <w:pStyle w:val="CETReferencetext"/>
      </w:pPr>
      <w:proofErr w:type="spellStart"/>
      <w:r>
        <w:t>Nóbrega</w:t>
      </w:r>
      <w:proofErr w:type="spellEnd"/>
      <w:r>
        <w:t xml:space="preserve"> E.M</w:t>
      </w:r>
      <w:r w:rsidR="00A73C83">
        <w:t>.</w:t>
      </w:r>
      <w:r>
        <w:t>, Oliveira E.L</w:t>
      </w:r>
      <w:r w:rsidR="00A73C83">
        <w:t>.</w:t>
      </w:r>
      <w:r>
        <w:t>, Genovese M.I</w:t>
      </w:r>
      <w:r w:rsidR="00A73C83">
        <w:t>.</w:t>
      </w:r>
      <w:r>
        <w:t>, Correia R.T.P</w:t>
      </w:r>
      <w:r w:rsidR="00A73C83">
        <w:t>.</w:t>
      </w:r>
      <w:r>
        <w:t>, 2015, The impact of hot air drying on the physical-chemical characteristics, bioactive compounds and antioxidant activity of acerola (</w:t>
      </w:r>
      <w:r>
        <w:rPr>
          <w:i/>
        </w:rPr>
        <w:t xml:space="preserve">Malpighia </w:t>
      </w:r>
      <w:proofErr w:type="spellStart"/>
      <w:r>
        <w:rPr>
          <w:i/>
        </w:rPr>
        <w:t>emarginata</w:t>
      </w:r>
      <w:proofErr w:type="spellEnd"/>
      <w:r>
        <w:t>) residue, Journal of Food Processing and Preservation, 39, 131</w:t>
      </w:r>
      <w:r w:rsidR="00661941">
        <w:t>-</w:t>
      </w:r>
      <w:r>
        <w:t>141.</w:t>
      </w:r>
    </w:p>
    <w:p w:rsidR="00F63B4A" w:rsidRPr="00E80EC0" w:rsidRDefault="00F63B4A" w:rsidP="00661941">
      <w:pPr>
        <w:pStyle w:val="CETReferencetext"/>
        <w:rPr>
          <w:rFonts w:eastAsia="Calibri" w:cs="Arial"/>
          <w:szCs w:val="18"/>
        </w:rPr>
      </w:pPr>
      <w:r w:rsidRPr="00E6491E">
        <w:rPr>
          <w:rFonts w:cs="Arial"/>
          <w:szCs w:val="18"/>
        </w:rPr>
        <w:t xml:space="preserve">Oliveira Junior A.M., Soares D.S.C., Santos J.T.S., Nunes, T.P., 2016, Evaluation of different drying models for freeze drying of ripe </w:t>
      </w:r>
      <w:proofErr w:type="spellStart"/>
      <w:r w:rsidRPr="00E6491E">
        <w:rPr>
          <w:rFonts w:cs="Arial"/>
          <w:szCs w:val="18"/>
        </w:rPr>
        <w:t>mangabas</w:t>
      </w:r>
      <w:proofErr w:type="spellEnd"/>
      <w:r w:rsidRPr="00E6491E">
        <w:rPr>
          <w:rFonts w:cs="Arial"/>
          <w:szCs w:val="18"/>
        </w:rPr>
        <w:t xml:space="preserve"> with different diameters through of performance indicators, </w:t>
      </w:r>
      <w:r w:rsidRPr="00E6491E">
        <w:rPr>
          <w:rFonts w:cs="Arial"/>
          <w:iCs/>
          <w:szCs w:val="18"/>
        </w:rPr>
        <w:t>Scientia Plena,</w:t>
      </w:r>
      <w:r w:rsidRPr="00661941">
        <w:rPr>
          <w:rFonts w:cs="Arial"/>
          <w:iCs/>
          <w:szCs w:val="18"/>
        </w:rPr>
        <w:t xml:space="preserve"> 12</w:t>
      </w:r>
      <w:r w:rsidRPr="00E80EC0">
        <w:rPr>
          <w:rFonts w:cs="Arial"/>
          <w:i/>
          <w:iCs/>
          <w:szCs w:val="18"/>
        </w:rPr>
        <w:t xml:space="preserve">, </w:t>
      </w:r>
      <w:r w:rsidRPr="00661941">
        <w:rPr>
          <w:rFonts w:cs="Arial"/>
          <w:iCs/>
          <w:szCs w:val="18"/>
        </w:rPr>
        <w:t>1-5</w:t>
      </w:r>
      <w:r>
        <w:rPr>
          <w:rFonts w:cs="Arial"/>
          <w:i/>
          <w:iCs/>
          <w:szCs w:val="18"/>
        </w:rPr>
        <w:t>;</w:t>
      </w:r>
    </w:p>
    <w:p w:rsidR="00F63B4A" w:rsidRDefault="00F63B4A" w:rsidP="00661941">
      <w:pPr>
        <w:pStyle w:val="CETReferencetext"/>
      </w:pPr>
      <w:proofErr w:type="spellStart"/>
      <w:r>
        <w:t>Onwude</w:t>
      </w:r>
      <w:proofErr w:type="spellEnd"/>
      <w:r>
        <w:t xml:space="preserve"> D.I</w:t>
      </w:r>
      <w:r w:rsidR="00A73C83">
        <w:t>.</w:t>
      </w:r>
      <w:r>
        <w:t>, Hashim N</w:t>
      </w:r>
      <w:r w:rsidR="00A73C83">
        <w:t>.</w:t>
      </w:r>
      <w:r>
        <w:t xml:space="preserve">, </w:t>
      </w:r>
      <w:proofErr w:type="spellStart"/>
      <w:r>
        <w:t>Janius</w:t>
      </w:r>
      <w:proofErr w:type="spellEnd"/>
      <w:r>
        <w:t xml:space="preserve"> R.B</w:t>
      </w:r>
      <w:r w:rsidR="00A73C83">
        <w:t>.</w:t>
      </w:r>
      <w:r>
        <w:t xml:space="preserve">, </w:t>
      </w:r>
      <w:proofErr w:type="spellStart"/>
      <w:r>
        <w:t>Nawi</w:t>
      </w:r>
      <w:proofErr w:type="spellEnd"/>
      <w:r>
        <w:t xml:space="preserve"> N.M</w:t>
      </w:r>
      <w:r w:rsidR="00A73C83">
        <w:t>.</w:t>
      </w:r>
      <w:r>
        <w:t xml:space="preserve">, </w:t>
      </w:r>
      <w:proofErr w:type="spellStart"/>
      <w:r>
        <w:t>Abdan</w:t>
      </w:r>
      <w:proofErr w:type="spellEnd"/>
      <w:r>
        <w:t xml:space="preserve"> K</w:t>
      </w:r>
      <w:r w:rsidR="00A73C83">
        <w:t>.</w:t>
      </w:r>
      <w:r>
        <w:t xml:space="preserve">, 2016, </w:t>
      </w:r>
      <w:proofErr w:type="spellStart"/>
      <w:r>
        <w:t>Modeling</w:t>
      </w:r>
      <w:proofErr w:type="spellEnd"/>
      <w:r>
        <w:t xml:space="preserve"> the thin-layer drying of fruits and vegetables: a review, Comprehensive Reviews in Food Science and Food Safety, 15, 599-618.</w:t>
      </w:r>
    </w:p>
    <w:p w:rsidR="00D07EC8" w:rsidRDefault="00D07EC8" w:rsidP="00661941">
      <w:pPr>
        <w:pStyle w:val="CETReferencetext"/>
      </w:pPr>
      <w:r>
        <w:lastRenderedPageBreak/>
        <w:t xml:space="preserve">Ranganathan K., </w:t>
      </w:r>
      <w:proofErr w:type="spellStart"/>
      <w:r>
        <w:t>Rangaswamy</w:t>
      </w:r>
      <w:proofErr w:type="spellEnd"/>
      <w:r>
        <w:t xml:space="preserve"> S., Subramanian V., Shanmugam N., 2015, Modelling of drying </w:t>
      </w:r>
      <w:proofErr w:type="spellStart"/>
      <w:r>
        <w:t>kineticts</w:t>
      </w:r>
      <w:proofErr w:type="spellEnd"/>
      <w:r>
        <w:t xml:space="preserve"> and heat penetration studies, International Journal of Engineering and Technical Research, 3(5), 371-376.</w:t>
      </w:r>
    </w:p>
    <w:p w:rsidR="00F63B4A" w:rsidRDefault="00F63B4A" w:rsidP="00661941">
      <w:pPr>
        <w:pStyle w:val="CETReferencetext"/>
      </w:pPr>
      <w:r>
        <w:t>Rezende Y.R.R.S</w:t>
      </w:r>
      <w:r w:rsidR="00A73C83">
        <w:t>.</w:t>
      </w:r>
      <w:r>
        <w:t>, Nogueira J.P</w:t>
      </w:r>
      <w:r w:rsidR="00A73C83">
        <w:t>.</w:t>
      </w:r>
      <w:r>
        <w:t xml:space="preserve">, </w:t>
      </w:r>
      <w:proofErr w:type="spellStart"/>
      <w:r>
        <w:t>Narain</w:t>
      </w:r>
      <w:proofErr w:type="spellEnd"/>
      <w:r>
        <w:t xml:space="preserve"> N</w:t>
      </w:r>
      <w:r w:rsidR="00A73C83">
        <w:t>.</w:t>
      </w:r>
      <w:r>
        <w:t xml:space="preserve">, 2017, Comparison and optimization of conventional and ultrasound assisted extraction for bioactive compounds and antioxidant activity from </w:t>
      </w:r>
      <w:proofErr w:type="spellStart"/>
      <w:r>
        <w:t>agro</w:t>
      </w:r>
      <w:proofErr w:type="spellEnd"/>
      <w:r>
        <w:t>-industrial acerola (</w:t>
      </w:r>
      <w:r>
        <w:rPr>
          <w:i/>
        </w:rPr>
        <w:t xml:space="preserve">Malpighia </w:t>
      </w:r>
      <w:proofErr w:type="spellStart"/>
      <w:r>
        <w:rPr>
          <w:i/>
        </w:rPr>
        <w:t>emarginata</w:t>
      </w:r>
      <w:proofErr w:type="spellEnd"/>
      <w:r>
        <w:t xml:space="preserve"> DC) residue, LWT – Food Science and Technology, 85, 158</w:t>
      </w:r>
      <w:r w:rsidR="00661941">
        <w:t>-</w:t>
      </w:r>
      <w:r>
        <w:t>169.</w:t>
      </w:r>
    </w:p>
    <w:p w:rsidR="00F63B4A" w:rsidRDefault="00F63B4A" w:rsidP="00661941">
      <w:pPr>
        <w:pStyle w:val="CETReferencetext"/>
      </w:pPr>
      <w:r>
        <w:t>Rezende Y.R.R.S</w:t>
      </w:r>
      <w:r w:rsidR="00A73C83">
        <w:t>.</w:t>
      </w:r>
      <w:r>
        <w:t>, Nogueira J.P</w:t>
      </w:r>
      <w:r w:rsidR="00A73C83">
        <w:t>.</w:t>
      </w:r>
      <w:r>
        <w:t xml:space="preserve">, </w:t>
      </w:r>
      <w:proofErr w:type="spellStart"/>
      <w:r>
        <w:t>Narain</w:t>
      </w:r>
      <w:proofErr w:type="spellEnd"/>
      <w:r>
        <w:t xml:space="preserve"> N</w:t>
      </w:r>
      <w:r w:rsidR="00A73C83">
        <w:t>.</w:t>
      </w:r>
      <w:r>
        <w:t>, 2017, Microencapsulation of extracts of bioactive compounds obtained from activity from acerola (</w:t>
      </w:r>
      <w:r>
        <w:rPr>
          <w:i/>
        </w:rPr>
        <w:t xml:space="preserve">Malpighia </w:t>
      </w:r>
      <w:proofErr w:type="spellStart"/>
      <w:r>
        <w:rPr>
          <w:i/>
        </w:rPr>
        <w:t>emarginata</w:t>
      </w:r>
      <w:proofErr w:type="spellEnd"/>
      <w:r>
        <w:t xml:space="preserve"> DC) pulp and residue by spray and freeze drying: Chemical, morphological and chemometric characterization, LWT – Food Chemistry, 254, 281–291.</w:t>
      </w:r>
    </w:p>
    <w:p w:rsidR="00B97D49" w:rsidRDefault="00B97D49" w:rsidP="00661941">
      <w:pPr>
        <w:pStyle w:val="CETReferencetext"/>
      </w:pPr>
      <w:r>
        <w:t>Ross T.</w:t>
      </w:r>
      <w:r w:rsidR="00B56365">
        <w:t xml:space="preserve">, 1996, </w:t>
      </w:r>
      <w:r>
        <w:t>Indices for performance evaluation of predictive models in food microbiology</w:t>
      </w:r>
      <w:r w:rsidR="00B56365">
        <w:t xml:space="preserve">, Journal of applied Bacteriology, </w:t>
      </w:r>
      <w:r>
        <w:t>81</w:t>
      </w:r>
      <w:r w:rsidR="00B56365">
        <w:t>,</w:t>
      </w:r>
      <w:r>
        <w:t>501-508, doi:10.1111/j.1365-</w:t>
      </w:r>
      <w:proofErr w:type="gramStart"/>
      <w:r>
        <w:t>2672.1996.tb</w:t>
      </w:r>
      <w:proofErr w:type="gramEnd"/>
      <w:r>
        <w:t>03539.x</w:t>
      </w:r>
    </w:p>
    <w:p w:rsidR="00F63B4A" w:rsidRDefault="00F63B4A" w:rsidP="00661941">
      <w:pPr>
        <w:pStyle w:val="CETReferencetext"/>
      </w:pPr>
      <w:r>
        <w:t>Sancho S.D.O</w:t>
      </w:r>
      <w:r w:rsidR="00A73C83">
        <w:t>.</w:t>
      </w:r>
      <w:r>
        <w:t>, Silva A.R.A.D</w:t>
      </w:r>
      <w:r w:rsidR="00A73C83">
        <w:t>.</w:t>
      </w:r>
      <w:r>
        <w:t xml:space="preserve">, </w:t>
      </w:r>
      <w:proofErr w:type="spellStart"/>
      <w:r>
        <w:t>Dantas</w:t>
      </w:r>
      <w:proofErr w:type="spellEnd"/>
      <w:r>
        <w:t xml:space="preserve"> A.N.D.S</w:t>
      </w:r>
      <w:r w:rsidR="00A73C83">
        <w:t>.</w:t>
      </w:r>
      <w:r>
        <w:t xml:space="preserve">, </w:t>
      </w:r>
      <w:proofErr w:type="spellStart"/>
      <w:r>
        <w:t>Magalh</w:t>
      </w:r>
      <w:r w:rsidR="00661941">
        <w:t>ã</w:t>
      </w:r>
      <w:r>
        <w:t>es</w:t>
      </w:r>
      <w:proofErr w:type="spellEnd"/>
      <w:r>
        <w:t xml:space="preserve"> T.A</w:t>
      </w:r>
      <w:r w:rsidR="00661941">
        <w:t>.</w:t>
      </w:r>
      <w:r>
        <w:t>, Lopes G</w:t>
      </w:r>
      <w:r w:rsidR="00661941">
        <w:t>.</w:t>
      </w:r>
      <w:r>
        <w:t>S</w:t>
      </w:r>
      <w:r w:rsidR="00661941">
        <w:t>.</w:t>
      </w:r>
      <w:r>
        <w:t>, Rodrigues S</w:t>
      </w:r>
      <w:r w:rsidR="00661941">
        <w:t>.</w:t>
      </w:r>
      <w:r>
        <w:t>, Costa J.M.C.D</w:t>
      </w:r>
      <w:r w:rsidR="00A73C83">
        <w:t>.</w:t>
      </w:r>
      <w:r>
        <w:t>, Fernandes F.A.N</w:t>
      </w:r>
      <w:r w:rsidR="00A73C83">
        <w:t>.</w:t>
      </w:r>
      <w:r>
        <w:t>, Silva M.G.D.V</w:t>
      </w:r>
      <w:r w:rsidR="00A73C83">
        <w:t>.</w:t>
      </w:r>
      <w:r>
        <w:t xml:space="preserve">, 2015, Characterization of the industrial residues of seven fruits and prospection of their potential application as food </w:t>
      </w:r>
      <w:proofErr w:type="spellStart"/>
      <w:r>
        <w:t>suplements</w:t>
      </w:r>
      <w:proofErr w:type="spellEnd"/>
      <w:r>
        <w:t>, Journal of Chemistry, doi</w:t>
      </w:r>
      <w:r w:rsidR="00B56365">
        <w:t>:</w:t>
      </w:r>
      <w:r>
        <w:t>10.1155/2015/264284.</w:t>
      </w:r>
    </w:p>
    <w:p w:rsidR="00F63B4A" w:rsidRDefault="00F63B4A" w:rsidP="00661941">
      <w:pPr>
        <w:pStyle w:val="CETReferencetext"/>
      </w:pPr>
      <w:proofErr w:type="spellStart"/>
      <w:r>
        <w:t>Sanmartin</w:t>
      </w:r>
      <w:proofErr w:type="spellEnd"/>
      <w:r>
        <w:t xml:space="preserve"> G</w:t>
      </w:r>
      <w:r w:rsidR="00661941">
        <w:t>.</w:t>
      </w:r>
      <w:r>
        <w:t xml:space="preserve">, </w:t>
      </w:r>
      <w:proofErr w:type="spellStart"/>
      <w:r>
        <w:t>Buj</w:t>
      </w:r>
      <w:proofErr w:type="spellEnd"/>
      <w:r>
        <w:t xml:space="preserve"> J</w:t>
      </w:r>
      <w:r w:rsidR="00661941">
        <w:t>.</w:t>
      </w:r>
      <w:r>
        <w:t>, Marin J</w:t>
      </w:r>
      <w:r w:rsidR="00661941">
        <w:t>.</w:t>
      </w:r>
      <w:r>
        <w:t>, Cortes L</w:t>
      </w:r>
      <w:r w:rsidR="00661941">
        <w:t>.</w:t>
      </w:r>
      <w:r>
        <w:t xml:space="preserve">, </w:t>
      </w:r>
      <w:proofErr w:type="spellStart"/>
      <w:r>
        <w:t>Bossa</w:t>
      </w:r>
      <w:proofErr w:type="spellEnd"/>
      <w:r>
        <w:t xml:space="preserve"> L</w:t>
      </w:r>
      <w:r w:rsidR="00661941">
        <w:t>.</w:t>
      </w:r>
      <w:r>
        <w:t xml:space="preserve">, </w:t>
      </w:r>
      <w:proofErr w:type="spellStart"/>
      <w:r>
        <w:t>Puello</w:t>
      </w:r>
      <w:proofErr w:type="spellEnd"/>
      <w:r>
        <w:t xml:space="preserve"> J</w:t>
      </w:r>
      <w:r w:rsidR="00661941">
        <w:t>.</w:t>
      </w:r>
      <w:r>
        <w:t>, 2017, Design of an apparatus for solar drying of farm products, Chemical Engineering Transactions, 57, 235-240.</w:t>
      </w:r>
    </w:p>
    <w:p w:rsidR="00F46178" w:rsidRDefault="00F46178" w:rsidP="00661941">
      <w:pPr>
        <w:pStyle w:val="CETReferencetext"/>
      </w:pPr>
      <w:r w:rsidRPr="00E6491E">
        <w:t xml:space="preserve">Santos J.T.S., </w:t>
      </w:r>
      <w:proofErr w:type="spellStart"/>
      <w:r w:rsidRPr="00E6491E">
        <w:t>Leite</w:t>
      </w:r>
      <w:proofErr w:type="spellEnd"/>
      <w:r w:rsidRPr="00E6491E">
        <w:t xml:space="preserve"> J.V., Anjos D.A., Oliveira P.N., Oliveira J</w:t>
      </w:r>
      <w:r w:rsidR="00795FBE" w:rsidRPr="00E6491E">
        <w:t>u</w:t>
      </w:r>
      <w:r w:rsidRPr="00E6491E">
        <w:t>nior A.M., Souza D.F.S., 2018, Evaluation of</w:t>
      </w:r>
      <w:r>
        <w:t xml:space="preserve"> different drying models for </w:t>
      </w:r>
      <w:proofErr w:type="spellStart"/>
      <w:r>
        <w:t>jabuticaba</w:t>
      </w:r>
      <w:proofErr w:type="spellEnd"/>
      <w:r>
        <w:t xml:space="preserve"> peel, dried in spouted bed dryer through performance indicators and the impact on anthocyanins, Scientia Plena, 14(6), </w:t>
      </w:r>
      <w:proofErr w:type="gramStart"/>
      <w:r>
        <w:t>doi:10.14808/sci.plena</w:t>
      </w:r>
      <w:proofErr w:type="gramEnd"/>
      <w:r>
        <w:t>.2018.064210.</w:t>
      </w:r>
    </w:p>
    <w:p w:rsidR="00F63B4A" w:rsidRDefault="00F63B4A" w:rsidP="00661941">
      <w:pPr>
        <w:pStyle w:val="CETReferencetext"/>
      </w:pPr>
      <w:r>
        <w:t>Silva P.B</w:t>
      </w:r>
      <w:r w:rsidR="00A73C83">
        <w:t>.</w:t>
      </w:r>
      <w:r>
        <w:t>, Duarte C.R</w:t>
      </w:r>
      <w:r w:rsidR="00A73C83">
        <w:t>.</w:t>
      </w:r>
      <w:r>
        <w:t xml:space="preserve">, </w:t>
      </w:r>
      <w:proofErr w:type="spellStart"/>
      <w:r>
        <w:t>Barrozo</w:t>
      </w:r>
      <w:proofErr w:type="spellEnd"/>
      <w:r>
        <w:t xml:space="preserve"> M.A.S</w:t>
      </w:r>
      <w:r w:rsidR="00A73C83">
        <w:t>.</w:t>
      </w:r>
      <w:r>
        <w:t>, 2016, Dehydration of acerola (</w:t>
      </w:r>
      <w:r w:rsidRPr="00661941">
        <w:rPr>
          <w:i/>
        </w:rPr>
        <w:t xml:space="preserve">Malpighia </w:t>
      </w:r>
      <w:proofErr w:type="spellStart"/>
      <w:r w:rsidRPr="00661941">
        <w:rPr>
          <w:i/>
        </w:rPr>
        <w:t>emarginata</w:t>
      </w:r>
      <w:proofErr w:type="spellEnd"/>
      <w:r>
        <w:t xml:space="preserve"> D.C.) residue in a new designed rotary dryer: Effect of process variables on main bioactive compounds, Food and Bioproducts Processing, 98, 62-70.</w:t>
      </w:r>
    </w:p>
    <w:p w:rsidR="00514B95" w:rsidRPr="00DA6872" w:rsidRDefault="00514B95" w:rsidP="00661941">
      <w:pPr>
        <w:pStyle w:val="CETReferencetext"/>
        <w:rPr>
          <w:szCs w:val="18"/>
        </w:rPr>
      </w:pPr>
      <w:r w:rsidRPr="00E80EC0">
        <w:rPr>
          <w:szCs w:val="18"/>
        </w:rPr>
        <w:t>Soares</w:t>
      </w:r>
      <w:r w:rsidR="00EC2F91">
        <w:rPr>
          <w:szCs w:val="18"/>
        </w:rPr>
        <w:t xml:space="preserve"> </w:t>
      </w:r>
      <w:r w:rsidRPr="00E80EC0">
        <w:rPr>
          <w:szCs w:val="18"/>
        </w:rPr>
        <w:t>D.S.C., Costa D.G., Santos J.T.S., Abud A.K.S., Nunes T.P., Oliveira J</w:t>
      </w:r>
      <w:r w:rsidR="00033162">
        <w:rPr>
          <w:szCs w:val="18"/>
        </w:rPr>
        <w:t>u</w:t>
      </w:r>
      <w:bookmarkStart w:id="0" w:name="_GoBack"/>
      <w:bookmarkEnd w:id="0"/>
      <w:r w:rsidRPr="00E80EC0">
        <w:rPr>
          <w:szCs w:val="18"/>
        </w:rPr>
        <w:t>nior A.M., 2014,</w:t>
      </w:r>
      <w:r w:rsidR="00EC2F91">
        <w:rPr>
          <w:szCs w:val="18"/>
        </w:rPr>
        <w:t xml:space="preserve"> </w:t>
      </w:r>
      <w:r w:rsidRPr="00E80EC0">
        <w:rPr>
          <w:szCs w:val="18"/>
        </w:rPr>
        <w:t xml:space="preserve">The </w:t>
      </w:r>
      <w:r w:rsidR="00661941" w:rsidRPr="00E80EC0">
        <w:rPr>
          <w:szCs w:val="18"/>
        </w:rPr>
        <w:t xml:space="preserve">use of performance indicators for evaluating models of drying jackfruit </w:t>
      </w:r>
      <w:r w:rsidRPr="00E80EC0">
        <w:rPr>
          <w:szCs w:val="18"/>
        </w:rPr>
        <w:t>(</w:t>
      </w:r>
      <w:proofErr w:type="spellStart"/>
      <w:r w:rsidRPr="00E80EC0">
        <w:rPr>
          <w:i/>
          <w:iCs/>
          <w:szCs w:val="18"/>
        </w:rPr>
        <w:t>Artocarpus</w:t>
      </w:r>
      <w:proofErr w:type="spellEnd"/>
      <w:r w:rsidR="00EC2F91">
        <w:rPr>
          <w:i/>
          <w:iCs/>
          <w:szCs w:val="18"/>
        </w:rPr>
        <w:t xml:space="preserve"> </w:t>
      </w:r>
      <w:proofErr w:type="spellStart"/>
      <w:r w:rsidRPr="00E80EC0">
        <w:rPr>
          <w:i/>
          <w:iCs/>
          <w:szCs w:val="18"/>
        </w:rPr>
        <w:t>heterophyllus</w:t>
      </w:r>
      <w:proofErr w:type="spellEnd"/>
      <w:r w:rsidR="00EC2F91">
        <w:rPr>
          <w:i/>
          <w:iCs/>
          <w:szCs w:val="18"/>
        </w:rPr>
        <w:t xml:space="preserve"> </w:t>
      </w:r>
      <w:r w:rsidRPr="00E80EC0">
        <w:rPr>
          <w:szCs w:val="18"/>
        </w:rPr>
        <w:t xml:space="preserve">L.): Page, </w:t>
      </w:r>
      <w:proofErr w:type="spellStart"/>
      <w:r w:rsidRPr="00E80EC0">
        <w:rPr>
          <w:szCs w:val="18"/>
        </w:rPr>
        <w:t>Midilli</w:t>
      </w:r>
      <w:proofErr w:type="spellEnd"/>
      <w:r w:rsidRPr="00E80EC0">
        <w:rPr>
          <w:szCs w:val="18"/>
        </w:rPr>
        <w:t>, and Lewis, International Journal of Agricultural, Biosystems Science and Engineering, 8, 33-36</w:t>
      </w:r>
      <w:r w:rsidR="00661941">
        <w:rPr>
          <w:szCs w:val="18"/>
        </w:rPr>
        <w:t>.</w:t>
      </w:r>
    </w:p>
    <w:sectPr w:rsidR="00514B95" w:rsidRPr="00DA687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CC1" w:rsidRDefault="00644CC1" w:rsidP="004F5E36">
      <w:r>
        <w:separator/>
      </w:r>
    </w:p>
  </w:endnote>
  <w:endnote w:type="continuationSeparator" w:id="0">
    <w:p w:rsidR="00644CC1" w:rsidRDefault="00644CC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CC1" w:rsidRDefault="00644CC1" w:rsidP="004F5E36">
      <w:r>
        <w:separator/>
      </w:r>
    </w:p>
  </w:footnote>
  <w:footnote w:type="continuationSeparator" w:id="0">
    <w:p w:rsidR="00644CC1" w:rsidRDefault="00644CC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142"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lvlOverride w:ilvl="0">
      <w:startOverride w:val="1"/>
    </w:lvlOverride>
    <w:lvlOverride w:ilvl="1">
      <w:startOverride w:val="4"/>
    </w:lvlOverride>
  </w:num>
  <w:num w:numId="23">
    <w:abstractNumId w:val="10"/>
    <w:lvlOverride w:ilvl="0">
      <w:startOverride w:val="1"/>
    </w:lvlOverride>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101"/>
    <w:rsid w:val="000027C0"/>
    <w:rsid w:val="000052FB"/>
    <w:rsid w:val="000117CB"/>
    <w:rsid w:val="000214B0"/>
    <w:rsid w:val="00026956"/>
    <w:rsid w:val="0003148D"/>
    <w:rsid w:val="00033162"/>
    <w:rsid w:val="00051566"/>
    <w:rsid w:val="00062A9A"/>
    <w:rsid w:val="00065058"/>
    <w:rsid w:val="00086C39"/>
    <w:rsid w:val="00091A79"/>
    <w:rsid w:val="00092829"/>
    <w:rsid w:val="000A03B2"/>
    <w:rsid w:val="000B2638"/>
    <w:rsid w:val="000B66D2"/>
    <w:rsid w:val="000D34BE"/>
    <w:rsid w:val="000E102F"/>
    <w:rsid w:val="000E36F1"/>
    <w:rsid w:val="000E3A73"/>
    <w:rsid w:val="000E414A"/>
    <w:rsid w:val="000F093C"/>
    <w:rsid w:val="000F4636"/>
    <w:rsid w:val="000F787B"/>
    <w:rsid w:val="0012091F"/>
    <w:rsid w:val="00126BC2"/>
    <w:rsid w:val="001308B6"/>
    <w:rsid w:val="0013121F"/>
    <w:rsid w:val="00131FE6"/>
    <w:rsid w:val="0013263F"/>
    <w:rsid w:val="00134DE4"/>
    <w:rsid w:val="0014034D"/>
    <w:rsid w:val="0014464F"/>
    <w:rsid w:val="00150E59"/>
    <w:rsid w:val="00152DE3"/>
    <w:rsid w:val="00155F1E"/>
    <w:rsid w:val="00164CF9"/>
    <w:rsid w:val="00184AD6"/>
    <w:rsid w:val="001A0151"/>
    <w:rsid w:val="001A5B78"/>
    <w:rsid w:val="001B0349"/>
    <w:rsid w:val="001B65C1"/>
    <w:rsid w:val="001C4D30"/>
    <w:rsid w:val="001C684B"/>
    <w:rsid w:val="001C6F01"/>
    <w:rsid w:val="001D53FC"/>
    <w:rsid w:val="001E26EA"/>
    <w:rsid w:val="001E43F9"/>
    <w:rsid w:val="001E6F87"/>
    <w:rsid w:val="001F42A5"/>
    <w:rsid w:val="001F7B9D"/>
    <w:rsid w:val="0021120B"/>
    <w:rsid w:val="002224B4"/>
    <w:rsid w:val="002256AC"/>
    <w:rsid w:val="002274D8"/>
    <w:rsid w:val="00243AA3"/>
    <w:rsid w:val="002447EF"/>
    <w:rsid w:val="00251550"/>
    <w:rsid w:val="002535C5"/>
    <w:rsid w:val="00263B05"/>
    <w:rsid w:val="00270A93"/>
    <w:rsid w:val="0027221A"/>
    <w:rsid w:val="00272AB3"/>
    <w:rsid w:val="00274BAE"/>
    <w:rsid w:val="00275B61"/>
    <w:rsid w:val="00282656"/>
    <w:rsid w:val="00296B83"/>
    <w:rsid w:val="002B6B9E"/>
    <w:rsid w:val="002B78CE"/>
    <w:rsid w:val="002C0542"/>
    <w:rsid w:val="002C08D4"/>
    <w:rsid w:val="002C2FB6"/>
    <w:rsid w:val="002F6596"/>
    <w:rsid w:val="003009B7"/>
    <w:rsid w:val="00300E56"/>
    <w:rsid w:val="0030469C"/>
    <w:rsid w:val="00311ABC"/>
    <w:rsid w:val="0031339D"/>
    <w:rsid w:val="00321CA6"/>
    <w:rsid w:val="00334C09"/>
    <w:rsid w:val="0037236A"/>
    <w:rsid w:val="003723D4"/>
    <w:rsid w:val="00383F4B"/>
    <w:rsid w:val="00384CC8"/>
    <w:rsid w:val="003850F9"/>
    <w:rsid w:val="003871FD"/>
    <w:rsid w:val="003A1E30"/>
    <w:rsid w:val="003A7D1C"/>
    <w:rsid w:val="003B21CE"/>
    <w:rsid w:val="003B304B"/>
    <w:rsid w:val="003B3146"/>
    <w:rsid w:val="003C111D"/>
    <w:rsid w:val="003F015E"/>
    <w:rsid w:val="003F2E11"/>
    <w:rsid w:val="00400414"/>
    <w:rsid w:val="0041446B"/>
    <w:rsid w:val="004240BB"/>
    <w:rsid w:val="0044329C"/>
    <w:rsid w:val="00446565"/>
    <w:rsid w:val="00456DC8"/>
    <w:rsid w:val="004577FE"/>
    <w:rsid w:val="00457B9C"/>
    <w:rsid w:val="0046164A"/>
    <w:rsid w:val="004628D2"/>
    <w:rsid w:val="00462DCD"/>
    <w:rsid w:val="004648AD"/>
    <w:rsid w:val="004703A9"/>
    <w:rsid w:val="004760DE"/>
    <w:rsid w:val="00495E28"/>
    <w:rsid w:val="004A004E"/>
    <w:rsid w:val="004A24CF"/>
    <w:rsid w:val="004A6CE1"/>
    <w:rsid w:val="004C3D1D"/>
    <w:rsid w:val="004C7913"/>
    <w:rsid w:val="004E4DD6"/>
    <w:rsid w:val="004F5E36"/>
    <w:rsid w:val="00507B47"/>
    <w:rsid w:val="00507CC9"/>
    <w:rsid w:val="005119A5"/>
    <w:rsid w:val="00514B95"/>
    <w:rsid w:val="0051783B"/>
    <w:rsid w:val="00526865"/>
    <w:rsid w:val="005278B7"/>
    <w:rsid w:val="00532016"/>
    <w:rsid w:val="005346C8"/>
    <w:rsid w:val="00536DC0"/>
    <w:rsid w:val="00543E7D"/>
    <w:rsid w:val="00544692"/>
    <w:rsid w:val="00547A68"/>
    <w:rsid w:val="005531C9"/>
    <w:rsid w:val="005550D8"/>
    <w:rsid w:val="0056298E"/>
    <w:rsid w:val="00571E0F"/>
    <w:rsid w:val="005B2110"/>
    <w:rsid w:val="005B500B"/>
    <w:rsid w:val="005B61E6"/>
    <w:rsid w:val="005B64FB"/>
    <w:rsid w:val="005C7438"/>
    <w:rsid w:val="005C77E1"/>
    <w:rsid w:val="005D6A2F"/>
    <w:rsid w:val="005E1078"/>
    <w:rsid w:val="005E1A82"/>
    <w:rsid w:val="005E794C"/>
    <w:rsid w:val="005F0A28"/>
    <w:rsid w:val="005F0E5E"/>
    <w:rsid w:val="005F7577"/>
    <w:rsid w:val="00600535"/>
    <w:rsid w:val="006048E0"/>
    <w:rsid w:val="006104F8"/>
    <w:rsid w:val="00610CD6"/>
    <w:rsid w:val="00620C11"/>
    <w:rsid w:val="00620DEE"/>
    <w:rsid w:val="00621F92"/>
    <w:rsid w:val="00625639"/>
    <w:rsid w:val="00631B33"/>
    <w:rsid w:val="006406E6"/>
    <w:rsid w:val="0064184D"/>
    <w:rsid w:val="00644CC1"/>
    <w:rsid w:val="00655A84"/>
    <w:rsid w:val="00660E3E"/>
    <w:rsid w:val="00661941"/>
    <w:rsid w:val="00662E74"/>
    <w:rsid w:val="006674E5"/>
    <w:rsid w:val="00680C23"/>
    <w:rsid w:val="00693766"/>
    <w:rsid w:val="006A3281"/>
    <w:rsid w:val="006B1B92"/>
    <w:rsid w:val="006B4888"/>
    <w:rsid w:val="006B727C"/>
    <w:rsid w:val="006C2E45"/>
    <w:rsid w:val="006C359C"/>
    <w:rsid w:val="006C5579"/>
    <w:rsid w:val="006E737D"/>
    <w:rsid w:val="006F160F"/>
    <w:rsid w:val="00720A24"/>
    <w:rsid w:val="00732386"/>
    <w:rsid w:val="007447F3"/>
    <w:rsid w:val="0075499F"/>
    <w:rsid w:val="007661C8"/>
    <w:rsid w:val="0077098D"/>
    <w:rsid w:val="007801DF"/>
    <w:rsid w:val="00795FBE"/>
    <w:rsid w:val="007A7BBA"/>
    <w:rsid w:val="007A7C10"/>
    <w:rsid w:val="007B0C50"/>
    <w:rsid w:val="007C1A43"/>
    <w:rsid w:val="007D46DB"/>
    <w:rsid w:val="007D69EF"/>
    <w:rsid w:val="007E507D"/>
    <w:rsid w:val="007E7F00"/>
    <w:rsid w:val="008023CA"/>
    <w:rsid w:val="00805CA4"/>
    <w:rsid w:val="00811512"/>
    <w:rsid w:val="00813288"/>
    <w:rsid w:val="008168FC"/>
    <w:rsid w:val="00827BEC"/>
    <w:rsid w:val="00830996"/>
    <w:rsid w:val="00831406"/>
    <w:rsid w:val="008345F1"/>
    <w:rsid w:val="00851AEC"/>
    <w:rsid w:val="00865B07"/>
    <w:rsid w:val="008667EA"/>
    <w:rsid w:val="00873107"/>
    <w:rsid w:val="0087392B"/>
    <w:rsid w:val="00873D70"/>
    <w:rsid w:val="0087637F"/>
    <w:rsid w:val="00892AD5"/>
    <w:rsid w:val="00897A11"/>
    <w:rsid w:val="008A1512"/>
    <w:rsid w:val="008A22D7"/>
    <w:rsid w:val="008D433B"/>
    <w:rsid w:val="008E4CB3"/>
    <w:rsid w:val="008E566E"/>
    <w:rsid w:val="008F2B25"/>
    <w:rsid w:val="0090161A"/>
    <w:rsid w:val="00901EB6"/>
    <w:rsid w:val="00904C62"/>
    <w:rsid w:val="00924DAC"/>
    <w:rsid w:val="00926D51"/>
    <w:rsid w:val="00927058"/>
    <w:rsid w:val="0093088C"/>
    <w:rsid w:val="009450CE"/>
    <w:rsid w:val="00947179"/>
    <w:rsid w:val="0095164B"/>
    <w:rsid w:val="00954090"/>
    <w:rsid w:val="009573E7"/>
    <w:rsid w:val="00963E05"/>
    <w:rsid w:val="00965479"/>
    <w:rsid w:val="00967D54"/>
    <w:rsid w:val="00987907"/>
    <w:rsid w:val="00994474"/>
    <w:rsid w:val="00996483"/>
    <w:rsid w:val="00996F5A"/>
    <w:rsid w:val="009B041A"/>
    <w:rsid w:val="009B5FC0"/>
    <w:rsid w:val="009C7C86"/>
    <w:rsid w:val="009D2FF7"/>
    <w:rsid w:val="009E7884"/>
    <w:rsid w:val="009E788A"/>
    <w:rsid w:val="009F0E08"/>
    <w:rsid w:val="009F704D"/>
    <w:rsid w:val="009F7F64"/>
    <w:rsid w:val="00A00EB7"/>
    <w:rsid w:val="00A1763D"/>
    <w:rsid w:val="00A17CEC"/>
    <w:rsid w:val="00A27EF0"/>
    <w:rsid w:val="00A50B20"/>
    <w:rsid w:val="00A51390"/>
    <w:rsid w:val="00A60D13"/>
    <w:rsid w:val="00A72745"/>
    <w:rsid w:val="00A73C83"/>
    <w:rsid w:val="00A76EFC"/>
    <w:rsid w:val="00A91010"/>
    <w:rsid w:val="00A91441"/>
    <w:rsid w:val="00A97F29"/>
    <w:rsid w:val="00AA702E"/>
    <w:rsid w:val="00AB0964"/>
    <w:rsid w:val="00AB252E"/>
    <w:rsid w:val="00AB5011"/>
    <w:rsid w:val="00AC7368"/>
    <w:rsid w:val="00AD16B9"/>
    <w:rsid w:val="00AE377D"/>
    <w:rsid w:val="00AF0DB5"/>
    <w:rsid w:val="00B17FBD"/>
    <w:rsid w:val="00B315A6"/>
    <w:rsid w:val="00B31813"/>
    <w:rsid w:val="00B33365"/>
    <w:rsid w:val="00B56365"/>
    <w:rsid w:val="00B57B36"/>
    <w:rsid w:val="00B649D7"/>
    <w:rsid w:val="00B8686D"/>
    <w:rsid w:val="00B925BE"/>
    <w:rsid w:val="00B97D49"/>
    <w:rsid w:val="00BB5660"/>
    <w:rsid w:val="00BC30C9"/>
    <w:rsid w:val="00BE3E58"/>
    <w:rsid w:val="00C01616"/>
    <w:rsid w:val="00C0162B"/>
    <w:rsid w:val="00C26F78"/>
    <w:rsid w:val="00C345B1"/>
    <w:rsid w:val="00C3702D"/>
    <w:rsid w:val="00C40142"/>
    <w:rsid w:val="00C542CA"/>
    <w:rsid w:val="00C55789"/>
    <w:rsid w:val="00C57182"/>
    <w:rsid w:val="00C57863"/>
    <w:rsid w:val="00C655FD"/>
    <w:rsid w:val="00C71FB5"/>
    <w:rsid w:val="00C74AC5"/>
    <w:rsid w:val="00C870A8"/>
    <w:rsid w:val="00C94434"/>
    <w:rsid w:val="00CA0D75"/>
    <w:rsid w:val="00CA1C95"/>
    <w:rsid w:val="00CA5A9C"/>
    <w:rsid w:val="00CD5FE2"/>
    <w:rsid w:val="00CE7C68"/>
    <w:rsid w:val="00CF41A3"/>
    <w:rsid w:val="00D02B4C"/>
    <w:rsid w:val="00D040C4"/>
    <w:rsid w:val="00D07EC8"/>
    <w:rsid w:val="00D15DA3"/>
    <w:rsid w:val="00D17260"/>
    <w:rsid w:val="00D330EE"/>
    <w:rsid w:val="00D36407"/>
    <w:rsid w:val="00D57C84"/>
    <w:rsid w:val="00D6057D"/>
    <w:rsid w:val="00D84576"/>
    <w:rsid w:val="00D942F1"/>
    <w:rsid w:val="00DA1399"/>
    <w:rsid w:val="00DA24C6"/>
    <w:rsid w:val="00DA4D7B"/>
    <w:rsid w:val="00DA6872"/>
    <w:rsid w:val="00DA6C9A"/>
    <w:rsid w:val="00DB43F5"/>
    <w:rsid w:val="00DD61A2"/>
    <w:rsid w:val="00DE2098"/>
    <w:rsid w:val="00DE264A"/>
    <w:rsid w:val="00DE5105"/>
    <w:rsid w:val="00E02D18"/>
    <w:rsid w:val="00E041E7"/>
    <w:rsid w:val="00E23CA1"/>
    <w:rsid w:val="00E31141"/>
    <w:rsid w:val="00E409A8"/>
    <w:rsid w:val="00E46707"/>
    <w:rsid w:val="00E50C12"/>
    <w:rsid w:val="00E57C57"/>
    <w:rsid w:val="00E6491E"/>
    <w:rsid w:val="00E65B91"/>
    <w:rsid w:val="00E67467"/>
    <w:rsid w:val="00E7209D"/>
    <w:rsid w:val="00E7656D"/>
    <w:rsid w:val="00E77223"/>
    <w:rsid w:val="00E8528B"/>
    <w:rsid w:val="00E85B94"/>
    <w:rsid w:val="00E978D0"/>
    <w:rsid w:val="00EA4613"/>
    <w:rsid w:val="00EA54C8"/>
    <w:rsid w:val="00EA7F91"/>
    <w:rsid w:val="00EB1523"/>
    <w:rsid w:val="00EB221E"/>
    <w:rsid w:val="00EC0E49"/>
    <w:rsid w:val="00EC110D"/>
    <w:rsid w:val="00EC2F91"/>
    <w:rsid w:val="00EE0131"/>
    <w:rsid w:val="00EF2394"/>
    <w:rsid w:val="00F16592"/>
    <w:rsid w:val="00F30C64"/>
    <w:rsid w:val="00F32CDB"/>
    <w:rsid w:val="00F3559C"/>
    <w:rsid w:val="00F37746"/>
    <w:rsid w:val="00F46178"/>
    <w:rsid w:val="00F46FFA"/>
    <w:rsid w:val="00F47017"/>
    <w:rsid w:val="00F52BFF"/>
    <w:rsid w:val="00F63A70"/>
    <w:rsid w:val="00F63B4A"/>
    <w:rsid w:val="00F665A8"/>
    <w:rsid w:val="00F75B21"/>
    <w:rsid w:val="00F832C4"/>
    <w:rsid w:val="00F93480"/>
    <w:rsid w:val="00FA0812"/>
    <w:rsid w:val="00FA21D0"/>
    <w:rsid w:val="00FA5F5F"/>
    <w:rsid w:val="00FB730C"/>
    <w:rsid w:val="00FB7629"/>
    <w:rsid w:val="00FC2695"/>
    <w:rsid w:val="00FC3E03"/>
    <w:rsid w:val="00FC3FC1"/>
    <w:rsid w:val="00FE480D"/>
    <w:rsid w:val="00FF5C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880BBB"/>
  <w15:docId w15:val="{B96673D1-4206-4BC1-B78F-ADCCF3D2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ind w:left="0"/>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rsid w:val="00CF41A3"/>
    <w:pPr>
      <w:ind w:left="720"/>
      <w:contextualSpacing/>
    </w:pPr>
  </w:style>
  <w:style w:type="paragraph" w:customStyle="1" w:styleId="Default">
    <w:name w:val="Default"/>
    <w:rsid w:val="00514B95"/>
    <w:pPr>
      <w:autoSpaceDE w:val="0"/>
      <w:autoSpaceDN w:val="0"/>
      <w:adjustRightInd w:val="0"/>
      <w:spacing w:after="0" w:line="240" w:lineRule="auto"/>
    </w:pPr>
    <w:rPr>
      <w:rFonts w:ascii="Times New Roman" w:eastAsia="Arial" w:hAnsi="Times New Roman" w:cs="Times New Roman"/>
      <w:color w:val="000000"/>
      <w:sz w:val="24"/>
      <w:szCs w:val="24"/>
      <w:lang w:val="pt-BR" w:eastAsia="pt-BR"/>
    </w:rPr>
  </w:style>
  <w:style w:type="character" w:styleId="TextodoEspaoReservado">
    <w:name w:val="Placeholder Text"/>
    <w:basedOn w:val="Fontepargpadro"/>
    <w:uiPriority w:val="99"/>
    <w:semiHidden/>
    <w:rsid w:val="00C74A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130877">
      <w:bodyDiv w:val="1"/>
      <w:marLeft w:val="0"/>
      <w:marRight w:val="0"/>
      <w:marTop w:val="0"/>
      <w:marBottom w:val="0"/>
      <w:divBdr>
        <w:top w:val="none" w:sz="0" w:space="0" w:color="auto"/>
        <w:left w:val="none" w:sz="0" w:space="0" w:color="auto"/>
        <w:bottom w:val="none" w:sz="0" w:space="0" w:color="auto"/>
        <w:right w:val="none" w:sz="0" w:space="0" w:color="auto"/>
      </w:divBdr>
    </w:div>
    <w:div w:id="607348545">
      <w:bodyDiv w:val="1"/>
      <w:marLeft w:val="0"/>
      <w:marRight w:val="0"/>
      <w:marTop w:val="0"/>
      <w:marBottom w:val="0"/>
      <w:divBdr>
        <w:top w:val="none" w:sz="0" w:space="0" w:color="auto"/>
        <w:left w:val="none" w:sz="0" w:space="0" w:color="auto"/>
        <w:bottom w:val="none" w:sz="0" w:space="0" w:color="auto"/>
        <w:right w:val="none" w:sz="0" w:space="0" w:color="auto"/>
      </w:divBdr>
      <w:divsChild>
        <w:div w:id="1209995943">
          <w:marLeft w:val="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33501">
      <w:bodyDiv w:val="1"/>
      <w:marLeft w:val="0"/>
      <w:marRight w:val="0"/>
      <w:marTop w:val="0"/>
      <w:marBottom w:val="0"/>
      <w:divBdr>
        <w:top w:val="none" w:sz="0" w:space="0" w:color="auto"/>
        <w:left w:val="none" w:sz="0" w:space="0" w:color="auto"/>
        <w:bottom w:val="none" w:sz="0" w:space="0" w:color="auto"/>
        <w:right w:val="none" w:sz="0" w:space="0" w:color="auto"/>
      </w:divBdr>
      <w:divsChild>
        <w:div w:id="510605108">
          <w:marLeft w:val="0"/>
          <w:marRight w:val="0"/>
          <w:marTop w:val="0"/>
          <w:marBottom w:val="0"/>
          <w:divBdr>
            <w:top w:val="none" w:sz="0" w:space="0" w:color="auto"/>
            <w:left w:val="none" w:sz="0" w:space="0" w:color="auto"/>
            <w:bottom w:val="none" w:sz="0" w:space="0" w:color="auto"/>
            <w:right w:val="none" w:sz="0" w:space="0" w:color="auto"/>
          </w:divBdr>
        </w:div>
        <w:div w:id="1407654738">
          <w:marLeft w:val="0"/>
          <w:marRight w:val="0"/>
          <w:marTop w:val="0"/>
          <w:marBottom w:val="0"/>
          <w:divBdr>
            <w:top w:val="none" w:sz="0" w:space="0" w:color="auto"/>
            <w:left w:val="none" w:sz="0" w:space="0" w:color="auto"/>
            <w:bottom w:val="none" w:sz="0" w:space="0" w:color="auto"/>
            <w:right w:val="none" w:sz="0" w:space="0" w:color="auto"/>
          </w:divBdr>
        </w:div>
        <w:div w:id="509299876">
          <w:marLeft w:val="0"/>
          <w:marRight w:val="0"/>
          <w:marTop w:val="0"/>
          <w:marBottom w:val="0"/>
          <w:divBdr>
            <w:top w:val="none" w:sz="0" w:space="0" w:color="auto"/>
            <w:left w:val="none" w:sz="0" w:space="0" w:color="auto"/>
            <w:bottom w:val="none" w:sz="0" w:space="0" w:color="auto"/>
            <w:right w:val="none" w:sz="0" w:space="0" w:color="auto"/>
          </w:divBdr>
        </w:div>
      </w:divsChild>
    </w:div>
    <w:div w:id="1147280094">
      <w:bodyDiv w:val="1"/>
      <w:marLeft w:val="0"/>
      <w:marRight w:val="0"/>
      <w:marTop w:val="0"/>
      <w:marBottom w:val="0"/>
      <w:divBdr>
        <w:top w:val="none" w:sz="0" w:space="0" w:color="auto"/>
        <w:left w:val="none" w:sz="0" w:space="0" w:color="auto"/>
        <w:bottom w:val="none" w:sz="0" w:space="0" w:color="auto"/>
        <w:right w:val="none" w:sz="0" w:space="0" w:color="auto"/>
      </w:divBdr>
    </w:div>
    <w:div w:id="1182360138">
      <w:bodyDiv w:val="1"/>
      <w:marLeft w:val="0"/>
      <w:marRight w:val="0"/>
      <w:marTop w:val="0"/>
      <w:marBottom w:val="0"/>
      <w:divBdr>
        <w:top w:val="none" w:sz="0" w:space="0" w:color="auto"/>
        <w:left w:val="none" w:sz="0" w:space="0" w:color="auto"/>
        <w:bottom w:val="none" w:sz="0" w:space="0" w:color="auto"/>
        <w:right w:val="none" w:sz="0" w:space="0" w:color="auto"/>
      </w:divBdr>
    </w:div>
    <w:div w:id="1294171924">
      <w:bodyDiv w:val="1"/>
      <w:marLeft w:val="0"/>
      <w:marRight w:val="0"/>
      <w:marTop w:val="0"/>
      <w:marBottom w:val="0"/>
      <w:divBdr>
        <w:top w:val="none" w:sz="0" w:space="0" w:color="auto"/>
        <w:left w:val="none" w:sz="0" w:space="0" w:color="auto"/>
        <w:bottom w:val="none" w:sz="0" w:space="0" w:color="auto"/>
        <w:right w:val="none" w:sz="0" w:space="0" w:color="auto"/>
      </w:divBdr>
    </w:div>
    <w:div w:id="1460028707">
      <w:bodyDiv w:val="1"/>
      <w:marLeft w:val="0"/>
      <w:marRight w:val="0"/>
      <w:marTop w:val="0"/>
      <w:marBottom w:val="0"/>
      <w:divBdr>
        <w:top w:val="none" w:sz="0" w:space="0" w:color="auto"/>
        <w:left w:val="none" w:sz="0" w:space="0" w:color="auto"/>
        <w:bottom w:val="none" w:sz="0" w:space="0" w:color="auto"/>
        <w:right w:val="none" w:sz="0" w:space="0" w:color="auto"/>
      </w:divBdr>
      <w:divsChild>
        <w:div w:id="368459046">
          <w:marLeft w:val="0"/>
          <w:marRight w:val="0"/>
          <w:marTop w:val="0"/>
          <w:marBottom w:val="0"/>
          <w:divBdr>
            <w:top w:val="none" w:sz="0" w:space="0" w:color="auto"/>
            <w:left w:val="none" w:sz="0" w:space="0" w:color="auto"/>
            <w:bottom w:val="none" w:sz="0" w:space="0" w:color="auto"/>
            <w:right w:val="none" w:sz="0" w:space="0" w:color="auto"/>
          </w:divBdr>
        </w:div>
        <w:div w:id="1892688674">
          <w:marLeft w:val="0"/>
          <w:marRight w:val="0"/>
          <w:marTop w:val="0"/>
          <w:marBottom w:val="0"/>
          <w:divBdr>
            <w:top w:val="none" w:sz="0" w:space="0" w:color="auto"/>
            <w:left w:val="none" w:sz="0" w:space="0" w:color="auto"/>
            <w:bottom w:val="none" w:sz="0" w:space="0" w:color="auto"/>
            <w:right w:val="none" w:sz="0" w:space="0" w:color="auto"/>
          </w:divBdr>
        </w:div>
      </w:divsChild>
    </w:div>
    <w:div w:id="1559975144">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42469">
      <w:bodyDiv w:val="1"/>
      <w:marLeft w:val="0"/>
      <w:marRight w:val="0"/>
      <w:marTop w:val="0"/>
      <w:marBottom w:val="0"/>
      <w:divBdr>
        <w:top w:val="none" w:sz="0" w:space="0" w:color="auto"/>
        <w:left w:val="none" w:sz="0" w:space="0" w:color="auto"/>
        <w:bottom w:val="none" w:sz="0" w:space="0" w:color="auto"/>
        <w:right w:val="none" w:sz="0" w:space="0" w:color="auto"/>
      </w:divBdr>
    </w:div>
    <w:div w:id="188888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7E235-C60E-4FC1-99DB-2A11AA8E6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3156</Words>
  <Characters>17043</Characters>
  <Application>Microsoft Office Word</Application>
  <DocSecurity>0</DocSecurity>
  <Lines>142</Lines>
  <Paragraphs>40</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Ana Karla de Souza Abud</cp:lastModifiedBy>
  <cp:revision>5</cp:revision>
  <cp:lastPrinted>2015-05-12T18:31:00Z</cp:lastPrinted>
  <dcterms:created xsi:type="dcterms:W3CDTF">2019-04-04T16:16:00Z</dcterms:created>
  <dcterms:modified xsi:type="dcterms:W3CDTF">2019-04-04T21:07:00Z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