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2F27DCA" w14:textId="77777777">
        <w:trPr>
          <w:trHeight w:val="852"/>
          <w:jc w:val="center"/>
        </w:trPr>
        <w:tc>
          <w:tcPr>
            <w:tcW w:w="6946" w:type="dxa"/>
            <w:vMerge w:val="restart"/>
            <w:tcBorders>
              <w:right w:val="single" w:sz="4" w:space="0" w:color="auto"/>
            </w:tcBorders>
          </w:tcPr>
          <w:p w14:paraId="4534CA30"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7B608B4" wp14:editId="6D78939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53D5E5E"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E5A0833"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EF97462" w14:textId="77777777" w:rsidR="000A03B2" w:rsidRPr="00B57B36" w:rsidRDefault="000A03B2" w:rsidP="00CD5FE2">
            <w:pPr>
              <w:jc w:val="right"/>
            </w:pPr>
            <w:r w:rsidRPr="00B57B36">
              <w:rPr>
                <w:noProof/>
                <w:lang w:val="it-IT" w:eastAsia="it-IT"/>
              </w:rPr>
              <w:drawing>
                <wp:inline distT="0" distB="0" distL="0" distR="0" wp14:anchorId="45C2FC85" wp14:editId="645E4D1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436BB403" w14:textId="77777777">
        <w:trPr>
          <w:trHeight w:val="567"/>
          <w:jc w:val="center"/>
        </w:trPr>
        <w:tc>
          <w:tcPr>
            <w:tcW w:w="6946" w:type="dxa"/>
            <w:vMerge/>
            <w:tcBorders>
              <w:right w:val="single" w:sz="4" w:space="0" w:color="auto"/>
            </w:tcBorders>
          </w:tcPr>
          <w:p w14:paraId="7BD06BF8"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5CB152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5AF6A5EC"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3483024"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w:t>
            </w:r>
            <w:r w:rsidR="00892AD5" w:rsidRPr="00503F53">
              <w:rPr>
                <w:rFonts w:cs="Arial"/>
                <w:noProof/>
                <w:sz w:val="14"/>
                <w:szCs w:val="14"/>
              </w:rPr>
              <w:t>cet</w:t>
            </w:r>
          </w:p>
        </w:tc>
      </w:tr>
      <w:tr w:rsidR="000A03B2" w:rsidRPr="00B57B36" w14:paraId="57E58BFA" w14:textId="77777777">
        <w:trPr>
          <w:trHeight w:val="68"/>
          <w:jc w:val="center"/>
        </w:trPr>
        <w:tc>
          <w:tcPr>
            <w:tcW w:w="8789" w:type="dxa"/>
            <w:gridSpan w:val="2"/>
          </w:tcPr>
          <w:p w14:paraId="15E5B640"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288D82F4"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C37DEA6"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26653E34" w14:textId="77777777" w:rsidR="004F1261" w:rsidRDefault="0007465D" w:rsidP="00AB5011">
      <w:pPr>
        <w:pStyle w:val="CETAuthors"/>
        <w:rPr>
          <w:noProof w:val="0"/>
          <w:sz w:val="32"/>
        </w:rPr>
      </w:pPr>
      <w:r w:rsidRPr="0007465D">
        <w:rPr>
          <w:noProof w:val="0"/>
          <w:sz w:val="32"/>
        </w:rPr>
        <w:t>Environmental benefits: traditional vs innovative packaging for olive oil</w:t>
      </w:r>
    </w:p>
    <w:p w14:paraId="151017B3" w14:textId="050D503E" w:rsidR="00E978D0" w:rsidRPr="00CB319D" w:rsidRDefault="0007465D" w:rsidP="00C45CAE">
      <w:pPr>
        <w:pStyle w:val="CETAuthors"/>
        <w:rPr>
          <w:color w:val="000000"/>
          <w:sz w:val="27"/>
          <w:szCs w:val="27"/>
        </w:rPr>
      </w:pPr>
      <w:r w:rsidRPr="00CB319D">
        <w:rPr>
          <w:color w:val="000000"/>
          <w:sz w:val="27"/>
          <w:szCs w:val="27"/>
        </w:rPr>
        <w:t>Giovenzana V.</w:t>
      </w:r>
      <w:r w:rsidRPr="00CB319D">
        <w:rPr>
          <w:color w:val="000000"/>
          <w:sz w:val="27"/>
          <w:szCs w:val="27"/>
          <w:vertAlign w:val="superscript"/>
        </w:rPr>
        <w:t>a</w:t>
      </w:r>
      <w:r w:rsidRPr="00CB319D">
        <w:rPr>
          <w:color w:val="000000"/>
          <w:sz w:val="27"/>
          <w:szCs w:val="27"/>
        </w:rPr>
        <w:t>, Casson A.</w:t>
      </w:r>
      <w:r w:rsidRPr="00CB319D">
        <w:rPr>
          <w:color w:val="000000"/>
          <w:sz w:val="27"/>
          <w:szCs w:val="27"/>
          <w:vertAlign w:val="superscript"/>
        </w:rPr>
        <w:t>a</w:t>
      </w:r>
      <w:r w:rsidRPr="00CB319D">
        <w:rPr>
          <w:color w:val="000000"/>
          <w:sz w:val="27"/>
          <w:szCs w:val="27"/>
        </w:rPr>
        <w:t>*, Beghi R.</w:t>
      </w:r>
      <w:r w:rsidRPr="00CB319D">
        <w:rPr>
          <w:color w:val="000000"/>
          <w:sz w:val="27"/>
          <w:szCs w:val="27"/>
          <w:vertAlign w:val="superscript"/>
        </w:rPr>
        <w:t>a</w:t>
      </w:r>
      <w:r w:rsidRPr="00CB319D">
        <w:rPr>
          <w:color w:val="000000"/>
          <w:sz w:val="27"/>
          <w:szCs w:val="27"/>
        </w:rPr>
        <w:t>, Tugnolo A.</w:t>
      </w:r>
      <w:r w:rsidRPr="00CB319D">
        <w:rPr>
          <w:color w:val="000000"/>
          <w:sz w:val="27"/>
          <w:szCs w:val="27"/>
          <w:vertAlign w:val="superscript"/>
        </w:rPr>
        <w:t>a</w:t>
      </w:r>
      <w:r w:rsidRPr="00CB319D">
        <w:rPr>
          <w:color w:val="000000"/>
          <w:sz w:val="27"/>
          <w:szCs w:val="27"/>
        </w:rPr>
        <w:t>, Grassi S.</w:t>
      </w:r>
      <w:r w:rsidRPr="00CB319D">
        <w:rPr>
          <w:color w:val="000000"/>
          <w:sz w:val="27"/>
          <w:szCs w:val="27"/>
          <w:vertAlign w:val="superscript"/>
        </w:rPr>
        <w:t>b</w:t>
      </w:r>
      <w:r w:rsidRPr="00CB319D">
        <w:rPr>
          <w:color w:val="000000"/>
          <w:sz w:val="27"/>
          <w:szCs w:val="27"/>
        </w:rPr>
        <w:t>, Alamprese C.</w:t>
      </w:r>
      <w:r w:rsidRPr="00CB319D">
        <w:rPr>
          <w:color w:val="000000"/>
          <w:sz w:val="27"/>
          <w:szCs w:val="27"/>
          <w:vertAlign w:val="superscript"/>
        </w:rPr>
        <w:t>b</w:t>
      </w:r>
      <w:r w:rsidRPr="00CB319D">
        <w:rPr>
          <w:color w:val="000000"/>
          <w:sz w:val="27"/>
          <w:szCs w:val="27"/>
        </w:rPr>
        <w:t>, Casiraghi E.</w:t>
      </w:r>
      <w:r w:rsidRPr="00CB319D">
        <w:rPr>
          <w:color w:val="000000"/>
          <w:sz w:val="27"/>
          <w:szCs w:val="27"/>
          <w:vertAlign w:val="superscript"/>
        </w:rPr>
        <w:t>b</w:t>
      </w:r>
      <w:r w:rsidRPr="00CB319D">
        <w:rPr>
          <w:color w:val="000000"/>
          <w:sz w:val="27"/>
          <w:szCs w:val="27"/>
        </w:rPr>
        <w:t>,</w:t>
      </w:r>
      <w:r w:rsidR="004C0BC2" w:rsidRPr="00CB319D">
        <w:rPr>
          <w:color w:val="000000"/>
          <w:sz w:val="27"/>
          <w:szCs w:val="27"/>
        </w:rPr>
        <w:t xml:space="preserve"> Farris S.</w:t>
      </w:r>
      <w:r w:rsidR="004C0BC2" w:rsidRPr="00CB319D">
        <w:rPr>
          <w:color w:val="000000"/>
          <w:sz w:val="27"/>
          <w:szCs w:val="27"/>
          <w:vertAlign w:val="superscript"/>
        </w:rPr>
        <w:t>b</w:t>
      </w:r>
      <w:r w:rsidR="004C0BC2" w:rsidRPr="00CB319D">
        <w:rPr>
          <w:color w:val="000000"/>
          <w:sz w:val="27"/>
          <w:szCs w:val="27"/>
        </w:rPr>
        <w:t>, Fiorindo I.</w:t>
      </w:r>
      <w:r w:rsidR="004C0BC2" w:rsidRPr="00CB319D">
        <w:rPr>
          <w:color w:val="000000"/>
          <w:sz w:val="27"/>
          <w:szCs w:val="27"/>
          <w:vertAlign w:val="superscript"/>
        </w:rPr>
        <w:t>a</w:t>
      </w:r>
      <w:r w:rsidR="004C0BC2" w:rsidRPr="00CB319D">
        <w:rPr>
          <w:color w:val="000000"/>
          <w:sz w:val="27"/>
          <w:szCs w:val="27"/>
        </w:rPr>
        <w:t>,</w:t>
      </w:r>
      <w:r w:rsidRPr="00CB319D">
        <w:rPr>
          <w:color w:val="000000"/>
          <w:sz w:val="27"/>
          <w:szCs w:val="27"/>
        </w:rPr>
        <w:t xml:space="preserve"> Guidetti R.</w:t>
      </w:r>
      <w:r w:rsidRPr="00CB319D">
        <w:rPr>
          <w:color w:val="000000"/>
          <w:sz w:val="27"/>
          <w:szCs w:val="27"/>
          <w:vertAlign w:val="superscript"/>
        </w:rPr>
        <w:t>a</w:t>
      </w:r>
    </w:p>
    <w:p w14:paraId="2569FA75" w14:textId="5BF7DB14" w:rsidR="00E978D0" w:rsidRPr="004C0BC2" w:rsidRDefault="0007465D" w:rsidP="004C0BC2">
      <w:pPr>
        <w:pStyle w:val="CETAddress"/>
      </w:pPr>
      <w:r w:rsidRPr="004C0BC2">
        <w:rPr>
          <w:vertAlign w:val="superscript"/>
        </w:rPr>
        <w:t>a</w:t>
      </w:r>
      <w:r w:rsidR="004F1261" w:rsidRPr="004C0BC2">
        <w:t>D</w:t>
      </w:r>
      <w:r w:rsidR="00017F8E" w:rsidRPr="004C0BC2">
        <w:t>epartment of Agricultural and Environmental Sciences - Production, Landscape, Agroenergy</w:t>
      </w:r>
      <w:r w:rsidR="004F1261" w:rsidRPr="004C0BC2">
        <w:t xml:space="preserve">, Università </w:t>
      </w:r>
      <w:r w:rsidR="004F1261" w:rsidRPr="00503F53">
        <w:t>degli</w:t>
      </w:r>
      <w:r w:rsidR="004F1261" w:rsidRPr="004C0BC2">
        <w:t xml:space="preserve"> Studi di Milano, via Celoria, 2, 20133 Milano</w:t>
      </w:r>
    </w:p>
    <w:p w14:paraId="6DBA1878" w14:textId="652F78FE" w:rsidR="0007465D" w:rsidRPr="000A0428" w:rsidRDefault="0007465D" w:rsidP="004C0BC2">
      <w:pPr>
        <w:pStyle w:val="CETAddress"/>
        <w:rPr>
          <w:vertAlign w:val="superscript"/>
        </w:rPr>
      </w:pPr>
      <w:r w:rsidRPr="000A0428">
        <w:rPr>
          <w:vertAlign w:val="superscript"/>
        </w:rPr>
        <w:t>b</w:t>
      </w:r>
      <w:r w:rsidRPr="000A0428">
        <w:t>D</w:t>
      </w:r>
      <w:r w:rsidR="007619B9" w:rsidRPr="000A0428">
        <w:t>epartment of Food, Environmental and Nutritional Sciences</w:t>
      </w:r>
      <w:r w:rsidRPr="000A0428">
        <w:t xml:space="preserve">, Università </w:t>
      </w:r>
      <w:r w:rsidRPr="00503F53">
        <w:t>degli</w:t>
      </w:r>
      <w:r w:rsidRPr="000A0428">
        <w:t xml:space="preserve"> Studi di Milano, via Celoria, 2, 20133 Milano</w:t>
      </w:r>
    </w:p>
    <w:p w14:paraId="174995C1" w14:textId="0A53BB79" w:rsidR="00E978D0" w:rsidRPr="00C42519" w:rsidRDefault="006D1812" w:rsidP="00E978D0">
      <w:pPr>
        <w:pStyle w:val="CETemail"/>
        <w:rPr>
          <w:lang w:val="en-US"/>
        </w:rPr>
      </w:pPr>
      <w:r w:rsidRPr="000A0428">
        <w:rPr>
          <w:lang w:val="en-US"/>
        </w:rPr>
        <w:t>*</w:t>
      </w:r>
      <w:r w:rsidR="0007465D" w:rsidRPr="000A0428">
        <w:rPr>
          <w:lang w:val="en-US"/>
        </w:rPr>
        <w:t>andrea.casson</w:t>
      </w:r>
      <w:r w:rsidR="004F1261" w:rsidRPr="00C42519">
        <w:rPr>
          <w:lang w:val="en-US"/>
        </w:rPr>
        <w:t>@unimi.it</w:t>
      </w:r>
      <w:r w:rsidR="00600535" w:rsidRPr="00C42519">
        <w:rPr>
          <w:lang w:val="en-US"/>
        </w:rPr>
        <w:t xml:space="preserve"> </w:t>
      </w:r>
    </w:p>
    <w:p w14:paraId="6A772195" w14:textId="1257A4FE" w:rsidR="00CB51D7" w:rsidRDefault="00CB51D7" w:rsidP="00CB51D7">
      <w:pPr>
        <w:pStyle w:val="CETBodytext"/>
        <w:rPr>
          <w:lang w:val="en-GB"/>
        </w:rPr>
      </w:pPr>
      <w:r w:rsidRPr="00CB51D7">
        <w:rPr>
          <w:lang w:val="en-GB"/>
        </w:rPr>
        <w:t xml:space="preserve">The olive oil industry is an important sector in Europe, the related production process is characterized by different practices and techniques associated to several adverse effects on the environment, both for the agricultural procedures and for </w:t>
      </w:r>
      <w:r w:rsidRPr="00503F53">
        <w:rPr>
          <w:noProof/>
          <w:lang w:val="en-GB"/>
        </w:rPr>
        <w:t>olive</w:t>
      </w:r>
      <w:r w:rsidRPr="00CB51D7">
        <w:rPr>
          <w:lang w:val="en-GB"/>
        </w:rPr>
        <w:t xml:space="preserve"> oil extraction process.</w:t>
      </w:r>
      <w:r>
        <w:rPr>
          <w:lang w:val="en-GB"/>
        </w:rPr>
        <w:t xml:space="preserve"> </w:t>
      </w:r>
      <w:r w:rsidRPr="00CB51D7">
        <w:rPr>
          <w:lang w:val="en-GB"/>
        </w:rPr>
        <w:t xml:space="preserve">The goal of this work is to develop a new packaging solution to better preserve the oil quality trying to reduce food losses and environmental impact. In detail, a comparison between traditional and innovative packaging was carried out. This work is part of a larger project “Sustainability of olive oil System project (S.O.S.)”, financed by </w:t>
      </w:r>
      <w:r w:rsidRPr="000572F1">
        <w:rPr>
          <w:i/>
          <w:lang w:val="en-GB"/>
        </w:rPr>
        <w:t xml:space="preserve">AGER – </w:t>
      </w:r>
      <w:proofErr w:type="spellStart"/>
      <w:r w:rsidRPr="000572F1">
        <w:rPr>
          <w:i/>
          <w:lang w:val="en-GB"/>
        </w:rPr>
        <w:t>Agroalimentare</w:t>
      </w:r>
      <w:proofErr w:type="spellEnd"/>
      <w:r w:rsidRPr="000572F1">
        <w:rPr>
          <w:i/>
          <w:lang w:val="en-GB"/>
        </w:rPr>
        <w:t xml:space="preserve"> e </w:t>
      </w:r>
      <w:proofErr w:type="spellStart"/>
      <w:r w:rsidRPr="000572F1">
        <w:rPr>
          <w:i/>
          <w:lang w:val="en-GB"/>
        </w:rPr>
        <w:t>Ricerca</w:t>
      </w:r>
      <w:proofErr w:type="spellEnd"/>
      <w:r w:rsidRPr="00CB51D7">
        <w:rPr>
          <w:lang w:val="en-GB"/>
        </w:rPr>
        <w:t>, whose purpose</w:t>
      </w:r>
      <w:r w:rsidR="00961610">
        <w:rPr>
          <w:lang w:val="en-GB"/>
        </w:rPr>
        <w:t xml:space="preserve"> is</w:t>
      </w:r>
      <w:r w:rsidRPr="00CB51D7">
        <w:rPr>
          <w:lang w:val="en-GB"/>
        </w:rPr>
        <w:t xml:space="preserve"> to improve</w:t>
      </w:r>
      <w:r w:rsidR="005F6605">
        <w:rPr>
          <w:lang w:val="en-GB"/>
        </w:rPr>
        <w:t xml:space="preserve"> the</w:t>
      </w:r>
      <w:r w:rsidRPr="00CB51D7">
        <w:rPr>
          <w:lang w:val="en-GB"/>
        </w:rPr>
        <w:t xml:space="preserve"> environmental sustainability in the olive-oil production system.</w:t>
      </w:r>
      <w:r>
        <w:rPr>
          <w:lang w:val="en-GB"/>
        </w:rPr>
        <w:t xml:space="preserve"> </w:t>
      </w:r>
      <w:r w:rsidRPr="00CB51D7">
        <w:rPr>
          <w:lang w:val="en-GB"/>
        </w:rPr>
        <w:t xml:space="preserve">The traditional packaging considered for the study is a three layers packaging: </w:t>
      </w:r>
      <w:r w:rsidRPr="00503F53">
        <w:rPr>
          <w:noProof/>
          <w:lang w:val="en-GB"/>
        </w:rPr>
        <w:t>polyethylene</w:t>
      </w:r>
      <w:r w:rsidRPr="00CB51D7">
        <w:rPr>
          <w:lang w:val="en-GB"/>
        </w:rPr>
        <w:t xml:space="preserve"> (PE), </w:t>
      </w:r>
      <w:r w:rsidRPr="00503F53">
        <w:rPr>
          <w:noProof/>
          <w:lang w:val="en-GB"/>
        </w:rPr>
        <w:t>aluminum</w:t>
      </w:r>
      <w:r w:rsidRPr="00CB51D7">
        <w:rPr>
          <w:lang w:val="en-GB"/>
        </w:rPr>
        <w:t xml:space="preserve">, </w:t>
      </w:r>
      <w:r w:rsidRPr="00503F53">
        <w:rPr>
          <w:noProof/>
          <w:lang w:val="en-GB"/>
        </w:rPr>
        <w:t>polyethylene</w:t>
      </w:r>
      <w:r w:rsidRPr="00CB51D7">
        <w:rPr>
          <w:lang w:val="en-GB"/>
        </w:rPr>
        <w:t xml:space="preserve"> terephthalate (PET)</w:t>
      </w:r>
      <w:r w:rsidR="00961610">
        <w:rPr>
          <w:lang w:val="en-GB"/>
        </w:rPr>
        <w:t>.</w:t>
      </w:r>
      <w:r w:rsidRPr="00CB51D7">
        <w:rPr>
          <w:lang w:val="en-GB"/>
        </w:rPr>
        <w:t xml:space="preserve"> </w:t>
      </w:r>
      <w:r w:rsidR="00555B0B">
        <w:rPr>
          <w:lang w:val="en-GB"/>
        </w:rPr>
        <w:t xml:space="preserve">Instead, the new solution </w:t>
      </w:r>
      <w:r w:rsidR="00C62E7B">
        <w:rPr>
          <w:lang w:val="en-GB"/>
        </w:rPr>
        <w:t>considered</w:t>
      </w:r>
      <w:r w:rsidRPr="00CB51D7">
        <w:rPr>
          <w:lang w:val="en-GB"/>
        </w:rPr>
        <w:t xml:space="preserve"> is a three layers packaging made from two bio-based </w:t>
      </w:r>
      <w:r w:rsidRPr="00761B54">
        <w:rPr>
          <w:lang w:val="en-GB"/>
        </w:rPr>
        <w:t xml:space="preserve">polymers: polylactic acid (PLA) treated with metallization and </w:t>
      </w:r>
      <w:r w:rsidR="00503F53" w:rsidRPr="00761B54">
        <w:rPr>
          <w:lang w:val="en-GB"/>
        </w:rPr>
        <w:t>Bio-</w:t>
      </w:r>
      <w:r w:rsidRPr="00761B54">
        <w:rPr>
          <w:lang w:val="en-GB"/>
        </w:rPr>
        <w:t xml:space="preserve">polyethylene (BIO PE). To calculate the environmental impact of each packaging, raw materials, instruments and relative energy used to create the films, and material disposal phase </w:t>
      </w:r>
      <w:r w:rsidR="00761B54" w:rsidRPr="00761B54">
        <w:rPr>
          <w:lang w:val="en-GB"/>
        </w:rPr>
        <w:t>were</w:t>
      </w:r>
      <w:r w:rsidRPr="00761B54">
        <w:rPr>
          <w:lang w:val="en-GB"/>
        </w:rPr>
        <w:t xml:space="preserve"> considered. The Life Cycle Assessment (LCA), “from cradle to grave” was used to assess the environmental impact of studied packaging. The functional unit was defined in the </w:t>
      </w:r>
      <w:r w:rsidRPr="00761B54">
        <w:rPr>
          <w:noProof/>
          <w:lang w:val="en-GB"/>
        </w:rPr>
        <w:t>single</w:t>
      </w:r>
      <w:r w:rsidR="00503F53" w:rsidRPr="00761B54">
        <w:rPr>
          <w:noProof/>
          <w:lang w:val="en-GB"/>
        </w:rPr>
        <w:t>-</w:t>
      </w:r>
      <w:r w:rsidRPr="00761B54">
        <w:rPr>
          <w:noProof/>
          <w:lang w:val="en-GB"/>
        </w:rPr>
        <w:t>use</w:t>
      </w:r>
      <w:r w:rsidRPr="00761B54">
        <w:rPr>
          <w:lang w:val="en-GB"/>
        </w:rPr>
        <w:t xml:space="preserve"> packaging (olive oil content equal to 10 ml).</w:t>
      </w:r>
      <w:r w:rsidR="00603DB6">
        <w:rPr>
          <w:lang w:val="en-GB"/>
        </w:rPr>
        <w:t xml:space="preserve"> R</w:t>
      </w:r>
      <w:r w:rsidR="004779C7">
        <w:rPr>
          <w:lang w:val="en-GB"/>
        </w:rPr>
        <w:t>espect</w:t>
      </w:r>
      <w:r w:rsidR="004779C7" w:rsidRPr="0035314C">
        <w:rPr>
          <w:lang w:val="en-GB"/>
        </w:rPr>
        <w:t xml:space="preserve"> to traditional packaging</w:t>
      </w:r>
      <w:r w:rsidR="004779C7">
        <w:rPr>
          <w:lang w:val="en-GB"/>
        </w:rPr>
        <w:t>,</w:t>
      </w:r>
      <w:r w:rsidR="004779C7" w:rsidRPr="0035314C">
        <w:rPr>
          <w:lang w:val="en-GB"/>
        </w:rPr>
        <w:t xml:space="preserve"> </w:t>
      </w:r>
      <w:r w:rsidR="00472478" w:rsidRPr="0035314C">
        <w:rPr>
          <w:lang w:val="en-GB"/>
        </w:rPr>
        <w:t xml:space="preserve">the innovative </w:t>
      </w:r>
      <w:r w:rsidR="004779C7">
        <w:rPr>
          <w:lang w:val="en-GB"/>
        </w:rPr>
        <w:t>one</w:t>
      </w:r>
      <w:r w:rsidR="00ED02E8">
        <w:rPr>
          <w:lang w:val="en-GB"/>
        </w:rPr>
        <w:t xml:space="preserve"> has obtained </w:t>
      </w:r>
      <w:r w:rsidR="00472478" w:rsidRPr="0035314C">
        <w:rPr>
          <w:lang w:val="en-GB"/>
        </w:rPr>
        <w:t xml:space="preserve">better </w:t>
      </w:r>
      <w:r w:rsidR="0035314C" w:rsidRPr="0035314C">
        <w:rPr>
          <w:lang w:val="en-GB"/>
        </w:rPr>
        <w:t xml:space="preserve">performances </w:t>
      </w:r>
      <w:r w:rsidR="00AB23EA">
        <w:rPr>
          <w:lang w:val="en-GB"/>
        </w:rPr>
        <w:t>in</w:t>
      </w:r>
      <w:r w:rsidR="0035314C" w:rsidRPr="0035314C">
        <w:rPr>
          <w:lang w:val="en-GB"/>
        </w:rPr>
        <w:t xml:space="preserve"> the human health impact categories </w:t>
      </w:r>
      <w:r w:rsidR="00433143">
        <w:rPr>
          <w:lang w:val="en-GB"/>
        </w:rPr>
        <w:t>(e.g.</w:t>
      </w:r>
      <w:r w:rsidR="0035314C" w:rsidRPr="0035314C">
        <w:rPr>
          <w:lang w:val="en-GB"/>
        </w:rPr>
        <w:t xml:space="preserve"> </w:t>
      </w:r>
      <w:r w:rsidR="00CF53BA">
        <w:rPr>
          <w:lang w:val="en-GB"/>
        </w:rPr>
        <w:t>c</w:t>
      </w:r>
      <w:r w:rsidR="0035314C" w:rsidRPr="0035314C">
        <w:rPr>
          <w:lang w:val="en-GB"/>
        </w:rPr>
        <w:t xml:space="preserve">limate </w:t>
      </w:r>
      <w:r w:rsidR="00CF53BA">
        <w:rPr>
          <w:lang w:val="en-GB"/>
        </w:rPr>
        <w:t>c</w:t>
      </w:r>
      <w:r w:rsidR="0035314C" w:rsidRPr="0035314C">
        <w:rPr>
          <w:lang w:val="en-GB"/>
        </w:rPr>
        <w:t xml:space="preserve">hange </w:t>
      </w:r>
      <w:r w:rsidR="00433143">
        <w:rPr>
          <w:lang w:val="en-GB"/>
        </w:rPr>
        <w:t>-</w:t>
      </w:r>
      <w:r w:rsidR="0035314C" w:rsidRPr="0035314C">
        <w:rPr>
          <w:lang w:val="en-GB"/>
        </w:rPr>
        <w:t xml:space="preserve">44% CO2 </w:t>
      </w:r>
      <w:proofErr w:type="spellStart"/>
      <w:r w:rsidR="0035314C" w:rsidRPr="0035314C">
        <w:rPr>
          <w:lang w:val="en-GB"/>
        </w:rPr>
        <w:t>eq</w:t>
      </w:r>
      <w:proofErr w:type="spellEnd"/>
      <w:r w:rsidR="00433143">
        <w:rPr>
          <w:lang w:val="en-GB"/>
        </w:rPr>
        <w:t>)</w:t>
      </w:r>
      <w:r w:rsidR="00603DB6">
        <w:rPr>
          <w:lang w:val="en-GB"/>
        </w:rPr>
        <w:t>.</w:t>
      </w:r>
      <w:r w:rsidR="0035314C" w:rsidRPr="0035314C">
        <w:rPr>
          <w:lang w:val="en-GB"/>
        </w:rPr>
        <w:t xml:space="preserve"> On the other hand, the fermentation process of sugar cane, even if </w:t>
      </w:r>
      <w:r w:rsidR="00603DB6">
        <w:rPr>
          <w:lang w:val="en-GB"/>
        </w:rPr>
        <w:t xml:space="preserve">is </w:t>
      </w:r>
      <w:r w:rsidR="0035314C" w:rsidRPr="0035314C">
        <w:rPr>
          <w:lang w:val="en-GB"/>
        </w:rPr>
        <w:t xml:space="preserve">considered a biological process, </w:t>
      </w:r>
      <w:r w:rsidR="00CF53BA">
        <w:rPr>
          <w:lang w:val="en-GB"/>
        </w:rPr>
        <w:t>showed</w:t>
      </w:r>
      <w:r w:rsidR="0035314C" w:rsidRPr="0035314C">
        <w:rPr>
          <w:lang w:val="en-GB"/>
        </w:rPr>
        <w:t xml:space="preserve"> higher impacts in the ecosystem</w:t>
      </w:r>
      <w:r w:rsidR="00CF53BA">
        <w:rPr>
          <w:lang w:val="en-GB"/>
        </w:rPr>
        <w:t xml:space="preserve"> quality</w:t>
      </w:r>
      <w:r w:rsidR="0035314C" w:rsidRPr="0035314C">
        <w:rPr>
          <w:lang w:val="en-GB"/>
        </w:rPr>
        <w:t xml:space="preserve"> impact categories </w:t>
      </w:r>
      <w:r w:rsidR="00CF53BA">
        <w:rPr>
          <w:lang w:val="en-GB"/>
        </w:rPr>
        <w:t xml:space="preserve">(e.g. </w:t>
      </w:r>
      <w:r w:rsidR="0035314C" w:rsidRPr="0035314C">
        <w:rPr>
          <w:lang w:val="en-GB"/>
        </w:rPr>
        <w:t>water resource depletion, freshwater ecotoxicity and land use</w:t>
      </w:r>
      <w:r w:rsidR="00CF53BA">
        <w:rPr>
          <w:lang w:val="en-GB"/>
        </w:rPr>
        <w:t>)</w:t>
      </w:r>
      <w:r w:rsidR="0035314C" w:rsidRPr="0035314C">
        <w:rPr>
          <w:lang w:val="en-GB"/>
        </w:rPr>
        <w:t xml:space="preserve">. </w:t>
      </w:r>
      <w:r w:rsidRPr="00761B54">
        <w:rPr>
          <w:lang w:val="en-GB"/>
        </w:rPr>
        <w:t xml:space="preserve">The final comparison between the two </w:t>
      </w:r>
      <w:r w:rsidRPr="00761B54">
        <w:rPr>
          <w:noProof/>
          <w:lang w:val="en-GB"/>
        </w:rPr>
        <w:t>packaging</w:t>
      </w:r>
      <w:r w:rsidRPr="00761B54">
        <w:rPr>
          <w:lang w:val="en-GB"/>
        </w:rPr>
        <w:t xml:space="preserve"> shows that the improvement of environmental sustainability of the innovative packaging is not confirmed for all the impact categories used to assess the environmental impact. This work shows how the bio-based product does not always represent the better way in term of environmental sustainability, especially nowadays where recycling processes have become </w:t>
      </w:r>
      <w:r w:rsidR="00503F53" w:rsidRPr="00761B54">
        <w:rPr>
          <w:lang w:val="en-GB"/>
        </w:rPr>
        <w:t xml:space="preserve">an </w:t>
      </w:r>
      <w:r w:rsidRPr="00761B54">
        <w:rPr>
          <w:noProof/>
          <w:lang w:val="en-GB"/>
        </w:rPr>
        <w:t>important</w:t>
      </w:r>
      <w:r w:rsidRPr="00761B54">
        <w:rPr>
          <w:lang w:val="en-GB"/>
        </w:rPr>
        <w:t xml:space="preserve"> topic.</w:t>
      </w:r>
    </w:p>
    <w:p w14:paraId="7750456A" w14:textId="77777777" w:rsidR="00CB51D7" w:rsidRPr="00B57B36" w:rsidRDefault="00CB51D7" w:rsidP="00CB51D7">
      <w:pPr>
        <w:pStyle w:val="CETHeading1"/>
        <w:rPr>
          <w:lang w:val="en-GB"/>
        </w:rPr>
      </w:pPr>
      <w:r w:rsidRPr="00B57B36">
        <w:rPr>
          <w:lang w:val="en-GB"/>
        </w:rPr>
        <w:t>Introduction</w:t>
      </w:r>
    </w:p>
    <w:p w14:paraId="59D3FB48" w14:textId="77777777" w:rsidR="007372BC" w:rsidRDefault="00AC2D73" w:rsidP="00AC2D73">
      <w:pPr>
        <w:pStyle w:val="CETBodytext"/>
        <w:rPr>
          <w:lang w:val="en-GB"/>
        </w:rPr>
      </w:pPr>
      <w:r>
        <w:rPr>
          <w:lang w:val="en-GB"/>
        </w:rPr>
        <w:t>The use of plastic products i</w:t>
      </w:r>
      <w:r w:rsidR="000A0428">
        <w:rPr>
          <w:lang w:val="en-GB"/>
        </w:rPr>
        <w:t xml:space="preserve">s various and </w:t>
      </w:r>
      <w:r w:rsidR="00060B36">
        <w:rPr>
          <w:lang w:val="en-GB"/>
        </w:rPr>
        <w:t>identifies</w:t>
      </w:r>
      <w:r w:rsidR="000A0428">
        <w:rPr>
          <w:lang w:val="en-GB"/>
        </w:rPr>
        <w:t xml:space="preserve"> </w:t>
      </w:r>
      <w:r w:rsidR="00343593">
        <w:rPr>
          <w:lang w:val="en-GB"/>
        </w:rPr>
        <w:t>several</w:t>
      </w:r>
      <w:r>
        <w:rPr>
          <w:lang w:val="en-GB"/>
        </w:rPr>
        <w:t xml:space="preserve"> applications. Plastic represents the engineering material of our age, being used to substitute traditional materials like wood, glass and metal, in a variety of forms (Arena et al., 2003). </w:t>
      </w:r>
    </w:p>
    <w:p w14:paraId="5F5EE615" w14:textId="73D8A8E3" w:rsidR="00AC2D73" w:rsidRDefault="00AC2D73" w:rsidP="00AC2D73">
      <w:pPr>
        <w:pStyle w:val="CETBodytext"/>
        <w:rPr>
          <w:lang w:val="en-GB"/>
        </w:rPr>
      </w:pPr>
      <w:r>
        <w:rPr>
          <w:lang w:val="en-GB"/>
        </w:rPr>
        <w:t>The European consumption of plastic is equal to 51.2 million tonnes, which represents the largest global market for plastic resin consumption. The consumption of plastic packaging</w:t>
      </w:r>
      <w:r w:rsidR="008E20B4">
        <w:rPr>
          <w:lang w:val="en-GB"/>
        </w:rPr>
        <w:t xml:space="preserve">, which </w:t>
      </w:r>
      <w:r w:rsidR="00120F62">
        <w:rPr>
          <w:lang w:val="en-GB"/>
        </w:rPr>
        <w:t>includes flexible films and rigid containers,</w:t>
      </w:r>
      <w:r>
        <w:rPr>
          <w:lang w:val="en-GB"/>
        </w:rPr>
        <w:t xml:space="preserve"> accounts for 39.7% of the total</w:t>
      </w:r>
      <w:r w:rsidR="00120F62">
        <w:rPr>
          <w:lang w:val="en-GB"/>
        </w:rPr>
        <w:t xml:space="preserve"> European production</w:t>
      </w:r>
      <w:r w:rsidR="00680F48">
        <w:rPr>
          <w:lang w:val="en-GB"/>
        </w:rPr>
        <w:t>.</w:t>
      </w:r>
      <w:r>
        <w:rPr>
          <w:lang w:val="en-GB"/>
        </w:rPr>
        <w:t xml:space="preserve"> </w:t>
      </w:r>
      <w:r w:rsidR="00343593">
        <w:rPr>
          <w:lang w:val="en-GB"/>
        </w:rPr>
        <w:t>(</w:t>
      </w:r>
      <w:proofErr w:type="spellStart"/>
      <w:r w:rsidR="00060B36">
        <w:rPr>
          <w:lang w:val="en-GB"/>
        </w:rPr>
        <w:t>PlasticsEurope</w:t>
      </w:r>
      <w:proofErr w:type="spellEnd"/>
      <w:r w:rsidR="00060B36">
        <w:rPr>
          <w:lang w:val="en-GB"/>
        </w:rPr>
        <w:t>, 2018</w:t>
      </w:r>
      <w:r w:rsidR="00343593">
        <w:rPr>
          <w:lang w:val="en-GB"/>
        </w:rPr>
        <w:t>)</w:t>
      </w:r>
      <w:r>
        <w:rPr>
          <w:lang w:val="en-GB"/>
        </w:rPr>
        <w:t>. The production of plastics relies on crude oil.</w:t>
      </w:r>
      <w:r w:rsidR="00D225ED">
        <w:rPr>
          <w:lang w:val="en-GB"/>
        </w:rPr>
        <w:t xml:space="preserve"> </w:t>
      </w:r>
      <w:r w:rsidR="00683F8F">
        <w:rPr>
          <w:lang w:val="en-GB"/>
        </w:rPr>
        <w:t>Ther</w:t>
      </w:r>
      <w:r w:rsidR="005C26B3">
        <w:rPr>
          <w:lang w:val="en-GB"/>
        </w:rPr>
        <w:t>efore</w:t>
      </w:r>
      <w:r>
        <w:rPr>
          <w:lang w:val="en-GB"/>
        </w:rPr>
        <w:t>, the limited nature of this resource together with geopolitical constraints, cause fluctuations in its final price, thereby influencing the plastics market (Siracusa et al., 2008).</w:t>
      </w:r>
      <w:r w:rsidR="00D225ED">
        <w:rPr>
          <w:lang w:val="en-GB"/>
        </w:rPr>
        <w:t xml:space="preserve"> </w:t>
      </w:r>
      <w:r w:rsidR="00E9638E">
        <w:rPr>
          <w:lang w:val="en-GB"/>
        </w:rPr>
        <w:t xml:space="preserve">These </w:t>
      </w:r>
      <w:r w:rsidR="00D225ED">
        <w:rPr>
          <w:lang w:val="en-GB"/>
        </w:rPr>
        <w:t>economic</w:t>
      </w:r>
      <w:r>
        <w:rPr>
          <w:lang w:val="en-GB"/>
        </w:rPr>
        <w:t xml:space="preserve"> </w:t>
      </w:r>
      <w:r w:rsidRPr="00503F53">
        <w:rPr>
          <w:noProof/>
          <w:lang w:val="en-GB"/>
        </w:rPr>
        <w:t>reasons</w:t>
      </w:r>
      <w:r>
        <w:rPr>
          <w:lang w:val="en-GB"/>
        </w:rPr>
        <w:t xml:space="preserve"> </w:t>
      </w:r>
      <w:r w:rsidR="00E9638E">
        <w:rPr>
          <w:lang w:val="en-GB"/>
        </w:rPr>
        <w:t>and</w:t>
      </w:r>
      <w:r>
        <w:rPr>
          <w:lang w:val="en-GB"/>
        </w:rPr>
        <w:t xml:space="preserve"> also environmental issues impose to search </w:t>
      </w:r>
      <w:r w:rsidR="00045B88">
        <w:rPr>
          <w:lang w:val="en-GB"/>
        </w:rPr>
        <w:t>alternative</w:t>
      </w:r>
      <w:r w:rsidR="00D25AC6">
        <w:rPr>
          <w:lang w:val="en-GB"/>
        </w:rPr>
        <w:t xml:space="preserve"> </w:t>
      </w:r>
      <w:r>
        <w:rPr>
          <w:lang w:val="en-GB"/>
        </w:rPr>
        <w:t xml:space="preserve">raw materials </w:t>
      </w:r>
      <w:r w:rsidR="00687316">
        <w:rPr>
          <w:lang w:val="en-GB"/>
        </w:rPr>
        <w:t xml:space="preserve">in order to resolve </w:t>
      </w:r>
      <w:r w:rsidR="008525EC">
        <w:rPr>
          <w:lang w:val="en-GB"/>
        </w:rPr>
        <w:t xml:space="preserve">the problems related </w:t>
      </w:r>
      <w:r>
        <w:rPr>
          <w:lang w:val="en-GB"/>
        </w:rPr>
        <w:t xml:space="preserve">to resources of fossil origin. The net amount of plastic at </w:t>
      </w:r>
      <w:r w:rsidR="00503F53">
        <w:rPr>
          <w:lang w:val="en-GB"/>
        </w:rPr>
        <w:t xml:space="preserve">the </w:t>
      </w:r>
      <w:r w:rsidRPr="00503F53">
        <w:rPr>
          <w:noProof/>
          <w:lang w:val="en-GB"/>
        </w:rPr>
        <w:t>global</w:t>
      </w:r>
      <w:r>
        <w:rPr>
          <w:lang w:val="en-GB"/>
        </w:rPr>
        <w:t xml:space="preserve"> level arises from both the quantity of crude oil extracted and the final product waste management (</w:t>
      </w:r>
      <w:proofErr w:type="spellStart"/>
      <w:r>
        <w:rPr>
          <w:lang w:val="en-GB"/>
        </w:rPr>
        <w:t>Jambeck</w:t>
      </w:r>
      <w:proofErr w:type="spellEnd"/>
      <w:r>
        <w:rPr>
          <w:lang w:val="en-GB"/>
        </w:rPr>
        <w:t xml:space="preserve"> et al., 2015). Under this </w:t>
      </w:r>
      <w:r>
        <w:rPr>
          <w:lang w:val="en-GB"/>
        </w:rPr>
        <w:lastRenderedPageBreak/>
        <w:t xml:space="preserve">perspective, recycling of un-degradable products represents an established approach for a more efficient end of life of these materials (Kirwan &amp; Strawbridge, 2003). Indeed, the recycling operations imply a lower environmental impact in terms, for example, of energetic resources (93% of crude oil, 84% of gas and 93% of coal), waste production (59%) and </w:t>
      </w:r>
      <w:r w:rsidRPr="00503F53">
        <w:rPr>
          <w:noProof/>
          <w:lang w:val="en-GB"/>
        </w:rPr>
        <w:t>green-house</w:t>
      </w:r>
      <w:r>
        <w:rPr>
          <w:lang w:val="en-GB"/>
        </w:rPr>
        <w:t xml:space="preserve"> gases emission (88%) (Arena et al., 2003).  </w:t>
      </w:r>
    </w:p>
    <w:p w14:paraId="56AD9496" w14:textId="1201190B" w:rsidR="00AC2D73" w:rsidRDefault="00AC2D73" w:rsidP="00AC2D73">
      <w:pPr>
        <w:pStyle w:val="CETBodytext"/>
        <w:rPr>
          <w:lang w:val="en-GB"/>
        </w:rPr>
      </w:pPr>
      <w:r>
        <w:rPr>
          <w:lang w:val="en-GB"/>
        </w:rPr>
        <w:t>The largest part of plastics currently used for food packaging applications is made of petroleum-derived materials. The non-renewable nature of these materials drives the search for new and renewable alternatives, in line with the increasing demand for disposable, potentially biodegradable, and recyclable solutions (Weber et al., 2002; Lopez-Rubio et al., 2004).</w:t>
      </w:r>
    </w:p>
    <w:p w14:paraId="5C2A19FA" w14:textId="2B014054" w:rsidR="00AC2D73" w:rsidRDefault="00AC2D73" w:rsidP="00AC2D73">
      <w:pPr>
        <w:pStyle w:val="CETBodytext"/>
        <w:rPr>
          <w:lang w:val="en-GB"/>
        </w:rPr>
      </w:pPr>
      <w:r>
        <w:rPr>
          <w:lang w:val="en-GB"/>
        </w:rPr>
        <w:t xml:space="preserve">Bio-based plastics are currently the most promising solution to counterbalance the negative impact </w:t>
      </w:r>
      <w:r w:rsidR="00176B0E">
        <w:rPr>
          <w:lang w:val="en-GB"/>
        </w:rPr>
        <w:t>of</w:t>
      </w:r>
      <w:r>
        <w:rPr>
          <w:lang w:val="en-GB"/>
        </w:rPr>
        <w:t xml:space="preserve"> </w:t>
      </w:r>
      <w:r w:rsidRPr="00503F53">
        <w:rPr>
          <w:noProof/>
          <w:lang w:val="en-GB"/>
        </w:rPr>
        <w:t>non-renewable</w:t>
      </w:r>
      <w:r>
        <w:rPr>
          <w:lang w:val="en-GB"/>
        </w:rPr>
        <w:t xml:space="preserve"> resources. Many studies have identified so </w:t>
      </w:r>
      <w:proofErr w:type="gramStart"/>
      <w:r>
        <w:rPr>
          <w:lang w:val="en-GB"/>
        </w:rPr>
        <w:t>far</w:t>
      </w:r>
      <w:proofErr w:type="gramEnd"/>
      <w:r>
        <w:rPr>
          <w:lang w:val="en-GB"/>
        </w:rPr>
        <w:t xml:space="preserve"> a number of bio-based polymers as potential candidates for food packaging applications. For example, Bogaert &amp; </w:t>
      </w:r>
      <w:proofErr w:type="spellStart"/>
      <w:r>
        <w:rPr>
          <w:lang w:val="en-GB"/>
        </w:rPr>
        <w:t>Coszach</w:t>
      </w:r>
      <w:proofErr w:type="spellEnd"/>
      <w:r>
        <w:rPr>
          <w:lang w:val="en-GB"/>
        </w:rPr>
        <w:t xml:space="preserve"> (2000), </w:t>
      </w:r>
      <w:proofErr w:type="spellStart"/>
      <w:r>
        <w:rPr>
          <w:lang w:val="en-GB"/>
        </w:rPr>
        <w:t>Jamshidian</w:t>
      </w:r>
      <w:proofErr w:type="spellEnd"/>
      <w:r>
        <w:rPr>
          <w:lang w:val="en-GB"/>
        </w:rPr>
        <w:t xml:space="preserve"> et al. (2010) studied the properties and the processing possibilities of polylactic acid (PLA), which is a bio-based biodegradable thermoplastic polyester obtained from the conversion of corn into dextrose, followed by fermentation to obtain the biopolymer. Besides</w:t>
      </w:r>
      <w:r w:rsidR="00213747">
        <w:rPr>
          <w:lang w:val="en-GB"/>
        </w:rPr>
        <w:t>,</w:t>
      </w:r>
      <w:r>
        <w:rPr>
          <w:lang w:val="en-GB"/>
        </w:rPr>
        <w:t xml:space="preserve"> the advantages arising from the renewable origin of the raw </w:t>
      </w:r>
      <w:r w:rsidR="00176B0E">
        <w:rPr>
          <w:lang w:val="en-GB"/>
        </w:rPr>
        <w:t>material</w:t>
      </w:r>
      <w:r>
        <w:rPr>
          <w:lang w:val="en-GB"/>
        </w:rPr>
        <w:t xml:space="preserve">, </w:t>
      </w:r>
      <w:r w:rsidR="00176B0E">
        <w:rPr>
          <w:lang w:val="en-GB"/>
        </w:rPr>
        <w:t>PLA</w:t>
      </w:r>
      <w:r>
        <w:rPr>
          <w:lang w:val="en-GB"/>
        </w:rPr>
        <w:t xml:space="preserve"> offers </w:t>
      </w:r>
      <w:r w:rsidR="00503F53">
        <w:rPr>
          <w:noProof/>
          <w:lang w:val="en-GB"/>
        </w:rPr>
        <w:t>to outperform</w:t>
      </w:r>
      <w:r>
        <w:rPr>
          <w:lang w:val="en-GB"/>
        </w:rPr>
        <w:t xml:space="preserve"> benefits over the conventional plastics in terms of waste management due to its complete biodegradability. Bio-polyethylene (bio</w:t>
      </w:r>
      <w:r>
        <w:rPr>
          <w:rFonts w:ascii="Cambria Math" w:hAnsi="Cambria Math" w:cs="Cambria Math"/>
          <w:lang w:val="en-GB"/>
        </w:rPr>
        <w:t>‐</w:t>
      </w:r>
      <w:r>
        <w:rPr>
          <w:lang w:val="en-GB"/>
        </w:rPr>
        <w:t>PE), which was deeply investigated by Iwata (2015), Shen et al. (2010) and Babu et al. (2013), is synthesized from bio</w:t>
      </w:r>
      <w:r>
        <w:rPr>
          <w:rFonts w:ascii="Cambria Math" w:hAnsi="Cambria Math" w:cs="Cambria Math"/>
          <w:lang w:val="en-GB"/>
        </w:rPr>
        <w:t>‐</w:t>
      </w:r>
      <w:r>
        <w:rPr>
          <w:lang w:val="en-GB"/>
        </w:rPr>
        <w:t>ethanol, which in turn is obtained by the fermentation of glucose</w:t>
      </w:r>
      <w:r w:rsidR="00755E35">
        <w:rPr>
          <w:lang w:val="en-GB"/>
        </w:rPr>
        <w:t>.</w:t>
      </w:r>
      <w:r>
        <w:rPr>
          <w:lang w:val="en-GB"/>
        </w:rPr>
        <w:t xml:space="preserve"> </w:t>
      </w:r>
      <w:r w:rsidR="00755E35">
        <w:rPr>
          <w:lang w:val="en-GB"/>
        </w:rPr>
        <w:t>B</w:t>
      </w:r>
      <w:r>
        <w:rPr>
          <w:lang w:val="en-GB"/>
        </w:rPr>
        <w:t xml:space="preserve">io-PE has the same </w:t>
      </w:r>
      <w:r w:rsidR="00755E35" w:rsidRPr="00503F53">
        <w:rPr>
          <w:noProof/>
          <w:lang w:val="en-GB"/>
        </w:rPr>
        <w:t>physico</w:t>
      </w:r>
      <w:r w:rsidRPr="00503F53">
        <w:rPr>
          <w:noProof/>
          <w:lang w:val="en-GB"/>
        </w:rPr>
        <w:t>chemical</w:t>
      </w:r>
      <w:r>
        <w:rPr>
          <w:lang w:val="en-GB"/>
        </w:rPr>
        <w:t xml:space="preserve"> and mechanical properties as petrochemical </w:t>
      </w:r>
      <w:r w:rsidRPr="00503F53">
        <w:rPr>
          <w:noProof/>
          <w:lang w:val="en-GB"/>
        </w:rPr>
        <w:t>polyethylene</w:t>
      </w:r>
      <w:r>
        <w:rPr>
          <w:lang w:val="en-GB"/>
        </w:rPr>
        <w:t xml:space="preserve"> (PE) (Shen et al., 2009). Under a waste management perspective, PLA and bio-PE behave in </w:t>
      </w:r>
      <w:r w:rsidR="00503F53">
        <w:rPr>
          <w:noProof/>
          <w:lang w:val="en-GB"/>
        </w:rPr>
        <w:t>the</w:t>
      </w:r>
      <w:r w:rsidRPr="00503F53">
        <w:rPr>
          <w:noProof/>
          <w:lang w:val="en-GB"/>
        </w:rPr>
        <w:t xml:space="preserve"> opposite</w:t>
      </w:r>
      <w:r>
        <w:rPr>
          <w:lang w:val="en-GB"/>
        </w:rPr>
        <w:t xml:space="preserve"> way. While both are bio-based polymers (thus obtained from renewable resources), PLA is biodegradable whereas bio-PE is not. Therefore, not only the origin of the raw </w:t>
      </w:r>
      <w:r w:rsidR="00755E35">
        <w:rPr>
          <w:lang w:val="en-GB"/>
        </w:rPr>
        <w:t xml:space="preserve">materials </w:t>
      </w:r>
      <w:r w:rsidR="00060B36">
        <w:rPr>
          <w:lang w:val="en-GB"/>
        </w:rPr>
        <w:t>must</w:t>
      </w:r>
      <w:r>
        <w:rPr>
          <w:lang w:val="en-GB"/>
        </w:rPr>
        <w:t xml:space="preserve"> be </w:t>
      </w:r>
      <w:r w:rsidR="00060B36">
        <w:rPr>
          <w:lang w:val="en-GB"/>
        </w:rPr>
        <w:t>considered</w:t>
      </w:r>
      <w:r>
        <w:rPr>
          <w:lang w:val="en-GB"/>
        </w:rPr>
        <w:t xml:space="preserve">, but also the waste disposal aspect (i.e., the final step of the life cycle) should be carefully </w:t>
      </w:r>
      <w:proofErr w:type="gramStart"/>
      <w:r w:rsidR="00060B36">
        <w:rPr>
          <w:lang w:val="en-GB"/>
        </w:rPr>
        <w:t>taken into account</w:t>
      </w:r>
      <w:proofErr w:type="gramEnd"/>
      <w:r>
        <w:rPr>
          <w:lang w:val="en-GB"/>
        </w:rPr>
        <w:t xml:space="preserve"> for a proper selection of the packaging materials. </w:t>
      </w:r>
    </w:p>
    <w:p w14:paraId="563383B4" w14:textId="44CABACB" w:rsidR="00AC2D73" w:rsidRDefault="003A4735" w:rsidP="00AC2D73">
      <w:pPr>
        <w:pStyle w:val="CETBodytext"/>
        <w:rPr>
          <w:lang w:val="en-GB"/>
        </w:rPr>
      </w:pPr>
      <w:r>
        <w:rPr>
          <w:lang w:val="en-GB"/>
        </w:rPr>
        <w:t xml:space="preserve">The aim of </w:t>
      </w:r>
      <w:r w:rsidR="00AC2D73">
        <w:rPr>
          <w:lang w:val="en-GB"/>
        </w:rPr>
        <w:t xml:space="preserve">this study </w:t>
      </w:r>
      <w:r>
        <w:rPr>
          <w:lang w:val="en-GB"/>
        </w:rPr>
        <w:t>was to investigate the environmental performance of two different packaging solutions for extra virgin olive oil</w:t>
      </w:r>
      <w:r w:rsidR="00AC2D73">
        <w:rPr>
          <w:lang w:val="en-GB"/>
        </w:rPr>
        <w:t xml:space="preserve">: i) conventional multilayer film made of </w:t>
      </w:r>
      <w:r w:rsidR="007C1F82" w:rsidRPr="00503F53">
        <w:rPr>
          <w:noProof/>
          <w:lang w:val="en-GB"/>
        </w:rPr>
        <w:t>polyethylene</w:t>
      </w:r>
      <w:r w:rsidR="007C1F82">
        <w:rPr>
          <w:lang w:val="en-GB"/>
        </w:rPr>
        <w:t xml:space="preserve"> (</w:t>
      </w:r>
      <w:r w:rsidR="00AC2D73">
        <w:rPr>
          <w:lang w:val="en-GB"/>
        </w:rPr>
        <w:t>PE</w:t>
      </w:r>
      <w:r w:rsidR="007C1F82">
        <w:rPr>
          <w:lang w:val="en-GB"/>
        </w:rPr>
        <w:t>)</w:t>
      </w:r>
      <w:r w:rsidR="00AC2D73">
        <w:rPr>
          <w:lang w:val="en-GB"/>
        </w:rPr>
        <w:t>,</w:t>
      </w:r>
      <w:r w:rsidR="007C1F82">
        <w:rPr>
          <w:lang w:val="en-GB"/>
        </w:rPr>
        <w:t xml:space="preserve"> </w:t>
      </w:r>
      <w:r w:rsidR="007C1F82" w:rsidRPr="00503F53">
        <w:rPr>
          <w:noProof/>
          <w:lang w:val="en-GB"/>
        </w:rPr>
        <w:t>polyethylene</w:t>
      </w:r>
      <w:r w:rsidR="007C1F82">
        <w:rPr>
          <w:lang w:val="en-GB"/>
        </w:rPr>
        <w:t xml:space="preserve"> terephthalate</w:t>
      </w:r>
      <w:r w:rsidR="00AC2D73">
        <w:rPr>
          <w:lang w:val="en-GB"/>
        </w:rPr>
        <w:t xml:space="preserve"> </w:t>
      </w:r>
      <w:r w:rsidR="007C1F82">
        <w:rPr>
          <w:lang w:val="en-GB"/>
        </w:rPr>
        <w:t>(</w:t>
      </w:r>
      <w:r w:rsidR="00AC2D73">
        <w:rPr>
          <w:lang w:val="en-GB"/>
        </w:rPr>
        <w:t>PET</w:t>
      </w:r>
      <w:r w:rsidR="007C1F82">
        <w:rPr>
          <w:lang w:val="en-GB"/>
        </w:rPr>
        <w:t>)</w:t>
      </w:r>
      <w:r w:rsidR="00AC2D73">
        <w:rPr>
          <w:lang w:val="en-GB"/>
        </w:rPr>
        <w:t xml:space="preserve"> and aluminium foil; ii) innovative solution consisting of PLA and bio-PE. </w:t>
      </w:r>
      <w:r>
        <w:rPr>
          <w:lang w:val="en-GB"/>
        </w:rPr>
        <w:t xml:space="preserve">The single-dose sachet was considered as the </w:t>
      </w:r>
      <w:r w:rsidR="00AC2D73">
        <w:rPr>
          <w:lang w:val="en-GB"/>
        </w:rPr>
        <w:t xml:space="preserve">worst-case scenario of </w:t>
      </w:r>
      <w:r w:rsidR="00503F53">
        <w:rPr>
          <w:lang w:val="en-GB"/>
        </w:rPr>
        <w:t xml:space="preserve">the </w:t>
      </w:r>
      <w:r w:rsidR="00AC2D73" w:rsidRPr="00503F53">
        <w:rPr>
          <w:noProof/>
          <w:lang w:val="en-GB"/>
        </w:rPr>
        <w:t>environmental</w:t>
      </w:r>
      <w:r w:rsidR="00AC2D73">
        <w:rPr>
          <w:lang w:val="en-GB"/>
        </w:rPr>
        <w:t xml:space="preserve"> impact of the packaging configuration for both materials. Life </w:t>
      </w:r>
      <w:r w:rsidR="00112DB0">
        <w:rPr>
          <w:lang w:val="en-GB"/>
        </w:rPr>
        <w:t>C</w:t>
      </w:r>
      <w:r w:rsidR="00AC2D73">
        <w:rPr>
          <w:lang w:val="en-GB"/>
        </w:rPr>
        <w:t xml:space="preserve">ycle </w:t>
      </w:r>
      <w:r w:rsidR="00112DB0">
        <w:rPr>
          <w:lang w:val="en-GB"/>
        </w:rPr>
        <w:t>A</w:t>
      </w:r>
      <w:r w:rsidR="00AC2D73">
        <w:rPr>
          <w:lang w:val="en-GB"/>
        </w:rPr>
        <w:t>ssessment (LCA) (ISO 14040:2006) was used as a tool to identify the environmental profiles, to highlight the hotspots and make comparisons between these two packaging configurations.</w:t>
      </w:r>
    </w:p>
    <w:p w14:paraId="193723DD" w14:textId="77777777" w:rsidR="009B7016" w:rsidRPr="009B7016" w:rsidRDefault="009B7016" w:rsidP="009B7016">
      <w:pPr>
        <w:pStyle w:val="CETHeading1"/>
      </w:pPr>
      <w:r w:rsidRPr="009B7016">
        <w:t>Materials and methods</w:t>
      </w:r>
    </w:p>
    <w:p w14:paraId="4D98CDC4" w14:textId="77777777" w:rsidR="00F41107" w:rsidRPr="009B7016" w:rsidRDefault="009B7016" w:rsidP="00F41107">
      <w:pPr>
        <w:pStyle w:val="CETheadingx"/>
      </w:pPr>
      <w:r w:rsidRPr="009B7016">
        <w:t>Functional unit</w:t>
      </w:r>
      <w:r w:rsidR="00F41107" w:rsidRPr="00F41107">
        <w:t xml:space="preserve"> </w:t>
      </w:r>
      <w:r w:rsidR="00F41107">
        <w:t>and</w:t>
      </w:r>
      <w:r w:rsidR="00F41107" w:rsidRPr="009B7016">
        <w:t xml:space="preserve"> system boundaries</w:t>
      </w:r>
    </w:p>
    <w:p w14:paraId="7A1AC825" w14:textId="566F71E4" w:rsidR="009B7016" w:rsidRPr="009B7016" w:rsidRDefault="009B7016" w:rsidP="009B7016">
      <w:pPr>
        <w:pStyle w:val="CETBodytext"/>
        <w:rPr>
          <w:lang w:val="en-GB"/>
        </w:rPr>
      </w:pPr>
      <w:r w:rsidRPr="009B7016">
        <w:rPr>
          <w:lang w:val="en-GB"/>
        </w:rPr>
        <w:t>According to the ISO 14040:2006, the functional unit was defined as one mono-use packaging</w:t>
      </w:r>
      <w:r w:rsidR="00F41107">
        <w:rPr>
          <w:lang w:val="en-GB"/>
        </w:rPr>
        <w:t xml:space="preserve"> (10 m</w:t>
      </w:r>
      <w:r w:rsidR="00755E35">
        <w:rPr>
          <w:lang w:val="en-GB"/>
        </w:rPr>
        <w:t>L</w:t>
      </w:r>
      <w:r w:rsidR="00F41107">
        <w:rPr>
          <w:lang w:val="en-GB"/>
        </w:rPr>
        <w:t xml:space="preserve"> volume)</w:t>
      </w:r>
      <w:r w:rsidRPr="009B7016">
        <w:rPr>
          <w:lang w:val="en-GB"/>
        </w:rPr>
        <w:t xml:space="preserve">. </w:t>
      </w:r>
    </w:p>
    <w:p w14:paraId="707D1B84" w14:textId="0BBDA6B0" w:rsidR="009B7016" w:rsidRPr="00BA1155" w:rsidRDefault="009B7016" w:rsidP="009B7016">
      <w:pPr>
        <w:pStyle w:val="CETBodytext"/>
      </w:pPr>
      <w:r w:rsidRPr="009B7016">
        <w:rPr>
          <w:lang w:val="en-GB"/>
        </w:rPr>
        <w:t xml:space="preserve">A </w:t>
      </w:r>
      <w:r w:rsidRPr="008779EE">
        <w:rPr>
          <w:lang w:val="en-GB"/>
        </w:rPr>
        <w:t>cradle-to-grave</w:t>
      </w:r>
      <w:r w:rsidRPr="009B7016">
        <w:rPr>
          <w:lang w:val="en-GB"/>
        </w:rPr>
        <w:t xml:space="preserve"> approach was used. The study</w:t>
      </w:r>
      <w:r w:rsidR="002F706A">
        <w:rPr>
          <w:lang w:val="en-GB"/>
        </w:rPr>
        <w:t xml:space="preserve"> evaluated</w:t>
      </w:r>
      <w:r w:rsidRPr="009B7016">
        <w:rPr>
          <w:lang w:val="en-GB"/>
        </w:rPr>
        <w:t xml:space="preserve"> the environmental performance considering the activities </w:t>
      </w:r>
      <w:r w:rsidR="006052C9">
        <w:rPr>
          <w:lang w:val="en-GB"/>
        </w:rPr>
        <w:t>from</w:t>
      </w:r>
      <w:r w:rsidRPr="009B7016">
        <w:rPr>
          <w:lang w:val="en-GB"/>
        </w:rPr>
        <w:t xml:space="preserve"> the raw material</w:t>
      </w:r>
      <w:r w:rsidR="006052C9">
        <w:rPr>
          <w:lang w:val="en-GB"/>
        </w:rPr>
        <w:t xml:space="preserve"> extraction</w:t>
      </w:r>
      <w:r w:rsidRPr="009B7016">
        <w:rPr>
          <w:lang w:val="en-GB"/>
        </w:rPr>
        <w:t>,</w:t>
      </w:r>
      <w:r w:rsidR="006052C9">
        <w:rPr>
          <w:lang w:val="en-GB"/>
        </w:rPr>
        <w:t xml:space="preserve"> through</w:t>
      </w:r>
      <w:r w:rsidRPr="009B7016">
        <w:rPr>
          <w:lang w:val="en-GB"/>
        </w:rPr>
        <w:t xml:space="preserve"> the transformation</w:t>
      </w:r>
      <w:r w:rsidR="008B6E1B">
        <w:rPr>
          <w:lang w:val="en-GB"/>
        </w:rPr>
        <w:t xml:space="preserve"> and production</w:t>
      </w:r>
      <w:r w:rsidRPr="009B7016">
        <w:rPr>
          <w:lang w:val="en-GB"/>
        </w:rPr>
        <w:t xml:space="preserve"> phases,</w:t>
      </w:r>
      <w:r w:rsidR="008B6E1B">
        <w:rPr>
          <w:lang w:val="en-GB"/>
        </w:rPr>
        <w:t xml:space="preserve"> till the</w:t>
      </w:r>
      <w:r w:rsidRPr="009B7016">
        <w:rPr>
          <w:lang w:val="en-GB"/>
        </w:rPr>
        <w:t xml:space="preserve"> dis</w:t>
      </w:r>
      <w:r w:rsidR="00CA38B1">
        <w:rPr>
          <w:lang w:val="en-GB"/>
        </w:rPr>
        <w:t>posal</w:t>
      </w:r>
      <w:r w:rsidRPr="009B7016">
        <w:rPr>
          <w:lang w:val="en-GB"/>
        </w:rPr>
        <w:t xml:space="preserve"> of the used packaging.</w:t>
      </w:r>
      <w:r w:rsidR="00BA1155">
        <w:rPr>
          <w:lang w:val="en-GB"/>
        </w:rPr>
        <w:t xml:space="preserve"> </w:t>
      </w:r>
      <w:proofErr w:type="gramStart"/>
      <w:r w:rsidR="00A05154">
        <w:rPr>
          <w:lang w:val="en-GB"/>
        </w:rPr>
        <w:t>For</w:t>
      </w:r>
      <w:proofErr w:type="gramEnd"/>
      <w:r w:rsidR="0091289E">
        <w:rPr>
          <w:lang w:val="en-GB"/>
        </w:rPr>
        <w:t xml:space="preserve"> both packaging,</w:t>
      </w:r>
      <w:r w:rsidR="000C162F">
        <w:rPr>
          <w:lang w:val="en-GB"/>
        </w:rPr>
        <w:t xml:space="preserve"> </w:t>
      </w:r>
      <w:r w:rsidR="0091289E" w:rsidRPr="000754D3">
        <w:rPr>
          <w:lang w:val="en-GB"/>
        </w:rPr>
        <w:t>all</w:t>
      </w:r>
      <w:r w:rsidR="003A1446">
        <w:rPr>
          <w:lang w:val="en-GB"/>
        </w:rPr>
        <w:t xml:space="preserve"> activities</w:t>
      </w:r>
      <w:r w:rsidR="00F20224">
        <w:rPr>
          <w:lang w:val="en-GB"/>
        </w:rPr>
        <w:t xml:space="preserve"> </w:t>
      </w:r>
      <w:r w:rsidR="003A1446">
        <w:rPr>
          <w:lang w:val="en-GB"/>
        </w:rPr>
        <w:t>with the same impact</w:t>
      </w:r>
      <w:r w:rsidR="00DE5209">
        <w:rPr>
          <w:lang w:val="en-GB"/>
        </w:rPr>
        <w:t xml:space="preserve"> were not </w:t>
      </w:r>
      <w:r w:rsidR="000A3222">
        <w:rPr>
          <w:lang w:val="en-GB"/>
        </w:rPr>
        <w:t>considered</w:t>
      </w:r>
      <w:r w:rsidR="006135CD">
        <w:rPr>
          <w:lang w:val="en-GB"/>
        </w:rPr>
        <w:t xml:space="preserve"> (e.g. </w:t>
      </w:r>
      <w:r w:rsidR="00CC6957">
        <w:rPr>
          <w:lang w:val="en-GB"/>
        </w:rPr>
        <w:t>the</w:t>
      </w:r>
      <w:r w:rsidR="006135CD">
        <w:rPr>
          <w:lang w:val="en-GB"/>
        </w:rPr>
        <w:t xml:space="preserve"> logisti</w:t>
      </w:r>
      <w:r w:rsidR="00CC6957">
        <w:rPr>
          <w:lang w:val="en-GB"/>
        </w:rPr>
        <w:t>c phases).</w:t>
      </w:r>
    </w:p>
    <w:p w14:paraId="0A957C56" w14:textId="77777777" w:rsidR="009B7016" w:rsidRPr="009B7016" w:rsidRDefault="009B7016" w:rsidP="009B7016">
      <w:pPr>
        <w:pStyle w:val="CETheadingx"/>
      </w:pPr>
      <w:r w:rsidRPr="009B7016">
        <w:t>Traditional packaging Life Cycle Inventory (LCI)</w:t>
      </w:r>
    </w:p>
    <w:p w14:paraId="23CF9994" w14:textId="049FF8A2" w:rsidR="009B7016" w:rsidRDefault="009B7016" w:rsidP="009B7016">
      <w:pPr>
        <w:pStyle w:val="CETBodytext"/>
        <w:rPr>
          <w:lang w:val="en-GB"/>
        </w:rPr>
      </w:pPr>
      <w:r w:rsidRPr="009B7016">
        <w:rPr>
          <w:lang w:val="en-GB"/>
        </w:rPr>
        <w:t xml:space="preserve">The traditional packaging </w:t>
      </w:r>
      <w:r w:rsidR="006052C9">
        <w:rPr>
          <w:lang w:val="en-GB"/>
        </w:rPr>
        <w:t xml:space="preserve">was </w:t>
      </w:r>
      <w:r w:rsidR="008F5D58">
        <w:rPr>
          <w:lang w:val="en-GB"/>
        </w:rPr>
        <w:t>analysed,</w:t>
      </w:r>
      <w:r w:rsidR="006052C9">
        <w:rPr>
          <w:lang w:val="en-GB"/>
        </w:rPr>
        <w:t xml:space="preserve"> and optical </w:t>
      </w:r>
      <w:r w:rsidR="008F5D58">
        <w:rPr>
          <w:lang w:val="en-GB"/>
        </w:rPr>
        <w:t>measurements (</w:t>
      </w:r>
      <w:r w:rsidR="008F5D58" w:rsidRPr="008F5D58">
        <w:rPr>
          <w:lang w:val="en-GB"/>
        </w:rPr>
        <w:t>spectroscopic and microscopic</w:t>
      </w:r>
      <w:r w:rsidR="008F5D58">
        <w:rPr>
          <w:lang w:val="en-GB"/>
        </w:rPr>
        <w:t>)</w:t>
      </w:r>
      <w:r w:rsidR="006052C9">
        <w:rPr>
          <w:lang w:val="en-GB"/>
        </w:rPr>
        <w:t xml:space="preserve"> allow</w:t>
      </w:r>
      <w:r w:rsidR="00CA38B1">
        <w:rPr>
          <w:lang w:val="en-GB"/>
        </w:rPr>
        <w:t>ed</w:t>
      </w:r>
      <w:r w:rsidR="006052C9">
        <w:rPr>
          <w:lang w:val="en-GB"/>
        </w:rPr>
        <w:t xml:space="preserve"> to </w:t>
      </w:r>
      <w:r w:rsidR="002F706A">
        <w:rPr>
          <w:lang w:val="en-GB"/>
        </w:rPr>
        <w:t>identify</w:t>
      </w:r>
      <w:r w:rsidR="006052C9">
        <w:rPr>
          <w:lang w:val="en-GB"/>
        </w:rPr>
        <w:t xml:space="preserve"> </w:t>
      </w:r>
      <w:r w:rsidRPr="009B7016">
        <w:rPr>
          <w:lang w:val="en-GB"/>
        </w:rPr>
        <w:t xml:space="preserve">five layers </w:t>
      </w:r>
      <w:r w:rsidR="006052C9">
        <w:rPr>
          <w:lang w:val="en-GB"/>
        </w:rPr>
        <w:t>with</w:t>
      </w:r>
      <w:r w:rsidRPr="009B7016">
        <w:rPr>
          <w:lang w:val="en-GB"/>
        </w:rPr>
        <w:t xml:space="preserve"> different thickness: i) 15.29 µm </w:t>
      </w:r>
      <w:r w:rsidR="008B6E1B">
        <w:rPr>
          <w:lang w:val="en-GB"/>
        </w:rPr>
        <w:t>1</w:t>
      </w:r>
      <w:r w:rsidR="008B6E1B" w:rsidRPr="008B6E1B">
        <w:rPr>
          <w:vertAlign w:val="superscript"/>
          <w:lang w:val="en-GB"/>
        </w:rPr>
        <w:t>st</w:t>
      </w:r>
      <w:r w:rsidR="008B6E1B">
        <w:rPr>
          <w:lang w:val="en-GB"/>
        </w:rPr>
        <w:t xml:space="preserve"> </w:t>
      </w:r>
      <w:r w:rsidRPr="009B7016">
        <w:rPr>
          <w:lang w:val="en-GB"/>
        </w:rPr>
        <w:t>PE</w:t>
      </w:r>
      <w:r w:rsidR="008B6E1B">
        <w:rPr>
          <w:lang w:val="en-GB"/>
        </w:rPr>
        <w:t xml:space="preserve"> layer</w:t>
      </w:r>
      <w:r w:rsidR="007C1F82">
        <w:rPr>
          <w:lang w:val="en-GB"/>
        </w:rPr>
        <w:t xml:space="preserve"> </w:t>
      </w:r>
      <w:r w:rsidRPr="009B7016">
        <w:rPr>
          <w:lang w:val="en-GB"/>
        </w:rPr>
        <w:t xml:space="preserve">ii) 6.34 µm aluminium iii) 19.39 µm </w:t>
      </w:r>
      <w:r w:rsidR="008B6E1B">
        <w:rPr>
          <w:lang w:val="en-GB"/>
        </w:rPr>
        <w:t>2</w:t>
      </w:r>
      <w:r w:rsidR="008B6E1B" w:rsidRPr="008B6E1B">
        <w:rPr>
          <w:vertAlign w:val="superscript"/>
          <w:lang w:val="en-GB"/>
        </w:rPr>
        <w:t>nd</w:t>
      </w:r>
      <w:r w:rsidR="008B6E1B">
        <w:rPr>
          <w:lang w:val="en-GB"/>
        </w:rPr>
        <w:t xml:space="preserve"> </w:t>
      </w:r>
      <w:r w:rsidR="008B6E1B" w:rsidRPr="009B7016">
        <w:rPr>
          <w:lang w:val="en-GB"/>
        </w:rPr>
        <w:t>PE</w:t>
      </w:r>
      <w:r w:rsidR="008B6E1B">
        <w:rPr>
          <w:lang w:val="en-GB"/>
        </w:rPr>
        <w:t xml:space="preserve"> layer</w:t>
      </w:r>
      <w:r w:rsidRPr="009B7016">
        <w:rPr>
          <w:lang w:val="en-GB"/>
        </w:rPr>
        <w:t xml:space="preserve"> iv) 2.98 µm polyurethane (PU) v) 37.28 µm PET. The composition is </w:t>
      </w:r>
      <w:r w:rsidR="002F706A">
        <w:rPr>
          <w:lang w:val="en-GB"/>
        </w:rPr>
        <w:t>presented</w:t>
      </w:r>
      <w:r w:rsidR="002F706A" w:rsidRPr="009B7016">
        <w:rPr>
          <w:lang w:val="en-GB"/>
        </w:rPr>
        <w:t xml:space="preserve"> </w:t>
      </w:r>
      <w:r w:rsidRPr="009B7016">
        <w:rPr>
          <w:lang w:val="en-GB"/>
        </w:rPr>
        <w:t>in table 1.</w:t>
      </w:r>
    </w:p>
    <w:p w14:paraId="6E438E4A" w14:textId="4ECC280B" w:rsidR="00D556B1" w:rsidRPr="00B57B36" w:rsidRDefault="00D556B1" w:rsidP="0035314C">
      <w:pPr>
        <w:pStyle w:val="CETTabletitle"/>
        <w:spacing w:after="0"/>
      </w:pPr>
      <w:r w:rsidRPr="00B57B36">
        <w:t xml:space="preserve">Table 1: </w:t>
      </w:r>
      <w:r>
        <w:t xml:space="preserve">Traditional packaging </w:t>
      </w:r>
      <w:r w:rsidR="00CB5742">
        <w:t>composition</w:t>
      </w:r>
      <w:r w:rsidR="00A949B8">
        <w:t>.</w:t>
      </w:r>
    </w:p>
    <w:tbl>
      <w:tblPr>
        <w:tblW w:w="340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9B7016" w:rsidRPr="00B57B36" w14:paraId="3EAF40CE" w14:textId="77777777" w:rsidTr="009B7016">
        <w:tc>
          <w:tcPr>
            <w:tcW w:w="1134" w:type="dxa"/>
            <w:tcBorders>
              <w:top w:val="single" w:sz="12" w:space="0" w:color="008000"/>
              <w:bottom w:val="single" w:sz="6" w:space="0" w:color="008000"/>
            </w:tcBorders>
            <w:shd w:val="clear" w:color="auto" w:fill="FFFFFF"/>
          </w:tcPr>
          <w:p w14:paraId="30B6B0AF" w14:textId="77777777" w:rsidR="009B7016" w:rsidRPr="009B7016" w:rsidRDefault="009B7016" w:rsidP="009B7016">
            <w:pPr>
              <w:pStyle w:val="CETBodytext"/>
              <w:rPr>
                <w:lang w:val="en-GB"/>
              </w:rPr>
            </w:pPr>
            <w:r w:rsidRPr="009B7016">
              <w:rPr>
                <w:lang w:val="en-GB"/>
              </w:rPr>
              <w:t>Material</w:t>
            </w:r>
          </w:p>
        </w:tc>
        <w:tc>
          <w:tcPr>
            <w:tcW w:w="1134" w:type="dxa"/>
            <w:tcBorders>
              <w:top w:val="single" w:sz="12" w:space="0" w:color="008000"/>
              <w:bottom w:val="single" w:sz="6" w:space="0" w:color="008000"/>
            </w:tcBorders>
            <w:shd w:val="clear" w:color="auto" w:fill="FFFFFF"/>
          </w:tcPr>
          <w:p w14:paraId="6BA4F087" w14:textId="77777777" w:rsidR="009B7016" w:rsidRPr="009B7016" w:rsidRDefault="009B7016" w:rsidP="009B7016">
            <w:pPr>
              <w:pStyle w:val="CETBodytext"/>
              <w:rPr>
                <w:lang w:val="en-GB"/>
              </w:rPr>
            </w:pPr>
            <w:r w:rsidRPr="009B7016">
              <w:rPr>
                <w:lang w:val="en-GB"/>
              </w:rPr>
              <w:t xml:space="preserve">Weight (g) </w:t>
            </w:r>
          </w:p>
        </w:tc>
        <w:tc>
          <w:tcPr>
            <w:tcW w:w="1134" w:type="dxa"/>
            <w:tcBorders>
              <w:top w:val="single" w:sz="12" w:space="0" w:color="008000"/>
              <w:bottom w:val="single" w:sz="6" w:space="0" w:color="008000"/>
            </w:tcBorders>
            <w:shd w:val="clear" w:color="auto" w:fill="FFFFFF"/>
          </w:tcPr>
          <w:p w14:paraId="31AC6BC5" w14:textId="77777777" w:rsidR="009B7016" w:rsidRPr="009B7016" w:rsidRDefault="009B7016" w:rsidP="009B7016">
            <w:pPr>
              <w:pStyle w:val="CETBodytext"/>
              <w:rPr>
                <w:lang w:val="en-GB"/>
              </w:rPr>
            </w:pPr>
            <w:r w:rsidRPr="009B7016">
              <w:rPr>
                <w:lang w:val="en-GB"/>
              </w:rPr>
              <w:t xml:space="preserve">Percentage </w:t>
            </w:r>
          </w:p>
        </w:tc>
      </w:tr>
      <w:tr w:rsidR="009B7016" w:rsidRPr="00B57B36" w14:paraId="649D0569" w14:textId="77777777" w:rsidTr="009B7016">
        <w:tc>
          <w:tcPr>
            <w:tcW w:w="1134" w:type="dxa"/>
            <w:shd w:val="clear" w:color="auto" w:fill="FFFFFF"/>
          </w:tcPr>
          <w:p w14:paraId="6455E950" w14:textId="77777777" w:rsidR="009B7016" w:rsidRPr="009B7016" w:rsidRDefault="009B7016" w:rsidP="009B7016">
            <w:pPr>
              <w:pStyle w:val="CETBodytext"/>
              <w:rPr>
                <w:lang w:val="en-GB"/>
              </w:rPr>
            </w:pPr>
            <w:r w:rsidRPr="009B7016">
              <w:rPr>
                <w:lang w:val="en-GB"/>
              </w:rPr>
              <w:t>PET</w:t>
            </w:r>
          </w:p>
        </w:tc>
        <w:tc>
          <w:tcPr>
            <w:tcW w:w="1134" w:type="dxa"/>
            <w:shd w:val="clear" w:color="auto" w:fill="FFFFFF"/>
          </w:tcPr>
          <w:p w14:paraId="4EE49108" w14:textId="77777777" w:rsidR="009B7016" w:rsidRPr="009B7016" w:rsidRDefault="009B7016" w:rsidP="009B7016">
            <w:pPr>
              <w:pStyle w:val="CETBodytext"/>
              <w:rPr>
                <w:lang w:val="en-GB"/>
              </w:rPr>
            </w:pPr>
            <w:r w:rsidRPr="009B7016">
              <w:rPr>
                <w:lang w:val="en-GB"/>
              </w:rPr>
              <w:t>0.18</w:t>
            </w:r>
          </w:p>
        </w:tc>
        <w:tc>
          <w:tcPr>
            <w:tcW w:w="1134" w:type="dxa"/>
            <w:shd w:val="clear" w:color="auto" w:fill="FFFFFF"/>
          </w:tcPr>
          <w:p w14:paraId="319CBA1F" w14:textId="77777777" w:rsidR="009B7016" w:rsidRPr="009B7016" w:rsidRDefault="009B7016" w:rsidP="009B7016">
            <w:pPr>
              <w:pStyle w:val="CETBodytext"/>
              <w:rPr>
                <w:lang w:val="en-GB"/>
              </w:rPr>
            </w:pPr>
            <w:r w:rsidRPr="009B7016">
              <w:rPr>
                <w:lang w:val="en-GB"/>
              </w:rPr>
              <w:t xml:space="preserve">50.4% </w:t>
            </w:r>
          </w:p>
        </w:tc>
      </w:tr>
      <w:tr w:rsidR="009B7016" w:rsidRPr="00B57B36" w14:paraId="0CB05D3C" w14:textId="77777777" w:rsidTr="009B7016">
        <w:tc>
          <w:tcPr>
            <w:tcW w:w="1134" w:type="dxa"/>
            <w:shd w:val="clear" w:color="auto" w:fill="FFFFFF"/>
          </w:tcPr>
          <w:p w14:paraId="76E5784A" w14:textId="77777777" w:rsidR="009B7016" w:rsidRPr="00F41107" w:rsidRDefault="009B7016" w:rsidP="009B7016">
            <w:pPr>
              <w:pStyle w:val="CETBodytext"/>
              <w:rPr>
                <w:lang w:val="en-GB"/>
              </w:rPr>
            </w:pPr>
            <w:r w:rsidRPr="009B7016">
              <w:rPr>
                <w:lang w:val="en-GB"/>
              </w:rPr>
              <w:t>PE</w:t>
            </w:r>
            <w:r w:rsidR="008B6E1B">
              <w:rPr>
                <w:lang w:val="en-GB"/>
              </w:rPr>
              <w:t xml:space="preserve"> (1</w:t>
            </w:r>
            <w:r w:rsidR="00F41107" w:rsidRPr="00F41107">
              <w:rPr>
                <w:vertAlign w:val="superscript"/>
                <w:lang w:val="en-GB"/>
              </w:rPr>
              <w:t>st</w:t>
            </w:r>
            <w:r w:rsidR="00F41107">
              <w:rPr>
                <w:lang w:val="en-GB"/>
              </w:rPr>
              <w:t xml:space="preserve"> +</w:t>
            </w:r>
            <w:r w:rsidR="008B6E1B">
              <w:rPr>
                <w:lang w:val="en-GB"/>
              </w:rPr>
              <w:t>2</w:t>
            </w:r>
            <w:r w:rsidR="00F41107" w:rsidRPr="00F41107">
              <w:rPr>
                <w:vertAlign w:val="superscript"/>
                <w:lang w:val="en-GB"/>
              </w:rPr>
              <w:t>nd</w:t>
            </w:r>
            <w:r w:rsidR="00F41107">
              <w:rPr>
                <w:lang w:val="en-GB"/>
              </w:rPr>
              <w:t>)</w:t>
            </w:r>
          </w:p>
        </w:tc>
        <w:tc>
          <w:tcPr>
            <w:tcW w:w="1134" w:type="dxa"/>
            <w:shd w:val="clear" w:color="auto" w:fill="FFFFFF"/>
          </w:tcPr>
          <w:p w14:paraId="5C44A558" w14:textId="77777777" w:rsidR="009B7016" w:rsidRPr="009B7016" w:rsidRDefault="009B7016" w:rsidP="009B7016">
            <w:pPr>
              <w:pStyle w:val="CETBodytext"/>
              <w:rPr>
                <w:lang w:val="en-GB"/>
              </w:rPr>
            </w:pPr>
            <w:r w:rsidRPr="009B7016">
              <w:rPr>
                <w:lang w:val="en-GB"/>
              </w:rPr>
              <w:t>0.115</w:t>
            </w:r>
          </w:p>
        </w:tc>
        <w:tc>
          <w:tcPr>
            <w:tcW w:w="1134" w:type="dxa"/>
            <w:shd w:val="clear" w:color="auto" w:fill="FFFFFF"/>
          </w:tcPr>
          <w:p w14:paraId="5088018D" w14:textId="77777777" w:rsidR="009B7016" w:rsidRPr="009B7016" w:rsidRDefault="009B7016" w:rsidP="009B7016">
            <w:pPr>
              <w:pStyle w:val="CETBodytext"/>
              <w:rPr>
                <w:lang w:val="en-GB"/>
              </w:rPr>
            </w:pPr>
            <w:r w:rsidRPr="009B7016">
              <w:rPr>
                <w:lang w:val="en-GB"/>
              </w:rPr>
              <w:t>32.2%</w:t>
            </w:r>
          </w:p>
        </w:tc>
      </w:tr>
      <w:tr w:rsidR="009B7016" w:rsidRPr="00B57B36" w14:paraId="4314B039" w14:textId="77777777" w:rsidTr="009B7016">
        <w:tc>
          <w:tcPr>
            <w:tcW w:w="1134" w:type="dxa"/>
            <w:shd w:val="clear" w:color="auto" w:fill="FFFFFF"/>
          </w:tcPr>
          <w:p w14:paraId="64F5868F" w14:textId="77777777" w:rsidR="009B7016" w:rsidRPr="009B7016" w:rsidRDefault="009B7016" w:rsidP="009B7016">
            <w:pPr>
              <w:pStyle w:val="CETBodytext"/>
              <w:rPr>
                <w:lang w:val="en-GB"/>
              </w:rPr>
            </w:pPr>
            <w:r w:rsidRPr="009B7016">
              <w:rPr>
                <w:lang w:val="en-GB"/>
              </w:rPr>
              <w:t>Aluminium</w:t>
            </w:r>
          </w:p>
        </w:tc>
        <w:tc>
          <w:tcPr>
            <w:tcW w:w="1134" w:type="dxa"/>
            <w:shd w:val="clear" w:color="auto" w:fill="FFFFFF"/>
          </w:tcPr>
          <w:p w14:paraId="3A380BE5" w14:textId="77777777" w:rsidR="009B7016" w:rsidRPr="009B7016" w:rsidRDefault="009B7016" w:rsidP="009B7016">
            <w:pPr>
              <w:pStyle w:val="CETBodytext"/>
              <w:rPr>
                <w:lang w:val="en-GB"/>
              </w:rPr>
            </w:pPr>
            <w:r w:rsidRPr="009B7016">
              <w:rPr>
                <w:lang w:val="en-GB"/>
              </w:rPr>
              <w:t>0.062</w:t>
            </w:r>
          </w:p>
        </w:tc>
        <w:tc>
          <w:tcPr>
            <w:tcW w:w="1134" w:type="dxa"/>
            <w:shd w:val="clear" w:color="auto" w:fill="FFFFFF"/>
          </w:tcPr>
          <w:p w14:paraId="132D11E8" w14:textId="77777777" w:rsidR="009B7016" w:rsidRPr="009B7016" w:rsidRDefault="009B7016" w:rsidP="009B7016">
            <w:pPr>
              <w:pStyle w:val="CETBodytext"/>
              <w:rPr>
                <w:lang w:val="en-GB"/>
              </w:rPr>
            </w:pPr>
            <w:r w:rsidRPr="009B7016">
              <w:rPr>
                <w:lang w:val="en-GB"/>
              </w:rPr>
              <w:t>17.3%</w:t>
            </w:r>
          </w:p>
        </w:tc>
      </w:tr>
      <w:tr w:rsidR="009B7016" w:rsidRPr="00B57B36" w14:paraId="51D99689" w14:textId="77777777" w:rsidTr="009B7016">
        <w:tc>
          <w:tcPr>
            <w:tcW w:w="1134" w:type="dxa"/>
            <w:shd w:val="clear" w:color="auto" w:fill="FFFFFF"/>
          </w:tcPr>
          <w:p w14:paraId="0BB9445D" w14:textId="77777777" w:rsidR="009B7016" w:rsidRPr="009B7016" w:rsidRDefault="009B7016" w:rsidP="009B7016">
            <w:pPr>
              <w:pStyle w:val="CETBodytext"/>
              <w:rPr>
                <w:lang w:val="en-GB"/>
              </w:rPr>
            </w:pPr>
            <w:r w:rsidRPr="009B7016">
              <w:rPr>
                <w:lang w:val="en-GB"/>
              </w:rPr>
              <w:t>PU</w:t>
            </w:r>
          </w:p>
        </w:tc>
        <w:tc>
          <w:tcPr>
            <w:tcW w:w="1134" w:type="dxa"/>
            <w:shd w:val="clear" w:color="auto" w:fill="FFFFFF"/>
          </w:tcPr>
          <w:p w14:paraId="5D806C77" w14:textId="77777777" w:rsidR="009B7016" w:rsidRPr="009B7016" w:rsidRDefault="009B7016" w:rsidP="009B7016">
            <w:pPr>
              <w:pStyle w:val="CETBodytext"/>
              <w:rPr>
                <w:lang w:val="en-GB"/>
              </w:rPr>
            </w:pPr>
            <w:r w:rsidRPr="009B7016">
              <w:rPr>
                <w:lang w:val="en-GB"/>
              </w:rPr>
              <w:t>0.0004</w:t>
            </w:r>
          </w:p>
        </w:tc>
        <w:tc>
          <w:tcPr>
            <w:tcW w:w="1134" w:type="dxa"/>
            <w:shd w:val="clear" w:color="auto" w:fill="FFFFFF"/>
          </w:tcPr>
          <w:p w14:paraId="22CDF26A" w14:textId="77777777" w:rsidR="009B7016" w:rsidRPr="009B7016" w:rsidRDefault="009B7016" w:rsidP="009B7016">
            <w:pPr>
              <w:pStyle w:val="CETBodytext"/>
              <w:rPr>
                <w:lang w:val="en-GB"/>
              </w:rPr>
            </w:pPr>
            <w:r w:rsidRPr="009B7016">
              <w:rPr>
                <w:lang w:val="en-GB"/>
              </w:rPr>
              <w:t>0.1%</w:t>
            </w:r>
          </w:p>
        </w:tc>
      </w:tr>
      <w:tr w:rsidR="009B7016" w:rsidRPr="00584E48" w14:paraId="5E016980" w14:textId="77777777" w:rsidTr="009B7016">
        <w:tc>
          <w:tcPr>
            <w:tcW w:w="1134" w:type="dxa"/>
            <w:shd w:val="clear" w:color="auto" w:fill="FFFFFF"/>
          </w:tcPr>
          <w:p w14:paraId="2370F14B" w14:textId="77777777" w:rsidR="009B7016" w:rsidRPr="00584E48" w:rsidRDefault="00F41107" w:rsidP="009B7016">
            <w:pPr>
              <w:pStyle w:val="CETBodytext"/>
              <w:rPr>
                <w:lang w:val="en-GB"/>
              </w:rPr>
            </w:pPr>
            <w:r>
              <w:rPr>
                <w:lang w:val="en-GB"/>
              </w:rPr>
              <w:t xml:space="preserve">Total </w:t>
            </w:r>
          </w:p>
        </w:tc>
        <w:tc>
          <w:tcPr>
            <w:tcW w:w="1134" w:type="dxa"/>
            <w:shd w:val="clear" w:color="auto" w:fill="FFFFFF"/>
          </w:tcPr>
          <w:p w14:paraId="3EE596D3" w14:textId="77777777" w:rsidR="009B7016" w:rsidRPr="00584E48" w:rsidRDefault="009B7016" w:rsidP="009B7016">
            <w:pPr>
              <w:pStyle w:val="CETBodytext"/>
              <w:rPr>
                <w:lang w:val="en-GB"/>
              </w:rPr>
            </w:pPr>
            <w:r w:rsidRPr="00584E48">
              <w:rPr>
                <w:lang w:val="en-GB"/>
              </w:rPr>
              <w:t>0.3574</w:t>
            </w:r>
          </w:p>
        </w:tc>
        <w:tc>
          <w:tcPr>
            <w:tcW w:w="1134" w:type="dxa"/>
            <w:shd w:val="clear" w:color="auto" w:fill="FFFFFF"/>
          </w:tcPr>
          <w:p w14:paraId="08D7E88F" w14:textId="77777777" w:rsidR="009B7016" w:rsidRPr="00584E48" w:rsidRDefault="009B7016" w:rsidP="009B7016">
            <w:pPr>
              <w:pStyle w:val="CETBodytext"/>
              <w:rPr>
                <w:lang w:val="en-GB"/>
              </w:rPr>
            </w:pPr>
            <w:r w:rsidRPr="00584E48">
              <w:rPr>
                <w:lang w:val="en-GB"/>
              </w:rPr>
              <w:t>100%</w:t>
            </w:r>
          </w:p>
        </w:tc>
      </w:tr>
    </w:tbl>
    <w:p w14:paraId="675F3658" w14:textId="3CF9F670" w:rsidR="008B6E1B" w:rsidRDefault="00BD54AA" w:rsidP="0035314C">
      <w:pPr>
        <w:pStyle w:val="CETBodytext"/>
        <w:spacing w:before="240"/>
        <w:rPr>
          <w:lang w:val="en-GB"/>
        </w:rPr>
      </w:pPr>
      <w:r>
        <w:rPr>
          <w:lang w:val="en-GB"/>
        </w:rPr>
        <w:t>After the extraction of the r</w:t>
      </w:r>
      <w:r w:rsidR="008F5D58">
        <w:rPr>
          <w:lang w:val="en-GB"/>
        </w:rPr>
        <w:t>a</w:t>
      </w:r>
      <w:r>
        <w:rPr>
          <w:lang w:val="en-GB"/>
        </w:rPr>
        <w:t>w materials,</w:t>
      </w:r>
      <w:r w:rsidR="009B7016" w:rsidRPr="009B7016">
        <w:rPr>
          <w:lang w:val="en-GB"/>
        </w:rPr>
        <w:t xml:space="preserve"> the PET and PE polymers are extruded to obtain the films while the aluminium foil is obtained by rolling procedures. The PE</w:t>
      </w:r>
      <w:r w:rsidR="00147B52">
        <w:rPr>
          <w:lang w:val="en-GB"/>
        </w:rPr>
        <w:t xml:space="preserve"> and</w:t>
      </w:r>
      <w:r w:rsidR="009B7016" w:rsidRPr="009B7016">
        <w:rPr>
          <w:lang w:val="en-GB"/>
        </w:rPr>
        <w:t xml:space="preserve"> PET films, </w:t>
      </w:r>
      <w:r w:rsidR="00147B52">
        <w:rPr>
          <w:lang w:val="en-GB"/>
        </w:rPr>
        <w:t xml:space="preserve">the </w:t>
      </w:r>
      <w:r w:rsidR="009B7016" w:rsidRPr="009B7016">
        <w:rPr>
          <w:lang w:val="en-GB"/>
        </w:rPr>
        <w:t xml:space="preserve">aluminium foil and the glue layer (PU) are laminated together using a lamination machine </w:t>
      </w:r>
      <w:r w:rsidR="008B6E1B">
        <w:rPr>
          <w:lang w:val="en-GB"/>
        </w:rPr>
        <w:t>(</w:t>
      </w:r>
      <w:r w:rsidR="009B7016" w:rsidRPr="009B7016">
        <w:rPr>
          <w:lang w:val="en-GB"/>
        </w:rPr>
        <w:t>productivity = 180 kg</w:t>
      </w:r>
      <w:r w:rsidR="0062355A">
        <w:rPr>
          <w:lang w:val="en-GB"/>
        </w:rPr>
        <w:t xml:space="preserve"> </w:t>
      </w:r>
      <w:r w:rsidR="009B7016" w:rsidRPr="009B7016">
        <w:rPr>
          <w:lang w:val="en-GB"/>
        </w:rPr>
        <w:t>h</w:t>
      </w:r>
      <w:r w:rsidR="0062355A" w:rsidRPr="004C0BC2">
        <w:rPr>
          <w:vertAlign w:val="superscript"/>
          <w:lang w:val="en-GB"/>
        </w:rPr>
        <w:t>-1</w:t>
      </w:r>
      <w:r w:rsidR="009B7016" w:rsidRPr="009B7016">
        <w:rPr>
          <w:lang w:val="en-GB"/>
        </w:rPr>
        <w:t xml:space="preserve">). After the lamination, the packaging film </w:t>
      </w:r>
      <w:r w:rsidR="00147B52">
        <w:rPr>
          <w:lang w:val="en-GB"/>
        </w:rPr>
        <w:t>bec</w:t>
      </w:r>
      <w:r w:rsidR="00966096">
        <w:rPr>
          <w:lang w:val="en-GB"/>
        </w:rPr>
        <w:t>o</w:t>
      </w:r>
      <w:r w:rsidR="00147B52">
        <w:rPr>
          <w:lang w:val="en-GB"/>
        </w:rPr>
        <w:t>mes the raw material for</w:t>
      </w:r>
      <w:r w:rsidR="009B7016" w:rsidRPr="009B7016">
        <w:rPr>
          <w:lang w:val="en-GB"/>
        </w:rPr>
        <w:t xml:space="preserve"> creat</w:t>
      </w:r>
      <w:r w:rsidR="00147B52">
        <w:rPr>
          <w:lang w:val="en-GB"/>
        </w:rPr>
        <w:t>ing</w:t>
      </w:r>
      <w:r w:rsidR="009B7016" w:rsidRPr="009B7016">
        <w:rPr>
          <w:lang w:val="en-GB"/>
        </w:rPr>
        <w:t xml:space="preserve"> the final cylinder structure </w:t>
      </w:r>
      <w:r w:rsidR="00147B52">
        <w:rPr>
          <w:lang w:val="en-GB"/>
        </w:rPr>
        <w:t xml:space="preserve">by filling and sealing the package with </w:t>
      </w:r>
      <w:r w:rsidR="009B7016" w:rsidRPr="009B7016">
        <w:rPr>
          <w:lang w:val="en-GB"/>
        </w:rPr>
        <w:t xml:space="preserve">a </w:t>
      </w:r>
      <w:r w:rsidR="00966096">
        <w:rPr>
          <w:lang w:val="en-GB"/>
        </w:rPr>
        <w:t>forming</w:t>
      </w:r>
      <w:r w:rsidR="00966096" w:rsidRPr="009B7016">
        <w:rPr>
          <w:lang w:val="en-GB"/>
        </w:rPr>
        <w:t xml:space="preserve"> </w:t>
      </w:r>
      <w:r w:rsidR="009B7016" w:rsidRPr="009B7016">
        <w:rPr>
          <w:lang w:val="en-GB"/>
        </w:rPr>
        <w:t xml:space="preserve">machine </w:t>
      </w:r>
      <w:r w:rsidR="008B6E1B">
        <w:rPr>
          <w:lang w:val="en-GB"/>
        </w:rPr>
        <w:t>(</w:t>
      </w:r>
      <w:r w:rsidR="009B7016" w:rsidRPr="009B7016">
        <w:rPr>
          <w:lang w:val="en-GB"/>
        </w:rPr>
        <w:t xml:space="preserve">productivity = </w:t>
      </w:r>
      <w:proofErr w:type="gramStart"/>
      <w:r w:rsidR="009B7016" w:rsidRPr="009B7016">
        <w:rPr>
          <w:lang w:val="en-GB"/>
        </w:rPr>
        <w:t xml:space="preserve">80 </w:t>
      </w:r>
      <w:r w:rsidR="004C0BC2">
        <w:rPr>
          <w:lang w:val="en-GB"/>
        </w:rPr>
        <w:t>unit</w:t>
      </w:r>
      <w:proofErr w:type="gramEnd"/>
      <w:r w:rsidR="004C0BC2">
        <w:rPr>
          <w:lang w:val="en-GB"/>
        </w:rPr>
        <w:t xml:space="preserve"> min</w:t>
      </w:r>
      <w:r w:rsidR="004C0BC2" w:rsidRPr="004C0BC2">
        <w:rPr>
          <w:vertAlign w:val="superscript"/>
          <w:lang w:val="en-GB"/>
        </w:rPr>
        <w:t>-1</w:t>
      </w:r>
      <w:r w:rsidR="009B7016" w:rsidRPr="009B7016">
        <w:rPr>
          <w:lang w:val="en-GB"/>
        </w:rPr>
        <w:t>).</w:t>
      </w:r>
      <w:r w:rsidR="0035314C">
        <w:rPr>
          <w:lang w:val="en-GB"/>
        </w:rPr>
        <w:t xml:space="preserve"> </w:t>
      </w:r>
      <w:r w:rsidR="009B7016" w:rsidRPr="009B7016">
        <w:rPr>
          <w:lang w:val="en-GB"/>
        </w:rPr>
        <w:t xml:space="preserve">During the </w:t>
      </w:r>
      <w:r w:rsidR="00147B52">
        <w:rPr>
          <w:lang w:val="en-GB"/>
        </w:rPr>
        <w:t>production</w:t>
      </w:r>
      <w:r w:rsidR="00147B52" w:rsidRPr="009B7016">
        <w:rPr>
          <w:lang w:val="en-GB"/>
        </w:rPr>
        <w:t xml:space="preserve"> </w:t>
      </w:r>
      <w:r w:rsidR="009B7016" w:rsidRPr="009B7016">
        <w:rPr>
          <w:lang w:val="en-GB"/>
        </w:rPr>
        <w:t xml:space="preserve">phase, from the single film layer to the packaging film, an allocation procedure </w:t>
      </w:r>
      <w:r w:rsidR="0062355A">
        <w:rPr>
          <w:lang w:val="en-GB"/>
        </w:rPr>
        <w:t>was</w:t>
      </w:r>
      <w:r w:rsidR="0062355A" w:rsidRPr="009B7016">
        <w:rPr>
          <w:lang w:val="en-GB"/>
        </w:rPr>
        <w:t xml:space="preserve"> </w:t>
      </w:r>
      <w:r>
        <w:rPr>
          <w:lang w:val="en-GB"/>
        </w:rPr>
        <w:t>performed</w:t>
      </w:r>
      <w:r w:rsidR="009B7016" w:rsidRPr="009B7016">
        <w:rPr>
          <w:lang w:val="en-GB"/>
        </w:rPr>
        <w:t xml:space="preserve"> </w:t>
      </w:r>
      <w:r w:rsidR="00147B52" w:rsidRPr="009B7016">
        <w:rPr>
          <w:lang w:val="en-GB"/>
        </w:rPr>
        <w:t xml:space="preserve">to </w:t>
      </w:r>
      <w:r w:rsidR="007B1E64">
        <w:rPr>
          <w:lang w:val="en-GB"/>
        </w:rPr>
        <w:t>allocate to</w:t>
      </w:r>
      <w:r w:rsidR="00147B52">
        <w:rPr>
          <w:lang w:val="en-GB"/>
        </w:rPr>
        <w:t xml:space="preserve"> </w:t>
      </w:r>
      <w:r w:rsidR="00147B52" w:rsidRPr="009B7016">
        <w:rPr>
          <w:lang w:val="en-GB"/>
        </w:rPr>
        <w:t xml:space="preserve">the </w:t>
      </w:r>
      <w:r w:rsidR="00147B52">
        <w:rPr>
          <w:lang w:val="en-GB"/>
        </w:rPr>
        <w:t xml:space="preserve">functional unit </w:t>
      </w:r>
      <w:r w:rsidR="00147B52" w:rsidRPr="009B7016">
        <w:rPr>
          <w:lang w:val="en-GB"/>
        </w:rPr>
        <w:t xml:space="preserve">the relative </w:t>
      </w:r>
      <w:r w:rsidR="00147B52" w:rsidRPr="009B7016">
        <w:rPr>
          <w:lang w:val="en-GB"/>
        </w:rPr>
        <w:lastRenderedPageBreak/>
        <w:t xml:space="preserve">use of the machinery and the relative </w:t>
      </w:r>
      <w:r w:rsidR="00147B52">
        <w:rPr>
          <w:lang w:val="en-GB"/>
        </w:rPr>
        <w:t>dem</w:t>
      </w:r>
      <w:r w:rsidR="00966096">
        <w:rPr>
          <w:lang w:val="en-GB"/>
        </w:rPr>
        <w:t>a</w:t>
      </w:r>
      <w:r w:rsidR="00147B52">
        <w:rPr>
          <w:lang w:val="en-GB"/>
        </w:rPr>
        <w:t xml:space="preserve">nded energy. </w:t>
      </w:r>
      <w:r w:rsidR="009B7016" w:rsidRPr="009B7016">
        <w:rPr>
          <w:lang w:val="en-GB"/>
        </w:rPr>
        <w:t xml:space="preserve">All the processes involved in </w:t>
      </w:r>
      <w:r w:rsidR="0062355A" w:rsidRPr="00503F53">
        <w:rPr>
          <w:noProof/>
          <w:lang w:val="en-GB"/>
        </w:rPr>
        <w:t>packaging</w:t>
      </w:r>
      <w:r w:rsidR="0062355A" w:rsidRPr="009B7016">
        <w:rPr>
          <w:lang w:val="en-GB"/>
        </w:rPr>
        <w:t xml:space="preserve"> </w:t>
      </w:r>
      <w:r w:rsidR="009B7016" w:rsidRPr="009B7016">
        <w:rPr>
          <w:lang w:val="en-GB"/>
        </w:rPr>
        <w:t xml:space="preserve">production are reported in table 2. </w:t>
      </w:r>
    </w:p>
    <w:p w14:paraId="4AB4C315" w14:textId="5FCA0A1B" w:rsidR="00D556B1" w:rsidRPr="00B57B36" w:rsidRDefault="00D556B1" w:rsidP="00D556B1">
      <w:pPr>
        <w:pStyle w:val="CETTabletitle"/>
      </w:pPr>
      <w:r w:rsidRPr="00B57B36">
        <w:t xml:space="preserve">Table </w:t>
      </w:r>
      <w:r w:rsidR="00584E48">
        <w:t>2</w:t>
      </w:r>
      <w:r w:rsidRPr="00B57B36">
        <w:t xml:space="preserve">: </w:t>
      </w:r>
      <w:r w:rsidR="00147B52">
        <w:t>Machinery characteristics and energy requirements</w:t>
      </w:r>
      <w:r w:rsidR="00E9602B">
        <w:t xml:space="preserve"> </w:t>
      </w:r>
      <w:r w:rsidR="00147B52">
        <w:t>for the traditional packaging functional unit.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2079"/>
        <w:gridCol w:w="2079"/>
        <w:gridCol w:w="2079"/>
      </w:tblGrid>
      <w:tr w:rsidR="00CB5742" w:rsidRPr="00B57B36" w14:paraId="63DBD3AE" w14:textId="77777777" w:rsidTr="00584E48">
        <w:tc>
          <w:tcPr>
            <w:tcW w:w="1134" w:type="dxa"/>
            <w:tcBorders>
              <w:top w:val="single" w:sz="12" w:space="0" w:color="008000"/>
              <w:bottom w:val="single" w:sz="6" w:space="0" w:color="008000"/>
            </w:tcBorders>
            <w:shd w:val="clear" w:color="auto" w:fill="FFFFFF"/>
          </w:tcPr>
          <w:p w14:paraId="13ACD2CD" w14:textId="77777777" w:rsidR="00CB5742" w:rsidRPr="009B7016" w:rsidRDefault="00CB5742" w:rsidP="00CB5742">
            <w:pPr>
              <w:pStyle w:val="CETBodytext"/>
              <w:rPr>
                <w:lang w:val="en-GB"/>
              </w:rPr>
            </w:pPr>
            <w:r w:rsidRPr="009B7016">
              <w:rPr>
                <w:lang w:val="en-GB"/>
              </w:rPr>
              <w:t>Process</w:t>
            </w:r>
          </w:p>
        </w:tc>
        <w:tc>
          <w:tcPr>
            <w:tcW w:w="1418" w:type="dxa"/>
            <w:tcBorders>
              <w:top w:val="single" w:sz="12" w:space="0" w:color="008000"/>
              <w:bottom w:val="single" w:sz="6" w:space="0" w:color="008000"/>
            </w:tcBorders>
            <w:shd w:val="clear" w:color="auto" w:fill="FFFFFF"/>
          </w:tcPr>
          <w:p w14:paraId="681FB19A" w14:textId="77777777" w:rsidR="00CB5742" w:rsidRPr="009B7016" w:rsidRDefault="00CB5742" w:rsidP="00CB5742">
            <w:pPr>
              <w:pStyle w:val="CETBodytext"/>
              <w:rPr>
                <w:lang w:val="en-GB"/>
              </w:rPr>
            </w:pPr>
            <w:r w:rsidRPr="009B7016">
              <w:rPr>
                <w:lang w:val="en-GB"/>
              </w:rPr>
              <w:t xml:space="preserve">Weight </w:t>
            </w:r>
            <w:r>
              <w:rPr>
                <w:lang w:val="en-GB"/>
              </w:rPr>
              <w:t>(</w:t>
            </w:r>
            <w:r w:rsidRPr="009B7016">
              <w:rPr>
                <w:lang w:val="en-GB"/>
              </w:rPr>
              <w:t>kg</w:t>
            </w:r>
            <w:r>
              <w:rPr>
                <w:lang w:val="en-GB"/>
              </w:rPr>
              <w:t>)</w:t>
            </w:r>
          </w:p>
        </w:tc>
        <w:tc>
          <w:tcPr>
            <w:tcW w:w="2079" w:type="dxa"/>
            <w:tcBorders>
              <w:top w:val="single" w:sz="12" w:space="0" w:color="008000"/>
              <w:bottom w:val="single" w:sz="6" w:space="0" w:color="008000"/>
            </w:tcBorders>
            <w:shd w:val="clear" w:color="auto" w:fill="FFFFFF"/>
          </w:tcPr>
          <w:p w14:paraId="22ED4474" w14:textId="77777777" w:rsidR="00CB5742" w:rsidRPr="009B7016" w:rsidRDefault="00CB5742" w:rsidP="00CB5742">
            <w:pPr>
              <w:pStyle w:val="CETBodytext"/>
              <w:rPr>
                <w:lang w:val="en-GB"/>
              </w:rPr>
            </w:pPr>
            <w:r w:rsidRPr="009B7016">
              <w:rPr>
                <w:lang w:val="en-GB"/>
              </w:rPr>
              <w:t xml:space="preserve">Energy </w:t>
            </w:r>
            <w:r>
              <w:rPr>
                <w:lang w:val="en-GB"/>
              </w:rPr>
              <w:t>power (kW)</w:t>
            </w:r>
          </w:p>
        </w:tc>
        <w:tc>
          <w:tcPr>
            <w:tcW w:w="2079" w:type="dxa"/>
            <w:tcBorders>
              <w:top w:val="single" w:sz="12" w:space="0" w:color="008000"/>
              <w:bottom w:val="single" w:sz="6" w:space="0" w:color="008000"/>
            </w:tcBorders>
            <w:shd w:val="clear" w:color="auto" w:fill="FFFFFF"/>
          </w:tcPr>
          <w:p w14:paraId="0367D203" w14:textId="2D89E918" w:rsidR="00CB5742" w:rsidRPr="009B7016" w:rsidRDefault="00BD54AA" w:rsidP="00CB5742">
            <w:pPr>
              <w:pStyle w:val="CETBodytext"/>
              <w:rPr>
                <w:lang w:val="en-GB"/>
              </w:rPr>
            </w:pPr>
            <w:r>
              <w:rPr>
                <w:lang w:val="en-GB"/>
              </w:rPr>
              <w:t>Weight</w:t>
            </w:r>
            <w:r w:rsidR="00CB5742">
              <w:rPr>
                <w:lang w:val="en-GB"/>
              </w:rPr>
              <w:t xml:space="preserve"> / </w:t>
            </w:r>
            <w:r w:rsidR="004C0BC2">
              <w:rPr>
                <w:lang w:val="en-GB"/>
              </w:rPr>
              <w:t>unit</w:t>
            </w:r>
            <w:r w:rsidR="00CB5742" w:rsidRPr="009B7016">
              <w:rPr>
                <w:lang w:val="en-GB"/>
              </w:rPr>
              <w:t xml:space="preserve"> </w:t>
            </w:r>
            <w:r>
              <w:rPr>
                <w:lang w:val="en-GB"/>
              </w:rPr>
              <w:t>(kg)</w:t>
            </w:r>
          </w:p>
        </w:tc>
        <w:tc>
          <w:tcPr>
            <w:tcW w:w="2079" w:type="dxa"/>
            <w:tcBorders>
              <w:top w:val="single" w:sz="12" w:space="0" w:color="008000"/>
              <w:bottom w:val="single" w:sz="6" w:space="0" w:color="008000"/>
            </w:tcBorders>
            <w:shd w:val="clear" w:color="auto" w:fill="FFFFFF"/>
          </w:tcPr>
          <w:p w14:paraId="40F07596" w14:textId="40D2474D" w:rsidR="00CB5742" w:rsidRPr="009B7016" w:rsidRDefault="000D4C22" w:rsidP="00CB5742">
            <w:pPr>
              <w:pStyle w:val="CETBodytext"/>
              <w:rPr>
                <w:lang w:val="en-GB"/>
              </w:rPr>
            </w:pPr>
            <w:r>
              <w:rPr>
                <w:lang w:val="en-GB"/>
              </w:rPr>
              <w:t xml:space="preserve">Energy </w:t>
            </w:r>
            <w:r w:rsidR="00CB5742">
              <w:rPr>
                <w:lang w:val="en-GB"/>
              </w:rPr>
              <w:t xml:space="preserve">/ </w:t>
            </w:r>
            <w:r w:rsidR="004C0BC2">
              <w:rPr>
                <w:lang w:val="en-GB"/>
              </w:rPr>
              <w:t>unit</w:t>
            </w:r>
            <w:r>
              <w:rPr>
                <w:lang w:val="en-GB"/>
              </w:rPr>
              <w:t xml:space="preserve"> (Wh)</w:t>
            </w:r>
          </w:p>
        </w:tc>
      </w:tr>
      <w:tr w:rsidR="009B7016" w:rsidRPr="00B57B36" w14:paraId="45716695" w14:textId="77777777" w:rsidTr="00584E48">
        <w:tc>
          <w:tcPr>
            <w:tcW w:w="1134" w:type="dxa"/>
            <w:shd w:val="clear" w:color="auto" w:fill="FFFFFF"/>
          </w:tcPr>
          <w:p w14:paraId="0354B266" w14:textId="77777777" w:rsidR="009B7016" w:rsidRPr="009B7016" w:rsidRDefault="009B7016" w:rsidP="009B7016">
            <w:pPr>
              <w:pStyle w:val="CETBodytext"/>
              <w:rPr>
                <w:lang w:val="en-GB"/>
              </w:rPr>
            </w:pPr>
            <w:r w:rsidRPr="009B7016">
              <w:rPr>
                <w:lang w:val="en-GB"/>
              </w:rPr>
              <w:t>Lamination</w:t>
            </w:r>
          </w:p>
        </w:tc>
        <w:tc>
          <w:tcPr>
            <w:tcW w:w="1418" w:type="dxa"/>
            <w:shd w:val="clear" w:color="auto" w:fill="FFFFFF"/>
            <w:vAlign w:val="center"/>
          </w:tcPr>
          <w:p w14:paraId="634CB404" w14:textId="77777777" w:rsidR="009B7016" w:rsidRPr="009B7016" w:rsidRDefault="009B7016" w:rsidP="00584E48">
            <w:pPr>
              <w:pStyle w:val="CETBodytext"/>
              <w:jc w:val="left"/>
              <w:rPr>
                <w:lang w:val="en-GB"/>
              </w:rPr>
            </w:pPr>
            <w:r w:rsidRPr="009B7016">
              <w:rPr>
                <w:lang w:val="en-GB"/>
              </w:rPr>
              <w:t>5’000</w:t>
            </w:r>
          </w:p>
        </w:tc>
        <w:tc>
          <w:tcPr>
            <w:tcW w:w="2079" w:type="dxa"/>
            <w:shd w:val="clear" w:color="auto" w:fill="FFFFFF"/>
            <w:vAlign w:val="center"/>
          </w:tcPr>
          <w:p w14:paraId="10A2E9CE" w14:textId="77777777" w:rsidR="009B7016" w:rsidRPr="009B7016" w:rsidRDefault="009B7016" w:rsidP="00584E48">
            <w:pPr>
              <w:pStyle w:val="CETBodytext"/>
              <w:jc w:val="left"/>
              <w:rPr>
                <w:lang w:val="en-GB"/>
              </w:rPr>
            </w:pPr>
            <w:r w:rsidRPr="009B7016">
              <w:rPr>
                <w:lang w:val="en-GB"/>
              </w:rPr>
              <w:t>53</w:t>
            </w:r>
          </w:p>
        </w:tc>
        <w:tc>
          <w:tcPr>
            <w:tcW w:w="2079" w:type="dxa"/>
            <w:shd w:val="clear" w:color="auto" w:fill="FFFFFF"/>
            <w:vAlign w:val="center"/>
          </w:tcPr>
          <w:p w14:paraId="54F040FA" w14:textId="77777777" w:rsidR="009B7016" w:rsidRPr="009B7016" w:rsidRDefault="009B7016" w:rsidP="00584E48">
            <w:pPr>
              <w:pStyle w:val="CETBodytext"/>
              <w:jc w:val="left"/>
              <w:rPr>
                <w:lang w:val="en-GB"/>
              </w:rPr>
            </w:pPr>
            <w:r w:rsidRPr="009B7016">
              <w:rPr>
                <w:lang w:val="en-GB"/>
              </w:rPr>
              <w:t>1</w:t>
            </w:r>
            <w:r w:rsidR="00BD54AA">
              <w:rPr>
                <w:lang w:val="en-GB"/>
              </w:rPr>
              <w:t>.</w:t>
            </w:r>
            <w:r w:rsidRPr="009B7016">
              <w:rPr>
                <w:lang w:val="en-GB"/>
              </w:rPr>
              <w:t>65</w:t>
            </w:r>
            <w:r w:rsidR="00BD54AA">
              <w:rPr>
                <w:lang w:val="en-GB"/>
              </w:rPr>
              <w:t>e-8</w:t>
            </w:r>
          </w:p>
        </w:tc>
        <w:tc>
          <w:tcPr>
            <w:tcW w:w="2079" w:type="dxa"/>
            <w:shd w:val="clear" w:color="auto" w:fill="FFFFFF"/>
            <w:vAlign w:val="center"/>
          </w:tcPr>
          <w:p w14:paraId="1FF9990E" w14:textId="77777777" w:rsidR="009B7016" w:rsidRPr="009B7016" w:rsidRDefault="009B7016" w:rsidP="00584E48">
            <w:pPr>
              <w:pStyle w:val="CETBodytext"/>
              <w:jc w:val="left"/>
              <w:rPr>
                <w:lang w:val="en-GB"/>
              </w:rPr>
            </w:pPr>
            <w:r w:rsidRPr="009B7016">
              <w:rPr>
                <w:lang w:val="en-GB"/>
              </w:rPr>
              <w:t>0.103</w:t>
            </w:r>
          </w:p>
        </w:tc>
      </w:tr>
      <w:tr w:rsidR="009B7016" w:rsidRPr="00B57B36" w14:paraId="3968D9A8" w14:textId="77777777" w:rsidTr="00584E48">
        <w:tc>
          <w:tcPr>
            <w:tcW w:w="1134" w:type="dxa"/>
            <w:shd w:val="clear" w:color="auto" w:fill="FFFFFF"/>
          </w:tcPr>
          <w:p w14:paraId="2A793A52" w14:textId="77777777" w:rsidR="009B7016" w:rsidRPr="009B7016" w:rsidRDefault="009B7016" w:rsidP="009B7016">
            <w:pPr>
              <w:pStyle w:val="CETBodytext"/>
              <w:rPr>
                <w:lang w:val="en-GB"/>
              </w:rPr>
            </w:pPr>
            <w:r w:rsidRPr="009B7016">
              <w:rPr>
                <w:lang w:val="en-GB"/>
              </w:rPr>
              <w:t>Packaging</w:t>
            </w:r>
          </w:p>
        </w:tc>
        <w:tc>
          <w:tcPr>
            <w:tcW w:w="1418" w:type="dxa"/>
            <w:shd w:val="clear" w:color="auto" w:fill="FFFFFF"/>
            <w:vAlign w:val="center"/>
          </w:tcPr>
          <w:p w14:paraId="07BF2D9D" w14:textId="77777777" w:rsidR="009B7016" w:rsidRPr="009B7016" w:rsidRDefault="009B7016" w:rsidP="00584E48">
            <w:pPr>
              <w:pStyle w:val="CETBodytext"/>
              <w:jc w:val="left"/>
              <w:rPr>
                <w:lang w:val="en-GB"/>
              </w:rPr>
            </w:pPr>
            <w:r w:rsidRPr="009B7016">
              <w:rPr>
                <w:lang w:val="en-GB"/>
              </w:rPr>
              <w:t>850</w:t>
            </w:r>
          </w:p>
        </w:tc>
        <w:tc>
          <w:tcPr>
            <w:tcW w:w="2079" w:type="dxa"/>
            <w:shd w:val="clear" w:color="auto" w:fill="FFFFFF"/>
            <w:vAlign w:val="center"/>
          </w:tcPr>
          <w:p w14:paraId="4C45A0FF" w14:textId="77777777" w:rsidR="009B7016" w:rsidRPr="009B7016" w:rsidRDefault="00CB5742" w:rsidP="00584E48">
            <w:pPr>
              <w:pStyle w:val="CETBodytext"/>
              <w:jc w:val="left"/>
              <w:rPr>
                <w:lang w:val="en-GB"/>
              </w:rPr>
            </w:pPr>
            <w:r>
              <w:rPr>
                <w:lang w:val="en-GB"/>
              </w:rPr>
              <w:t>3.</w:t>
            </w:r>
            <w:r w:rsidR="009B7016" w:rsidRPr="009B7016">
              <w:rPr>
                <w:lang w:val="en-GB"/>
              </w:rPr>
              <w:t>5</w:t>
            </w:r>
          </w:p>
        </w:tc>
        <w:tc>
          <w:tcPr>
            <w:tcW w:w="2079" w:type="dxa"/>
            <w:shd w:val="clear" w:color="auto" w:fill="FFFFFF"/>
            <w:vAlign w:val="center"/>
          </w:tcPr>
          <w:p w14:paraId="263E42FC" w14:textId="77777777" w:rsidR="009B7016" w:rsidRPr="009B7016" w:rsidRDefault="009B7016" w:rsidP="00584E48">
            <w:pPr>
              <w:pStyle w:val="CETBodytext"/>
              <w:jc w:val="left"/>
              <w:rPr>
                <w:lang w:val="en-GB"/>
              </w:rPr>
            </w:pPr>
            <w:r w:rsidRPr="009B7016">
              <w:rPr>
                <w:lang w:val="en-GB"/>
              </w:rPr>
              <w:t>2</w:t>
            </w:r>
            <w:r w:rsidR="00BD54AA">
              <w:rPr>
                <w:lang w:val="en-GB"/>
              </w:rPr>
              <w:t>.</w:t>
            </w:r>
            <w:r w:rsidRPr="009B7016">
              <w:rPr>
                <w:lang w:val="en-GB"/>
              </w:rPr>
              <w:t>9</w:t>
            </w:r>
            <w:r w:rsidR="00BD54AA">
              <w:rPr>
                <w:lang w:val="en-GB"/>
              </w:rPr>
              <w:t>e-6</w:t>
            </w:r>
          </w:p>
        </w:tc>
        <w:tc>
          <w:tcPr>
            <w:tcW w:w="2079" w:type="dxa"/>
            <w:shd w:val="clear" w:color="auto" w:fill="FFFFFF"/>
            <w:vAlign w:val="center"/>
          </w:tcPr>
          <w:p w14:paraId="3D9C8A0D" w14:textId="77777777" w:rsidR="009B7016" w:rsidRPr="009B7016" w:rsidRDefault="009B7016" w:rsidP="00584E48">
            <w:pPr>
              <w:pStyle w:val="CETBodytext"/>
              <w:jc w:val="left"/>
              <w:rPr>
                <w:lang w:val="en-GB"/>
              </w:rPr>
            </w:pPr>
            <w:r w:rsidRPr="009B7016">
              <w:rPr>
                <w:lang w:val="en-GB"/>
              </w:rPr>
              <w:t>0.730</w:t>
            </w:r>
          </w:p>
        </w:tc>
      </w:tr>
    </w:tbl>
    <w:p w14:paraId="0672E012" w14:textId="4BF68545" w:rsidR="009B7016" w:rsidRPr="009B7016" w:rsidRDefault="007B1E64" w:rsidP="00BD54AA">
      <w:pPr>
        <w:pStyle w:val="CETBodytext"/>
        <w:spacing w:before="240"/>
        <w:rPr>
          <w:lang w:val="en-GB"/>
        </w:rPr>
      </w:pPr>
      <w:r>
        <w:rPr>
          <w:lang w:val="en-GB"/>
        </w:rPr>
        <w:t xml:space="preserve">A </w:t>
      </w:r>
      <w:r w:rsidR="00147B52" w:rsidRPr="009B7016">
        <w:rPr>
          <w:lang w:val="en-GB"/>
        </w:rPr>
        <w:t xml:space="preserve">loss of </w:t>
      </w:r>
      <w:r w:rsidR="00147B52" w:rsidRPr="007B1E64">
        <w:rPr>
          <w:lang w:val="en-GB"/>
        </w:rPr>
        <w:t xml:space="preserve">product </w:t>
      </w:r>
      <w:r w:rsidR="005E2D57">
        <w:rPr>
          <w:lang w:val="en-GB"/>
        </w:rPr>
        <w:t>(</w:t>
      </w:r>
      <w:r w:rsidR="00AE34D2">
        <w:rPr>
          <w:lang w:val="en-GB"/>
        </w:rPr>
        <w:t xml:space="preserve">assumed as </w:t>
      </w:r>
      <w:r w:rsidR="005E2D57">
        <w:rPr>
          <w:lang w:val="en-GB"/>
        </w:rPr>
        <w:t>2</w:t>
      </w:r>
      <w:r w:rsidR="00AE34D2">
        <w:rPr>
          <w:lang w:val="en-GB"/>
        </w:rPr>
        <w:t>.5</w:t>
      </w:r>
      <w:r w:rsidR="005E2D57">
        <w:rPr>
          <w:lang w:val="en-GB"/>
        </w:rPr>
        <w:t xml:space="preserve">%) </w:t>
      </w:r>
      <w:r w:rsidRPr="007B1E64">
        <w:rPr>
          <w:lang w:val="en-GB"/>
        </w:rPr>
        <w:t xml:space="preserve">is noticeable during the process, </w:t>
      </w:r>
      <w:r w:rsidR="00147B52" w:rsidRPr="007B1E64">
        <w:rPr>
          <w:lang w:val="en-GB"/>
        </w:rPr>
        <w:t xml:space="preserve">due to </w:t>
      </w:r>
      <w:r w:rsidR="00D24580" w:rsidRPr="007B1E64">
        <w:rPr>
          <w:lang w:val="en-GB"/>
        </w:rPr>
        <w:t>film trimmi</w:t>
      </w:r>
      <w:r w:rsidR="00966096" w:rsidRPr="007B1E64">
        <w:rPr>
          <w:lang w:val="en-GB"/>
        </w:rPr>
        <w:t>n</w:t>
      </w:r>
      <w:r w:rsidR="00D24580" w:rsidRPr="007B1E64">
        <w:rPr>
          <w:lang w:val="en-GB"/>
        </w:rPr>
        <w:t>g</w:t>
      </w:r>
      <w:r w:rsidR="00CA4CB9" w:rsidRPr="007B1E64">
        <w:rPr>
          <w:lang w:val="en-GB"/>
        </w:rPr>
        <w:t>.</w:t>
      </w:r>
      <w:r w:rsidR="009B7016" w:rsidRPr="007B1E64">
        <w:rPr>
          <w:lang w:val="en-GB"/>
        </w:rPr>
        <w:t xml:space="preserve"> </w:t>
      </w:r>
      <w:r w:rsidR="00AE34D2">
        <w:rPr>
          <w:lang w:val="en-GB"/>
        </w:rPr>
        <w:t>When</w:t>
      </w:r>
      <w:r w:rsidRPr="007B1E64">
        <w:rPr>
          <w:lang w:val="en-GB"/>
        </w:rPr>
        <w:t xml:space="preserve"> the trimming operation is performed on </w:t>
      </w:r>
      <w:r w:rsidR="009B7016" w:rsidRPr="007B1E64">
        <w:rPr>
          <w:lang w:val="en-GB"/>
        </w:rPr>
        <w:t>single layer</w:t>
      </w:r>
      <w:r>
        <w:rPr>
          <w:lang w:val="en-GB"/>
        </w:rPr>
        <w:t xml:space="preserve"> film</w:t>
      </w:r>
      <w:r w:rsidR="00CA4CB9" w:rsidRPr="007B1E64">
        <w:rPr>
          <w:lang w:val="en-GB"/>
        </w:rPr>
        <w:t>,</w:t>
      </w:r>
      <w:r w:rsidR="009B7016" w:rsidRPr="007B1E64">
        <w:rPr>
          <w:lang w:val="en-GB"/>
        </w:rPr>
        <w:t xml:space="preserve"> </w:t>
      </w:r>
      <w:r>
        <w:rPr>
          <w:lang w:val="en-GB"/>
        </w:rPr>
        <w:t xml:space="preserve">the scraps </w:t>
      </w:r>
      <w:r w:rsidR="009B7016" w:rsidRPr="007B1E64">
        <w:rPr>
          <w:lang w:val="en-GB"/>
        </w:rPr>
        <w:t xml:space="preserve">could be addressed to </w:t>
      </w:r>
      <w:r w:rsidR="009B7016" w:rsidRPr="00503F53">
        <w:rPr>
          <w:noProof/>
          <w:lang w:val="en-GB"/>
        </w:rPr>
        <w:t>recycling</w:t>
      </w:r>
      <w:r w:rsidR="009B7016" w:rsidRPr="007B1E64">
        <w:rPr>
          <w:lang w:val="en-GB"/>
        </w:rPr>
        <w:t xml:space="preserve"> management, </w:t>
      </w:r>
      <w:r w:rsidR="009B7016" w:rsidRPr="00503F53">
        <w:rPr>
          <w:noProof/>
          <w:lang w:val="en-GB"/>
        </w:rPr>
        <w:t>otherwise</w:t>
      </w:r>
      <w:r w:rsidR="00503F53">
        <w:rPr>
          <w:noProof/>
          <w:lang w:val="en-GB"/>
        </w:rPr>
        <w:t>,</w:t>
      </w:r>
      <w:r w:rsidR="009B7016" w:rsidRPr="007B1E64">
        <w:rPr>
          <w:lang w:val="en-GB"/>
        </w:rPr>
        <w:t xml:space="preserve"> </w:t>
      </w:r>
      <w:r w:rsidR="00673338">
        <w:rPr>
          <w:lang w:val="en-GB"/>
        </w:rPr>
        <w:t xml:space="preserve">it </w:t>
      </w:r>
      <w:r w:rsidR="00673338" w:rsidRPr="007B1E64">
        <w:rPr>
          <w:lang w:val="en-GB"/>
        </w:rPr>
        <w:t>requires different waste management</w:t>
      </w:r>
      <w:r w:rsidR="00673338">
        <w:rPr>
          <w:lang w:val="en-GB"/>
        </w:rPr>
        <w:t xml:space="preserve"> </w:t>
      </w:r>
      <w:r>
        <w:rPr>
          <w:lang w:val="en-GB"/>
        </w:rPr>
        <w:t>if it is performed on multilayer film</w:t>
      </w:r>
      <w:r w:rsidR="009B7016" w:rsidRPr="007B1E64">
        <w:rPr>
          <w:lang w:val="en-GB"/>
        </w:rPr>
        <w:t>.</w:t>
      </w:r>
      <w:r w:rsidR="00CA4CB9">
        <w:rPr>
          <w:lang w:val="en-GB"/>
        </w:rPr>
        <w:t xml:space="preserve"> </w:t>
      </w:r>
    </w:p>
    <w:p w14:paraId="000AC472" w14:textId="77777777" w:rsidR="009B7016" w:rsidRPr="009B7016" w:rsidRDefault="009B7016" w:rsidP="009B7016">
      <w:pPr>
        <w:pStyle w:val="CETheadingx"/>
      </w:pPr>
      <w:r w:rsidRPr="009B7016">
        <w:t>Innovative packaging Life Cycle Inventory (LCI)</w:t>
      </w:r>
    </w:p>
    <w:p w14:paraId="381EFBD7" w14:textId="6374C988" w:rsidR="009B7016" w:rsidRDefault="008F5D58" w:rsidP="009B7016">
      <w:pPr>
        <w:pStyle w:val="CETBodytext"/>
        <w:rPr>
          <w:lang w:val="en-GB"/>
        </w:rPr>
      </w:pPr>
      <w:r>
        <w:rPr>
          <w:lang w:val="en-GB"/>
        </w:rPr>
        <w:t xml:space="preserve">After </w:t>
      </w:r>
      <w:r w:rsidRPr="008F5D58">
        <w:rPr>
          <w:lang w:val="en-GB"/>
        </w:rPr>
        <w:t>spectroscopic and microscopic</w:t>
      </w:r>
      <w:r w:rsidR="000D4C22">
        <w:rPr>
          <w:lang w:val="en-GB"/>
        </w:rPr>
        <w:t xml:space="preserve"> analyses, the </w:t>
      </w:r>
      <w:r w:rsidR="009B7016" w:rsidRPr="009B7016">
        <w:rPr>
          <w:lang w:val="en-GB"/>
        </w:rPr>
        <w:t xml:space="preserve">composition of the innovative packaging </w:t>
      </w:r>
      <w:r w:rsidR="000D4C22">
        <w:rPr>
          <w:lang w:val="en-GB"/>
        </w:rPr>
        <w:t>was defined as</w:t>
      </w:r>
      <w:r w:rsidR="009B7016" w:rsidRPr="009B7016">
        <w:rPr>
          <w:lang w:val="en-GB"/>
        </w:rPr>
        <w:t xml:space="preserve">: i) 26.55 </w:t>
      </w:r>
      <w:r w:rsidR="00584E48" w:rsidRPr="009B7016">
        <w:rPr>
          <w:lang w:val="en-GB"/>
        </w:rPr>
        <w:t>µm</w:t>
      </w:r>
      <w:r w:rsidR="009B7016" w:rsidRPr="009B7016">
        <w:rPr>
          <w:lang w:val="en-GB"/>
        </w:rPr>
        <w:t xml:space="preserve"> of polylactic acid (</w:t>
      </w:r>
      <w:r w:rsidR="008B6E1B">
        <w:rPr>
          <w:lang w:val="en-GB"/>
        </w:rPr>
        <w:t>1</w:t>
      </w:r>
      <w:r w:rsidR="008B6E1B" w:rsidRPr="008B6E1B">
        <w:rPr>
          <w:vertAlign w:val="superscript"/>
          <w:lang w:val="en-GB"/>
        </w:rPr>
        <w:t>st</w:t>
      </w:r>
      <w:r w:rsidR="008B6E1B">
        <w:rPr>
          <w:lang w:val="en-GB"/>
        </w:rPr>
        <w:t xml:space="preserve"> </w:t>
      </w:r>
      <w:r w:rsidR="009B7016" w:rsidRPr="009B7016">
        <w:rPr>
          <w:lang w:val="en-GB"/>
        </w:rPr>
        <w:t>PLA</w:t>
      </w:r>
      <w:r w:rsidR="008B6E1B">
        <w:rPr>
          <w:lang w:val="en-GB"/>
        </w:rPr>
        <w:t xml:space="preserve"> layer</w:t>
      </w:r>
      <w:r w:rsidR="009B7016" w:rsidRPr="009B7016">
        <w:rPr>
          <w:lang w:val="en-GB"/>
        </w:rPr>
        <w:t xml:space="preserve">), ii) 20.34 </w:t>
      </w:r>
      <w:r w:rsidR="00584E48" w:rsidRPr="009B7016">
        <w:rPr>
          <w:lang w:val="en-GB"/>
        </w:rPr>
        <w:t>µm</w:t>
      </w:r>
      <w:r w:rsidR="009B7016" w:rsidRPr="009B7016">
        <w:rPr>
          <w:lang w:val="en-GB"/>
        </w:rPr>
        <w:t xml:space="preserve"> </w:t>
      </w:r>
      <w:r w:rsidR="00BA4C8C">
        <w:rPr>
          <w:lang w:val="en-GB"/>
        </w:rPr>
        <w:t>bio</w:t>
      </w:r>
      <w:r w:rsidR="009B7016" w:rsidRPr="009B7016">
        <w:rPr>
          <w:lang w:val="en-GB"/>
        </w:rPr>
        <w:t xml:space="preserve">-PE and iii) 27.24 </w:t>
      </w:r>
      <w:r w:rsidR="00584E48" w:rsidRPr="009B7016">
        <w:rPr>
          <w:lang w:val="en-GB"/>
        </w:rPr>
        <w:t>µm</w:t>
      </w:r>
      <w:r w:rsidR="009B7016" w:rsidRPr="009B7016">
        <w:rPr>
          <w:lang w:val="en-GB"/>
        </w:rPr>
        <w:t xml:space="preserve"> of polylactic acid (</w:t>
      </w:r>
      <w:r w:rsidR="008B6E1B">
        <w:rPr>
          <w:lang w:val="en-GB"/>
        </w:rPr>
        <w:t>2</w:t>
      </w:r>
      <w:r w:rsidR="008B6E1B" w:rsidRPr="008B6E1B">
        <w:rPr>
          <w:vertAlign w:val="superscript"/>
          <w:lang w:val="en-GB"/>
        </w:rPr>
        <w:t>nd</w:t>
      </w:r>
      <w:r w:rsidR="008B6E1B">
        <w:rPr>
          <w:lang w:val="en-GB"/>
        </w:rPr>
        <w:t xml:space="preserve"> </w:t>
      </w:r>
      <w:r w:rsidR="009B7016" w:rsidRPr="009B7016">
        <w:rPr>
          <w:lang w:val="en-GB"/>
        </w:rPr>
        <w:t>PLA</w:t>
      </w:r>
      <w:r w:rsidR="008B6E1B">
        <w:rPr>
          <w:lang w:val="en-GB"/>
        </w:rPr>
        <w:t xml:space="preserve"> layer</w:t>
      </w:r>
      <w:r w:rsidR="009B7016" w:rsidRPr="009B7016">
        <w:rPr>
          <w:lang w:val="en-GB"/>
        </w:rPr>
        <w:t>)</w:t>
      </w:r>
      <w:r w:rsidR="00BA4C8C">
        <w:rPr>
          <w:lang w:val="en-GB"/>
        </w:rPr>
        <w:t>,</w:t>
      </w:r>
      <w:r w:rsidR="009B7016" w:rsidRPr="009B7016">
        <w:rPr>
          <w:lang w:val="en-GB"/>
        </w:rPr>
        <w:t xml:space="preserve"> iv) a thin layer of aluminium sprayed between the two film</w:t>
      </w:r>
      <w:r w:rsidR="00BA4C8C">
        <w:rPr>
          <w:lang w:val="en-GB"/>
        </w:rPr>
        <w:t>s</w:t>
      </w:r>
      <w:r w:rsidR="009B7016" w:rsidRPr="009B7016">
        <w:rPr>
          <w:lang w:val="en-GB"/>
        </w:rPr>
        <w:t xml:space="preserve">. </w:t>
      </w:r>
      <w:r w:rsidR="000D4C22">
        <w:rPr>
          <w:lang w:val="en-GB"/>
        </w:rPr>
        <w:t>I</w:t>
      </w:r>
      <w:r w:rsidR="009B7016" w:rsidRPr="009B7016">
        <w:rPr>
          <w:lang w:val="en-GB"/>
        </w:rPr>
        <w:t>n table 3</w:t>
      </w:r>
      <w:r w:rsidR="000D4C22">
        <w:rPr>
          <w:lang w:val="en-GB"/>
        </w:rPr>
        <w:t xml:space="preserve"> the </w:t>
      </w:r>
      <w:r w:rsidR="009B7016" w:rsidRPr="009B7016">
        <w:rPr>
          <w:lang w:val="en-GB"/>
        </w:rPr>
        <w:t>weight</w:t>
      </w:r>
      <w:r w:rsidR="000D4C22">
        <w:rPr>
          <w:lang w:val="en-GB"/>
        </w:rPr>
        <w:t>s</w:t>
      </w:r>
      <w:r w:rsidR="009B7016" w:rsidRPr="009B7016">
        <w:rPr>
          <w:lang w:val="en-GB"/>
        </w:rPr>
        <w:t xml:space="preserve"> of the </w:t>
      </w:r>
      <w:r w:rsidR="000D4C22">
        <w:rPr>
          <w:lang w:val="en-GB"/>
        </w:rPr>
        <w:t xml:space="preserve">different </w:t>
      </w:r>
      <w:r w:rsidR="009B7016" w:rsidRPr="009B7016">
        <w:rPr>
          <w:lang w:val="en-GB"/>
        </w:rPr>
        <w:t>material</w:t>
      </w:r>
      <w:r w:rsidR="000D4C22">
        <w:rPr>
          <w:lang w:val="en-GB"/>
        </w:rPr>
        <w:t>s</w:t>
      </w:r>
      <w:r w:rsidR="009B7016" w:rsidRPr="009B7016">
        <w:rPr>
          <w:lang w:val="en-GB"/>
        </w:rPr>
        <w:t xml:space="preserve"> </w:t>
      </w:r>
      <w:r w:rsidR="00BA4C8C">
        <w:rPr>
          <w:lang w:val="en-GB"/>
        </w:rPr>
        <w:t>setting</w:t>
      </w:r>
      <w:r w:rsidR="00D24580">
        <w:rPr>
          <w:lang w:val="en-GB"/>
        </w:rPr>
        <w:t xml:space="preserve"> up</w:t>
      </w:r>
      <w:r w:rsidR="00D24580" w:rsidRPr="009B7016">
        <w:rPr>
          <w:lang w:val="en-GB"/>
        </w:rPr>
        <w:t xml:space="preserve"> </w:t>
      </w:r>
      <w:r w:rsidR="009B7016" w:rsidRPr="009B7016">
        <w:rPr>
          <w:lang w:val="en-GB"/>
        </w:rPr>
        <w:t xml:space="preserve">the </w:t>
      </w:r>
      <w:r w:rsidR="00CA4CB9">
        <w:rPr>
          <w:lang w:val="en-GB"/>
        </w:rPr>
        <w:t xml:space="preserve">innovative </w:t>
      </w:r>
      <w:r w:rsidR="000D4C22">
        <w:rPr>
          <w:lang w:val="en-GB"/>
        </w:rPr>
        <w:t>packaging</w:t>
      </w:r>
      <w:r w:rsidR="009B7016" w:rsidRPr="009B7016">
        <w:rPr>
          <w:lang w:val="en-GB"/>
        </w:rPr>
        <w:t xml:space="preserve"> </w:t>
      </w:r>
      <w:r w:rsidR="00D24580">
        <w:rPr>
          <w:lang w:val="en-GB"/>
        </w:rPr>
        <w:t>are reported.</w:t>
      </w:r>
    </w:p>
    <w:p w14:paraId="12645959" w14:textId="37B9847F" w:rsidR="00F01830" w:rsidRDefault="00F01830" w:rsidP="009B7016">
      <w:pPr>
        <w:pStyle w:val="CETBodytext"/>
        <w:rPr>
          <w:lang w:val="en-GB"/>
        </w:rPr>
      </w:pPr>
      <w:r w:rsidRPr="009B7016">
        <w:rPr>
          <w:lang w:val="en-GB"/>
        </w:rPr>
        <w:t xml:space="preserve">Along the innovative packaging production chain, the PLA film </w:t>
      </w:r>
      <w:r>
        <w:rPr>
          <w:lang w:val="en-GB"/>
        </w:rPr>
        <w:t>undergoes</w:t>
      </w:r>
      <w:r w:rsidRPr="009B7016">
        <w:rPr>
          <w:lang w:val="en-GB"/>
        </w:rPr>
        <w:t xml:space="preserve"> the </w:t>
      </w:r>
      <w:r>
        <w:rPr>
          <w:lang w:val="en-GB"/>
        </w:rPr>
        <w:t xml:space="preserve">physical </w:t>
      </w:r>
      <w:r w:rsidRPr="00503F53">
        <w:rPr>
          <w:noProof/>
          <w:lang w:val="en-GB"/>
        </w:rPr>
        <w:t>vapo</w:t>
      </w:r>
      <w:r w:rsidR="00503F53">
        <w:rPr>
          <w:noProof/>
          <w:lang w:val="en-GB"/>
        </w:rPr>
        <w:t>u</w:t>
      </w:r>
      <w:r w:rsidRPr="00503F53">
        <w:rPr>
          <w:noProof/>
          <w:lang w:val="en-GB"/>
        </w:rPr>
        <w:t>r</w:t>
      </w:r>
      <w:r>
        <w:rPr>
          <w:lang w:val="en-GB"/>
        </w:rPr>
        <w:t xml:space="preserve"> deposition</w:t>
      </w:r>
      <w:r w:rsidRPr="009B7016">
        <w:rPr>
          <w:lang w:val="en-GB"/>
        </w:rPr>
        <w:t xml:space="preserve"> </w:t>
      </w:r>
      <w:r>
        <w:rPr>
          <w:lang w:val="en-GB"/>
        </w:rPr>
        <w:t>(</w:t>
      </w:r>
      <w:r w:rsidRPr="009B7016">
        <w:rPr>
          <w:lang w:val="en-GB"/>
        </w:rPr>
        <w:t>PVD</w:t>
      </w:r>
      <w:r>
        <w:rPr>
          <w:lang w:val="en-GB"/>
        </w:rPr>
        <w:t>)</w:t>
      </w:r>
      <w:r w:rsidRPr="009B7016">
        <w:rPr>
          <w:lang w:val="en-GB"/>
        </w:rPr>
        <w:t xml:space="preserve"> metallization phase. This process requires a machine </w:t>
      </w:r>
      <w:r>
        <w:rPr>
          <w:lang w:val="en-GB"/>
        </w:rPr>
        <w:t>that,</w:t>
      </w:r>
      <w:r w:rsidRPr="009B7016">
        <w:rPr>
          <w:lang w:val="en-GB"/>
        </w:rPr>
        <w:t xml:space="preserve"> vaporizing the aluminium</w:t>
      </w:r>
      <w:r>
        <w:rPr>
          <w:lang w:val="en-GB"/>
        </w:rPr>
        <w:t xml:space="preserve"> under vacuum</w:t>
      </w:r>
      <w:r w:rsidRPr="009B7016">
        <w:rPr>
          <w:lang w:val="en-GB"/>
        </w:rPr>
        <w:t>, deposit</w:t>
      </w:r>
      <w:r>
        <w:rPr>
          <w:lang w:val="en-GB"/>
        </w:rPr>
        <w:t>s</w:t>
      </w:r>
      <w:r w:rsidRPr="009B7016">
        <w:rPr>
          <w:lang w:val="en-GB"/>
        </w:rPr>
        <w:t xml:space="preserve"> a small </w:t>
      </w:r>
      <w:r>
        <w:rPr>
          <w:lang w:val="en-GB"/>
        </w:rPr>
        <w:t>amount</w:t>
      </w:r>
      <w:r w:rsidRPr="009B7016">
        <w:rPr>
          <w:lang w:val="en-GB"/>
        </w:rPr>
        <w:t xml:space="preserve"> of aluminium on the film (Mattox, 2010)</w:t>
      </w:r>
      <w:r>
        <w:rPr>
          <w:lang w:val="en-GB"/>
        </w:rPr>
        <w:t>.</w:t>
      </w:r>
      <w:r w:rsidRPr="009B7016">
        <w:rPr>
          <w:lang w:val="en-GB"/>
        </w:rPr>
        <w:t xml:space="preserve"> The under-vacuum metallization machine</w:t>
      </w:r>
      <w:r>
        <w:rPr>
          <w:lang w:val="en-GB"/>
        </w:rPr>
        <w:t>,</w:t>
      </w:r>
      <w:r w:rsidRPr="009B7016">
        <w:rPr>
          <w:lang w:val="en-GB"/>
        </w:rPr>
        <w:t xml:space="preserve"> as visible in table </w:t>
      </w:r>
      <w:r>
        <w:rPr>
          <w:lang w:val="en-GB"/>
        </w:rPr>
        <w:t>1 and 3</w:t>
      </w:r>
      <w:r w:rsidRPr="009B7016">
        <w:rPr>
          <w:lang w:val="en-GB"/>
        </w:rPr>
        <w:t>,</w:t>
      </w:r>
      <w:r>
        <w:rPr>
          <w:lang w:val="en-GB"/>
        </w:rPr>
        <w:t xml:space="preserve"> allows </w:t>
      </w:r>
      <w:r w:rsidR="00496CC2">
        <w:rPr>
          <w:noProof/>
          <w:lang w:val="en-GB"/>
        </w:rPr>
        <w:t>reducing</w:t>
      </w:r>
      <w:r w:rsidRPr="009B7016">
        <w:rPr>
          <w:lang w:val="en-GB"/>
        </w:rPr>
        <w:t xml:space="preserve"> the aluminium</w:t>
      </w:r>
      <w:r>
        <w:rPr>
          <w:lang w:val="en-GB"/>
        </w:rPr>
        <w:t xml:space="preserve"> amount</w:t>
      </w:r>
      <w:r w:rsidRPr="009B7016">
        <w:rPr>
          <w:lang w:val="en-GB"/>
        </w:rPr>
        <w:t xml:space="preserve"> in the packaging. </w:t>
      </w:r>
      <w:r>
        <w:rPr>
          <w:lang w:val="en-GB"/>
        </w:rPr>
        <w:t>After the metallization, t</w:t>
      </w:r>
      <w:r w:rsidRPr="009B7016">
        <w:rPr>
          <w:lang w:val="en-GB"/>
        </w:rPr>
        <w:t xml:space="preserve">he two </w:t>
      </w:r>
      <w:r>
        <w:rPr>
          <w:lang w:val="en-GB"/>
        </w:rPr>
        <w:t>PLA film</w:t>
      </w:r>
      <w:r w:rsidRPr="009B7016">
        <w:rPr>
          <w:lang w:val="en-GB"/>
        </w:rPr>
        <w:t xml:space="preserve">s </w:t>
      </w:r>
      <w:r>
        <w:rPr>
          <w:lang w:val="en-GB"/>
        </w:rPr>
        <w:t>are</w:t>
      </w:r>
      <w:r w:rsidRPr="009B7016">
        <w:rPr>
          <w:lang w:val="en-GB"/>
        </w:rPr>
        <w:t xml:space="preserve"> laminated with the B</w:t>
      </w:r>
      <w:r>
        <w:rPr>
          <w:lang w:val="en-GB"/>
        </w:rPr>
        <w:t>io</w:t>
      </w:r>
      <w:r w:rsidRPr="009B7016">
        <w:rPr>
          <w:lang w:val="en-GB"/>
        </w:rPr>
        <w:t xml:space="preserve">-PE film </w:t>
      </w:r>
      <w:r>
        <w:rPr>
          <w:lang w:val="en-GB"/>
        </w:rPr>
        <w:t>using</w:t>
      </w:r>
      <w:r w:rsidRPr="009B7016">
        <w:rPr>
          <w:lang w:val="en-GB"/>
        </w:rPr>
        <w:t xml:space="preserve"> the lamination machine </w:t>
      </w:r>
      <w:r>
        <w:rPr>
          <w:lang w:val="en-GB"/>
        </w:rPr>
        <w:t>(</w:t>
      </w:r>
      <w:r w:rsidRPr="009B7016">
        <w:rPr>
          <w:lang w:val="en-GB"/>
        </w:rPr>
        <w:t>productivity = 180 kg</w:t>
      </w:r>
      <w:r>
        <w:rPr>
          <w:lang w:val="en-GB"/>
        </w:rPr>
        <w:t xml:space="preserve"> </w:t>
      </w:r>
      <w:r w:rsidRPr="009B7016">
        <w:rPr>
          <w:lang w:val="en-GB"/>
        </w:rPr>
        <w:t>h</w:t>
      </w:r>
      <w:r w:rsidRPr="004C0BC2">
        <w:rPr>
          <w:vertAlign w:val="superscript"/>
          <w:lang w:val="en-GB"/>
        </w:rPr>
        <w:t>-1</w:t>
      </w:r>
      <w:r w:rsidRPr="009B7016">
        <w:rPr>
          <w:lang w:val="en-GB"/>
        </w:rPr>
        <w:t>).</w:t>
      </w:r>
    </w:p>
    <w:p w14:paraId="17B04A51" w14:textId="09290EF5" w:rsidR="00D556B1" w:rsidRPr="00B57B36" w:rsidRDefault="00D556B1" w:rsidP="00D556B1">
      <w:pPr>
        <w:pStyle w:val="CETTabletitle"/>
      </w:pPr>
      <w:r w:rsidRPr="00B57B36">
        <w:t xml:space="preserve">Table </w:t>
      </w:r>
      <w:r w:rsidR="00584E48">
        <w:t>3</w:t>
      </w:r>
      <w:r w:rsidRPr="00B57B36">
        <w:t xml:space="preserve">: </w:t>
      </w:r>
      <w:r w:rsidR="006B139B">
        <w:t>Innovative packaging composition</w:t>
      </w:r>
      <w:r w:rsidR="00A949B8">
        <w:t>.</w:t>
      </w:r>
    </w:p>
    <w:tbl>
      <w:tblPr>
        <w:tblW w:w="340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FB7A0F" w:rsidRPr="00B57B36" w14:paraId="3D64E04C" w14:textId="77777777" w:rsidTr="00FB7A0F">
        <w:tc>
          <w:tcPr>
            <w:tcW w:w="1134" w:type="dxa"/>
            <w:tcBorders>
              <w:top w:val="single" w:sz="12" w:space="0" w:color="008000"/>
              <w:bottom w:val="single" w:sz="6" w:space="0" w:color="008000"/>
            </w:tcBorders>
            <w:shd w:val="clear" w:color="auto" w:fill="FFFFFF"/>
          </w:tcPr>
          <w:p w14:paraId="611FB30E" w14:textId="77777777" w:rsidR="00FB7A0F" w:rsidRPr="009B7016" w:rsidRDefault="00FB7A0F" w:rsidP="009B7016">
            <w:pPr>
              <w:pStyle w:val="CETBodytext"/>
              <w:rPr>
                <w:lang w:val="en-GB"/>
              </w:rPr>
            </w:pPr>
            <w:r w:rsidRPr="009B7016">
              <w:rPr>
                <w:lang w:val="en-GB"/>
              </w:rPr>
              <w:t>Material</w:t>
            </w:r>
          </w:p>
        </w:tc>
        <w:tc>
          <w:tcPr>
            <w:tcW w:w="1134" w:type="dxa"/>
            <w:tcBorders>
              <w:top w:val="single" w:sz="12" w:space="0" w:color="008000"/>
              <w:bottom w:val="single" w:sz="6" w:space="0" w:color="008000"/>
            </w:tcBorders>
            <w:shd w:val="clear" w:color="auto" w:fill="FFFFFF"/>
          </w:tcPr>
          <w:p w14:paraId="182511AE" w14:textId="77777777" w:rsidR="00FB7A0F" w:rsidRPr="009B7016" w:rsidRDefault="00FB7A0F" w:rsidP="009B7016">
            <w:pPr>
              <w:pStyle w:val="CETBodytext"/>
              <w:rPr>
                <w:lang w:val="en-GB"/>
              </w:rPr>
            </w:pPr>
            <w:r w:rsidRPr="009B7016">
              <w:rPr>
                <w:lang w:val="en-GB"/>
              </w:rPr>
              <w:t>Weight g</w:t>
            </w:r>
          </w:p>
        </w:tc>
        <w:tc>
          <w:tcPr>
            <w:tcW w:w="1134" w:type="dxa"/>
            <w:tcBorders>
              <w:top w:val="single" w:sz="12" w:space="0" w:color="008000"/>
              <w:bottom w:val="single" w:sz="6" w:space="0" w:color="008000"/>
            </w:tcBorders>
            <w:shd w:val="clear" w:color="auto" w:fill="FFFFFF"/>
          </w:tcPr>
          <w:p w14:paraId="612401C6" w14:textId="77777777" w:rsidR="00FB7A0F" w:rsidRPr="009B7016" w:rsidRDefault="00FB7A0F" w:rsidP="009B7016">
            <w:pPr>
              <w:pStyle w:val="CETBodytext"/>
              <w:rPr>
                <w:lang w:val="en-GB"/>
              </w:rPr>
            </w:pPr>
            <w:r w:rsidRPr="009B7016">
              <w:rPr>
                <w:lang w:val="en-GB"/>
              </w:rPr>
              <w:t xml:space="preserve">Percentage </w:t>
            </w:r>
          </w:p>
        </w:tc>
      </w:tr>
      <w:tr w:rsidR="00FB7A0F" w:rsidRPr="00B57B36" w14:paraId="2F52F15B" w14:textId="77777777" w:rsidTr="00FB7A0F">
        <w:tc>
          <w:tcPr>
            <w:tcW w:w="1134" w:type="dxa"/>
            <w:shd w:val="clear" w:color="auto" w:fill="FFFFFF"/>
          </w:tcPr>
          <w:p w14:paraId="61FD9581" w14:textId="77777777" w:rsidR="00FB7A0F" w:rsidRPr="009B7016" w:rsidRDefault="00FB7A0F" w:rsidP="009B7016">
            <w:pPr>
              <w:pStyle w:val="CETBodytext"/>
              <w:rPr>
                <w:lang w:val="en-GB"/>
              </w:rPr>
            </w:pPr>
            <w:r w:rsidRPr="009B7016">
              <w:rPr>
                <w:lang w:val="en-GB"/>
              </w:rPr>
              <w:t>PLA</w:t>
            </w:r>
          </w:p>
        </w:tc>
        <w:tc>
          <w:tcPr>
            <w:tcW w:w="1134" w:type="dxa"/>
            <w:shd w:val="clear" w:color="auto" w:fill="FFFFFF"/>
          </w:tcPr>
          <w:p w14:paraId="585D6428" w14:textId="77777777" w:rsidR="00FB7A0F" w:rsidRPr="009B7016" w:rsidRDefault="00FB7A0F" w:rsidP="009B7016">
            <w:pPr>
              <w:pStyle w:val="CETBodytext"/>
              <w:rPr>
                <w:lang w:val="en-GB"/>
              </w:rPr>
            </w:pPr>
            <w:r w:rsidRPr="009B7016">
              <w:rPr>
                <w:lang w:val="en-GB"/>
              </w:rPr>
              <w:t>0.24</w:t>
            </w:r>
          </w:p>
        </w:tc>
        <w:tc>
          <w:tcPr>
            <w:tcW w:w="1134" w:type="dxa"/>
            <w:shd w:val="clear" w:color="auto" w:fill="FFFFFF"/>
          </w:tcPr>
          <w:p w14:paraId="11D83AC2" w14:textId="77777777" w:rsidR="00FB7A0F" w:rsidRPr="009B7016" w:rsidRDefault="00FB7A0F" w:rsidP="009B7016">
            <w:pPr>
              <w:pStyle w:val="CETBodytext"/>
              <w:rPr>
                <w:lang w:val="en-GB"/>
              </w:rPr>
            </w:pPr>
            <w:r w:rsidRPr="009B7016">
              <w:rPr>
                <w:lang w:val="en-GB"/>
              </w:rPr>
              <w:t>76.6%</w:t>
            </w:r>
          </w:p>
        </w:tc>
      </w:tr>
      <w:tr w:rsidR="00FB7A0F" w:rsidRPr="00B57B36" w14:paraId="3756FAFE" w14:textId="77777777" w:rsidTr="00FB7A0F">
        <w:tc>
          <w:tcPr>
            <w:tcW w:w="1134" w:type="dxa"/>
            <w:shd w:val="clear" w:color="auto" w:fill="FFFFFF"/>
          </w:tcPr>
          <w:p w14:paraId="1C01F179" w14:textId="3794A67B" w:rsidR="00FB7A0F" w:rsidRPr="009B7016" w:rsidRDefault="00FB7A0F" w:rsidP="009B7016">
            <w:pPr>
              <w:pStyle w:val="CETBodytext"/>
              <w:rPr>
                <w:lang w:val="en-GB"/>
              </w:rPr>
            </w:pPr>
            <w:r w:rsidRPr="009B7016">
              <w:rPr>
                <w:lang w:val="en-GB"/>
              </w:rPr>
              <w:t>B</w:t>
            </w:r>
            <w:r w:rsidR="00BA4C8C">
              <w:rPr>
                <w:lang w:val="en-GB"/>
              </w:rPr>
              <w:t>io</w:t>
            </w:r>
            <w:r w:rsidRPr="009B7016">
              <w:rPr>
                <w:lang w:val="en-GB"/>
              </w:rPr>
              <w:t>-PE</w:t>
            </w:r>
          </w:p>
        </w:tc>
        <w:tc>
          <w:tcPr>
            <w:tcW w:w="1134" w:type="dxa"/>
            <w:shd w:val="clear" w:color="auto" w:fill="FFFFFF"/>
          </w:tcPr>
          <w:p w14:paraId="11997864" w14:textId="77777777" w:rsidR="00FB7A0F" w:rsidRPr="009B7016" w:rsidRDefault="00FB7A0F" w:rsidP="009B7016">
            <w:pPr>
              <w:pStyle w:val="CETBodytext"/>
              <w:rPr>
                <w:lang w:val="en-GB"/>
              </w:rPr>
            </w:pPr>
            <w:r w:rsidRPr="009B7016">
              <w:rPr>
                <w:lang w:val="en-GB"/>
              </w:rPr>
              <w:t>0.067</w:t>
            </w:r>
          </w:p>
        </w:tc>
        <w:tc>
          <w:tcPr>
            <w:tcW w:w="1134" w:type="dxa"/>
            <w:shd w:val="clear" w:color="auto" w:fill="FFFFFF"/>
          </w:tcPr>
          <w:p w14:paraId="47AC481A" w14:textId="77777777" w:rsidR="00FB7A0F" w:rsidRPr="009B7016" w:rsidRDefault="00FB7A0F" w:rsidP="009B7016">
            <w:pPr>
              <w:pStyle w:val="CETBodytext"/>
              <w:rPr>
                <w:lang w:val="en-GB"/>
              </w:rPr>
            </w:pPr>
            <w:r w:rsidRPr="009B7016">
              <w:rPr>
                <w:lang w:val="en-GB"/>
              </w:rPr>
              <w:t>21.4%</w:t>
            </w:r>
          </w:p>
        </w:tc>
      </w:tr>
      <w:tr w:rsidR="00FB7A0F" w:rsidRPr="00B57B36" w14:paraId="7A32C257" w14:textId="77777777" w:rsidTr="00FB7A0F">
        <w:tc>
          <w:tcPr>
            <w:tcW w:w="1134" w:type="dxa"/>
            <w:shd w:val="clear" w:color="auto" w:fill="FFFFFF"/>
          </w:tcPr>
          <w:p w14:paraId="1EE7AB2E" w14:textId="77777777" w:rsidR="00FB7A0F" w:rsidRPr="009B7016" w:rsidRDefault="00FB7A0F" w:rsidP="009B7016">
            <w:pPr>
              <w:pStyle w:val="CETBodytext"/>
              <w:rPr>
                <w:lang w:val="en-GB"/>
              </w:rPr>
            </w:pPr>
            <w:r w:rsidRPr="009B7016">
              <w:rPr>
                <w:lang w:val="en-GB"/>
              </w:rPr>
              <w:t xml:space="preserve">Aluminium </w:t>
            </w:r>
          </w:p>
        </w:tc>
        <w:tc>
          <w:tcPr>
            <w:tcW w:w="1134" w:type="dxa"/>
            <w:shd w:val="clear" w:color="auto" w:fill="FFFFFF"/>
          </w:tcPr>
          <w:p w14:paraId="389ED36F" w14:textId="77777777" w:rsidR="00FB7A0F" w:rsidRPr="009B7016" w:rsidRDefault="00FB7A0F" w:rsidP="009B7016">
            <w:pPr>
              <w:pStyle w:val="CETBodytext"/>
              <w:rPr>
                <w:lang w:val="en-GB"/>
              </w:rPr>
            </w:pPr>
            <w:r w:rsidRPr="009B7016">
              <w:rPr>
                <w:lang w:val="en-GB"/>
              </w:rPr>
              <w:t>0.00614</w:t>
            </w:r>
          </w:p>
        </w:tc>
        <w:tc>
          <w:tcPr>
            <w:tcW w:w="1134" w:type="dxa"/>
            <w:shd w:val="clear" w:color="auto" w:fill="FFFFFF"/>
          </w:tcPr>
          <w:p w14:paraId="40222D5B" w14:textId="77777777" w:rsidR="00FB7A0F" w:rsidRPr="009B7016" w:rsidRDefault="00FB7A0F" w:rsidP="009B7016">
            <w:pPr>
              <w:pStyle w:val="CETBodytext"/>
              <w:rPr>
                <w:lang w:val="en-GB"/>
              </w:rPr>
            </w:pPr>
            <w:r w:rsidRPr="009B7016">
              <w:rPr>
                <w:lang w:val="en-GB"/>
              </w:rPr>
              <w:t>2.0%</w:t>
            </w:r>
          </w:p>
        </w:tc>
      </w:tr>
      <w:tr w:rsidR="00FB7A0F" w:rsidRPr="00B57B36" w14:paraId="43EF500E" w14:textId="77777777" w:rsidTr="00FB7A0F">
        <w:tc>
          <w:tcPr>
            <w:tcW w:w="1134" w:type="dxa"/>
            <w:shd w:val="clear" w:color="auto" w:fill="FFFFFF"/>
          </w:tcPr>
          <w:p w14:paraId="08566BFC" w14:textId="77777777" w:rsidR="00FB7A0F" w:rsidRPr="009B7016" w:rsidRDefault="00FB7A0F" w:rsidP="009B7016">
            <w:pPr>
              <w:pStyle w:val="CETBodytext"/>
              <w:rPr>
                <w:lang w:val="en-GB"/>
              </w:rPr>
            </w:pPr>
            <w:r w:rsidRPr="009B7016">
              <w:rPr>
                <w:lang w:val="en-GB"/>
              </w:rPr>
              <w:t>TOTAL</w:t>
            </w:r>
          </w:p>
        </w:tc>
        <w:tc>
          <w:tcPr>
            <w:tcW w:w="1134" w:type="dxa"/>
            <w:shd w:val="clear" w:color="auto" w:fill="FFFFFF"/>
          </w:tcPr>
          <w:p w14:paraId="76795712" w14:textId="77777777" w:rsidR="00FB7A0F" w:rsidRPr="009B7016" w:rsidRDefault="00FB7A0F" w:rsidP="009B7016">
            <w:pPr>
              <w:pStyle w:val="CETBodytext"/>
              <w:rPr>
                <w:lang w:val="en-GB"/>
              </w:rPr>
            </w:pPr>
            <w:r w:rsidRPr="009B7016">
              <w:rPr>
                <w:lang w:val="en-GB"/>
              </w:rPr>
              <w:t>0.31314</w:t>
            </w:r>
          </w:p>
        </w:tc>
        <w:tc>
          <w:tcPr>
            <w:tcW w:w="1134" w:type="dxa"/>
            <w:shd w:val="clear" w:color="auto" w:fill="FFFFFF"/>
          </w:tcPr>
          <w:p w14:paraId="280E340B" w14:textId="77777777" w:rsidR="00FB7A0F" w:rsidRPr="009B7016" w:rsidRDefault="00FB7A0F" w:rsidP="009B7016">
            <w:pPr>
              <w:pStyle w:val="CETBodytext"/>
              <w:rPr>
                <w:lang w:val="en-GB"/>
              </w:rPr>
            </w:pPr>
            <w:r w:rsidRPr="009B7016">
              <w:rPr>
                <w:lang w:val="en-GB"/>
              </w:rPr>
              <w:t>100%</w:t>
            </w:r>
          </w:p>
        </w:tc>
      </w:tr>
    </w:tbl>
    <w:p w14:paraId="5B8BBAC3" w14:textId="1FB10A93" w:rsidR="009B7016" w:rsidRDefault="009B7016" w:rsidP="00CB51D7">
      <w:pPr>
        <w:pStyle w:val="CETBodytext"/>
        <w:spacing w:before="240"/>
        <w:rPr>
          <w:lang w:val="en-GB"/>
        </w:rPr>
      </w:pPr>
      <w:r w:rsidRPr="009B7016">
        <w:rPr>
          <w:lang w:val="en-GB"/>
        </w:rPr>
        <w:t xml:space="preserve">As the traditional packaging, </w:t>
      </w:r>
      <w:r w:rsidR="00E9602B">
        <w:rPr>
          <w:lang w:val="en-GB"/>
        </w:rPr>
        <w:t>also</w:t>
      </w:r>
      <w:r w:rsidR="00E9602B" w:rsidRPr="009B7016">
        <w:rPr>
          <w:lang w:val="en-GB"/>
        </w:rPr>
        <w:t xml:space="preserve"> </w:t>
      </w:r>
      <w:r w:rsidRPr="009B7016">
        <w:rPr>
          <w:lang w:val="en-GB"/>
        </w:rPr>
        <w:t>the innovative one is addressed to the packaging machine</w:t>
      </w:r>
      <w:r w:rsidR="00E9602B">
        <w:rPr>
          <w:lang w:val="en-GB"/>
        </w:rPr>
        <w:t xml:space="preserve"> to </w:t>
      </w:r>
      <w:r w:rsidR="0089090D">
        <w:rPr>
          <w:lang w:val="en-GB"/>
        </w:rPr>
        <w:t>obtain</w:t>
      </w:r>
      <w:r w:rsidR="00E9602B">
        <w:rPr>
          <w:lang w:val="en-GB"/>
        </w:rPr>
        <w:t xml:space="preserve"> the f</w:t>
      </w:r>
      <w:r w:rsidR="0089090D">
        <w:rPr>
          <w:lang w:val="en-GB"/>
        </w:rPr>
        <w:t>inal structure</w:t>
      </w:r>
      <w:r w:rsidR="00E9602B">
        <w:rPr>
          <w:lang w:val="en-GB"/>
        </w:rPr>
        <w:t>.</w:t>
      </w:r>
      <w:r w:rsidR="00CB51D7">
        <w:rPr>
          <w:lang w:val="en-GB"/>
        </w:rPr>
        <w:t xml:space="preserve"> </w:t>
      </w:r>
      <w:r w:rsidR="007138E8">
        <w:rPr>
          <w:lang w:val="en-GB"/>
        </w:rPr>
        <w:t>T</w:t>
      </w:r>
      <w:r w:rsidRPr="009B7016">
        <w:rPr>
          <w:lang w:val="en-GB"/>
        </w:rPr>
        <w:t xml:space="preserve">he allocation of the </w:t>
      </w:r>
      <w:r w:rsidR="00E9602B">
        <w:rPr>
          <w:lang w:val="en-GB"/>
        </w:rPr>
        <w:t xml:space="preserve">machine </w:t>
      </w:r>
      <w:r w:rsidRPr="009B7016">
        <w:rPr>
          <w:lang w:val="en-GB"/>
        </w:rPr>
        <w:t xml:space="preserve">weight and </w:t>
      </w:r>
      <w:r w:rsidR="00E9602B">
        <w:rPr>
          <w:lang w:val="en-GB"/>
        </w:rPr>
        <w:t xml:space="preserve">of the </w:t>
      </w:r>
      <w:r w:rsidRPr="009B7016">
        <w:rPr>
          <w:lang w:val="en-GB"/>
        </w:rPr>
        <w:t xml:space="preserve">required </w:t>
      </w:r>
      <w:r w:rsidR="00E9602B" w:rsidRPr="009B7016">
        <w:rPr>
          <w:lang w:val="en-GB"/>
        </w:rPr>
        <w:t xml:space="preserve">energy </w:t>
      </w:r>
      <w:r w:rsidRPr="009B7016">
        <w:rPr>
          <w:lang w:val="en-GB"/>
        </w:rPr>
        <w:t>was performed</w:t>
      </w:r>
      <w:r w:rsidR="0089090D">
        <w:rPr>
          <w:lang w:val="en-GB"/>
        </w:rPr>
        <w:t>,</w:t>
      </w:r>
      <w:r w:rsidRPr="009B7016">
        <w:rPr>
          <w:lang w:val="en-GB"/>
        </w:rPr>
        <w:t xml:space="preserve"> </w:t>
      </w:r>
      <w:r w:rsidR="0016708B">
        <w:rPr>
          <w:lang w:val="en-GB"/>
        </w:rPr>
        <w:t>and</w:t>
      </w:r>
      <w:r w:rsidRPr="009B7016">
        <w:rPr>
          <w:lang w:val="en-GB"/>
        </w:rPr>
        <w:t xml:space="preserve"> data related to </w:t>
      </w:r>
      <w:r w:rsidR="009C5BF8" w:rsidRPr="009B7016">
        <w:rPr>
          <w:lang w:val="en-GB"/>
        </w:rPr>
        <w:t xml:space="preserve">one </w:t>
      </w:r>
      <w:r w:rsidR="009C5BF8">
        <w:rPr>
          <w:lang w:val="en-GB"/>
        </w:rPr>
        <w:t>innovative</w:t>
      </w:r>
      <w:r w:rsidR="0016708B">
        <w:rPr>
          <w:lang w:val="en-GB"/>
        </w:rPr>
        <w:t xml:space="preserve"> </w:t>
      </w:r>
      <w:r w:rsidRPr="009B7016">
        <w:rPr>
          <w:lang w:val="en-GB"/>
        </w:rPr>
        <w:t xml:space="preserve">packaging were </w:t>
      </w:r>
      <w:r w:rsidR="00E9602B">
        <w:rPr>
          <w:lang w:val="en-GB"/>
        </w:rPr>
        <w:t>calculated</w:t>
      </w:r>
      <w:r w:rsidR="00E9602B" w:rsidRPr="009B7016">
        <w:rPr>
          <w:lang w:val="en-GB"/>
        </w:rPr>
        <w:t xml:space="preserve"> </w:t>
      </w:r>
      <w:r w:rsidRPr="009B7016">
        <w:rPr>
          <w:lang w:val="en-GB"/>
        </w:rPr>
        <w:t>and reported in table 4.</w:t>
      </w:r>
    </w:p>
    <w:p w14:paraId="1A88A941" w14:textId="64F28DF1" w:rsidR="00FB7A0F" w:rsidRDefault="00D556B1" w:rsidP="00D556B1">
      <w:pPr>
        <w:pStyle w:val="CETTabletitle"/>
      </w:pPr>
      <w:r w:rsidRPr="00B57B36">
        <w:t>Table</w:t>
      </w:r>
      <w:r w:rsidR="00241FF8">
        <w:t xml:space="preserve"> 4</w:t>
      </w:r>
      <w:r w:rsidRPr="00B57B36">
        <w:t xml:space="preserve">: </w:t>
      </w:r>
      <w:r w:rsidR="00E9602B">
        <w:t>Machinery characteristics and energy requirements for the innovative packaging functional unit.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2079"/>
        <w:gridCol w:w="2079"/>
        <w:gridCol w:w="2079"/>
      </w:tblGrid>
      <w:tr w:rsidR="00241FF8" w:rsidRPr="00B57B36" w14:paraId="535046A9" w14:textId="77777777" w:rsidTr="00241FF8">
        <w:tc>
          <w:tcPr>
            <w:tcW w:w="1134" w:type="dxa"/>
            <w:tcBorders>
              <w:top w:val="single" w:sz="12" w:space="0" w:color="008000"/>
              <w:bottom w:val="single" w:sz="6" w:space="0" w:color="008000"/>
            </w:tcBorders>
            <w:shd w:val="clear" w:color="auto" w:fill="FFFFFF"/>
          </w:tcPr>
          <w:p w14:paraId="07D1D0FF" w14:textId="77777777" w:rsidR="00241FF8" w:rsidRPr="009B7016" w:rsidRDefault="00241FF8" w:rsidP="00241FF8">
            <w:pPr>
              <w:pStyle w:val="CETBodytext"/>
              <w:rPr>
                <w:lang w:val="en-GB"/>
              </w:rPr>
            </w:pPr>
            <w:r w:rsidRPr="009B7016">
              <w:rPr>
                <w:lang w:val="en-GB"/>
              </w:rPr>
              <w:t>Process</w:t>
            </w:r>
          </w:p>
        </w:tc>
        <w:tc>
          <w:tcPr>
            <w:tcW w:w="1418" w:type="dxa"/>
            <w:tcBorders>
              <w:top w:val="single" w:sz="12" w:space="0" w:color="008000"/>
              <w:bottom w:val="single" w:sz="6" w:space="0" w:color="008000"/>
            </w:tcBorders>
            <w:shd w:val="clear" w:color="auto" w:fill="FFFFFF"/>
          </w:tcPr>
          <w:p w14:paraId="174B8AD3" w14:textId="77777777" w:rsidR="00241FF8" w:rsidRPr="009B7016" w:rsidRDefault="00241FF8" w:rsidP="00241FF8">
            <w:pPr>
              <w:pStyle w:val="CETBodytext"/>
              <w:rPr>
                <w:lang w:val="en-GB"/>
              </w:rPr>
            </w:pPr>
            <w:r w:rsidRPr="009B7016">
              <w:rPr>
                <w:lang w:val="en-GB"/>
              </w:rPr>
              <w:t xml:space="preserve">Weight </w:t>
            </w:r>
            <w:r>
              <w:rPr>
                <w:lang w:val="en-GB"/>
              </w:rPr>
              <w:t>(</w:t>
            </w:r>
            <w:r w:rsidRPr="009B7016">
              <w:rPr>
                <w:lang w:val="en-GB"/>
              </w:rPr>
              <w:t>kg</w:t>
            </w:r>
            <w:r>
              <w:rPr>
                <w:lang w:val="en-GB"/>
              </w:rPr>
              <w:t>)</w:t>
            </w:r>
          </w:p>
        </w:tc>
        <w:tc>
          <w:tcPr>
            <w:tcW w:w="2079" w:type="dxa"/>
            <w:tcBorders>
              <w:top w:val="single" w:sz="12" w:space="0" w:color="008000"/>
              <w:bottom w:val="single" w:sz="6" w:space="0" w:color="008000"/>
            </w:tcBorders>
            <w:shd w:val="clear" w:color="auto" w:fill="FFFFFF"/>
          </w:tcPr>
          <w:p w14:paraId="48197F5E" w14:textId="77777777" w:rsidR="00241FF8" w:rsidRPr="009B7016" w:rsidRDefault="00241FF8" w:rsidP="00241FF8">
            <w:pPr>
              <w:pStyle w:val="CETBodytext"/>
              <w:rPr>
                <w:lang w:val="en-GB"/>
              </w:rPr>
            </w:pPr>
            <w:r w:rsidRPr="009B7016">
              <w:rPr>
                <w:lang w:val="en-GB"/>
              </w:rPr>
              <w:t xml:space="preserve">Energy </w:t>
            </w:r>
            <w:r>
              <w:rPr>
                <w:lang w:val="en-GB"/>
              </w:rPr>
              <w:t>power (kW)</w:t>
            </w:r>
          </w:p>
        </w:tc>
        <w:tc>
          <w:tcPr>
            <w:tcW w:w="2079" w:type="dxa"/>
            <w:tcBorders>
              <w:top w:val="single" w:sz="12" w:space="0" w:color="008000"/>
              <w:bottom w:val="single" w:sz="6" w:space="0" w:color="008000"/>
            </w:tcBorders>
            <w:shd w:val="clear" w:color="auto" w:fill="FFFFFF"/>
          </w:tcPr>
          <w:p w14:paraId="15381444" w14:textId="4D89C1C0" w:rsidR="00241FF8" w:rsidRPr="009B7016" w:rsidRDefault="000D4C22" w:rsidP="00241FF8">
            <w:pPr>
              <w:pStyle w:val="CETBodytext"/>
              <w:rPr>
                <w:lang w:val="en-GB"/>
              </w:rPr>
            </w:pPr>
            <w:r>
              <w:rPr>
                <w:lang w:val="en-GB"/>
              </w:rPr>
              <w:t xml:space="preserve">Weight </w:t>
            </w:r>
            <w:r w:rsidR="00241FF8">
              <w:rPr>
                <w:lang w:val="en-GB"/>
              </w:rPr>
              <w:t xml:space="preserve">/ </w:t>
            </w:r>
            <w:r w:rsidR="004C0BC2">
              <w:rPr>
                <w:lang w:val="en-GB"/>
              </w:rPr>
              <w:t>unit</w:t>
            </w:r>
            <w:r w:rsidR="00241FF8" w:rsidRPr="009B7016">
              <w:rPr>
                <w:lang w:val="en-GB"/>
              </w:rPr>
              <w:t xml:space="preserve"> </w:t>
            </w:r>
            <w:r w:rsidR="00241FF8">
              <w:rPr>
                <w:lang w:val="en-GB"/>
              </w:rPr>
              <w:t>(</w:t>
            </w:r>
            <w:r>
              <w:rPr>
                <w:lang w:val="en-GB"/>
              </w:rPr>
              <w:t>k</w:t>
            </w:r>
            <w:r w:rsidR="00241FF8" w:rsidRPr="009B7016">
              <w:rPr>
                <w:lang w:val="en-GB"/>
              </w:rPr>
              <w:t>g</w:t>
            </w:r>
            <w:r w:rsidR="00241FF8">
              <w:rPr>
                <w:lang w:val="en-GB"/>
              </w:rPr>
              <w:t>)</w:t>
            </w:r>
          </w:p>
        </w:tc>
        <w:tc>
          <w:tcPr>
            <w:tcW w:w="2079" w:type="dxa"/>
            <w:tcBorders>
              <w:top w:val="single" w:sz="12" w:space="0" w:color="008000"/>
              <w:bottom w:val="single" w:sz="6" w:space="0" w:color="008000"/>
            </w:tcBorders>
            <w:shd w:val="clear" w:color="auto" w:fill="FFFFFF"/>
          </w:tcPr>
          <w:p w14:paraId="236E2363" w14:textId="6A8263F5" w:rsidR="00241FF8" w:rsidRPr="009B7016" w:rsidRDefault="000D4C22" w:rsidP="00241FF8">
            <w:pPr>
              <w:pStyle w:val="CETBodytext"/>
              <w:rPr>
                <w:lang w:val="en-GB"/>
              </w:rPr>
            </w:pPr>
            <w:r>
              <w:rPr>
                <w:lang w:val="en-GB"/>
              </w:rPr>
              <w:t xml:space="preserve">Energy </w:t>
            </w:r>
            <w:r w:rsidR="00241FF8">
              <w:rPr>
                <w:lang w:val="en-GB"/>
              </w:rPr>
              <w:t xml:space="preserve">/ </w:t>
            </w:r>
            <w:r w:rsidR="004C0BC2">
              <w:rPr>
                <w:lang w:val="en-GB"/>
              </w:rPr>
              <w:t>unit</w:t>
            </w:r>
            <w:r>
              <w:rPr>
                <w:lang w:val="en-GB"/>
              </w:rPr>
              <w:t xml:space="preserve"> (Wh)</w:t>
            </w:r>
          </w:p>
        </w:tc>
      </w:tr>
      <w:tr w:rsidR="00FB7A0F" w:rsidRPr="00B57B36" w14:paraId="7174702C" w14:textId="77777777" w:rsidTr="00241FF8">
        <w:tc>
          <w:tcPr>
            <w:tcW w:w="1134" w:type="dxa"/>
            <w:shd w:val="clear" w:color="auto" w:fill="FFFFFF"/>
          </w:tcPr>
          <w:p w14:paraId="49B395FD" w14:textId="77777777" w:rsidR="00FB7A0F" w:rsidRPr="009B7016" w:rsidRDefault="00FB7A0F" w:rsidP="00FB7A0F">
            <w:pPr>
              <w:pStyle w:val="CETBodytext"/>
              <w:rPr>
                <w:lang w:val="en-GB"/>
              </w:rPr>
            </w:pPr>
            <w:r w:rsidRPr="009B7016">
              <w:rPr>
                <w:lang w:val="en-GB"/>
              </w:rPr>
              <w:t>Metallization</w:t>
            </w:r>
          </w:p>
        </w:tc>
        <w:tc>
          <w:tcPr>
            <w:tcW w:w="1418" w:type="dxa"/>
            <w:shd w:val="clear" w:color="auto" w:fill="FFFFFF"/>
          </w:tcPr>
          <w:p w14:paraId="098DE786" w14:textId="77777777" w:rsidR="00FB7A0F" w:rsidRPr="009B7016" w:rsidRDefault="00FB7A0F" w:rsidP="00FB7A0F">
            <w:pPr>
              <w:pStyle w:val="CETBodytext"/>
              <w:rPr>
                <w:lang w:val="en-GB"/>
              </w:rPr>
            </w:pPr>
            <w:r w:rsidRPr="009B7016">
              <w:rPr>
                <w:lang w:val="en-GB"/>
              </w:rPr>
              <w:t>55’000</w:t>
            </w:r>
          </w:p>
        </w:tc>
        <w:tc>
          <w:tcPr>
            <w:tcW w:w="2079" w:type="dxa"/>
            <w:shd w:val="clear" w:color="auto" w:fill="FFFFFF"/>
          </w:tcPr>
          <w:p w14:paraId="23F7C6A4" w14:textId="77777777" w:rsidR="00FB7A0F" w:rsidRPr="009B7016" w:rsidRDefault="00FB7A0F" w:rsidP="00FB7A0F">
            <w:pPr>
              <w:pStyle w:val="CETBodytext"/>
              <w:rPr>
                <w:lang w:val="en-GB"/>
              </w:rPr>
            </w:pPr>
            <w:r w:rsidRPr="009B7016">
              <w:rPr>
                <w:lang w:val="en-GB"/>
              </w:rPr>
              <w:t xml:space="preserve">227.2 </w:t>
            </w:r>
          </w:p>
        </w:tc>
        <w:tc>
          <w:tcPr>
            <w:tcW w:w="2079" w:type="dxa"/>
            <w:shd w:val="clear" w:color="auto" w:fill="FFFFFF"/>
          </w:tcPr>
          <w:p w14:paraId="738C3593" w14:textId="77777777" w:rsidR="00FB7A0F" w:rsidRPr="009B7016" w:rsidRDefault="00FB7A0F" w:rsidP="00FB7A0F">
            <w:pPr>
              <w:pStyle w:val="CETBodytext"/>
              <w:rPr>
                <w:lang w:val="en-GB"/>
              </w:rPr>
            </w:pPr>
            <w:r w:rsidRPr="009B7016">
              <w:rPr>
                <w:lang w:val="en-GB"/>
              </w:rPr>
              <w:t>4</w:t>
            </w:r>
            <w:r w:rsidR="000D4C22">
              <w:rPr>
                <w:lang w:val="en-GB"/>
              </w:rPr>
              <w:t>.</w:t>
            </w:r>
            <w:r w:rsidRPr="009B7016">
              <w:rPr>
                <w:lang w:val="en-GB"/>
              </w:rPr>
              <w:t>8</w:t>
            </w:r>
            <w:r w:rsidR="000D4C22">
              <w:rPr>
                <w:lang w:val="en-GB"/>
              </w:rPr>
              <w:t>e-5</w:t>
            </w:r>
            <w:r w:rsidRPr="009B7016">
              <w:rPr>
                <w:lang w:val="en-GB"/>
              </w:rPr>
              <w:t xml:space="preserve"> </w:t>
            </w:r>
          </w:p>
        </w:tc>
        <w:tc>
          <w:tcPr>
            <w:tcW w:w="2079" w:type="dxa"/>
            <w:shd w:val="clear" w:color="auto" w:fill="FFFFFF"/>
          </w:tcPr>
          <w:p w14:paraId="64F04ADA" w14:textId="77777777" w:rsidR="00FB7A0F" w:rsidRPr="009B7016" w:rsidRDefault="00FB7A0F" w:rsidP="00FB7A0F">
            <w:pPr>
              <w:pStyle w:val="CETBodytext"/>
              <w:rPr>
                <w:lang w:val="en-GB"/>
              </w:rPr>
            </w:pPr>
            <w:r w:rsidRPr="009B7016">
              <w:rPr>
                <w:lang w:val="en-GB"/>
              </w:rPr>
              <w:t xml:space="preserve">12.120 </w:t>
            </w:r>
          </w:p>
        </w:tc>
      </w:tr>
      <w:tr w:rsidR="00FB7A0F" w:rsidRPr="00B57B36" w14:paraId="0C05CEE7" w14:textId="77777777" w:rsidTr="00241FF8">
        <w:tc>
          <w:tcPr>
            <w:tcW w:w="1134" w:type="dxa"/>
            <w:shd w:val="clear" w:color="auto" w:fill="FFFFFF"/>
          </w:tcPr>
          <w:p w14:paraId="1B00462B" w14:textId="77777777" w:rsidR="00FB7A0F" w:rsidRPr="009B7016" w:rsidRDefault="00FB7A0F" w:rsidP="00FB7A0F">
            <w:pPr>
              <w:pStyle w:val="CETBodytext"/>
              <w:rPr>
                <w:lang w:val="en-GB"/>
              </w:rPr>
            </w:pPr>
            <w:r w:rsidRPr="009B7016">
              <w:rPr>
                <w:lang w:val="en-GB"/>
              </w:rPr>
              <w:t>Lamination</w:t>
            </w:r>
          </w:p>
        </w:tc>
        <w:tc>
          <w:tcPr>
            <w:tcW w:w="1418" w:type="dxa"/>
            <w:shd w:val="clear" w:color="auto" w:fill="FFFFFF"/>
          </w:tcPr>
          <w:p w14:paraId="74908E99" w14:textId="77777777" w:rsidR="00FB7A0F" w:rsidRPr="009B7016" w:rsidRDefault="00FB7A0F" w:rsidP="00FB7A0F">
            <w:pPr>
              <w:pStyle w:val="CETBodytext"/>
              <w:rPr>
                <w:lang w:val="en-GB"/>
              </w:rPr>
            </w:pPr>
            <w:r w:rsidRPr="009B7016">
              <w:rPr>
                <w:lang w:val="en-GB"/>
              </w:rPr>
              <w:t>5’000</w:t>
            </w:r>
          </w:p>
        </w:tc>
        <w:tc>
          <w:tcPr>
            <w:tcW w:w="2079" w:type="dxa"/>
            <w:shd w:val="clear" w:color="auto" w:fill="FFFFFF"/>
          </w:tcPr>
          <w:p w14:paraId="68BB7F83" w14:textId="77777777" w:rsidR="00FB7A0F" w:rsidRPr="009B7016" w:rsidRDefault="00FB7A0F" w:rsidP="00FB7A0F">
            <w:pPr>
              <w:pStyle w:val="CETBodytext"/>
              <w:rPr>
                <w:lang w:val="en-GB"/>
              </w:rPr>
            </w:pPr>
            <w:r w:rsidRPr="009B7016">
              <w:rPr>
                <w:lang w:val="en-GB"/>
              </w:rPr>
              <w:t xml:space="preserve">53 </w:t>
            </w:r>
          </w:p>
        </w:tc>
        <w:tc>
          <w:tcPr>
            <w:tcW w:w="2079" w:type="dxa"/>
            <w:shd w:val="clear" w:color="auto" w:fill="FFFFFF"/>
          </w:tcPr>
          <w:p w14:paraId="7C17AF36" w14:textId="77777777" w:rsidR="00FB7A0F" w:rsidRPr="009B7016" w:rsidRDefault="00FB7A0F" w:rsidP="00FB7A0F">
            <w:pPr>
              <w:pStyle w:val="CETBodytext"/>
              <w:rPr>
                <w:lang w:val="en-GB"/>
              </w:rPr>
            </w:pPr>
            <w:r w:rsidRPr="009B7016">
              <w:rPr>
                <w:lang w:val="en-GB"/>
              </w:rPr>
              <w:t>1</w:t>
            </w:r>
            <w:r w:rsidR="000D4C22">
              <w:rPr>
                <w:lang w:val="en-GB"/>
              </w:rPr>
              <w:t>.</w:t>
            </w:r>
            <w:r w:rsidRPr="009B7016">
              <w:rPr>
                <w:lang w:val="en-GB"/>
              </w:rPr>
              <w:t>44</w:t>
            </w:r>
            <w:r w:rsidR="000D4C22">
              <w:rPr>
                <w:lang w:val="en-GB"/>
              </w:rPr>
              <w:t>e-8</w:t>
            </w:r>
            <w:r w:rsidRPr="009B7016">
              <w:rPr>
                <w:lang w:val="en-GB"/>
              </w:rPr>
              <w:t xml:space="preserve"> </w:t>
            </w:r>
          </w:p>
        </w:tc>
        <w:tc>
          <w:tcPr>
            <w:tcW w:w="2079" w:type="dxa"/>
            <w:shd w:val="clear" w:color="auto" w:fill="FFFFFF"/>
          </w:tcPr>
          <w:p w14:paraId="33A996AA" w14:textId="77777777" w:rsidR="00FB7A0F" w:rsidRPr="009B7016" w:rsidRDefault="00FB7A0F" w:rsidP="00FB7A0F">
            <w:pPr>
              <w:pStyle w:val="CETBodytext"/>
              <w:rPr>
                <w:lang w:val="en-GB"/>
              </w:rPr>
            </w:pPr>
            <w:r w:rsidRPr="009B7016">
              <w:rPr>
                <w:lang w:val="en-GB"/>
              </w:rPr>
              <w:t xml:space="preserve">0.091 </w:t>
            </w:r>
          </w:p>
        </w:tc>
      </w:tr>
      <w:tr w:rsidR="00FB7A0F" w:rsidRPr="00B57B36" w14:paraId="1442CAA1" w14:textId="77777777" w:rsidTr="00241FF8">
        <w:tc>
          <w:tcPr>
            <w:tcW w:w="1134" w:type="dxa"/>
            <w:shd w:val="clear" w:color="auto" w:fill="FFFFFF"/>
          </w:tcPr>
          <w:p w14:paraId="55DF30E9" w14:textId="77777777" w:rsidR="00FB7A0F" w:rsidRPr="009B7016" w:rsidRDefault="00FB7A0F" w:rsidP="00FB7A0F">
            <w:pPr>
              <w:pStyle w:val="CETBodytext"/>
              <w:rPr>
                <w:lang w:val="en-GB"/>
              </w:rPr>
            </w:pPr>
            <w:r w:rsidRPr="009B7016">
              <w:rPr>
                <w:lang w:val="en-GB"/>
              </w:rPr>
              <w:t>Packaging</w:t>
            </w:r>
          </w:p>
        </w:tc>
        <w:tc>
          <w:tcPr>
            <w:tcW w:w="1418" w:type="dxa"/>
            <w:shd w:val="clear" w:color="auto" w:fill="FFFFFF"/>
          </w:tcPr>
          <w:p w14:paraId="6E642EF0" w14:textId="77777777" w:rsidR="00FB7A0F" w:rsidRPr="009B7016" w:rsidRDefault="00FB7A0F" w:rsidP="00FB7A0F">
            <w:pPr>
              <w:pStyle w:val="CETBodytext"/>
              <w:rPr>
                <w:lang w:val="en-GB"/>
              </w:rPr>
            </w:pPr>
            <w:r w:rsidRPr="009B7016">
              <w:rPr>
                <w:lang w:val="en-GB"/>
              </w:rPr>
              <w:t>850</w:t>
            </w:r>
          </w:p>
        </w:tc>
        <w:tc>
          <w:tcPr>
            <w:tcW w:w="2079" w:type="dxa"/>
            <w:shd w:val="clear" w:color="auto" w:fill="FFFFFF"/>
          </w:tcPr>
          <w:p w14:paraId="1469944B" w14:textId="77777777" w:rsidR="00FB7A0F" w:rsidRPr="009B7016" w:rsidRDefault="00FB7A0F" w:rsidP="00FB7A0F">
            <w:pPr>
              <w:pStyle w:val="CETBodytext"/>
              <w:rPr>
                <w:lang w:val="en-GB"/>
              </w:rPr>
            </w:pPr>
            <w:r w:rsidRPr="009B7016">
              <w:rPr>
                <w:lang w:val="en-GB"/>
              </w:rPr>
              <w:t xml:space="preserve">3.5 </w:t>
            </w:r>
          </w:p>
        </w:tc>
        <w:tc>
          <w:tcPr>
            <w:tcW w:w="2079" w:type="dxa"/>
            <w:shd w:val="clear" w:color="auto" w:fill="FFFFFF"/>
          </w:tcPr>
          <w:p w14:paraId="316AB253" w14:textId="77777777" w:rsidR="00FB7A0F" w:rsidRPr="009B7016" w:rsidRDefault="00FB7A0F" w:rsidP="00FB7A0F">
            <w:pPr>
              <w:pStyle w:val="CETBodytext"/>
              <w:rPr>
                <w:lang w:val="en-GB"/>
              </w:rPr>
            </w:pPr>
            <w:r w:rsidRPr="009B7016">
              <w:rPr>
                <w:lang w:val="en-GB"/>
              </w:rPr>
              <w:t>2</w:t>
            </w:r>
            <w:r w:rsidR="000D4C22">
              <w:rPr>
                <w:lang w:val="en-GB"/>
              </w:rPr>
              <w:t>.</w:t>
            </w:r>
            <w:r w:rsidRPr="009B7016">
              <w:rPr>
                <w:lang w:val="en-GB"/>
              </w:rPr>
              <w:t>9</w:t>
            </w:r>
            <w:r w:rsidR="000D4C22">
              <w:rPr>
                <w:lang w:val="en-GB"/>
              </w:rPr>
              <w:t>e-6</w:t>
            </w:r>
            <w:r w:rsidRPr="009B7016">
              <w:rPr>
                <w:lang w:val="en-GB"/>
              </w:rPr>
              <w:t xml:space="preserve"> </w:t>
            </w:r>
          </w:p>
        </w:tc>
        <w:tc>
          <w:tcPr>
            <w:tcW w:w="2079" w:type="dxa"/>
            <w:shd w:val="clear" w:color="auto" w:fill="FFFFFF"/>
          </w:tcPr>
          <w:p w14:paraId="6547F304" w14:textId="77777777" w:rsidR="00FB7A0F" w:rsidRPr="009B7016" w:rsidRDefault="00FB7A0F" w:rsidP="00FB7A0F">
            <w:pPr>
              <w:pStyle w:val="CETBodytext"/>
              <w:numPr>
                <w:ilvl w:val="1"/>
                <w:numId w:val="23"/>
              </w:numPr>
              <w:rPr>
                <w:lang w:val="en-GB"/>
              </w:rPr>
            </w:pPr>
            <w:r w:rsidRPr="009B7016">
              <w:rPr>
                <w:lang w:val="en-GB"/>
              </w:rPr>
              <w:t xml:space="preserve">0 </w:t>
            </w:r>
          </w:p>
        </w:tc>
      </w:tr>
    </w:tbl>
    <w:p w14:paraId="616444B9" w14:textId="77777777" w:rsidR="009B7016" w:rsidRPr="009B7016" w:rsidRDefault="009B7016" w:rsidP="009B7016">
      <w:pPr>
        <w:pStyle w:val="CETHeading1"/>
      </w:pPr>
      <w:r w:rsidRPr="000754D3">
        <w:t>Results and discussio</w:t>
      </w:r>
      <w:r w:rsidRPr="009B7016">
        <w:t>n</w:t>
      </w:r>
    </w:p>
    <w:p w14:paraId="5EAD5CEC" w14:textId="27418E37" w:rsidR="009B7016" w:rsidRPr="009B7016" w:rsidRDefault="006B139B" w:rsidP="00FC4674">
      <w:pPr>
        <w:pStyle w:val="CETheadingx"/>
      </w:pPr>
      <w:r>
        <w:t xml:space="preserve">Life Cycle Impact Assessment (LCIA): </w:t>
      </w:r>
      <w:r w:rsidR="00CA4CB9">
        <w:t>t</w:t>
      </w:r>
      <w:r w:rsidR="009B7016" w:rsidRPr="009B7016">
        <w:t>he production scenario</w:t>
      </w:r>
    </w:p>
    <w:p w14:paraId="0576D176" w14:textId="77777777" w:rsidR="0057458F" w:rsidRDefault="00E721E8" w:rsidP="00771B3E">
      <w:pPr>
        <w:pStyle w:val="CETBodytext"/>
        <w:rPr>
          <w:lang w:val="en-GB"/>
        </w:rPr>
      </w:pPr>
      <w:r w:rsidRPr="009B7016">
        <w:rPr>
          <w:lang w:val="en-GB"/>
        </w:rPr>
        <w:t xml:space="preserve">According to </w:t>
      </w:r>
      <w:proofErr w:type="spellStart"/>
      <w:r w:rsidR="0089090D" w:rsidRPr="0089090D">
        <w:rPr>
          <w:lang w:val="en-GB"/>
        </w:rPr>
        <w:t>Chomkhamsri</w:t>
      </w:r>
      <w:proofErr w:type="spellEnd"/>
      <w:r w:rsidRPr="009B7016">
        <w:rPr>
          <w:lang w:val="en-GB"/>
        </w:rPr>
        <w:t xml:space="preserve"> et al.</w:t>
      </w:r>
      <w:r w:rsidR="0073406A">
        <w:rPr>
          <w:lang w:val="en-GB"/>
        </w:rPr>
        <w:t xml:space="preserve"> </w:t>
      </w:r>
      <w:r w:rsidRPr="009B7016">
        <w:rPr>
          <w:lang w:val="en-GB"/>
        </w:rPr>
        <w:t>(201</w:t>
      </w:r>
      <w:r w:rsidR="0089090D">
        <w:rPr>
          <w:lang w:val="en-GB"/>
        </w:rPr>
        <w:t>1</w:t>
      </w:r>
      <w:r w:rsidRPr="009B7016">
        <w:rPr>
          <w:lang w:val="en-GB"/>
        </w:rPr>
        <w:t>)</w:t>
      </w:r>
      <w:r w:rsidR="0073406A">
        <w:rPr>
          <w:lang w:val="en-GB"/>
        </w:rPr>
        <w:t>,</w:t>
      </w:r>
      <w:r w:rsidRPr="009B7016">
        <w:rPr>
          <w:lang w:val="en-GB"/>
        </w:rPr>
        <w:t xml:space="preserve"> ILCD 2011 method was applied </w:t>
      </w:r>
      <w:r w:rsidR="00FA159B">
        <w:rPr>
          <w:lang w:val="en-GB"/>
        </w:rPr>
        <w:t>considering</w:t>
      </w:r>
      <w:r>
        <w:rPr>
          <w:lang w:val="en-GB"/>
        </w:rPr>
        <w:t xml:space="preserve"> the </w:t>
      </w:r>
      <w:r w:rsidR="0016708B">
        <w:rPr>
          <w:lang w:val="en-GB"/>
        </w:rPr>
        <w:t>m</w:t>
      </w:r>
      <w:r>
        <w:rPr>
          <w:lang w:val="en-GB"/>
        </w:rPr>
        <w:t xml:space="preserve">ost significant impact categories: </w:t>
      </w:r>
      <w:r w:rsidRPr="009B7016">
        <w:rPr>
          <w:lang w:val="en-GB"/>
        </w:rPr>
        <w:t xml:space="preserve">Climate </w:t>
      </w:r>
      <w:r w:rsidR="00225E24">
        <w:rPr>
          <w:lang w:val="en-GB"/>
        </w:rPr>
        <w:t>C</w:t>
      </w:r>
      <w:r w:rsidRPr="009B7016">
        <w:rPr>
          <w:lang w:val="en-GB"/>
        </w:rPr>
        <w:t xml:space="preserve">hange </w:t>
      </w:r>
      <w:r>
        <w:rPr>
          <w:lang w:val="en-GB"/>
        </w:rPr>
        <w:t>(</w:t>
      </w:r>
      <w:r w:rsidRPr="009B7016">
        <w:rPr>
          <w:lang w:val="en-GB"/>
        </w:rPr>
        <w:t>CC</w:t>
      </w:r>
      <w:r>
        <w:rPr>
          <w:lang w:val="en-GB"/>
        </w:rPr>
        <w:t xml:space="preserve">); </w:t>
      </w:r>
      <w:r w:rsidRPr="009B7016">
        <w:rPr>
          <w:lang w:val="en-GB"/>
        </w:rPr>
        <w:t xml:space="preserve">Human </w:t>
      </w:r>
      <w:r w:rsidR="00225E24">
        <w:rPr>
          <w:lang w:val="en-GB"/>
        </w:rPr>
        <w:t>T</w:t>
      </w:r>
      <w:r w:rsidR="00225E24" w:rsidRPr="009B7016">
        <w:rPr>
          <w:lang w:val="en-GB"/>
        </w:rPr>
        <w:t>oxicity</w:t>
      </w:r>
      <w:r w:rsidRPr="009B7016">
        <w:rPr>
          <w:lang w:val="en-GB"/>
        </w:rPr>
        <w:t xml:space="preserve">, </w:t>
      </w:r>
      <w:r w:rsidR="00225E24">
        <w:rPr>
          <w:lang w:val="en-GB"/>
        </w:rPr>
        <w:t>N</w:t>
      </w:r>
      <w:r w:rsidRPr="009B7016">
        <w:rPr>
          <w:lang w:val="en-GB"/>
        </w:rPr>
        <w:t>on-</w:t>
      </w:r>
      <w:r w:rsidR="00225E24">
        <w:rPr>
          <w:lang w:val="en-GB"/>
        </w:rPr>
        <w:t>C</w:t>
      </w:r>
      <w:r w:rsidRPr="009B7016">
        <w:rPr>
          <w:lang w:val="en-GB"/>
        </w:rPr>
        <w:t xml:space="preserve">ancer effects </w:t>
      </w:r>
      <w:r>
        <w:rPr>
          <w:lang w:val="en-GB"/>
        </w:rPr>
        <w:t>(</w:t>
      </w:r>
      <w:r w:rsidRPr="009B7016">
        <w:rPr>
          <w:lang w:val="en-GB"/>
        </w:rPr>
        <w:t>HT-NC</w:t>
      </w:r>
      <w:r>
        <w:rPr>
          <w:lang w:val="en-GB"/>
        </w:rPr>
        <w:t xml:space="preserve">); </w:t>
      </w:r>
      <w:r w:rsidRPr="009B7016">
        <w:rPr>
          <w:lang w:val="en-GB"/>
        </w:rPr>
        <w:t xml:space="preserve">Human </w:t>
      </w:r>
      <w:r w:rsidR="00225E24">
        <w:rPr>
          <w:lang w:val="en-GB"/>
        </w:rPr>
        <w:t>T</w:t>
      </w:r>
      <w:r w:rsidRPr="009B7016">
        <w:rPr>
          <w:lang w:val="en-GB"/>
        </w:rPr>
        <w:t xml:space="preserve">oxicity, </w:t>
      </w:r>
      <w:r w:rsidR="00225E24">
        <w:rPr>
          <w:lang w:val="en-GB"/>
        </w:rPr>
        <w:t>C</w:t>
      </w:r>
      <w:r w:rsidRPr="009B7016">
        <w:rPr>
          <w:lang w:val="en-GB"/>
        </w:rPr>
        <w:t xml:space="preserve">ancer effects </w:t>
      </w:r>
      <w:r>
        <w:rPr>
          <w:lang w:val="en-GB"/>
        </w:rPr>
        <w:t>(</w:t>
      </w:r>
      <w:r w:rsidRPr="009B7016">
        <w:rPr>
          <w:lang w:val="en-GB"/>
        </w:rPr>
        <w:t>HT-C</w:t>
      </w:r>
      <w:r>
        <w:rPr>
          <w:lang w:val="en-GB"/>
        </w:rPr>
        <w:t xml:space="preserve">); </w:t>
      </w:r>
      <w:r w:rsidRPr="009B7016">
        <w:rPr>
          <w:lang w:val="en-GB"/>
        </w:rPr>
        <w:t xml:space="preserve">Freshwater </w:t>
      </w:r>
      <w:r w:rsidR="00225E24">
        <w:rPr>
          <w:lang w:val="en-GB"/>
        </w:rPr>
        <w:t>E</w:t>
      </w:r>
      <w:r w:rsidRPr="009B7016">
        <w:rPr>
          <w:lang w:val="en-GB"/>
        </w:rPr>
        <w:t xml:space="preserve">cotoxicity </w:t>
      </w:r>
      <w:r>
        <w:rPr>
          <w:lang w:val="en-GB"/>
        </w:rPr>
        <w:t>(</w:t>
      </w:r>
      <w:proofErr w:type="spellStart"/>
      <w:r w:rsidRPr="009B7016">
        <w:rPr>
          <w:lang w:val="en-GB"/>
        </w:rPr>
        <w:t>FEco</w:t>
      </w:r>
      <w:proofErr w:type="spellEnd"/>
      <w:r>
        <w:rPr>
          <w:lang w:val="en-GB"/>
        </w:rPr>
        <w:t xml:space="preserve">); </w:t>
      </w:r>
      <w:r w:rsidRPr="009B7016">
        <w:rPr>
          <w:lang w:val="en-GB"/>
        </w:rPr>
        <w:t xml:space="preserve">Land </w:t>
      </w:r>
      <w:r w:rsidR="00225E24">
        <w:rPr>
          <w:lang w:val="en-GB"/>
        </w:rPr>
        <w:t>U</w:t>
      </w:r>
      <w:r w:rsidRPr="009B7016">
        <w:rPr>
          <w:lang w:val="en-GB"/>
        </w:rPr>
        <w:t xml:space="preserve">se </w:t>
      </w:r>
      <w:r>
        <w:rPr>
          <w:lang w:val="en-GB"/>
        </w:rPr>
        <w:t>(</w:t>
      </w:r>
      <w:r w:rsidRPr="009B7016">
        <w:rPr>
          <w:lang w:val="en-GB"/>
        </w:rPr>
        <w:t>LU</w:t>
      </w:r>
      <w:r>
        <w:rPr>
          <w:lang w:val="en-GB"/>
        </w:rPr>
        <w:t xml:space="preserve">); </w:t>
      </w:r>
      <w:r w:rsidRPr="009B7016">
        <w:rPr>
          <w:lang w:val="en-GB"/>
        </w:rPr>
        <w:t xml:space="preserve">Water resource </w:t>
      </w:r>
      <w:r w:rsidR="00225E24">
        <w:rPr>
          <w:lang w:val="en-GB"/>
        </w:rPr>
        <w:t>D</w:t>
      </w:r>
      <w:r w:rsidRPr="009B7016">
        <w:rPr>
          <w:lang w:val="en-GB"/>
        </w:rPr>
        <w:t xml:space="preserve">epletion </w:t>
      </w:r>
      <w:r>
        <w:rPr>
          <w:lang w:val="en-GB"/>
        </w:rPr>
        <w:t>(</w:t>
      </w:r>
      <w:r w:rsidRPr="009B7016">
        <w:rPr>
          <w:lang w:val="en-GB"/>
        </w:rPr>
        <w:t>WD</w:t>
      </w:r>
      <w:r>
        <w:rPr>
          <w:lang w:val="en-GB"/>
        </w:rPr>
        <w:t xml:space="preserve">); </w:t>
      </w:r>
      <w:r w:rsidRPr="009B7016">
        <w:rPr>
          <w:lang w:val="en-GB"/>
        </w:rPr>
        <w:t xml:space="preserve">Mineral, fossil &amp; ren </w:t>
      </w:r>
      <w:r w:rsidR="00F12716">
        <w:rPr>
          <w:lang w:val="en-GB"/>
        </w:rPr>
        <w:t>R</w:t>
      </w:r>
      <w:r w:rsidRPr="009B7016">
        <w:rPr>
          <w:lang w:val="en-GB"/>
        </w:rPr>
        <w:t xml:space="preserve">esource </w:t>
      </w:r>
      <w:r w:rsidR="00F12716">
        <w:rPr>
          <w:lang w:val="en-GB"/>
        </w:rPr>
        <w:t>D</w:t>
      </w:r>
      <w:r w:rsidRPr="009B7016">
        <w:rPr>
          <w:lang w:val="en-GB"/>
        </w:rPr>
        <w:t xml:space="preserve">epletion </w:t>
      </w:r>
      <w:r>
        <w:rPr>
          <w:lang w:val="en-GB"/>
        </w:rPr>
        <w:t>(</w:t>
      </w:r>
      <w:r w:rsidRPr="009B7016">
        <w:rPr>
          <w:lang w:val="en-GB"/>
        </w:rPr>
        <w:t>MRD</w:t>
      </w:r>
      <w:r>
        <w:rPr>
          <w:lang w:val="en-GB"/>
        </w:rPr>
        <w:t xml:space="preserve">). </w:t>
      </w:r>
      <w:r w:rsidRPr="009B7016">
        <w:rPr>
          <w:lang w:val="en-GB"/>
        </w:rPr>
        <w:t xml:space="preserve">SimaPro 8.5 software has been used to elaborate the data </w:t>
      </w:r>
      <w:r w:rsidR="0089090D">
        <w:rPr>
          <w:lang w:val="en-GB"/>
        </w:rPr>
        <w:t xml:space="preserve">for </w:t>
      </w:r>
      <w:r w:rsidRPr="009B7016">
        <w:rPr>
          <w:lang w:val="en-GB"/>
        </w:rPr>
        <w:t>the impact assessment phase</w:t>
      </w:r>
      <w:r>
        <w:rPr>
          <w:lang w:val="en-GB"/>
        </w:rPr>
        <w:t>.</w:t>
      </w:r>
    </w:p>
    <w:p w14:paraId="4AD2185B" w14:textId="1A89F7B7" w:rsidR="00771B3E" w:rsidRDefault="00CA4CB9" w:rsidP="0057458F">
      <w:pPr>
        <w:pStyle w:val="CETBodytext"/>
        <w:spacing w:after="240"/>
        <w:rPr>
          <w:lang w:val="en-GB"/>
        </w:rPr>
      </w:pPr>
      <w:r>
        <w:rPr>
          <w:lang w:val="en-GB"/>
        </w:rPr>
        <w:t>Figure 1</w:t>
      </w:r>
      <w:r w:rsidR="009B7016" w:rsidRPr="009B7016">
        <w:rPr>
          <w:lang w:val="en-GB"/>
        </w:rPr>
        <w:t xml:space="preserve"> </w:t>
      </w:r>
      <w:r w:rsidR="00E11116">
        <w:rPr>
          <w:lang w:val="en-GB"/>
        </w:rPr>
        <w:t xml:space="preserve">shows </w:t>
      </w:r>
      <w:r w:rsidR="009B7016" w:rsidRPr="009B7016">
        <w:rPr>
          <w:lang w:val="en-GB"/>
        </w:rPr>
        <w:t>the production of traditional packagin</w:t>
      </w:r>
      <w:r w:rsidR="007B69AB">
        <w:rPr>
          <w:lang w:val="en-GB"/>
        </w:rPr>
        <w:t>g. For</w:t>
      </w:r>
      <w:r w:rsidR="009B7016" w:rsidRPr="009B7016">
        <w:rPr>
          <w:lang w:val="en-GB"/>
        </w:rPr>
        <w:t xml:space="preserve"> all the impact categories</w:t>
      </w:r>
      <w:r w:rsidR="000C42C6">
        <w:rPr>
          <w:lang w:val="en-GB"/>
        </w:rPr>
        <w:t>,</w:t>
      </w:r>
      <w:r w:rsidR="009B7016" w:rsidRPr="009B7016">
        <w:rPr>
          <w:lang w:val="en-GB"/>
        </w:rPr>
        <w:t xml:space="preserve"> the production of raw material</w:t>
      </w:r>
      <w:r w:rsidR="000C42C6">
        <w:rPr>
          <w:lang w:val="en-GB"/>
        </w:rPr>
        <w:t>s</w:t>
      </w:r>
      <w:r w:rsidR="009B7016" w:rsidRPr="009B7016">
        <w:rPr>
          <w:lang w:val="en-GB"/>
        </w:rPr>
        <w:t xml:space="preserve">, their transformation, the machinery </w:t>
      </w:r>
      <w:proofErr w:type="gramStart"/>
      <w:r w:rsidR="009B7016" w:rsidRPr="009B7016">
        <w:rPr>
          <w:lang w:val="en-GB"/>
        </w:rPr>
        <w:t>used</w:t>
      </w:r>
      <w:proofErr w:type="gramEnd"/>
      <w:r w:rsidR="0003618F">
        <w:rPr>
          <w:lang w:val="en-GB"/>
        </w:rPr>
        <w:t xml:space="preserve"> and the</w:t>
      </w:r>
      <w:r w:rsidR="009B7016" w:rsidRPr="009B7016">
        <w:rPr>
          <w:lang w:val="en-GB"/>
        </w:rPr>
        <w:t xml:space="preserve"> </w:t>
      </w:r>
      <w:r w:rsidR="0003618F" w:rsidRPr="009B7016">
        <w:rPr>
          <w:lang w:val="en-GB"/>
        </w:rPr>
        <w:t>energy supply</w:t>
      </w:r>
      <w:r w:rsidR="000C42C6" w:rsidRPr="000C42C6">
        <w:rPr>
          <w:lang w:val="en-GB"/>
        </w:rPr>
        <w:t xml:space="preserve"> </w:t>
      </w:r>
      <w:r w:rsidR="000C42C6" w:rsidRPr="009B7016">
        <w:rPr>
          <w:lang w:val="en-GB"/>
        </w:rPr>
        <w:t xml:space="preserve">are </w:t>
      </w:r>
      <w:r w:rsidR="000C42C6">
        <w:rPr>
          <w:lang w:val="en-GB"/>
        </w:rPr>
        <w:t>highlighted</w:t>
      </w:r>
      <w:r w:rsidR="0003618F">
        <w:rPr>
          <w:lang w:val="en-GB"/>
        </w:rPr>
        <w:t>.</w:t>
      </w:r>
      <w:r w:rsidR="0089090D">
        <w:rPr>
          <w:lang w:val="en-GB"/>
        </w:rPr>
        <w:t xml:space="preserve"> T</w:t>
      </w:r>
      <w:r w:rsidR="009B7016" w:rsidRPr="0073406A">
        <w:rPr>
          <w:lang w:val="en-GB"/>
        </w:rPr>
        <w:t xml:space="preserve">he main hotspot is the production of the aluminium </w:t>
      </w:r>
      <w:r w:rsidR="00A6718D">
        <w:rPr>
          <w:lang w:val="en-GB"/>
        </w:rPr>
        <w:t>film</w:t>
      </w:r>
      <w:r w:rsidR="009B7016" w:rsidRPr="0073406A">
        <w:rPr>
          <w:lang w:val="en-GB"/>
        </w:rPr>
        <w:t>,</w:t>
      </w:r>
      <w:r w:rsidR="003D2BDB">
        <w:rPr>
          <w:lang w:val="en-GB"/>
        </w:rPr>
        <w:t xml:space="preserve"> which</w:t>
      </w:r>
      <w:r w:rsidR="009B7016" w:rsidRPr="0073406A">
        <w:rPr>
          <w:lang w:val="en-GB"/>
        </w:rPr>
        <w:t xml:space="preserve"> </w:t>
      </w:r>
      <w:r w:rsidR="00274456">
        <w:rPr>
          <w:lang w:val="en-GB"/>
        </w:rPr>
        <w:t xml:space="preserve">is </w:t>
      </w:r>
      <w:r w:rsidR="00792F43">
        <w:rPr>
          <w:lang w:val="en-GB"/>
        </w:rPr>
        <w:t xml:space="preserve">ascribed </w:t>
      </w:r>
      <w:r w:rsidR="00A6718D">
        <w:rPr>
          <w:lang w:val="en-GB"/>
        </w:rPr>
        <w:t xml:space="preserve">mostly </w:t>
      </w:r>
      <w:r w:rsidR="00792F43">
        <w:rPr>
          <w:lang w:val="en-GB"/>
        </w:rPr>
        <w:t xml:space="preserve">to </w:t>
      </w:r>
      <w:r w:rsidR="00A6718D">
        <w:rPr>
          <w:lang w:val="en-GB"/>
        </w:rPr>
        <w:t>the impact category</w:t>
      </w:r>
      <w:r w:rsidR="009B7016" w:rsidRPr="0073406A">
        <w:rPr>
          <w:lang w:val="en-GB"/>
        </w:rPr>
        <w:t xml:space="preserve"> </w:t>
      </w:r>
      <w:r w:rsidR="00A6718D">
        <w:rPr>
          <w:lang w:val="en-GB"/>
        </w:rPr>
        <w:t xml:space="preserve">mineral </w:t>
      </w:r>
      <w:r w:rsidR="009B7016" w:rsidRPr="0073406A">
        <w:rPr>
          <w:lang w:val="en-GB"/>
        </w:rPr>
        <w:t>resource depletion</w:t>
      </w:r>
      <w:r w:rsidR="00A6718D">
        <w:rPr>
          <w:lang w:val="en-GB"/>
        </w:rPr>
        <w:t xml:space="preserve"> </w:t>
      </w:r>
      <w:r w:rsidR="000C42C6">
        <w:rPr>
          <w:lang w:val="en-GB"/>
        </w:rPr>
        <w:t>(</w:t>
      </w:r>
      <w:r w:rsidR="00A6718D">
        <w:rPr>
          <w:lang w:val="en-GB"/>
        </w:rPr>
        <w:t>MRD</w:t>
      </w:r>
      <w:r w:rsidR="000C42C6">
        <w:rPr>
          <w:lang w:val="en-GB"/>
        </w:rPr>
        <w:t>,</w:t>
      </w:r>
      <w:r w:rsidR="009B7016" w:rsidRPr="0073406A">
        <w:rPr>
          <w:lang w:val="en-GB"/>
        </w:rPr>
        <w:t xml:space="preserve"> 93%)</w:t>
      </w:r>
      <w:r w:rsidR="00A6718D">
        <w:rPr>
          <w:lang w:val="en-GB"/>
        </w:rPr>
        <w:t>. This incidence is due to</w:t>
      </w:r>
      <w:r w:rsidR="009B7016" w:rsidRPr="0073406A">
        <w:rPr>
          <w:lang w:val="en-GB"/>
        </w:rPr>
        <w:t xml:space="preserve"> the</w:t>
      </w:r>
      <w:r w:rsidR="0089090D">
        <w:rPr>
          <w:lang w:val="en-GB"/>
        </w:rPr>
        <w:t xml:space="preserve"> </w:t>
      </w:r>
      <w:r w:rsidR="009B7016" w:rsidRPr="0073406A">
        <w:rPr>
          <w:lang w:val="en-GB"/>
        </w:rPr>
        <w:t>extraction</w:t>
      </w:r>
      <w:r w:rsidR="0089090D">
        <w:rPr>
          <w:lang w:val="en-GB"/>
        </w:rPr>
        <w:t>, also called mineral cultivation,</w:t>
      </w:r>
      <w:r w:rsidR="009B7016" w:rsidRPr="0073406A">
        <w:rPr>
          <w:lang w:val="en-GB"/>
        </w:rPr>
        <w:t xml:space="preserve"> of the bauxite</w:t>
      </w:r>
      <w:r w:rsidR="0089090D">
        <w:rPr>
          <w:lang w:val="en-GB"/>
        </w:rPr>
        <w:t xml:space="preserve">. This process </w:t>
      </w:r>
      <w:r w:rsidR="009B7016" w:rsidRPr="0073406A">
        <w:rPr>
          <w:lang w:val="en-GB"/>
        </w:rPr>
        <w:t>damage</w:t>
      </w:r>
      <w:r w:rsidR="0089090D">
        <w:rPr>
          <w:lang w:val="en-GB"/>
        </w:rPr>
        <w:t>s</w:t>
      </w:r>
      <w:r w:rsidR="009B7016" w:rsidRPr="0073406A">
        <w:rPr>
          <w:lang w:val="en-GB"/>
        </w:rPr>
        <w:t xml:space="preserve"> the environment</w:t>
      </w:r>
      <w:r w:rsidR="00A6718D">
        <w:rPr>
          <w:lang w:val="en-GB"/>
        </w:rPr>
        <w:t xml:space="preserve"> in term</w:t>
      </w:r>
      <w:r w:rsidR="000C42C6">
        <w:rPr>
          <w:lang w:val="en-GB"/>
        </w:rPr>
        <w:t>s</w:t>
      </w:r>
      <w:r w:rsidR="00A6718D">
        <w:rPr>
          <w:lang w:val="en-GB"/>
        </w:rPr>
        <w:t xml:space="preserve"> of landscape and depletion of non-renewable resources </w:t>
      </w:r>
      <w:r w:rsidR="000C42C6">
        <w:rPr>
          <w:lang w:val="en-GB"/>
        </w:rPr>
        <w:t xml:space="preserve">as well as </w:t>
      </w:r>
      <w:r w:rsidR="00F04AFB">
        <w:rPr>
          <w:lang w:val="en-GB"/>
        </w:rPr>
        <w:t>of</w:t>
      </w:r>
      <w:r w:rsidR="009B7016" w:rsidRPr="0073406A">
        <w:rPr>
          <w:lang w:val="en-GB"/>
        </w:rPr>
        <w:t xml:space="preserve"> human health </w:t>
      </w:r>
      <w:r w:rsidR="00792F43">
        <w:rPr>
          <w:lang w:val="en-GB"/>
        </w:rPr>
        <w:t>(</w:t>
      </w:r>
      <w:r w:rsidR="00F04AFB">
        <w:rPr>
          <w:lang w:val="en-GB"/>
        </w:rPr>
        <w:t xml:space="preserve">HT-NC </w:t>
      </w:r>
      <w:r w:rsidR="00F04AFB" w:rsidRPr="0073406A">
        <w:rPr>
          <w:lang w:val="en-GB"/>
        </w:rPr>
        <w:t>49%</w:t>
      </w:r>
      <w:r w:rsidR="00F04AFB">
        <w:rPr>
          <w:lang w:val="en-GB"/>
        </w:rPr>
        <w:t xml:space="preserve">; </w:t>
      </w:r>
      <w:r w:rsidR="009B7016" w:rsidRPr="0073406A">
        <w:rPr>
          <w:lang w:val="en-GB"/>
        </w:rPr>
        <w:t>HT-C 60%).</w:t>
      </w:r>
    </w:p>
    <w:p w14:paraId="4E8EB9A1" w14:textId="78FD3DF6" w:rsidR="0057458F" w:rsidRPr="0057458F" w:rsidRDefault="0057458F" w:rsidP="0057458F">
      <w:pPr>
        <w:pStyle w:val="CETBodytext"/>
        <w:spacing w:after="240"/>
        <w:rPr>
          <w:lang w:val="en-GB"/>
        </w:rPr>
      </w:pPr>
      <w:r>
        <w:rPr>
          <w:i/>
          <w:noProof/>
          <w:lang w:val="en-GB"/>
        </w:rPr>
        <w:lastRenderedPageBreak/>
        <w:drawing>
          <wp:inline distT="0" distB="0" distL="0" distR="0" wp14:anchorId="295C7725" wp14:editId="5B538EBF">
            <wp:extent cx="5563870" cy="1579343"/>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kaging immagine 1.tif"/>
                    <pic:cNvPicPr/>
                  </pic:nvPicPr>
                  <pic:blipFill>
                    <a:blip r:embed="rId10">
                      <a:extLst>
                        <a:ext uri="{28A0092B-C50C-407E-A947-70E740481C1C}">
                          <a14:useLocalDpi xmlns:a14="http://schemas.microsoft.com/office/drawing/2010/main" val="0"/>
                        </a:ext>
                      </a:extLst>
                    </a:blip>
                    <a:stretch>
                      <a:fillRect/>
                    </a:stretch>
                  </pic:blipFill>
                  <pic:spPr>
                    <a:xfrm>
                      <a:off x="0" y="0"/>
                      <a:ext cx="5563870" cy="1579343"/>
                    </a:xfrm>
                    <a:prstGeom prst="rect">
                      <a:avLst/>
                    </a:prstGeom>
                  </pic:spPr>
                </pic:pic>
              </a:graphicData>
            </a:graphic>
          </wp:inline>
        </w:drawing>
      </w:r>
      <w:r w:rsidRPr="0057458F">
        <w:rPr>
          <w:i/>
          <w:lang w:val="en-GB"/>
        </w:rPr>
        <w:t xml:space="preserve"> </w:t>
      </w:r>
      <w:r w:rsidRPr="0016708B">
        <w:rPr>
          <w:i/>
          <w:lang w:val="en-GB"/>
        </w:rPr>
        <w:t xml:space="preserve">Figure 1: </w:t>
      </w:r>
      <w:bookmarkStart w:id="0" w:name="_Hlk535676216"/>
      <w:r w:rsidRPr="0016708B">
        <w:rPr>
          <w:i/>
          <w:lang w:val="en-GB"/>
        </w:rPr>
        <w:t xml:space="preserve">Percentage subdivision of the </w:t>
      </w:r>
      <w:r>
        <w:rPr>
          <w:i/>
          <w:lang w:val="en-GB"/>
        </w:rPr>
        <w:t>factors</w:t>
      </w:r>
      <w:r w:rsidRPr="0016708B">
        <w:rPr>
          <w:i/>
          <w:lang w:val="en-GB"/>
        </w:rPr>
        <w:t xml:space="preserve"> related to the production of </w:t>
      </w:r>
      <w:r>
        <w:rPr>
          <w:i/>
          <w:lang w:val="en-GB"/>
        </w:rPr>
        <w:t>the</w:t>
      </w:r>
      <w:r w:rsidRPr="0016708B">
        <w:rPr>
          <w:i/>
          <w:lang w:val="en-GB"/>
        </w:rPr>
        <w:t xml:space="preserve"> traditional packaging</w:t>
      </w:r>
      <w:bookmarkEnd w:id="0"/>
      <w:r>
        <w:rPr>
          <w:i/>
          <w:lang w:val="en-GB"/>
        </w:rPr>
        <w:t xml:space="preserve"> functional unit.</w:t>
      </w:r>
    </w:p>
    <w:p w14:paraId="1162C565" w14:textId="39F0D556" w:rsidR="009B7016" w:rsidRPr="0073406A" w:rsidRDefault="00F04463" w:rsidP="00CB51D7">
      <w:pPr>
        <w:pStyle w:val="CETBodytext"/>
        <w:spacing w:before="240"/>
        <w:rPr>
          <w:lang w:val="en-GB"/>
        </w:rPr>
      </w:pPr>
      <w:r>
        <w:rPr>
          <w:lang w:val="en-GB"/>
        </w:rPr>
        <w:t>A</w:t>
      </w:r>
      <w:r w:rsidR="009B7016" w:rsidRPr="0073406A">
        <w:rPr>
          <w:lang w:val="en-GB"/>
        </w:rPr>
        <w:t xml:space="preserve"> positive aspect </w:t>
      </w:r>
      <w:r w:rsidR="00792F43">
        <w:rPr>
          <w:lang w:val="en-GB"/>
        </w:rPr>
        <w:t>regarding</w:t>
      </w:r>
      <w:r w:rsidR="009B7016" w:rsidRPr="0073406A">
        <w:rPr>
          <w:lang w:val="en-GB"/>
        </w:rPr>
        <w:t xml:space="preserve"> bauxite</w:t>
      </w:r>
      <w:r>
        <w:rPr>
          <w:lang w:val="en-GB"/>
        </w:rPr>
        <w:t xml:space="preserve"> </w:t>
      </w:r>
      <w:r w:rsidR="00792F43">
        <w:rPr>
          <w:lang w:val="en-GB"/>
        </w:rPr>
        <w:t>extraction</w:t>
      </w:r>
      <w:r w:rsidR="00792F43" w:rsidRPr="0073406A">
        <w:rPr>
          <w:lang w:val="en-GB"/>
        </w:rPr>
        <w:t xml:space="preserve"> </w:t>
      </w:r>
      <w:r>
        <w:rPr>
          <w:lang w:val="en-GB"/>
        </w:rPr>
        <w:t>can be noticed</w:t>
      </w:r>
      <w:r w:rsidR="00792F43">
        <w:rPr>
          <w:lang w:val="en-GB"/>
        </w:rPr>
        <w:t xml:space="preserve"> and is</w:t>
      </w:r>
      <w:r w:rsidR="009B7016" w:rsidRPr="0073406A">
        <w:rPr>
          <w:lang w:val="en-GB"/>
        </w:rPr>
        <w:t xml:space="preserve"> </w:t>
      </w:r>
      <w:r w:rsidR="00792F43">
        <w:rPr>
          <w:lang w:val="en-GB"/>
        </w:rPr>
        <w:t>ascribable</w:t>
      </w:r>
      <w:r w:rsidR="00792F43" w:rsidRPr="0073406A">
        <w:rPr>
          <w:lang w:val="en-GB"/>
        </w:rPr>
        <w:t xml:space="preserve"> </w:t>
      </w:r>
      <w:r w:rsidR="009B7016" w:rsidRPr="0073406A">
        <w:rPr>
          <w:lang w:val="en-GB"/>
        </w:rPr>
        <w:t>to the WD (-17%)</w:t>
      </w:r>
      <w:r w:rsidR="00673A09">
        <w:rPr>
          <w:lang w:val="en-GB"/>
        </w:rPr>
        <w:t>.</w:t>
      </w:r>
      <w:r w:rsidR="00D33A06">
        <w:rPr>
          <w:lang w:val="en-GB"/>
        </w:rPr>
        <w:t xml:space="preserve"> A</w:t>
      </w:r>
      <w:r w:rsidR="00AA0489">
        <w:rPr>
          <w:lang w:val="en-GB"/>
        </w:rPr>
        <w:t>ltho</w:t>
      </w:r>
      <w:r w:rsidR="009C6995">
        <w:rPr>
          <w:lang w:val="en-GB"/>
        </w:rPr>
        <w:t>u</w:t>
      </w:r>
      <w:r w:rsidR="00AA0489">
        <w:rPr>
          <w:lang w:val="en-GB"/>
        </w:rPr>
        <w:t>gh</w:t>
      </w:r>
      <w:r w:rsidR="00D33A06">
        <w:rPr>
          <w:lang w:val="en-GB"/>
        </w:rPr>
        <w:t xml:space="preserve"> the</w:t>
      </w:r>
      <w:r w:rsidR="00AA0489">
        <w:rPr>
          <w:lang w:val="en-GB"/>
        </w:rPr>
        <w:t xml:space="preserve"> b</w:t>
      </w:r>
      <w:r w:rsidR="009B7016" w:rsidRPr="0073406A">
        <w:rPr>
          <w:lang w:val="en-GB"/>
        </w:rPr>
        <w:t xml:space="preserve">auxite </w:t>
      </w:r>
      <w:r w:rsidR="00792F43">
        <w:rPr>
          <w:lang w:val="en-GB"/>
        </w:rPr>
        <w:t xml:space="preserve">extraction </w:t>
      </w:r>
      <w:r w:rsidR="009B7016" w:rsidRPr="0073406A">
        <w:rPr>
          <w:lang w:val="en-GB"/>
        </w:rPr>
        <w:t xml:space="preserve">implies the use of </w:t>
      </w:r>
      <w:r w:rsidR="00496CC2">
        <w:rPr>
          <w:lang w:val="en-GB"/>
        </w:rPr>
        <w:t xml:space="preserve">a </w:t>
      </w:r>
      <w:r w:rsidR="00556442" w:rsidRPr="00496CC2">
        <w:rPr>
          <w:noProof/>
          <w:lang w:val="en-GB"/>
        </w:rPr>
        <w:t>high</w:t>
      </w:r>
      <w:r w:rsidR="00556442">
        <w:rPr>
          <w:lang w:val="en-GB"/>
        </w:rPr>
        <w:t xml:space="preserve"> quantity</w:t>
      </w:r>
      <w:r w:rsidR="009B7016" w:rsidRPr="0073406A">
        <w:rPr>
          <w:lang w:val="en-GB"/>
        </w:rPr>
        <w:t xml:space="preserve"> of water</w:t>
      </w:r>
      <w:r w:rsidR="00AA0489">
        <w:rPr>
          <w:lang w:val="en-GB"/>
        </w:rPr>
        <w:t>,</w:t>
      </w:r>
      <w:r w:rsidR="009C6995">
        <w:rPr>
          <w:lang w:val="en-GB"/>
        </w:rPr>
        <w:t xml:space="preserve"> </w:t>
      </w:r>
      <w:r w:rsidR="00923F0E">
        <w:rPr>
          <w:lang w:val="en-GB"/>
        </w:rPr>
        <w:t>the</w:t>
      </w:r>
      <w:r w:rsidR="00E96EEE">
        <w:rPr>
          <w:lang w:val="en-GB"/>
        </w:rPr>
        <w:t xml:space="preserve"> mineral extraction</w:t>
      </w:r>
      <w:r w:rsidR="00923F0E">
        <w:rPr>
          <w:lang w:val="en-GB"/>
        </w:rPr>
        <w:t xml:space="preserve"> </w:t>
      </w:r>
      <w:r w:rsidR="00980B8C">
        <w:rPr>
          <w:lang w:val="en-GB"/>
        </w:rPr>
        <w:t>companies</w:t>
      </w:r>
      <w:r w:rsidR="00E64D9F">
        <w:rPr>
          <w:lang w:val="en-GB"/>
        </w:rPr>
        <w:t xml:space="preserve"> </w:t>
      </w:r>
      <w:r w:rsidR="009B7016" w:rsidRPr="0073406A">
        <w:rPr>
          <w:lang w:val="en-GB"/>
        </w:rPr>
        <w:t>use recycled water or</w:t>
      </w:r>
      <w:r w:rsidR="00556442">
        <w:rPr>
          <w:lang w:val="en-GB"/>
        </w:rPr>
        <w:t xml:space="preserve"> </w:t>
      </w:r>
      <w:r w:rsidR="009B7016" w:rsidRPr="0073406A">
        <w:rPr>
          <w:lang w:val="en-GB"/>
        </w:rPr>
        <w:t xml:space="preserve">recycle the water </w:t>
      </w:r>
      <w:r w:rsidR="00556442">
        <w:rPr>
          <w:lang w:val="en-GB"/>
        </w:rPr>
        <w:t>to reduce water depletion</w:t>
      </w:r>
      <w:r w:rsidR="00BD26B8">
        <w:rPr>
          <w:lang w:val="en-GB"/>
        </w:rPr>
        <w:t>,</w:t>
      </w:r>
      <w:r w:rsidR="00AA0489">
        <w:rPr>
          <w:lang w:val="en-GB"/>
        </w:rPr>
        <w:t xml:space="preserve"> </w:t>
      </w:r>
      <w:r w:rsidR="00EC367B">
        <w:rPr>
          <w:lang w:val="en-GB"/>
        </w:rPr>
        <w:t>for this reason</w:t>
      </w:r>
      <w:r w:rsidR="00143F17">
        <w:rPr>
          <w:lang w:val="en-GB"/>
        </w:rPr>
        <w:t>,</w:t>
      </w:r>
      <w:r w:rsidR="00EC367B">
        <w:rPr>
          <w:lang w:val="en-GB"/>
        </w:rPr>
        <w:t xml:space="preserve"> the result</w:t>
      </w:r>
      <w:r w:rsidR="001A5029">
        <w:rPr>
          <w:lang w:val="en-GB"/>
        </w:rPr>
        <w:t xml:space="preserve"> is </w:t>
      </w:r>
      <w:r w:rsidR="00AA0489">
        <w:rPr>
          <w:lang w:val="en-GB"/>
        </w:rPr>
        <w:t>a negative impact</w:t>
      </w:r>
      <w:r w:rsidR="009B7016" w:rsidRPr="0073406A">
        <w:rPr>
          <w:lang w:val="en-GB"/>
        </w:rPr>
        <w:t xml:space="preserve">. </w:t>
      </w:r>
      <w:r w:rsidR="00172D15">
        <w:rPr>
          <w:lang w:val="en-GB"/>
        </w:rPr>
        <w:t>Another hotspot is</w:t>
      </w:r>
      <w:r w:rsidR="009B7016" w:rsidRPr="0073406A">
        <w:rPr>
          <w:lang w:val="en-GB"/>
        </w:rPr>
        <w:t xml:space="preserve"> the PET production chain</w:t>
      </w:r>
      <w:r w:rsidR="00D071DE">
        <w:rPr>
          <w:lang w:val="en-GB"/>
        </w:rPr>
        <w:t>, which</w:t>
      </w:r>
      <w:r w:rsidR="009B7016" w:rsidRPr="0073406A">
        <w:rPr>
          <w:lang w:val="en-GB"/>
        </w:rPr>
        <w:t xml:space="preserve"> incidence is related to all the impact categories</w:t>
      </w:r>
      <w:r w:rsidR="00950D1E">
        <w:rPr>
          <w:lang w:val="en-GB"/>
        </w:rPr>
        <w:t xml:space="preserve"> </w:t>
      </w:r>
      <w:r w:rsidR="00172D15">
        <w:rPr>
          <w:lang w:val="en-GB"/>
        </w:rPr>
        <w:t xml:space="preserve">with </w:t>
      </w:r>
      <w:r w:rsidR="00172D15" w:rsidRPr="00496CC2">
        <w:rPr>
          <w:noProof/>
          <w:lang w:val="en-GB"/>
        </w:rPr>
        <w:t>particular</w:t>
      </w:r>
      <w:r w:rsidR="00496CC2">
        <w:rPr>
          <w:noProof/>
          <w:lang w:val="en-GB"/>
        </w:rPr>
        <w:t>ly</w:t>
      </w:r>
      <w:r w:rsidR="00172D15">
        <w:rPr>
          <w:lang w:val="en-GB"/>
        </w:rPr>
        <w:t xml:space="preserve"> high values </w:t>
      </w:r>
      <w:r w:rsidR="009B7016" w:rsidRPr="0073406A">
        <w:rPr>
          <w:lang w:val="en-GB"/>
        </w:rPr>
        <w:t xml:space="preserve">for </w:t>
      </w:r>
      <w:r w:rsidR="00556442">
        <w:rPr>
          <w:lang w:val="en-GB"/>
        </w:rPr>
        <w:t>CC</w:t>
      </w:r>
      <w:r w:rsidR="009B7016" w:rsidRPr="0073406A">
        <w:rPr>
          <w:lang w:val="en-GB"/>
        </w:rPr>
        <w:t xml:space="preserve"> (34%). The </w:t>
      </w:r>
      <w:r w:rsidR="00556442">
        <w:rPr>
          <w:lang w:val="en-GB"/>
        </w:rPr>
        <w:t>incidence</w:t>
      </w:r>
      <w:r w:rsidR="009B7016" w:rsidRPr="0073406A">
        <w:rPr>
          <w:lang w:val="en-GB"/>
        </w:rPr>
        <w:t xml:space="preserve"> of this hotspot is </w:t>
      </w:r>
      <w:r w:rsidR="00172D15" w:rsidRPr="0073406A">
        <w:rPr>
          <w:lang w:val="en-GB"/>
        </w:rPr>
        <w:t>ma</w:t>
      </w:r>
      <w:r w:rsidR="00172D15">
        <w:rPr>
          <w:lang w:val="en-GB"/>
        </w:rPr>
        <w:t>in</w:t>
      </w:r>
      <w:r w:rsidR="00172D15" w:rsidRPr="0073406A">
        <w:rPr>
          <w:lang w:val="en-GB"/>
        </w:rPr>
        <w:t xml:space="preserve">ly </w:t>
      </w:r>
      <w:r w:rsidR="00172D15">
        <w:rPr>
          <w:lang w:val="en-GB"/>
        </w:rPr>
        <w:t>due to</w:t>
      </w:r>
      <w:r w:rsidR="009B7016" w:rsidRPr="0073406A">
        <w:rPr>
          <w:lang w:val="en-GB"/>
        </w:rPr>
        <w:t xml:space="preserve"> </w:t>
      </w:r>
      <w:r w:rsidR="00172D15">
        <w:rPr>
          <w:lang w:val="en-GB"/>
        </w:rPr>
        <w:t xml:space="preserve">the </w:t>
      </w:r>
      <w:r w:rsidR="009B7016" w:rsidRPr="0073406A">
        <w:rPr>
          <w:lang w:val="en-GB"/>
        </w:rPr>
        <w:t>raw materials</w:t>
      </w:r>
      <w:r w:rsidR="00172D15">
        <w:rPr>
          <w:lang w:val="en-GB"/>
        </w:rPr>
        <w:t xml:space="preserve"> extraction</w:t>
      </w:r>
      <w:r w:rsidR="009B7016" w:rsidRPr="0073406A">
        <w:rPr>
          <w:lang w:val="en-GB"/>
        </w:rPr>
        <w:t xml:space="preserve"> and </w:t>
      </w:r>
      <w:r w:rsidR="00172D15">
        <w:rPr>
          <w:lang w:val="en-GB"/>
        </w:rPr>
        <w:t xml:space="preserve">to </w:t>
      </w:r>
      <w:r w:rsidR="009B7016" w:rsidRPr="0073406A">
        <w:rPr>
          <w:lang w:val="en-GB"/>
        </w:rPr>
        <w:t>the transformation from polymers to films</w:t>
      </w:r>
      <w:r w:rsidR="00172D15" w:rsidRPr="00172D15">
        <w:rPr>
          <w:lang w:val="en-GB"/>
        </w:rPr>
        <w:t xml:space="preserve"> </w:t>
      </w:r>
      <w:r w:rsidR="00172D15" w:rsidRPr="0073406A">
        <w:rPr>
          <w:lang w:val="en-GB"/>
        </w:rPr>
        <w:t>by chemical industries</w:t>
      </w:r>
      <w:r w:rsidR="009B7016" w:rsidRPr="0073406A">
        <w:rPr>
          <w:lang w:val="en-GB"/>
        </w:rPr>
        <w:t xml:space="preserve">. The </w:t>
      </w:r>
      <w:r w:rsidR="0073406A">
        <w:rPr>
          <w:lang w:val="en-GB"/>
        </w:rPr>
        <w:t>electricity</w:t>
      </w:r>
      <w:r w:rsidR="009B7016" w:rsidRPr="0073406A">
        <w:rPr>
          <w:lang w:val="en-GB"/>
        </w:rPr>
        <w:t xml:space="preserve"> required by the transformation machines is the third hotspot (</w:t>
      </w:r>
      <w:r w:rsidR="00556442">
        <w:rPr>
          <w:lang w:val="en-GB"/>
        </w:rPr>
        <w:t xml:space="preserve">from </w:t>
      </w:r>
      <w:r w:rsidR="009B7016" w:rsidRPr="0073406A">
        <w:rPr>
          <w:lang w:val="en-GB"/>
        </w:rPr>
        <w:t>8.8%</w:t>
      </w:r>
      <w:r w:rsidR="00556442">
        <w:rPr>
          <w:lang w:val="en-GB"/>
        </w:rPr>
        <w:t xml:space="preserve"> HT-C to</w:t>
      </w:r>
      <w:r w:rsidR="009B7016" w:rsidRPr="0073406A">
        <w:rPr>
          <w:lang w:val="en-GB"/>
        </w:rPr>
        <w:t xml:space="preserve"> 62%</w:t>
      </w:r>
      <w:r w:rsidR="00556442">
        <w:rPr>
          <w:lang w:val="en-GB"/>
        </w:rPr>
        <w:t xml:space="preserve"> WD</w:t>
      </w:r>
      <w:r w:rsidR="009B7016" w:rsidRPr="0073406A">
        <w:rPr>
          <w:lang w:val="en-GB"/>
        </w:rPr>
        <w:t>)</w:t>
      </w:r>
      <w:r w:rsidR="001C176F">
        <w:rPr>
          <w:lang w:val="en-GB"/>
        </w:rPr>
        <w:t>.</w:t>
      </w:r>
      <w:r w:rsidR="009B7016" w:rsidRPr="0073406A">
        <w:rPr>
          <w:lang w:val="en-GB"/>
        </w:rPr>
        <w:t xml:space="preserve"> </w:t>
      </w:r>
      <w:r w:rsidR="001C176F">
        <w:rPr>
          <w:lang w:val="en-GB"/>
        </w:rPr>
        <w:t>T</w:t>
      </w:r>
      <w:r w:rsidR="009B7016" w:rsidRPr="0073406A">
        <w:rPr>
          <w:lang w:val="en-GB"/>
        </w:rPr>
        <w:t xml:space="preserve">he high demand </w:t>
      </w:r>
      <w:r w:rsidR="00496CC2">
        <w:rPr>
          <w:noProof/>
          <w:lang w:val="en-GB"/>
        </w:rPr>
        <w:t>for</w:t>
      </w:r>
      <w:r w:rsidR="009B7016" w:rsidRPr="0073406A">
        <w:rPr>
          <w:lang w:val="en-GB"/>
        </w:rPr>
        <w:t xml:space="preserve"> electricity </w:t>
      </w:r>
      <w:r w:rsidR="001C176F">
        <w:rPr>
          <w:lang w:val="en-GB"/>
        </w:rPr>
        <w:t>is</w:t>
      </w:r>
      <w:r w:rsidR="009B7016" w:rsidRPr="0073406A">
        <w:rPr>
          <w:lang w:val="en-GB"/>
        </w:rPr>
        <w:t xml:space="preserve"> due to </w:t>
      </w:r>
      <w:r w:rsidR="001C176F">
        <w:rPr>
          <w:lang w:val="en-GB"/>
        </w:rPr>
        <w:t>the machines</w:t>
      </w:r>
      <w:r w:rsidR="001C176F" w:rsidRPr="0073406A">
        <w:rPr>
          <w:lang w:val="en-GB"/>
        </w:rPr>
        <w:t xml:space="preserve"> </w:t>
      </w:r>
      <w:r w:rsidR="009B7016" w:rsidRPr="0073406A">
        <w:rPr>
          <w:lang w:val="en-GB"/>
        </w:rPr>
        <w:t xml:space="preserve">dimension and </w:t>
      </w:r>
      <w:r w:rsidR="001C176F">
        <w:rPr>
          <w:lang w:val="en-GB"/>
        </w:rPr>
        <w:t xml:space="preserve">the </w:t>
      </w:r>
      <w:r w:rsidR="009B7016" w:rsidRPr="0073406A">
        <w:rPr>
          <w:lang w:val="en-GB"/>
        </w:rPr>
        <w:t xml:space="preserve">type of </w:t>
      </w:r>
      <w:r w:rsidR="001C176F">
        <w:rPr>
          <w:lang w:val="en-GB"/>
        </w:rPr>
        <w:t>processing</w:t>
      </w:r>
      <w:r w:rsidR="009B7016" w:rsidRPr="0073406A">
        <w:rPr>
          <w:lang w:val="en-GB"/>
        </w:rPr>
        <w:t xml:space="preserve">, </w:t>
      </w:r>
      <w:r w:rsidR="001C176F">
        <w:rPr>
          <w:lang w:val="en-GB"/>
        </w:rPr>
        <w:t>ending up in</w:t>
      </w:r>
      <w:r w:rsidR="009B7016" w:rsidRPr="0073406A">
        <w:rPr>
          <w:lang w:val="en-GB"/>
        </w:rPr>
        <w:t xml:space="preserve"> a high percentage of incidence in all the impact categories. </w:t>
      </w:r>
    </w:p>
    <w:p w14:paraId="21650024" w14:textId="26BB45B1" w:rsidR="00D556B1" w:rsidRPr="009B7016" w:rsidRDefault="009B7016" w:rsidP="00F01830">
      <w:pPr>
        <w:pStyle w:val="CETBodytext"/>
        <w:spacing w:after="240"/>
        <w:rPr>
          <w:lang w:val="en-GB"/>
        </w:rPr>
      </w:pPr>
      <w:r w:rsidRPr="0073406A">
        <w:rPr>
          <w:lang w:val="en-GB"/>
        </w:rPr>
        <w:t xml:space="preserve">Even if </w:t>
      </w:r>
      <w:r w:rsidR="001C176F">
        <w:rPr>
          <w:lang w:val="en-GB"/>
        </w:rPr>
        <w:t>for</w:t>
      </w:r>
      <w:r w:rsidR="001C176F" w:rsidRPr="0073406A">
        <w:rPr>
          <w:lang w:val="en-GB"/>
        </w:rPr>
        <w:t xml:space="preserve"> the traditional packaging </w:t>
      </w:r>
      <w:r w:rsidRPr="0073406A">
        <w:rPr>
          <w:lang w:val="en-GB"/>
        </w:rPr>
        <w:t xml:space="preserve">the </w:t>
      </w:r>
      <w:r w:rsidR="001C176F">
        <w:rPr>
          <w:lang w:val="en-GB"/>
        </w:rPr>
        <w:t>plastic fraction</w:t>
      </w:r>
      <w:r w:rsidR="001C176F" w:rsidRPr="0073406A">
        <w:rPr>
          <w:lang w:val="en-GB"/>
        </w:rPr>
        <w:t xml:space="preserve"> </w:t>
      </w:r>
      <w:r w:rsidRPr="0073406A">
        <w:rPr>
          <w:lang w:val="en-GB"/>
        </w:rPr>
        <w:t>represents one of the main hotspots, the highe</w:t>
      </w:r>
      <w:r w:rsidR="000C42C6">
        <w:rPr>
          <w:lang w:val="en-GB"/>
        </w:rPr>
        <w:t>st</w:t>
      </w:r>
      <w:r w:rsidRPr="0073406A">
        <w:rPr>
          <w:lang w:val="en-GB"/>
        </w:rPr>
        <w:t xml:space="preserve"> one is related</w:t>
      </w:r>
      <w:r w:rsidRPr="009B7016">
        <w:rPr>
          <w:lang w:val="en-GB"/>
        </w:rPr>
        <w:t xml:space="preserve"> to the aluminium fraction</w:t>
      </w:r>
      <w:r w:rsidR="001C176F">
        <w:rPr>
          <w:lang w:val="en-GB"/>
        </w:rPr>
        <w:t xml:space="preserve">. </w:t>
      </w:r>
      <w:r w:rsidR="00F04AFB">
        <w:rPr>
          <w:lang w:val="en-GB"/>
        </w:rPr>
        <w:t>Therefore, t</w:t>
      </w:r>
      <w:r w:rsidRPr="009B7016">
        <w:rPr>
          <w:lang w:val="en-GB"/>
        </w:rPr>
        <w:t>o solve this criticism</w:t>
      </w:r>
      <w:r w:rsidR="00F04AFB">
        <w:rPr>
          <w:lang w:val="en-GB"/>
        </w:rPr>
        <w:t>,</w:t>
      </w:r>
      <w:r w:rsidRPr="009B7016">
        <w:rPr>
          <w:lang w:val="en-GB"/>
        </w:rPr>
        <w:t xml:space="preserve"> the quantity of aluminium in the packaging </w:t>
      </w:r>
      <w:r w:rsidR="00F04AFB">
        <w:rPr>
          <w:lang w:val="en-GB"/>
        </w:rPr>
        <w:t xml:space="preserve">should </w:t>
      </w:r>
      <w:r w:rsidRPr="009B7016">
        <w:rPr>
          <w:lang w:val="en-GB"/>
        </w:rPr>
        <w:t>be reduced. The use of the innovative technique of aluminium deposition by PVD metallization reduce</w:t>
      </w:r>
      <w:r w:rsidR="000C42C6">
        <w:rPr>
          <w:lang w:val="en-GB"/>
        </w:rPr>
        <w:t>d</w:t>
      </w:r>
      <w:r w:rsidRPr="009B7016">
        <w:rPr>
          <w:lang w:val="en-GB"/>
        </w:rPr>
        <w:t xml:space="preserve"> greatly the amount of this substance (93% MRD traditional packaging; 49% MRD in innovative packaging).</w:t>
      </w:r>
      <w:r w:rsidRPr="00FA36E3">
        <w:rPr>
          <w:lang w:val="en-GB"/>
        </w:rPr>
        <w:t xml:space="preserve"> </w:t>
      </w:r>
    </w:p>
    <w:p w14:paraId="3AC337BA" w14:textId="00AEF5AD" w:rsidR="00D556B1" w:rsidRDefault="00F01830" w:rsidP="00556442">
      <w:pPr>
        <w:pStyle w:val="CETCaption"/>
        <w:spacing w:before="0"/>
      </w:pPr>
      <w:r>
        <w:rPr>
          <w:noProof/>
        </w:rPr>
        <w:drawing>
          <wp:inline distT="0" distB="0" distL="0" distR="0" wp14:anchorId="339103BF" wp14:editId="1BE4C6E2">
            <wp:extent cx="5546090" cy="1574296"/>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kaging immagine 2.tif"/>
                    <pic:cNvPicPr/>
                  </pic:nvPicPr>
                  <pic:blipFill>
                    <a:blip r:embed="rId11">
                      <a:extLst>
                        <a:ext uri="{28A0092B-C50C-407E-A947-70E740481C1C}">
                          <a14:useLocalDpi xmlns:a14="http://schemas.microsoft.com/office/drawing/2010/main" val="0"/>
                        </a:ext>
                      </a:extLst>
                    </a:blip>
                    <a:stretch>
                      <a:fillRect/>
                    </a:stretch>
                  </pic:blipFill>
                  <pic:spPr>
                    <a:xfrm>
                      <a:off x="0" y="0"/>
                      <a:ext cx="5596599" cy="1588633"/>
                    </a:xfrm>
                    <a:prstGeom prst="rect">
                      <a:avLst/>
                    </a:prstGeom>
                  </pic:spPr>
                </pic:pic>
              </a:graphicData>
            </a:graphic>
          </wp:inline>
        </w:drawing>
      </w:r>
      <w:r w:rsidR="00D556B1" w:rsidRPr="00B57B36">
        <w:t xml:space="preserve">Figure </w:t>
      </w:r>
      <w:r w:rsidR="00556442">
        <w:t>2</w:t>
      </w:r>
      <w:r w:rsidR="00D556B1" w:rsidRPr="00B57B36">
        <w:t xml:space="preserve">: </w:t>
      </w:r>
      <w:r w:rsidR="00556442" w:rsidRPr="00556442">
        <w:t xml:space="preserve">Percentage subdivision of the factors related to the production of </w:t>
      </w:r>
      <w:r w:rsidR="000C42C6">
        <w:t>the</w:t>
      </w:r>
      <w:r w:rsidR="00556442" w:rsidRPr="00556442">
        <w:t xml:space="preserve"> </w:t>
      </w:r>
      <w:r w:rsidR="00556442">
        <w:t>innovative</w:t>
      </w:r>
      <w:r w:rsidR="00556442" w:rsidRPr="00556442">
        <w:t xml:space="preserve"> packaging</w:t>
      </w:r>
      <w:r w:rsidR="006531B4">
        <w:t>.</w:t>
      </w:r>
    </w:p>
    <w:p w14:paraId="6E3D9B75" w14:textId="0E69FCB7" w:rsidR="009B7016" w:rsidRPr="009B7016" w:rsidRDefault="00D86E2B" w:rsidP="0057458F">
      <w:pPr>
        <w:pStyle w:val="CETBodytext"/>
        <w:rPr>
          <w:lang w:val="en-GB"/>
        </w:rPr>
      </w:pPr>
      <w:r w:rsidRPr="0009227C">
        <w:rPr>
          <w:lang w:val="en-GB"/>
        </w:rPr>
        <w:t>Figure 2</w:t>
      </w:r>
      <w:r>
        <w:rPr>
          <w:lang w:val="en-GB"/>
        </w:rPr>
        <w:t xml:space="preserve"> shows </w:t>
      </w:r>
      <w:r w:rsidRPr="0009227C">
        <w:rPr>
          <w:lang w:val="en-GB"/>
        </w:rPr>
        <w:t xml:space="preserve">the impact </w:t>
      </w:r>
      <w:r w:rsidR="00032A52" w:rsidRPr="0009227C">
        <w:rPr>
          <w:lang w:val="en-GB"/>
        </w:rPr>
        <w:t xml:space="preserve">production </w:t>
      </w:r>
      <w:r w:rsidRPr="0009227C">
        <w:rPr>
          <w:lang w:val="en-GB"/>
        </w:rPr>
        <w:t>assessment of the innovative packaging</w:t>
      </w:r>
      <w:r w:rsidRPr="00F246DE">
        <w:rPr>
          <w:lang w:val="en-GB"/>
        </w:rPr>
        <w:t>.</w:t>
      </w:r>
      <w:r w:rsidR="00A06189">
        <w:rPr>
          <w:lang w:val="en-GB"/>
        </w:rPr>
        <w:t xml:space="preserve"> </w:t>
      </w:r>
      <w:r w:rsidR="009B7016" w:rsidRPr="009B7016">
        <w:rPr>
          <w:lang w:val="en-GB"/>
        </w:rPr>
        <w:t>The main hotspot of the innovative packaging is the PLA film production</w:t>
      </w:r>
      <w:r w:rsidR="00105603">
        <w:rPr>
          <w:lang w:val="en-GB"/>
        </w:rPr>
        <w:t>.</w:t>
      </w:r>
      <w:r w:rsidR="009B7016" w:rsidRPr="009B7016">
        <w:rPr>
          <w:lang w:val="en-GB"/>
        </w:rPr>
        <w:t xml:space="preserve"> </w:t>
      </w:r>
      <w:r w:rsidR="00F22041">
        <w:rPr>
          <w:lang w:val="en-GB"/>
        </w:rPr>
        <w:t>The high</w:t>
      </w:r>
      <w:r w:rsidR="00FE4BE7">
        <w:rPr>
          <w:lang w:val="en-GB"/>
        </w:rPr>
        <w:t xml:space="preserve"> </w:t>
      </w:r>
      <w:r w:rsidR="009B7016" w:rsidRPr="009B7016">
        <w:rPr>
          <w:lang w:val="en-GB"/>
        </w:rPr>
        <w:t xml:space="preserve">level of incidence of this material is </w:t>
      </w:r>
      <w:r w:rsidR="00294750">
        <w:rPr>
          <w:lang w:val="en-GB"/>
        </w:rPr>
        <w:t xml:space="preserve">explained by </w:t>
      </w:r>
      <w:r w:rsidR="009B7016" w:rsidRPr="009B7016">
        <w:rPr>
          <w:lang w:val="en-GB"/>
        </w:rPr>
        <w:t xml:space="preserve">the composition of the innovative packaging, </w:t>
      </w:r>
      <w:r w:rsidR="00294750">
        <w:rPr>
          <w:lang w:val="en-GB"/>
        </w:rPr>
        <w:t xml:space="preserve">being </w:t>
      </w:r>
      <w:r w:rsidR="00294750" w:rsidRPr="009B7016">
        <w:rPr>
          <w:lang w:val="en-GB"/>
        </w:rPr>
        <w:t xml:space="preserve">PLA film </w:t>
      </w:r>
      <w:r w:rsidR="009B7016" w:rsidRPr="009B7016">
        <w:rPr>
          <w:lang w:val="en-GB"/>
        </w:rPr>
        <w:t xml:space="preserve">more than 70% </w:t>
      </w:r>
      <w:r w:rsidR="00294750">
        <w:rPr>
          <w:lang w:val="en-GB"/>
        </w:rPr>
        <w:t>of the total weight</w:t>
      </w:r>
      <w:r w:rsidR="009B7016" w:rsidRPr="009B7016">
        <w:rPr>
          <w:lang w:val="en-GB"/>
        </w:rPr>
        <w:t xml:space="preserve">. The incidence and high level of impact in all the impact categories </w:t>
      </w:r>
      <w:r w:rsidR="000C42C6">
        <w:rPr>
          <w:lang w:val="en-GB"/>
        </w:rPr>
        <w:t>are</w:t>
      </w:r>
      <w:r w:rsidR="000C42C6" w:rsidRPr="009B7016">
        <w:rPr>
          <w:lang w:val="en-GB"/>
        </w:rPr>
        <w:t xml:space="preserve"> </w:t>
      </w:r>
      <w:r w:rsidR="00294750">
        <w:rPr>
          <w:lang w:val="en-GB"/>
        </w:rPr>
        <w:t>due to the process</w:t>
      </w:r>
      <w:r w:rsidR="009C6995">
        <w:rPr>
          <w:lang w:val="en-GB"/>
        </w:rPr>
        <w:t xml:space="preserve"> </w:t>
      </w:r>
      <w:r w:rsidR="009B7016" w:rsidRPr="009B7016">
        <w:rPr>
          <w:lang w:val="en-GB"/>
        </w:rPr>
        <w:t xml:space="preserve">activities to obtain the bio-based polymer. The PLA </w:t>
      </w:r>
      <w:r w:rsidR="00FA6F84">
        <w:rPr>
          <w:lang w:val="en-GB"/>
        </w:rPr>
        <w:t xml:space="preserve">needs </w:t>
      </w:r>
      <w:r w:rsidR="009B7016" w:rsidRPr="009B7016">
        <w:rPr>
          <w:lang w:val="en-GB"/>
        </w:rPr>
        <w:t>a fermentation phase</w:t>
      </w:r>
      <w:r w:rsidR="000C42C6">
        <w:rPr>
          <w:lang w:val="en-GB"/>
        </w:rPr>
        <w:t xml:space="preserve"> that requires a </w:t>
      </w:r>
      <w:r w:rsidR="009B7016" w:rsidRPr="009B7016">
        <w:rPr>
          <w:lang w:val="en-GB"/>
        </w:rPr>
        <w:t>high quantity of water</w:t>
      </w:r>
      <w:r w:rsidR="00294750">
        <w:rPr>
          <w:lang w:val="en-GB"/>
        </w:rPr>
        <w:t>,</w:t>
      </w:r>
      <w:r w:rsidR="009B7016" w:rsidRPr="009B7016">
        <w:rPr>
          <w:lang w:val="en-GB"/>
        </w:rPr>
        <w:t xml:space="preserve"> </w:t>
      </w:r>
      <w:r w:rsidR="000C42C6">
        <w:rPr>
          <w:lang w:val="en-GB"/>
        </w:rPr>
        <w:t xml:space="preserve">thus </w:t>
      </w:r>
      <w:r w:rsidR="009B7016" w:rsidRPr="009B7016">
        <w:rPr>
          <w:lang w:val="en-GB"/>
        </w:rPr>
        <w:t>reach</w:t>
      </w:r>
      <w:r w:rsidR="00294750">
        <w:rPr>
          <w:lang w:val="en-GB"/>
        </w:rPr>
        <w:t>ing</w:t>
      </w:r>
      <w:r w:rsidR="009B7016" w:rsidRPr="009B7016">
        <w:rPr>
          <w:lang w:val="en-GB"/>
        </w:rPr>
        <w:t xml:space="preserve"> </w:t>
      </w:r>
      <w:bookmarkStart w:id="1" w:name="_GoBack"/>
      <w:bookmarkEnd w:id="1"/>
      <w:r w:rsidR="009B7016" w:rsidRPr="009B7016">
        <w:rPr>
          <w:lang w:val="en-GB"/>
        </w:rPr>
        <w:t xml:space="preserve">85% of incidence in the </w:t>
      </w:r>
      <w:r w:rsidR="00556442" w:rsidRPr="009B7016">
        <w:rPr>
          <w:lang w:val="en-GB"/>
        </w:rPr>
        <w:t xml:space="preserve">impact category </w:t>
      </w:r>
      <w:r w:rsidR="009B7016" w:rsidRPr="009B7016">
        <w:rPr>
          <w:lang w:val="en-GB"/>
        </w:rPr>
        <w:t xml:space="preserve">WD. </w:t>
      </w:r>
      <w:r w:rsidR="00F04AFB">
        <w:rPr>
          <w:lang w:val="en-GB"/>
        </w:rPr>
        <w:t>Similarly,</w:t>
      </w:r>
      <w:r w:rsidR="009B7016" w:rsidRPr="009B7016">
        <w:rPr>
          <w:lang w:val="en-GB"/>
        </w:rPr>
        <w:t xml:space="preserve"> the </w:t>
      </w:r>
      <w:r w:rsidR="00F04AFB">
        <w:rPr>
          <w:lang w:val="en-GB"/>
        </w:rPr>
        <w:t>b</w:t>
      </w:r>
      <w:r w:rsidR="00BA4C8C">
        <w:rPr>
          <w:lang w:val="en-GB"/>
        </w:rPr>
        <w:t>io</w:t>
      </w:r>
      <w:r w:rsidR="009B7016" w:rsidRPr="009B7016">
        <w:rPr>
          <w:lang w:val="en-GB"/>
        </w:rPr>
        <w:t xml:space="preserve">-PE film is </w:t>
      </w:r>
      <w:r w:rsidR="00294750">
        <w:rPr>
          <w:lang w:val="en-GB"/>
        </w:rPr>
        <w:t>obtained by</w:t>
      </w:r>
      <w:r w:rsidR="009B7016" w:rsidRPr="009B7016">
        <w:rPr>
          <w:lang w:val="en-GB"/>
        </w:rPr>
        <w:t xml:space="preserve"> fermentation and requires chemical activities but its </w:t>
      </w:r>
      <w:r w:rsidR="00556442">
        <w:rPr>
          <w:lang w:val="en-GB"/>
        </w:rPr>
        <w:t xml:space="preserve">lower </w:t>
      </w:r>
      <w:r w:rsidR="009B7016" w:rsidRPr="009B7016">
        <w:rPr>
          <w:lang w:val="en-GB"/>
        </w:rPr>
        <w:t>quantity in the packaging film justif</w:t>
      </w:r>
      <w:r w:rsidR="000C42C6">
        <w:rPr>
          <w:lang w:val="en-GB"/>
        </w:rPr>
        <w:t xml:space="preserve">ies </w:t>
      </w:r>
      <w:r w:rsidR="009B7016" w:rsidRPr="009B7016">
        <w:rPr>
          <w:lang w:val="en-GB"/>
        </w:rPr>
        <w:t xml:space="preserve">the less impact influence in </w:t>
      </w:r>
      <w:r w:rsidR="00294750">
        <w:rPr>
          <w:lang w:val="en-GB"/>
        </w:rPr>
        <w:t>all</w:t>
      </w:r>
      <w:r w:rsidR="00294750" w:rsidRPr="009B7016">
        <w:rPr>
          <w:lang w:val="en-GB"/>
        </w:rPr>
        <w:t xml:space="preserve"> </w:t>
      </w:r>
      <w:r w:rsidR="009B7016" w:rsidRPr="009B7016">
        <w:rPr>
          <w:lang w:val="en-GB"/>
        </w:rPr>
        <w:t xml:space="preserve">categories. </w:t>
      </w:r>
    </w:p>
    <w:p w14:paraId="2837FACD" w14:textId="1C3DF3D0" w:rsidR="00BD6163" w:rsidRDefault="00F04AFB" w:rsidP="00AA2A75">
      <w:pPr>
        <w:pStyle w:val="CETBodytext"/>
        <w:rPr>
          <w:lang w:val="en-GB"/>
        </w:rPr>
      </w:pPr>
      <w:r>
        <w:rPr>
          <w:lang w:val="en-GB"/>
        </w:rPr>
        <w:t>A comparison of</w:t>
      </w:r>
      <w:r w:rsidR="009B7016" w:rsidRPr="009B7016">
        <w:rPr>
          <w:lang w:val="en-GB"/>
        </w:rPr>
        <w:t xml:space="preserve"> the two product</w:t>
      </w:r>
      <w:r w:rsidR="00556442">
        <w:rPr>
          <w:lang w:val="en-GB"/>
        </w:rPr>
        <w:t>s</w:t>
      </w:r>
      <w:r w:rsidR="009B7016" w:rsidRPr="009B7016">
        <w:rPr>
          <w:lang w:val="en-GB"/>
        </w:rPr>
        <w:t xml:space="preserve"> </w:t>
      </w:r>
      <w:proofErr w:type="gramStart"/>
      <w:r w:rsidR="00A37BD4">
        <w:rPr>
          <w:lang w:val="en-GB"/>
        </w:rPr>
        <w:t xml:space="preserve">in order </w:t>
      </w:r>
      <w:r w:rsidR="00D2149F">
        <w:rPr>
          <w:lang w:val="en-GB"/>
        </w:rPr>
        <w:t>to</w:t>
      </w:r>
      <w:proofErr w:type="gramEnd"/>
      <w:r w:rsidR="009B7016" w:rsidRPr="009B7016">
        <w:rPr>
          <w:lang w:val="en-GB"/>
        </w:rPr>
        <w:t xml:space="preserve"> identify </w:t>
      </w:r>
      <w:r w:rsidR="00556442" w:rsidRPr="009B7016">
        <w:rPr>
          <w:lang w:val="en-GB"/>
        </w:rPr>
        <w:t xml:space="preserve">what packaging is better </w:t>
      </w:r>
      <w:r w:rsidR="009B7016" w:rsidRPr="009B7016">
        <w:rPr>
          <w:lang w:val="en-GB"/>
        </w:rPr>
        <w:t xml:space="preserve">in </w:t>
      </w:r>
      <w:r w:rsidR="00294750">
        <w:rPr>
          <w:lang w:val="en-GB"/>
        </w:rPr>
        <w:t>each</w:t>
      </w:r>
      <w:r w:rsidR="00294750" w:rsidRPr="009B7016">
        <w:rPr>
          <w:lang w:val="en-GB"/>
        </w:rPr>
        <w:t xml:space="preserve"> </w:t>
      </w:r>
      <w:r w:rsidR="009B7016" w:rsidRPr="009B7016">
        <w:rPr>
          <w:lang w:val="en-GB"/>
        </w:rPr>
        <w:t>impact category</w:t>
      </w:r>
      <w:r w:rsidR="009C6995">
        <w:rPr>
          <w:lang w:val="en-GB"/>
        </w:rPr>
        <w:t xml:space="preserve"> </w:t>
      </w:r>
      <w:r w:rsidR="00294750">
        <w:rPr>
          <w:lang w:val="en-GB"/>
        </w:rPr>
        <w:t>(</w:t>
      </w:r>
      <w:r w:rsidR="006B6A9A">
        <w:rPr>
          <w:lang w:val="en-GB"/>
        </w:rPr>
        <w:t>Figure</w:t>
      </w:r>
      <w:r w:rsidR="00556442">
        <w:rPr>
          <w:lang w:val="en-GB"/>
        </w:rPr>
        <w:t xml:space="preserve"> 3</w:t>
      </w:r>
      <w:r w:rsidR="00294750">
        <w:rPr>
          <w:lang w:val="en-GB"/>
        </w:rPr>
        <w:t>)</w:t>
      </w:r>
      <w:r w:rsidR="00A37BD4">
        <w:rPr>
          <w:lang w:val="en-GB"/>
        </w:rPr>
        <w:t xml:space="preserve"> </w:t>
      </w:r>
      <w:r w:rsidR="00A37BD4" w:rsidRPr="009B7016">
        <w:rPr>
          <w:lang w:val="en-GB"/>
        </w:rPr>
        <w:t xml:space="preserve">is </w:t>
      </w:r>
      <w:r w:rsidR="00A37BD4">
        <w:rPr>
          <w:lang w:val="en-GB"/>
        </w:rPr>
        <w:t>needed</w:t>
      </w:r>
      <w:r w:rsidR="00294750">
        <w:rPr>
          <w:lang w:val="en-GB"/>
        </w:rPr>
        <w:t>. F</w:t>
      </w:r>
      <w:r w:rsidR="009B7016" w:rsidRPr="009B7016">
        <w:rPr>
          <w:lang w:val="en-GB"/>
        </w:rPr>
        <w:t>or some impact categories</w:t>
      </w:r>
      <w:r w:rsidR="000C42C6">
        <w:rPr>
          <w:lang w:val="en-GB"/>
        </w:rPr>
        <w:t>,</w:t>
      </w:r>
      <w:r w:rsidR="009B7016" w:rsidRPr="009B7016">
        <w:rPr>
          <w:lang w:val="en-GB"/>
        </w:rPr>
        <w:t xml:space="preserve"> </w:t>
      </w:r>
      <w:r w:rsidR="00DB2079">
        <w:rPr>
          <w:lang w:val="en-GB"/>
        </w:rPr>
        <w:t xml:space="preserve">the </w:t>
      </w:r>
      <w:r w:rsidR="009B7016" w:rsidRPr="00496CC2">
        <w:rPr>
          <w:noProof/>
          <w:lang w:val="en-GB"/>
        </w:rPr>
        <w:t>traditional</w:t>
      </w:r>
      <w:r w:rsidR="009B7016" w:rsidRPr="009B7016">
        <w:rPr>
          <w:lang w:val="en-GB"/>
        </w:rPr>
        <w:t xml:space="preserve"> packaging has the worst environmental profile</w:t>
      </w:r>
      <w:r w:rsidR="00877BC4">
        <w:rPr>
          <w:lang w:val="en-GB"/>
        </w:rPr>
        <w:t>.</w:t>
      </w:r>
      <w:r w:rsidR="009B7016" w:rsidRPr="009B7016">
        <w:rPr>
          <w:lang w:val="en-GB"/>
        </w:rPr>
        <w:t xml:space="preserve"> </w:t>
      </w:r>
      <w:r w:rsidR="001D4316">
        <w:rPr>
          <w:lang w:val="en-GB"/>
        </w:rPr>
        <w:t>However</w:t>
      </w:r>
      <w:r w:rsidR="00877BC4">
        <w:rPr>
          <w:lang w:val="en-GB"/>
        </w:rPr>
        <w:t xml:space="preserve">, </w:t>
      </w:r>
      <w:r w:rsidR="00C169E6">
        <w:rPr>
          <w:lang w:val="en-GB"/>
        </w:rPr>
        <w:t xml:space="preserve">for the </w:t>
      </w:r>
      <w:r w:rsidR="009B7016" w:rsidRPr="009B7016">
        <w:rPr>
          <w:lang w:val="en-GB"/>
        </w:rPr>
        <w:t>impact categories that are related to the ecosystem quality like LU</w:t>
      </w:r>
      <w:r w:rsidR="004C0BC2">
        <w:rPr>
          <w:lang w:val="en-GB"/>
        </w:rPr>
        <w:t xml:space="preserve"> and</w:t>
      </w:r>
      <w:r w:rsidR="009B7016" w:rsidRPr="009B7016">
        <w:rPr>
          <w:lang w:val="en-GB"/>
        </w:rPr>
        <w:t xml:space="preserve"> WD</w:t>
      </w:r>
      <w:r w:rsidR="00AA0489">
        <w:rPr>
          <w:lang w:val="en-GB"/>
        </w:rPr>
        <w:t>,</w:t>
      </w:r>
      <w:r w:rsidR="00C169E6">
        <w:rPr>
          <w:lang w:val="en-GB"/>
        </w:rPr>
        <w:t xml:space="preserve"> </w:t>
      </w:r>
      <w:r w:rsidR="00C169E6" w:rsidRPr="009B7016">
        <w:rPr>
          <w:lang w:val="en-GB"/>
        </w:rPr>
        <w:t>the traditional packaging</w:t>
      </w:r>
      <w:r w:rsidR="009B7016" w:rsidRPr="009B7016">
        <w:rPr>
          <w:lang w:val="en-GB"/>
        </w:rPr>
        <w:t xml:space="preserve"> </w:t>
      </w:r>
      <w:r w:rsidR="00AA0489">
        <w:rPr>
          <w:lang w:val="en-GB"/>
        </w:rPr>
        <w:t>show</w:t>
      </w:r>
      <w:r w:rsidR="00C169E6">
        <w:rPr>
          <w:lang w:val="en-GB"/>
        </w:rPr>
        <w:t>s</w:t>
      </w:r>
      <w:r w:rsidR="00AA0489">
        <w:rPr>
          <w:lang w:val="en-GB"/>
        </w:rPr>
        <w:t xml:space="preserve"> a</w:t>
      </w:r>
      <w:r w:rsidR="009B7016" w:rsidRPr="009B7016">
        <w:rPr>
          <w:lang w:val="en-GB"/>
        </w:rPr>
        <w:t xml:space="preserve"> better environmental profile. </w:t>
      </w:r>
    </w:p>
    <w:p w14:paraId="68449BD5" w14:textId="7AC6FF6B" w:rsidR="00F01830" w:rsidRPr="00F01830" w:rsidRDefault="00771B3E" w:rsidP="00AA2A75">
      <w:pPr>
        <w:pStyle w:val="CETBodytext"/>
        <w:rPr>
          <w:lang w:val="en-GB"/>
        </w:rPr>
      </w:pPr>
      <w:r>
        <w:rPr>
          <w:lang w:val="en-GB"/>
        </w:rPr>
        <w:t>It must be noted that in Figure 3 t</w:t>
      </w:r>
      <w:r w:rsidRPr="009B7016">
        <w:rPr>
          <w:lang w:val="en-GB"/>
        </w:rPr>
        <w:t>h</w:t>
      </w:r>
      <w:r>
        <w:rPr>
          <w:lang w:val="en-GB"/>
        </w:rPr>
        <w:t xml:space="preserve">e results are characterized by </w:t>
      </w:r>
      <w:r w:rsidRPr="000A0428">
        <w:rPr>
          <w:lang w:val="en-GB"/>
        </w:rPr>
        <w:t xml:space="preserve">different </w:t>
      </w:r>
      <w:r w:rsidRPr="009C6995">
        <w:rPr>
          <w:lang w:val="en-GB"/>
        </w:rPr>
        <w:t>measure unit</w:t>
      </w:r>
      <w:r w:rsidRPr="000A0428">
        <w:rPr>
          <w:lang w:val="en-GB"/>
        </w:rPr>
        <w:t>s and have</w:t>
      </w:r>
      <w:r>
        <w:rPr>
          <w:lang w:val="en-GB"/>
        </w:rPr>
        <w:t xml:space="preserve"> a </w:t>
      </w:r>
      <w:r w:rsidRPr="00496CC2">
        <w:rPr>
          <w:noProof/>
          <w:lang w:val="en-GB"/>
        </w:rPr>
        <w:t>very</w:t>
      </w:r>
      <w:r>
        <w:rPr>
          <w:lang w:val="en-GB"/>
        </w:rPr>
        <w:t xml:space="preserve"> different order of magnitude.</w:t>
      </w:r>
      <w:r w:rsidRPr="009B7016" w:rsidDel="000A0428">
        <w:rPr>
          <w:lang w:val="en-GB"/>
        </w:rPr>
        <w:t xml:space="preserve"> </w:t>
      </w:r>
      <w:r w:rsidRPr="000A0428">
        <w:rPr>
          <w:lang w:val="en-GB"/>
        </w:rPr>
        <w:t>A better environmental impact for the innovative packaging</w:t>
      </w:r>
      <w:r w:rsidRPr="009B7016">
        <w:rPr>
          <w:lang w:val="en-GB"/>
        </w:rPr>
        <w:t xml:space="preserve"> is not </w:t>
      </w:r>
      <w:r>
        <w:rPr>
          <w:lang w:val="en-GB"/>
        </w:rPr>
        <w:t>observed</w:t>
      </w:r>
      <w:r w:rsidRPr="009B7016">
        <w:rPr>
          <w:lang w:val="en-GB"/>
        </w:rPr>
        <w:t xml:space="preserve"> for all the impact categories.</w:t>
      </w:r>
      <w:r w:rsidRPr="00771B3E">
        <w:rPr>
          <w:lang w:val="en-GB"/>
        </w:rPr>
        <w:t xml:space="preserve"> </w:t>
      </w:r>
      <w:r w:rsidRPr="009B7016">
        <w:rPr>
          <w:lang w:val="en-GB"/>
        </w:rPr>
        <w:t>Regarding the CC</w:t>
      </w:r>
      <w:r>
        <w:rPr>
          <w:lang w:val="en-GB"/>
        </w:rPr>
        <w:t>,</w:t>
      </w:r>
      <w:r w:rsidRPr="009B7016">
        <w:rPr>
          <w:lang w:val="en-GB"/>
        </w:rPr>
        <w:t xml:space="preserve"> the innovative packaging </w:t>
      </w:r>
      <w:r>
        <w:rPr>
          <w:lang w:val="en-GB"/>
        </w:rPr>
        <w:t xml:space="preserve">production </w:t>
      </w:r>
      <w:r w:rsidRPr="009B7016">
        <w:rPr>
          <w:lang w:val="en-GB"/>
        </w:rPr>
        <w:t xml:space="preserve">release 44% less of kg </w:t>
      </w:r>
      <w:r w:rsidRPr="006B6A9A">
        <w:rPr>
          <w:lang w:val="en-GB"/>
        </w:rPr>
        <w:t>CO</w:t>
      </w:r>
      <w:r w:rsidRPr="006B6A9A">
        <w:rPr>
          <w:vertAlign w:val="subscript"/>
          <w:lang w:val="en-GB"/>
        </w:rPr>
        <w:t>2</w:t>
      </w:r>
      <w:r w:rsidRPr="006B6A9A">
        <w:rPr>
          <w:lang w:val="en-GB"/>
        </w:rPr>
        <w:t xml:space="preserve"> </w:t>
      </w:r>
      <w:r w:rsidRPr="009B7016">
        <w:rPr>
          <w:lang w:val="en-GB"/>
        </w:rPr>
        <w:t xml:space="preserve">eq </w:t>
      </w:r>
      <w:r>
        <w:rPr>
          <w:lang w:val="en-GB"/>
        </w:rPr>
        <w:t xml:space="preserve">(0.96 g) with </w:t>
      </w:r>
      <w:r w:rsidRPr="009B7016">
        <w:rPr>
          <w:lang w:val="en-GB"/>
        </w:rPr>
        <w:t>respect to the traditional packaging</w:t>
      </w:r>
      <w:r>
        <w:rPr>
          <w:lang w:val="en-GB"/>
        </w:rPr>
        <w:t xml:space="preserve"> (1.71 g)</w:t>
      </w:r>
      <w:r w:rsidRPr="009B7016">
        <w:rPr>
          <w:lang w:val="en-GB"/>
        </w:rPr>
        <w:t>.</w:t>
      </w:r>
      <w:r w:rsidRPr="00771B3E">
        <w:rPr>
          <w:lang w:val="en-GB"/>
        </w:rPr>
        <w:t xml:space="preserve"> </w:t>
      </w:r>
      <w:r w:rsidRPr="009B7016">
        <w:rPr>
          <w:lang w:val="en-GB"/>
        </w:rPr>
        <w:t xml:space="preserve">The same positive </w:t>
      </w:r>
      <w:r>
        <w:rPr>
          <w:lang w:val="en-GB"/>
        </w:rPr>
        <w:t>observation</w:t>
      </w:r>
      <w:r w:rsidRPr="009B7016">
        <w:rPr>
          <w:lang w:val="en-GB"/>
        </w:rPr>
        <w:t xml:space="preserve"> can be done for the impact category </w:t>
      </w:r>
      <w:r>
        <w:rPr>
          <w:lang w:val="en-GB"/>
        </w:rPr>
        <w:t>HT-C</w:t>
      </w:r>
      <w:r w:rsidRPr="009B7016">
        <w:rPr>
          <w:lang w:val="en-GB"/>
        </w:rPr>
        <w:t xml:space="preserve"> and MRD</w:t>
      </w:r>
      <w:r>
        <w:rPr>
          <w:lang w:val="en-GB"/>
        </w:rPr>
        <w:t>.</w:t>
      </w:r>
      <w:r w:rsidRPr="009B7016">
        <w:rPr>
          <w:lang w:val="en-GB"/>
        </w:rPr>
        <w:t xml:space="preserve"> </w:t>
      </w:r>
      <w:proofErr w:type="gramStart"/>
      <w:r>
        <w:rPr>
          <w:lang w:val="en-GB"/>
        </w:rPr>
        <w:t>In particular,</w:t>
      </w:r>
      <w:r w:rsidRPr="009B7016">
        <w:rPr>
          <w:lang w:val="en-GB"/>
        </w:rPr>
        <w:t xml:space="preserve"> the</w:t>
      </w:r>
      <w:proofErr w:type="gramEnd"/>
      <w:r w:rsidRPr="009B7016">
        <w:rPr>
          <w:lang w:val="en-GB"/>
        </w:rPr>
        <w:t xml:space="preserve"> innovative packaging </w:t>
      </w:r>
      <w:r>
        <w:rPr>
          <w:lang w:val="en-GB"/>
        </w:rPr>
        <w:t xml:space="preserve">production process </w:t>
      </w:r>
      <w:r w:rsidRPr="009B7016">
        <w:rPr>
          <w:lang w:val="en-GB"/>
        </w:rPr>
        <w:t>allows a reduction of MRD equal to 82%</w:t>
      </w:r>
      <w:r>
        <w:rPr>
          <w:lang w:val="en-GB"/>
        </w:rPr>
        <w:t xml:space="preserve"> (from 1.14 mg to 0.21 mg of Sb)</w:t>
      </w:r>
      <w:r w:rsidRPr="009B7016">
        <w:rPr>
          <w:lang w:val="en-GB"/>
        </w:rPr>
        <w:t>.</w:t>
      </w:r>
    </w:p>
    <w:p w14:paraId="069D5601" w14:textId="53138C0B" w:rsidR="00D556B1" w:rsidRPr="00B57B36" w:rsidRDefault="00F01830" w:rsidP="00AA2A75">
      <w:pPr>
        <w:pStyle w:val="CETCaption"/>
        <w:spacing w:before="0"/>
      </w:pPr>
      <w:r>
        <w:rPr>
          <w:noProof/>
        </w:rPr>
        <w:lastRenderedPageBreak/>
        <w:drawing>
          <wp:inline distT="0" distB="0" distL="0" distR="0" wp14:anchorId="61A44140" wp14:editId="754DC52B">
            <wp:extent cx="5544393" cy="17430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ckaging immagine 3.tif"/>
                    <pic:cNvPicPr/>
                  </pic:nvPicPr>
                  <pic:blipFill>
                    <a:blip r:embed="rId12">
                      <a:extLst>
                        <a:ext uri="{28A0092B-C50C-407E-A947-70E740481C1C}">
                          <a14:useLocalDpi xmlns:a14="http://schemas.microsoft.com/office/drawing/2010/main" val="0"/>
                        </a:ext>
                      </a:extLst>
                    </a:blip>
                    <a:stretch>
                      <a:fillRect/>
                    </a:stretch>
                  </pic:blipFill>
                  <pic:spPr>
                    <a:xfrm>
                      <a:off x="0" y="0"/>
                      <a:ext cx="5565775" cy="1749797"/>
                    </a:xfrm>
                    <a:prstGeom prst="rect">
                      <a:avLst/>
                    </a:prstGeom>
                  </pic:spPr>
                </pic:pic>
              </a:graphicData>
            </a:graphic>
          </wp:inline>
        </w:drawing>
      </w:r>
      <w:r w:rsidR="00D556B1" w:rsidRPr="00B57B36">
        <w:t xml:space="preserve">Figure </w:t>
      </w:r>
      <w:r w:rsidR="00AA2A75">
        <w:t>3</w:t>
      </w:r>
      <w:r w:rsidR="00D556B1" w:rsidRPr="00B57B36">
        <w:t xml:space="preserve">: </w:t>
      </w:r>
      <w:r w:rsidR="00D2149F">
        <w:t>Comparison of the environmental profile of the two packaging</w:t>
      </w:r>
      <w:r w:rsidR="00AA2A75">
        <w:t xml:space="preserve"> </w:t>
      </w:r>
      <w:r w:rsidR="001D4316">
        <w:t xml:space="preserve">materials for </w:t>
      </w:r>
      <w:r w:rsidR="00AA2A75">
        <w:t>the</w:t>
      </w:r>
      <w:r w:rsidR="00D2149F">
        <w:t xml:space="preserve"> most relevant impact categories</w:t>
      </w:r>
      <w:r w:rsidR="006531B4">
        <w:t>.</w:t>
      </w:r>
    </w:p>
    <w:p w14:paraId="5B9E5E91" w14:textId="20AFBF64" w:rsidR="009B7016" w:rsidRPr="009B7016" w:rsidRDefault="00AA2A75" w:rsidP="009B7016">
      <w:pPr>
        <w:pStyle w:val="CETBodytext"/>
        <w:rPr>
          <w:lang w:val="en-GB"/>
        </w:rPr>
      </w:pPr>
      <w:r>
        <w:rPr>
          <w:lang w:val="en-GB"/>
        </w:rPr>
        <w:t>R</w:t>
      </w:r>
      <w:r w:rsidR="009B7016" w:rsidRPr="009B7016">
        <w:rPr>
          <w:lang w:val="en-GB"/>
        </w:rPr>
        <w:t>egarding the ecosystem quality,</w:t>
      </w:r>
      <w:r>
        <w:rPr>
          <w:lang w:val="en-GB"/>
        </w:rPr>
        <w:t xml:space="preserve"> the two packaging</w:t>
      </w:r>
      <w:r w:rsidR="006B10E5">
        <w:rPr>
          <w:lang w:val="en-GB"/>
        </w:rPr>
        <w:t xml:space="preserve"> solutions</w:t>
      </w:r>
      <w:r>
        <w:rPr>
          <w:lang w:val="en-GB"/>
        </w:rPr>
        <w:t xml:space="preserve"> </w:t>
      </w:r>
      <w:r w:rsidR="006B10E5">
        <w:rPr>
          <w:lang w:val="en-GB"/>
        </w:rPr>
        <w:t xml:space="preserve">show </w:t>
      </w:r>
      <w:r w:rsidR="009E1B1E">
        <w:rPr>
          <w:lang w:val="en-GB"/>
        </w:rPr>
        <w:t xml:space="preserve">reverse </w:t>
      </w:r>
      <w:r w:rsidR="006B10E5">
        <w:rPr>
          <w:lang w:val="en-GB"/>
        </w:rPr>
        <w:t>environmental impact</w:t>
      </w:r>
      <w:r w:rsidR="009E1B1E">
        <w:rPr>
          <w:lang w:val="en-GB"/>
        </w:rPr>
        <w:t>;</w:t>
      </w:r>
      <w:r w:rsidR="009B7016" w:rsidRPr="009B7016">
        <w:rPr>
          <w:lang w:val="en-GB"/>
        </w:rPr>
        <w:t xml:space="preserve"> </w:t>
      </w:r>
      <w:r w:rsidR="009E1B1E">
        <w:rPr>
          <w:lang w:val="en-GB"/>
        </w:rPr>
        <w:t>e.g.</w:t>
      </w:r>
      <w:r w:rsidR="009B7016" w:rsidRPr="009B7016">
        <w:rPr>
          <w:lang w:val="en-GB"/>
        </w:rPr>
        <w:t xml:space="preserve"> the impact categor</w:t>
      </w:r>
      <w:r w:rsidR="001D4316">
        <w:rPr>
          <w:lang w:val="en-GB"/>
        </w:rPr>
        <w:t>ies</w:t>
      </w:r>
      <w:r w:rsidR="009B7016" w:rsidRPr="009B7016">
        <w:rPr>
          <w:lang w:val="en-GB"/>
        </w:rPr>
        <w:t xml:space="preserve"> </w:t>
      </w:r>
      <w:r w:rsidR="009B6A42">
        <w:rPr>
          <w:lang w:val="en-GB"/>
        </w:rPr>
        <w:t>related to the ecosystem quality</w:t>
      </w:r>
      <w:r w:rsidR="001D4316">
        <w:rPr>
          <w:lang w:val="en-GB"/>
        </w:rPr>
        <w:t>,</w:t>
      </w:r>
      <w:r w:rsidR="009B6A42">
        <w:rPr>
          <w:lang w:val="en-GB"/>
        </w:rPr>
        <w:t xml:space="preserve"> as </w:t>
      </w:r>
      <w:proofErr w:type="spellStart"/>
      <w:r w:rsidR="009B6A42">
        <w:rPr>
          <w:lang w:val="en-GB"/>
        </w:rPr>
        <w:t>F</w:t>
      </w:r>
      <w:r w:rsidR="009B7016" w:rsidRPr="009B7016">
        <w:rPr>
          <w:lang w:val="en-GB"/>
        </w:rPr>
        <w:t>eco</w:t>
      </w:r>
      <w:proofErr w:type="spellEnd"/>
      <w:r w:rsidR="009B7016" w:rsidRPr="009B7016">
        <w:rPr>
          <w:lang w:val="en-GB"/>
        </w:rPr>
        <w:t>,</w:t>
      </w:r>
      <w:r w:rsidR="009B6A42">
        <w:rPr>
          <w:lang w:val="en-GB"/>
        </w:rPr>
        <w:t xml:space="preserve"> LU and WD</w:t>
      </w:r>
      <w:r w:rsidR="001D4316">
        <w:rPr>
          <w:lang w:val="en-GB"/>
        </w:rPr>
        <w:t>,</w:t>
      </w:r>
      <w:r>
        <w:rPr>
          <w:lang w:val="en-GB"/>
        </w:rPr>
        <w:t xml:space="preserve"> </w:t>
      </w:r>
      <w:r w:rsidR="006B10E5">
        <w:rPr>
          <w:lang w:val="en-GB"/>
        </w:rPr>
        <w:t>present higher values for</w:t>
      </w:r>
      <w:r w:rsidR="009B7016" w:rsidRPr="009B7016">
        <w:rPr>
          <w:lang w:val="en-GB"/>
        </w:rPr>
        <w:t xml:space="preserve"> the innovative packaging than </w:t>
      </w:r>
      <w:r w:rsidR="006B10E5">
        <w:rPr>
          <w:lang w:val="en-GB"/>
        </w:rPr>
        <w:t>for</w:t>
      </w:r>
      <w:r w:rsidR="006B10E5" w:rsidRPr="009B7016">
        <w:rPr>
          <w:lang w:val="en-GB"/>
        </w:rPr>
        <w:t xml:space="preserve"> </w:t>
      </w:r>
      <w:r w:rsidR="009B7016" w:rsidRPr="009B7016">
        <w:rPr>
          <w:lang w:val="en-GB"/>
        </w:rPr>
        <w:t xml:space="preserve">the traditional packaging. The reason </w:t>
      </w:r>
      <w:r w:rsidR="00496CC2">
        <w:rPr>
          <w:noProof/>
          <w:lang w:val="en-GB"/>
        </w:rPr>
        <w:t>for</w:t>
      </w:r>
      <w:r w:rsidR="009B7016" w:rsidRPr="009B7016">
        <w:rPr>
          <w:lang w:val="en-GB"/>
        </w:rPr>
        <w:t xml:space="preserve"> this derangement is</w:t>
      </w:r>
      <w:r w:rsidR="00281538">
        <w:rPr>
          <w:lang w:val="en-GB"/>
        </w:rPr>
        <w:t xml:space="preserve"> the fraction allocated to </w:t>
      </w:r>
      <w:r w:rsidR="009B7016" w:rsidRPr="009B7016">
        <w:rPr>
          <w:lang w:val="en-GB"/>
        </w:rPr>
        <w:t xml:space="preserve">the cultivation phase of the renewable resources </w:t>
      </w:r>
      <w:r w:rsidR="00281538">
        <w:rPr>
          <w:lang w:val="en-GB"/>
        </w:rPr>
        <w:t xml:space="preserve">for </w:t>
      </w:r>
      <w:r w:rsidR="00281538" w:rsidRPr="00496CC2">
        <w:rPr>
          <w:noProof/>
          <w:lang w:val="en-GB"/>
        </w:rPr>
        <w:t>bioplastic</w:t>
      </w:r>
      <w:r w:rsidR="00281538">
        <w:rPr>
          <w:lang w:val="en-GB"/>
        </w:rPr>
        <w:t xml:space="preserve"> </w:t>
      </w:r>
      <w:r w:rsidR="009B7016" w:rsidRPr="009B7016">
        <w:rPr>
          <w:lang w:val="en-GB"/>
        </w:rPr>
        <w:t>produc</w:t>
      </w:r>
      <w:r w:rsidR="00281538">
        <w:rPr>
          <w:lang w:val="en-GB"/>
        </w:rPr>
        <w:t>tion</w:t>
      </w:r>
      <w:r w:rsidR="00AE34D2">
        <w:rPr>
          <w:lang w:val="en-GB"/>
        </w:rPr>
        <w:t>. Even if</w:t>
      </w:r>
      <w:r w:rsidR="00281538">
        <w:rPr>
          <w:lang w:val="en-GB"/>
        </w:rPr>
        <w:t xml:space="preserve"> </w:t>
      </w:r>
      <w:r w:rsidR="00AE34D2">
        <w:rPr>
          <w:lang w:val="en-GB"/>
        </w:rPr>
        <w:t xml:space="preserve">for the bioplastic production </w:t>
      </w:r>
      <w:r w:rsidR="009B7016" w:rsidRPr="00130211">
        <w:rPr>
          <w:lang w:val="en-GB"/>
        </w:rPr>
        <w:t>by-products</w:t>
      </w:r>
      <w:r w:rsidR="00AE34D2">
        <w:rPr>
          <w:lang w:val="en-GB"/>
        </w:rPr>
        <w:t>,</w:t>
      </w:r>
      <w:r w:rsidR="00130211" w:rsidRPr="00130211">
        <w:rPr>
          <w:lang w:val="en-GB"/>
        </w:rPr>
        <w:t xml:space="preserve"> from the </w:t>
      </w:r>
      <w:r w:rsidR="009B7016" w:rsidRPr="00130211">
        <w:rPr>
          <w:lang w:val="en-GB"/>
        </w:rPr>
        <w:t>cultivation and farming phases</w:t>
      </w:r>
      <w:r w:rsidR="00AE34D2">
        <w:rPr>
          <w:lang w:val="en-GB"/>
        </w:rPr>
        <w:t>, are used, they still present</w:t>
      </w:r>
      <w:r w:rsidR="00281538">
        <w:rPr>
          <w:lang w:val="en-GB"/>
        </w:rPr>
        <w:t xml:space="preserve"> a higher impact compared to </w:t>
      </w:r>
      <w:r w:rsidR="00887176">
        <w:rPr>
          <w:lang w:val="en-GB"/>
        </w:rPr>
        <w:t xml:space="preserve">the </w:t>
      </w:r>
      <w:r w:rsidR="00AE34D2">
        <w:rPr>
          <w:lang w:val="en-GB"/>
        </w:rPr>
        <w:t>traditional plastic production</w:t>
      </w:r>
      <w:r w:rsidR="00130211" w:rsidRPr="00130211">
        <w:rPr>
          <w:lang w:val="en-GB"/>
        </w:rPr>
        <w:t>.</w:t>
      </w:r>
    </w:p>
    <w:p w14:paraId="659EDA6F" w14:textId="2026EE66" w:rsidR="009B7016" w:rsidRPr="009B7016" w:rsidRDefault="007138E8" w:rsidP="00FC4674">
      <w:pPr>
        <w:pStyle w:val="CETheadingx"/>
      </w:pPr>
      <w:r>
        <w:t>Life Cycle Impact Assessment: t</w:t>
      </w:r>
      <w:r w:rsidR="009B7016" w:rsidRPr="009B7016">
        <w:t>he waste management scenario</w:t>
      </w:r>
    </w:p>
    <w:p w14:paraId="1A2EB489" w14:textId="4BAEA686" w:rsidR="009B7016" w:rsidRPr="009B7016" w:rsidRDefault="00AD23D7" w:rsidP="009B7016">
      <w:pPr>
        <w:pStyle w:val="CETBodytext"/>
        <w:rPr>
          <w:lang w:val="en-GB"/>
        </w:rPr>
      </w:pPr>
      <w:r>
        <w:rPr>
          <w:lang w:val="en-GB"/>
        </w:rPr>
        <w:t xml:space="preserve">The waste management scenario is complex because of </w:t>
      </w:r>
      <w:proofErr w:type="gramStart"/>
      <w:r w:rsidR="009C6995">
        <w:rPr>
          <w:lang w:val="en-GB"/>
        </w:rPr>
        <w:t>a number of</w:t>
      </w:r>
      <w:proofErr w:type="gramEnd"/>
      <w:r w:rsidR="009B7016" w:rsidRPr="009B7016">
        <w:rPr>
          <w:lang w:val="en-GB"/>
        </w:rPr>
        <w:t xml:space="preserve"> factors</w:t>
      </w:r>
      <w:r>
        <w:rPr>
          <w:lang w:val="en-GB"/>
        </w:rPr>
        <w:t xml:space="preserve"> that must be considered</w:t>
      </w:r>
      <w:r w:rsidR="009B7016" w:rsidRPr="009B7016">
        <w:rPr>
          <w:lang w:val="en-GB"/>
        </w:rPr>
        <w:t xml:space="preserve">: </w:t>
      </w:r>
      <w:r w:rsidR="00427927">
        <w:t>(</w:t>
      </w:r>
      <w:r w:rsidR="009B7016" w:rsidRPr="009B7016">
        <w:rPr>
          <w:lang w:val="en-GB"/>
        </w:rPr>
        <w:t>i) the composition of the packagi</w:t>
      </w:r>
      <w:r w:rsidR="00FF6C44">
        <w:rPr>
          <w:lang w:val="en-GB"/>
        </w:rPr>
        <w:t>ng, (ii</w:t>
      </w:r>
      <w:r w:rsidR="006169A8">
        <w:rPr>
          <w:lang w:val="en-GB"/>
        </w:rPr>
        <w:t xml:space="preserve">) </w:t>
      </w:r>
      <w:r w:rsidR="009B7016" w:rsidRPr="009B7016">
        <w:rPr>
          <w:lang w:val="en-GB"/>
        </w:rPr>
        <w:t>the properties of the single materials</w:t>
      </w:r>
      <w:r w:rsidR="006169A8">
        <w:rPr>
          <w:lang w:val="en-GB"/>
        </w:rPr>
        <w:t>,</w:t>
      </w:r>
      <w:r w:rsidR="009B7016" w:rsidRPr="009B7016">
        <w:rPr>
          <w:lang w:val="en-GB"/>
        </w:rPr>
        <w:t xml:space="preserve"> </w:t>
      </w:r>
      <w:r w:rsidR="006169A8">
        <w:rPr>
          <w:lang w:val="en-GB"/>
        </w:rPr>
        <w:t>(</w:t>
      </w:r>
      <w:r w:rsidR="009B7016" w:rsidRPr="009B7016">
        <w:rPr>
          <w:lang w:val="en-GB"/>
        </w:rPr>
        <w:t>iii) the regional waste management procedures</w:t>
      </w:r>
      <w:r w:rsidR="006169A8">
        <w:rPr>
          <w:lang w:val="en-GB"/>
        </w:rPr>
        <w:t>, (</w:t>
      </w:r>
      <w:r w:rsidR="009B7016" w:rsidRPr="009B7016">
        <w:rPr>
          <w:lang w:val="en-GB"/>
        </w:rPr>
        <w:t>iv) the dirty packaging (</w:t>
      </w:r>
      <w:r w:rsidR="007138E8">
        <w:rPr>
          <w:lang w:val="en-GB"/>
        </w:rPr>
        <w:t xml:space="preserve">olive </w:t>
      </w:r>
      <w:r w:rsidR="009B7016" w:rsidRPr="009B7016">
        <w:rPr>
          <w:lang w:val="en-GB"/>
        </w:rPr>
        <w:t>oil inside)</w:t>
      </w:r>
      <w:r w:rsidR="00AA2A75">
        <w:rPr>
          <w:lang w:val="en-GB"/>
        </w:rPr>
        <w:t xml:space="preserve"> and</w:t>
      </w:r>
      <w:r w:rsidR="009B7016" w:rsidRPr="009B7016">
        <w:rPr>
          <w:lang w:val="en-GB"/>
        </w:rPr>
        <w:t xml:space="preserve"> </w:t>
      </w:r>
      <w:r w:rsidR="00EB2A3B">
        <w:rPr>
          <w:lang w:val="en-GB"/>
        </w:rPr>
        <w:t>(</w:t>
      </w:r>
      <w:r w:rsidR="009B7016" w:rsidRPr="009B7016">
        <w:rPr>
          <w:lang w:val="en-GB"/>
        </w:rPr>
        <w:t>v) the consumers</w:t>
      </w:r>
      <w:r w:rsidR="001D4316">
        <w:rPr>
          <w:lang w:val="en-GB"/>
        </w:rPr>
        <w:t>’</w:t>
      </w:r>
      <w:r w:rsidR="009B7016" w:rsidRPr="009B7016">
        <w:rPr>
          <w:lang w:val="en-GB"/>
        </w:rPr>
        <w:t xml:space="preserve"> behaviour. </w:t>
      </w:r>
    </w:p>
    <w:p w14:paraId="3BC7768F" w14:textId="648B9E17" w:rsidR="009B7016" w:rsidRPr="009B7016" w:rsidRDefault="009B7016" w:rsidP="009B7016">
      <w:pPr>
        <w:pStyle w:val="CETBodytext"/>
        <w:rPr>
          <w:lang w:val="en-GB"/>
        </w:rPr>
      </w:pPr>
      <w:r w:rsidRPr="009B7016">
        <w:rPr>
          <w:lang w:val="en-GB"/>
        </w:rPr>
        <w:t xml:space="preserve">Regarding the first two </w:t>
      </w:r>
      <w:r w:rsidR="00AD23D7">
        <w:rPr>
          <w:lang w:val="en-GB"/>
        </w:rPr>
        <w:t>factor</w:t>
      </w:r>
      <w:r w:rsidR="00AD23D7" w:rsidRPr="009B7016">
        <w:rPr>
          <w:lang w:val="en-GB"/>
        </w:rPr>
        <w:t>s</w:t>
      </w:r>
      <w:r w:rsidRPr="009B7016">
        <w:rPr>
          <w:lang w:val="en-GB"/>
        </w:rPr>
        <w:t>, both packaging</w:t>
      </w:r>
      <w:r w:rsidR="007B5C1B">
        <w:rPr>
          <w:lang w:val="en-GB"/>
        </w:rPr>
        <w:t xml:space="preserve"> systems</w:t>
      </w:r>
      <w:r w:rsidRPr="009B7016">
        <w:rPr>
          <w:lang w:val="en-GB"/>
        </w:rPr>
        <w:t xml:space="preserve"> are </w:t>
      </w:r>
      <w:r w:rsidR="00887176" w:rsidRPr="009B7016">
        <w:rPr>
          <w:lang w:val="en-GB"/>
        </w:rPr>
        <w:t>made from</w:t>
      </w:r>
      <w:r w:rsidRPr="009B7016">
        <w:rPr>
          <w:lang w:val="en-GB"/>
        </w:rPr>
        <w:t xml:space="preserve"> different materials, and the traditional one presents a high</w:t>
      </w:r>
      <w:r w:rsidR="00887176">
        <w:rPr>
          <w:lang w:val="en-GB"/>
        </w:rPr>
        <w:t>er</w:t>
      </w:r>
      <w:r w:rsidRPr="009B7016">
        <w:rPr>
          <w:lang w:val="en-GB"/>
        </w:rPr>
        <w:t xml:space="preserve"> quantity of aluminium</w:t>
      </w:r>
      <w:r w:rsidR="001D4316">
        <w:rPr>
          <w:lang w:val="en-GB"/>
        </w:rPr>
        <w:t>,</w:t>
      </w:r>
      <w:r w:rsidRPr="009B7016">
        <w:rPr>
          <w:lang w:val="en-GB"/>
        </w:rPr>
        <w:t xml:space="preserve"> which could complicate the waste management. Regarding the innovative packaging</w:t>
      </w:r>
      <w:r w:rsidR="00AA2A75">
        <w:rPr>
          <w:lang w:val="en-GB"/>
        </w:rPr>
        <w:t>,</w:t>
      </w:r>
      <w:r w:rsidRPr="009B7016">
        <w:rPr>
          <w:lang w:val="en-GB"/>
        </w:rPr>
        <w:t xml:space="preserve"> its composition show</w:t>
      </w:r>
      <w:r w:rsidR="00887176">
        <w:rPr>
          <w:lang w:val="en-GB"/>
        </w:rPr>
        <w:t>ed</w:t>
      </w:r>
      <w:r w:rsidRPr="009B7016">
        <w:rPr>
          <w:lang w:val="en-GB"/>
        </w:rPr>
        <w:t xml:space="preserve"> less aluminium</w:t>
      </w:r>
      <w:r w:rsidR="00AA2A75">
        <w:rPr>
          <w:lang w:val="en-GB"/>
        </w:rPr>
        <w:t>,</w:t>
      </w:r>
      <w:r w:rsidRPr="009B7016">
        <w:rPr>
          <w:lang w:val="en-GB"/>
        </w:rPr>
        <w:t xml:space="preserve"> but </w:t>
      </w:r>
      <w:r w:rsidR="00AA2A75">
        <w:rPr>
          <w:lang w:val="en-GB"/>
        </w:rPr>
        <w:t xml:space="preserve">it </w:t>
      </w:r>
      <w:r w:rsidRPr="009B7016">
        <w:rPr>
          <w:lang w:val="en-GB"/>
        </w:rPr>
        <w:t>has two different bio-based plastic materials, each of them present</w:t>
      </w:r>
      <w:r w:rsidR="007A7804">
        <w:rPr>
          <w:lang w:val="en-GB"/>
        </w:rPr>
        <w:t>ing</w:t>
      </w:r>
      <w:r w:rsidRPr="009B7016">
        <w:rPr>
          <w:lang w:val="en-GB"/>
        </w:rPr>
        <w:t xml:space="preserve"> different characteristics of degradability, compostability and recyclability. Due to these considerations</w:t>
      </w:r>
      <w:r w:rsidR="00AA2A75">
        <w:rPr>
          <w:lang w:val="en-GB"/>
        </w:rPr>
        <w:t>,</w:t>
      </w:r>
      <w:r w:rsidRPr="009B7016">
        <w:rPr>
          <w:lang w:val="en-GB"/>
        </w:rPr>
        <w:t xml:space="preserve"> the two packaging </w:t>
      </w:r>
      <w:r w:rsidR="001D4316">
        <w:rPr>
          <w:lang w:val="en-GB"/>
        </w:rPr>
        <w:t xml:space="preserve">materials </w:t>
      </w:r>
      <w:r w:rsidRPr="009B7016">
        <w:rPr>
          <w:lang w:val="en-GB"/>
        </w:rPr>
        <w:t xml:space="preserve">do not have clear </w:t>
      </w:r>
      <w:r w:rsidR="00AD23D7">
        <w:rPr>
          <w:lang w:val="en-GB"/>
        </w:rPr>
        <w:t>disposal</w:t>
      </w:r>
      <w:r w:rsidRPr="009B7016">
        <w:rPr>
          <w:lang w:val="en-GB"/>
        </w:rPr>
        <w:t xml:space="preserve"> procedure</w:t>
      </w:r>
      <w:r w:rsidR="001D4316">
        <w:rPr>
          <w:lang w:val="en-GB"/>
        </w:rPr>
        <w:t>s</w:t>
      </w:r>
      <w:r w:rsidR="00CB15B8">
        <w:rPr>
          <w:lang w:val="en-GB"/>
        </w:rPr>
        <w:t>,</w:t>
      </w:r>
      <w:r w:rsidRPr="009B7016">
        <w:rPr>
          <w:lang w:val="en-GB"/>
        </w:rPr>
        <w:t xml:space="preserve"> </w:t>
      </w:r>
      <w:r w:rsidR="00CB15B8">
        <w:rPr>
          <w:lang w:val="en-GB"/>
        </w:rPr>
        <w:t>besides</w:t>
      </w:r>
      <w:r w:rsidR="001D4316">
        <w:rPr>
          <w:lang w:val="en-GB"/>
        </w:rPr>
        <w:t>,</w:t>
      </w:r>
      <w:r w:rsidR="00AD23D7">
        <w:rPr>
          <w:lang w:val="en-GB"/>
        </w:rPr>
        <w:t xml:space="preserve"> </w:t>
      </w:r>
      <w:r w:rsidRPr="009B7016">
        <w:rPr>
          <w:lang w:val="en-GB"/>
        </w:rPr>
        <w:t xml:space="preserve">different regional </w:t>
      </w:r>
      <w:r w:rsidR="007A7804">
        <w:rPr>
          <w:lang w:val="en-GB"/>
        </w:rPr>
        <w:t xml:space="preserve">governments </w:t>
      </w:r>
      <w:r w:rsidR="00887176">
        <w:rPr>
          <w:lang w:val="en-GB"/>
        </w:rPr>
        <w:t>enforce</w:t>
      </w:r>
      <w:r w:rsidR="00AD23D7">
        <w:rPr>
          <w:lang w:val="en-GB"/>
        </w:rPr>
        <w:t xml:space="preserve"> </w:t>
      </w:r>
      <w:r w:rsidR="00AA2A75">
        <w:rPr>
          <w:lang w:val="en-GB"/>
        </w:rPr>
        <w:t xml:space="preserve">differences </w:t>
      </w:r>
      <w:r w:rsidR="00D86CD5">
        <w:rPr>
          <w:lang w:val="en-GB"/>
        </w:rPr>
        <w:t>in</w:t>
      </w:r>
      <w:r w:rsidRPr="009B7016">
        <w:rPr>
          <w:lang w:val="en-GB"/>
        </w:rPr>
        <w:t xml:space="preserve"> waste management. </w:t>
      </w:r>
      <w:r w:rsidR="007138E8">
        <w:rPr>
          <w:lang w:val="en-GB"/>
        </w:rPr>
        <w:t>Nevertheless,</w:t>
      </w:r>
      <w:r w:rsidRPr="009B7016">
        <w:rPr>
          <w:lang w:val="en-GB"/>
        </w:rPr>
        <w:t xml:space="preserve"> </w:t>
      </w:r>
      <w:proofErr w:type="gramStart"/>
      <w:r w:rsidR="00AD23D7">
        <w:rPr>
          <w:lang w:val="en-GB"/>
        </w:rPr>
        <w:t>taking into account</w:t>
      </w:r>
      <w:proofErr w:type="gramEnd"/>
      <w:r w:rsidRPr="009B7016">
        <w:rPr>
          <w:lang w:val="en-GB"/>
        </w:rPr>
        <w:t xml:space="preserve"> the </w:t>
      </w:r>
      <w:r w:rsidR="00AD23D7">
        <w:rPr>
          <w:lang w:val="en-GB"/>
        </w:rPr>
        <w:t>normal</w:t>
      </w:r>
      <w:r w:rsidR="00AD23D7" w:rsidRPr="009B7016">
        <w:rPr>
          <w:lang w:val="en-GB"/>
        </w:rPr>
        <w:t xml:space="preserve"> </w:t>
      </w:r>
      <w:r w:rsidRPr="009B7016">
        <w:rPr>
          <w:lang w:val="en-GB"/>
        </w:rPr>
        <w:t>use of th</w:t>
      </w:r>
      <w:r w:rsidR="001D4316">
        <w:rPr>
          <w:lang w:val="en-GB"/>
        </w:rPr>
        <w:t>e</w:t>
      </w:r>
      <w:r w:rsidRPr="009B7016">
        <w:rPr>
          <w:lang w:val="en-GB"/>
        </w:rPr>
        <w:t>s</w:t>
      </w:r>
      <w:r w:rsidR="001D4316">
        <w:rPr>
          <w:lang w:val="en-GB"/>
        </w:rPr>
        <w:t>e</w:t>
      </w:r>
      <w:r w:rsidRPr="009B7016">
        <w:rPr>
          <w:lang w:val="en-GB"/>
        </w:rPr>
        <w:t xml:space="preserve"> packaging</w:t>
      </w:r>
      <w:r w:rsidR="001D4316">
        <w:rPr>
          <w:lang w:val="en-GB"/>
        </w:rPr>
        <w:t xml:space="preserve"> solutions</w:t>
      </w:r>
      <w:r w:rsidRPr="009B7016">
        <w:rPr>
          <w:lang w:val="en-GB"/>
        </w:rPr>
        <w:t xml:space="preserve">, </w:t>
      </w:r>
      <w:r w:rsidR="00182EC3">
        <w:rPr>
          <w:lang w:val="en-GB"/>
        </w:rPr>
        <w:t xml:space="preserve">it </w:t>
      </w:r>
      <w:r w:rsidR="00887176">
        <w:rPr>
          <w:lang w:val="en-GB"/>
        </w:rPr>
        <w:t xml:space="preserve">should </w:t>
      </w:r>
      <w:r w:rsidR="00182EC3">
        <w:rPr>
          <w:lang w:val="en-GB"/>
        </w:rPr>
        <w:t xml:space="preserve">be considered that </w:t>
      </w:r>
      <w:r w:rsidRPr="009B7016">
        <w:rPr>
          <w:lang w:val="en-GB"/>
        </w:rPr>
        <w:t>the product is consumed in restaurants</w:t>
      </w:r>
      <w:r w:rsidR="00182EC3">
        <w:rPr>
          <w:lang w:val="en-GB"/>
        </w:rPr>
        <w:t>,</w:t>
      </w:r>
      <w:r w:rsidRPr="009B7016">
        <w:rPr>
          <w:lang w:val="en-GB"/>
        </w:rPr>
        <w:t xml:space="preserve"> </w:t>
      </w:r>
      <w:r w:rsidR="006129F2" w:rsidRPr="006129F2">
        <w:rPr>
          <w:lang w:val="en-GB"/>
        </w:rPr>
        <w:t>company canteens, schools, hospitals</w:t>
      </w:r>
      <w:r w:rsidR="00182EC3" w:rsidRPr="009B7016">
        <w:rPr>
          <w:lang w:val="en-GB"/>
        </w:rPr>
        <w:t xml:space="preserve"> </w:t>
      </w:r>
      <w:r w:rsidRPr="009B7016">
        <w:rPr>
          <w:lang w:val="en-GB"/>
        </w:rPr>
        <w:t>or outdoor</w:t>
      </w:r>
      <w:r w:rsidR="0089115B">
        <w:rPr>
          <w:lang w:val="en-GB"/>
        </w:rPr>
        <w:t>s</w:t>
      </w:r>
      <w:r w:rsidRPr="009B7016">
        <w:rPr>
          <w:lang w:val="en-GB"/>
        </w:rPr>
        <w:t xml:space="preserve">. </w:t>
      </w:r>
      <w:r w:rsidR="00182EC3">
        <w:rPr>
          <w:lang w:val="en-GB"/>
        </w:rPr>
        <w:t xml:space="preserve">In these </w:t>
      </w:r>
      <w:r w:rsidR="005A4566">
        <w:rPr>
          <w:lang w:val="en-GB"/>
        </w:rPr>
        <w:t>situations,</w:t>
      </w:r>
      <w:r w:rsidR="00182EC3">
        <w:rPr>
          <w:lang w:val="en-GB"/>
        </w:rPr>
        <w:t xml:space="preserve"> t</w:t>
      </w:r>
      <w:r w:rsidRPr="009B7016">
        <w:rPr>
          <w:lang w:val="en-GB"/>
        </w:rPr>
        <w:t xml:space="preserve">he </w:t>
      </w:r>
      <w:r w:rsidR="00182EC3">
        <w:rPr>
          <w:lang w:val="en-GB"/>
        </w:rPr>
        <w:t>potential</w:t>
      </w:r>
      <w:r w:rsidR="00182EC3" w:rsidRPr="009B7016">
        <w:rPr>
          <w:lang w:val="en-GB"/>
        </w:rPr>
        <w:t xml:space="preserve"> </w:t>
      </w:r>
      <w:r w:rsidRPr="009B7016">
        <w:rPr>
          <w:lang w:val="en-GB"/>
        </w:rPr>
        <w:t>consumers</w:t>
      </w:r>
      <w:r w:rsidR="001D4316">
        <w:rPr>
          <w:lang w:val="en-GB"/>
        </w:rPr>
        <w:t>,</w:t>
      </w:r>
      <w:r w:rsidRPr="009B7016">
        <w:rPr>
          <w:lang w:val="en-GB"/>
        </w:rPr>
        <w:t xml:space="preserve"> when </w:t>
      </w:r>
      <w:r w:rsidR="00182EC3">
        <w:rPr>
          <w:lang w:val="en-GB"/>
        </w:rPr>
        <w:t xml:space="preserve">deciding to </w:t>
      </w:r>
      <w:r w:rsidR="00182EC3" w:rsidRPr="00496CC2">
        <w:rPr>
          <w:noProof/>
          <w:lang w:val="en-GB"/>
        </w:rPr>
        <w:t>dispose</w:t>
      </w:r>
      <w:r w:rsidR="00182EC3">
        <w:rPr>
          <w:lang w:val="en-GB"/>
        </w:rPr>
        <w:t xml:space="preserve"> the packaging</w:t>
      </w:r>
      <w:r w:rsidRPr="009B7016">
        <w:rPr>
          <w:lang w:val="en-GB"/>
        </w:rPr>
        <w:t xml:space="preserve">, </w:t>
      </w:r>
      <w:r w:rsidR="00182EC3">
        <w:rPr>
          <w:lang w:val="en-GB"/>
        </w:rPr>
        <w:t>easi</w:t>
      </w:r>
      <w:r w:rsidR="00182EC3" w:rsidRPr="009B7016">
        <w:rPr>
          <w:lang w:val="en-GB"/>
        </w:rPr>
        <w:t>ly</w:t>
      </w:r>
      <w:r w:rsidR="00182EC3">
        <w:rPr>
          <w:lang w:val="en-GB"/>
        </w:rPr>
        <w:t xml:space="preserve"> wil</w:t>
      </w:r>
      <w:r w:rsidR="00C42519">
        <w:rPr>
          <w:lang w:val="en-GB"/>
        </w:rPr>
        <w:t>l</w:t>
      </w:r>
      <w:r w:rsidR="00182EC3">
        <w:rPr>
          <w:lang w:val="en-GB"/>
        </w:rPr>
        <w:t xml:space="preserve"> </w:t>
      </w:r>
      <w:r w:rsidR="00182EC3" w:rsidRPr="00496CC2">
        <w:rPr>
          <w:noProof/>
          <w:lang w:val="en-GB"/>
        </w:rPr>
        <w:t>dispose</w:t>
      </w:r>
      <w:r w:rsidR="00182EC3">
        <w:rPr>
          <w:lang w:val="en-GB"/>
        </w:rPr>
        <w:t xml:space="preserve"> it</w:t>
      </w:r>
      <w:r w:rsidRPr="009B7016">
        <w:rPr>
          <w:lang w:val="en-GB"/>
        </w:rPr>
        <w:t xml:space="preserve"> in the undifferentiated</w:t>
      </w:r>
      <w:r w:rsidR="007138E8">
        <w:rPr>
          <w:lang w:val="en-GB"/>
        </w:rPr>
        <w:t xml:space="preserve"> garbage.</w:t>
      </w:r>
    </w:p>
    <w:p w14:paraId="6E1C13A7" w14:textId="1D115216" w:rsidR="009B7016" w:rsidRPr="009B7016" w:rsidRDefault="009B7016" w:rsidP="009B7016">
      <w:pPr>
        <w:pStyle w:val="CETBodytext"/>
        <w:rPr>
          <w:lang w:val="en-GB"/>
        </w:rPr>
      </w:pPr>
      <w:r w:rsidRPr="009B7016">
        <w:rPr>
          <w:lang w:val="en-GB"/>
        </w:rPr>
        <w:t xml:space="preserve">These assumptions </w:t>
      </w:r>
      <w:r w:rsidR="009C01A4">
        <w:rPr>
          <w:lang w:val="en-GB"/>
        </w:rPr>
        <w:t>address stud</w:t>
      </w:r>
      <w:r w:rsidR="00C42519">
        <w:rPr>
          <w:lang w:val="en-GB"/>
        </w:rPr>
        <w:t>y</w:t>
      </w:r>
      <w:r w:rsidR="009C01A4">
        <w:rPr>
          <w:lang w:val="en-GB"/>
        </w:rPr>
        <w:t>ing incineration</w:t>
      </w:r>
      <w:r w:rsidR="00C42519">
        <w:rPr>
          <w:lang w:val="en-GB"/>
        </w:rPr>
        <w:t>,</w:t>
      </w:r>
      <w:r w:rsidRPr="009B7016">
        <w:rPr>
          <w:lang w:val="en-GB"/>
        </w:rPr>
        <w:t xml:space="preserve"> </w:t>
      </w:r>
      <w:r w:rsidR="001D4316">
        <w:rPr>
          <w:lang w:val="en-GB"/>
        </w:rPr>
        <w:t xml:space="preserve">which </w:t>
      </w:r>
      <w:r w:rsidRPr="009B7016">
        <w:rPr>
          <w:lang w:val="en-GB"/>
        </w:rPr>
        <w:t>represent</w:t>
      </w:r>
      <w:r w:rsidR="00D86CD5">
        <w:rPr>
          <w:lang w:val="en-GB"/>
        </w:rPr>
        <w:t>s</w:t>
      </w:r>
      <w:r w:rsidRPr="009B7016">
        <w:rPr>
          <w:lang w:val="en-GB"/>
        </w:rPr>
        <w:t xml:space="preserve"> the worst case</w:t>
      </w:r>
      <w:r w:rsidR="009C01A4">
        <w:rPr>
          <w:lang w:val="en-GB"/>
        </w:rPr>
        <w:t xml:space="preserve"> of waste management</w:t>
      </w:r>
      <w:r w:rsidR="00D40854">
        <w:rPr>
          <w:lang w:val="en-GB"/>
        </w:rPr>
        <w:t>,</w:t>
      </w:r>
      <w:r w:rsidR="009C01A4">
        <w:rPr>
          <w:lang w:val="en-GB"/>
        </w:rPr>
        <w:t xml:space="preserve"> </w:t>
      </w:r>
      <w:r w:rsidRPr="009B7016">
        <w:rPr>
          <w:lang w:val="en-GB"/>
        </w:rPr>
        <w:t>but is the most common practice</w:t>
      </w:r>
      <w:r w:rsidR="009C01A4">
        <w:rPr>
          <w:lang w:val="en-GB"/>
        </w:rPr>
        <w:t xml:space="preserve"> </w:t>
      </w:r>
      <w:r w:rsidRPr="009B7016">
        <w:rPr>
          <w:lang w:val="en-GB"/>
        </w:rPr>
        <w:t>situation</w:t>
      </w:r>
      <w:r w:rsidR="009C01A4">
        <w:rPr>
          <w:lang w:val="en-GB"/>
        </w:rPr>
        <w:t xml:space="preserve"> of </w:t>
      </w:r>
      <w:r w:rsidR="009C01A4" w:rsidRPr="00D40854">
        <w:rPr>
          <w:lang w:val="en-GB"/>
        </w:rPr>
        <w:t xml:space="preserve">meal consumption </w:t>
      </w:r>
      <w:r w:rsidR="00267A85">
        <w:rPr>
          <w:lang w:val="en-GB"/>
        </w:rPr>
        <w:t>outside</w:t>
      </w:r>
      <w:r w:rsidR="00D40854">
        <w:rPr>
          <w:lang w:val="en-GB"/>
        </w:rPr>
        <w:t xml:space="preserve"> </w:t>
      </w:r>
      <w:r w:rsidR="00D40854" w:rsidRPr="00496CC2">
        <w:rPr>
          <w:noProof/>
          <w:lang w:val="en-GB"/>
        </w:rPr>
        <w:t>home</w:t>
      </w:r>
      <w:r w:rsidRPr="009B7016">
        <w:rPr>
          <w:lang w:val="en-GB"/>
        </w:rPr>
        <w:t xml:space="preserve">. </w:t>
      </w:r>
      <w:r w:rsidR="00D40854">
        <w:rPr>
          <w:lang w:val="en-GB"/>
        </w:rPr>
        <w:t xml:space="preserve">Considering that </w:t>
      </w:r>
      <w:r w:rsidR="00267A85">
        <w:rPr>
          <w:lang w:val="en-GB"/>
        </w:rPr>
        <w:t xml:space="preserve">the two </w:t>
      </w:r>
      <w:r w:rsidRPr="009B7016">
        <w:rPr>
          <w:lang w:val="en-GB"/>
        </w:rPr>
        <w:t>different packaging</w:t>
      </w:r>
      <w:r w:rsidR="0089115B">
        <w:rPr>
          <w:lang w:val="en-GB"/>
        </w:rPr>
        <w:t xml:space="preserve"> solutions</w:t>
      </w:r>
      <w:r w:rsidRPr="009B7016">
        <w:rPr>
          <w:lang w:val="en-GB"/>
        </w:rPr>
        <w:t xml:space="preserve"> are made of different materials, </w:t>
      </w:r>
      <w:r w:rsidR="00D40854" w:rsidRPr="009B7016">
        <w:rPr>
          <w:lang w:val="en-GB"/>
        </w:rPr>
        <w:t xml:space="preserve">the analysis </w:t>
      </w:r>
      <w:r w:rsidR="00D40854">
        <w:rPr>
          <w:lang w:val="en-GB"/>
        </w:rPr>
        <w:t>takes into consideration</w:t>
      </w:r>
      <w:r w:rsidRPr="009B7016">
        <w:rPr>
          <w:lang w:val="en-GB"/>
        </w:rPr>
        <w:t xml:space="preserve"> different incineration </w:t>
      </w:r>
      <w:r w:rsidR="00D40854">
        <w:rPr>
          <w:lang w:val="en-GB"/>
        </w:rPr>
        <w:t>possibilities</w:t>
      </w:r>
      <w:r w:rsidR="0089115B">
        <w:rPr>
          <w:lang w:val="en-GB"/>
        </w:rPr>
        <w:t>.</w:t>
      </w:r>
      <w:r w:rsidRPr="009B7016">
        <w:rPr>
          <w:lang w:val="en-GB"/>
        </w:rPr>
        <w:t xml:space="preserve"> </w:t>
      </w:r>
      <w:r w:rsidR="0089115B">
        <w:rPr>
          <w:lang w:val="en-GB"/>
        </w:rPr>
        <w:t>T</w:t>
      </w:r>
      <w:r w:rsidRPr="009B7016">
        <w:rPr>
          <w:lang w:val="en-GB"/>
        </w:rPr>
        <w:t xml:space="preserve">he traditional packaging </w:t>
      </w:r>
      <w:r w:rsidR="00D40854">
        <w:rPr>
          <w:lang w:val="en-GB"/>
        </w:rPr>
        <w:t xml:space="preserve">has been treated </w:t>
      </w:r>
      <w:r w:rsidRPr="009B7016">
        <w:rPr>
          <w:lang w:val="en-GB"/>
        </w:rPr>
        <w:t>a</w:t>
      </w:r>
      <w:r w:rsidR="00D40854">
        <w:rPr>
          <w:lang w:val="en-GB"/>
        </w:rPr>
        <w:t>s</w:t>
      </w:r>
      <w:r w:rsidRPr="009B7016">
        <w:rPr>
          <w:lang w:val="en-GB"/>
        </w:rPr>
        <w:t xml:space="preserve"> </w:t>
      </w:r>
      <w:r w:rsidR="00496CC2">
        <w:rPr>
          <w:lang w:val="en-GB"/>
        </w:rPr>
        <w:t xml:space="preserve">a </w:t>
      </w:r>
      <w:r w:rsidRPr="00496CC2">
        <w:rPr>
          <w:noProof/>
          <w:lang w:val="en-GB"/>
        </w:rPr>
        <w:t>plastic</w:t>
      </w:r>
      <w:r w:rsidRPr="009B7016">
        <w:rPr>
          <w:lang w:val="en-GB"/>
        </w:rPr>
        <w:t xml:space="preserve"> material</w:t>
      </w:r>
      <w:r w:rsidR="00267A85">
        <w:rPr>
          <w:lang w:val="en-GB"/>
        </w:rPr>
        <w:t>,</w:t>
      </w:r>
      <w:r w:rsidRPr="009B7016">
        <w:rPr>
          <w:lang w:val="en-GB"/>
        </w:rPr>
        <w:t xml:space="preserve"> while the innovative one </w:t>
      </w:r>
      <w:r w:rsidR="00D40854">
        <w:rPr>
          <w:lang w:val="en-GB"/>
        </w:rPr>
        <w:t>as</w:t>
      </w:r>
      <w:r w:rsidR="00D40854" w:rsidRPr="009B7016">
        <w:rPr>
          <w:lang w:val="en-GB"/>
        </w:rPr>
        <w:t xml:space="preserve"> </w:t>
      </w:r>
      <w:r w:rsidRPr="009B7016">
        <w:rPr>
          <w:lang w:val="en-GB"/>
        </w:rPr>
        <w:t xml:space="preserve">organic material. In </w:t>
      </w:r>
      <w:r w:rsidR="005A4566">
        <w:rPr>
          <w:lang w:val="en-GB"/>
        </w:rPr>
        <w:t>T</w:t>
      </w:r>
      <w:r w:rsidRPr="009B7016">
        <w:rPr>
          <w:lang w:val="en-GB"/>
        </w:rPr>
        <w:t xml:space="preserve">able </w:t>
      </w:r>
      <w:r w:rsidR="00D86CD5">
        <w:rPr>
          <w:lang w:val="en-GB"/>
        </w:rPr>
        <w:t>5</w:t>
      </w:r>
      <w:r w:rsidRPr="009B7016">
        <w:rPr>
          <w:lang w:val="en-GB"/>
        </w:rPr>
        <w:t xml:space="preserve"> the results of th</w:t>
      </w:r>
      <w:r w:rsidR="00D40854">
        <w:rPr>
          <w:lang w:val="en-GB"/>
        </w:rPr>
        <w:t>e environmental impact from production to incineration phase</w:t>
      </w:r>
      <w:r w:rsidR="00267A85">
        <w:rPr>
          <w:lang w:val="en-GB"/>
        </w:rPr>
        <w:t>s</w:t>
      </w:r>
      <w:r w:rsidR="00267A85" w:rsidRPr="00267A85">
        <w:rPr>
          <w:lang w:val="en-GB"/>
        </w:rPr>
        <w:t xml:space="preserve"> </w:t>
      </w:r>
      <w:r w:rsidR="00267A85" w:rsidRPr="009B7016">
        <w:rPr>
          <w:lang w:val="en-GB"/>
        </w:rPr>
        <w:t>are reported</w:t>
      </w:r>
      <w:r w:rsidR="00D40854">
        <w:rPr>
          <w:lang w:val="en-GB"/>
        </w:rPr>
        <w:t xml:space="preserve">. Differences between </w:t>
      </w:r>
      <w:r w:rsidR="000A0428">
        <w:rPr>
          <w:lang w:val="en-GB"/>
        </w:rPr>
        <w:t xml:space="preserve">traditional and innovative units are mainly ascribable </w:t>
      </w:r>
      <w:r w:rsidR="00D40854">
        <w:rPr>
          <w:lang w:val="en-GB"/>
        </w:rPr>
        <w:t>to</w:t>
      </w:r>
      <w:r w:rsidRPr="009B7016">
        <w:rPr>
          <w:lang w:val="en-GB"/>
        </w:rPr>
        <w:t xml:space="preserve"> differences </w:t>
      </w:r>
      <w:r w:rsidR="007166CD">
        <w:rPr>
          <w:lang w:val="en-GB"/>
        </w:rPr>
        <w:t>i</w:t>
      </w:r>
      <w:r w:rsidRPr="009B7016">
        <w:rPr>
          <w:lang w:val="en-GB"/>
        </w:rPr>
        <w:t>n composition</w:t>
      </w:r>
      <w:r w:rsidR="000A0428">
        <w:rPr>
          <w:lang w:val="en-GB"/>
        </w:rPr>
        <w:t>.</w:t>
      </w:r>
    </w:p>
    <w:p w14:paraId="462AE75A" w14:textId="31EEC19B" w:rsidR="00D556B1" w:rsidRPr="00B57B36" w:rsidRDefault="00D556B1" w:rsidP="00D556B1">
      <w:pPr>
        <w:pStyle w:val="CETTabletitle"/>
      </w:pPr>
      <w:r w:rsidRPr="00B57B36">
        <w:t xml:space="preserve">Table </w:t>
      </w:r>
      <w:r w:rsidR="007138E8">
        <w:t>5</w:t>
      </w:r>
      <w:r w:rsidRPr="00B57B36">
        <w:t xml:space="preserve">: </w:t>
      </w:r>
      <w:r w:rsidR="00D86CD5">
        <w:t xml:space="preserve">Comparison of the environmental profile of the two packaging </w:t>
      </w:r>
      <w:r w:rsidR="00267A85">
        <w:t xml:space="preserve">materials </w:t>
      </w:r>
      <w:r w:rsidR="00D86CD5">
        <w:t xml:space="preserve">regarding the most relevant impact categories </w:t>
      </w:r>
      <w:r w:rsidR="005A4566">
        <w:t>from</w:t>
      </w:r>
      <w:r w:rsidR="00D86CD5">
        <w:t xml:space="preserve"> </w:t>
      </w:r>
      <w:r w:rsidR="005A4566">
        <w:t>raw materials extraction</w:t>
      </w:r>
      <w:r w:rsidR="00D86CD5">
        <w:t xml:space="preserve"> </w:t>
      </w:r>
      <w:r w:rsidR="005A4566">
        <w:t>to</w:t>
      </w:r>
      <w:r w:rsidR="00D86CD5">
        <w:t xml:space="preserve"> incinerator waste management</w:t>
      </w:r>
      <w:r w:rsidR="00E27563">
        <w:t>.</w:t>
      </w:r>
    </w:p>
    <w:tbl>
      <w:tblPr>
        <w:tblW w:w="76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31"/>
        <w:gridCol w:w="1531"/>
        <w:gridCol w:w="1531"/>
        <w:gridCol w:w="1531"/>
        <w:gridCol w:w="1531"/>
      </w:tblGrid>
      <w:tr w:rsidR="00FB7A0F" w:rsidRPr="00B57B36" w14:paraId="50F62FE2" w14:textId="77777777" w:rsidTr="00D86CD5">
        <w:tc>
          <w:tcPr>
            <w:tcW w:w="1531" w:type="dxa"/>
            <w:tcBorders>
              <w:top w:val="single" w:sz="12" w:space="0" w:color="008000"/>
              <w:bottom w:val="single" w:sz="6" w:space="0" w:color="008000"/>
            </w:tcBorders>
            <w:shd w:val="clear" w:color="auto" w:fill="FFFFFF"/>
            <w:vAlign w:val="bottom"/>
          </w:tcPr>
          <w:p w14:paraId="76FA40EF" w14:textId="77777777" w:rsidR="00FB7A0F" w:rsidRPr="009B7016" w:rsidRDefault="00FB7A0F" w:rsidP="00FB7A0F">
            <w:pPr>
              <w:pStyle w:val="CETBodytext"/>
              <w:rPr>
                <w:lang w:val="en-GB"/>
              </w:rPr>
            </w:pPr>
            <w:r w:rsidRPr="009B7016">
              <w:rPr>
                <w:lang w:val="en-GB"/>
              </w:rPr>
              <w:t>Impact category</w:t>
            </w:r>
          </w:p>
        </w:tc>
        <w:tc>
          <w:tcPr>
            <w:tcW w:w="1531" w:type="dxa"/>
            <w:tcBorders>
              <w:top w:val="single" w:sz="12" w:space="0" w:color="008000"/>
              <w:bottom w:val="single" w:sz="6" w:space="0" w:color="008000"/>
            </w:tcBorders>
            <w:shd w:val="clear" w:color="auto" w:fill="FFFFFF"/>
            <w:vAlign w:val="bottom"/>
          </w:tcPr>
          <w:p w14:paraId="7999F779" w14:textId="77777777" w:rsidR="00FB7A0F" w:rsidRPr="009B7016" w:rsidRDefault="00FB7A0F" w:rsidP="00FB7A0F">
            <w:pPr>
              <w:pStyle w:val="CETBodytext"/>
              <w:rPr>
                <w:lang w:val="en-GB"/>
              </w:rPr>
            </w:pPr>
            <w:r w:rsidRPr="009B7016">
              <w:rPr>
                <w:lang w:val="en-GB"/>
              </w:rPr>
              <w:t>Unit of measure</w:t>
            </w:r>
          </w:p>
        </w:tc>
        <w:tc>
          <w:tcPr>
            <w:tcW w:w="1531" w:type="dxa"/>
            <w:tcBorders>
              <w:top w:val="single" w:sz="12" w:space="0" w:color="008000"/>
              <w:bottom w:val="single" w:sz="6" w:space="0" w:color="008000"/>
            </w:tcBorders>
            <w:shd w:val="clear" w:color="auto" w:fill="FFFFFF"/>
            <w:vAlign w:val="bottom"/>
          </w:tcPr>
          <w:p w14:paraId="22B7D778" w14:textId="77777777" w:rsidR="00FB7A0F" w:rsidRPr="009B7016" w:rsidRDefault="00FB7A0F" w:rsidP="00FB7A0F">
            <w:pPr>
              <w:pStyle w:val="CETBodytext"/>
              <w:rPr>
                <w:lang w:val="en-GB"/>
              </w:rPr>
            </w:pPr>
            <w:r w:rsidRPr="009B7016">
              <w:rPr>
                <w:lang w:val="en-GB"/>
              </w:rPr>
              <w:t>Traditional packaging</w:t>
            </w:r>
          </w:p>
        </w:tc>
        <w:tc>
          <w:tcPr>
            <w:tcW w:w="1531" w:type="dxa"/>
            <w:tcBorders>
              <w:top w:val="single" w:sz="12" w:space="0" w:color="008000"/>
              <w:bottom w:val="single" w:sz="6" w:space="0" w:color="008000"/>
            </w:tcBorders>
            <w:shd w:val="clear" w:color="auto" w:fill="FFFFFF"/>
            <w:vAlign w:val="bottom"/>
          </w:tcPr>
          <w:p w14:paraId="01D1C979" w14:textId="77777777" w:rsidR="00FB7A0F" w:rsidRPr="009B7016" w:rsidRDefault="00FB7A0F" w:rsidP="00FB7A0F">
            <w:pPr>
              <w:pStyle w:val="CETBodytext"/>
              <w:rPr>
                <w:lang w:val="en-GB"/>
              </w:rPr>
            </w:pPr>
            <w:r w:rsidRPr="009B7016">
              <w:rPr>
                <w:lang w:val="en-GB"/>
              </w:rPr>
              <w:t>Innovative packaging</w:t>
            </w:r>
          </w:p>
        </w:tc>
        <w:tc>
          <w:tcPr>
            <w:tcW w:w="1531" w:type="dxa"/>
            <w:tcBorders>
              <w:top w:val="single" w:sz="12" w:space="0" w:color="008000"/>
              <w:bottom w:val="single" w:sz="6" w:space="0" w:color="008000"/>
            </w:tcBorders>
            <w:shd w:val="clear" w:color="auto" w:fill="FFFFFF"/>
            <w:vAlign w:val="bottom"/>
          </w:tcPr>
          <w:p w14:paraId="682AE73E" w14:textId="77777777" w:rsidR="00FB7A0F" w:rsidRPr="009B7016" w:rsidRDefault="00FB7A0F" w:rsidP="00FB7A0F">
            <w:pPr>
              <w:pStyle w:val="CETBodytext"/>
              <w:rPr>
                <w:lang w:val="en-GB"/>
              </w:rPr>
            </w:pPr>
            <w:r w:rsidRPr="009B7016">
              <w:rPr>
                <w:lang w:val="en-GB"/>
              </w:rPr>
              <w:t xml:space="preserve">Ratio level </w:t>
            </w:r>
          </w:p>
        </w:tc>
      </w:tr>
      <w:tr w:rsidR="00C37B24" w:rsidRPr="00B57B36" w14:paraId="13772EA5" w14:textId="77777777" w:rsidTr="00B05C91">
        <w:tc>
          <w:tcPr>
            <w:tcW w:w="1531" w:type="dxa"/>
            <w:shd w:val="clear" w:color="auto" w:fill="FFFFFF"/>
            <w:vAlign w:val="bottom"/>
          </w:tcPr>
          <w:p w14:paraId="0F97D356" w14:textId="77777777" w:rsidR="00C37B24" w:rsidRPr="009B7016" w:rsidRDefault="00C37B24" w:rsidP="00C37B24">
            <w:pPr>
              <w:pStyle w:val="CETBodytext"/>
              <w:rPr>
                <w:lang w:val="en-GB"/>
              </w:rPr>
            </w:pPr>
            <w:r w:rsidRPr="009B7016">
              <w:rPr>
                <w:lang w:val="en-GB"/>
              </w:rPr>
              <w:t>CC</w:t>
            </w:r>
          </w:p>
        </w:tc>
        <w:tc>
          <w:tcPr>
            <w:tcW w:w="1531" w:type="dxa"/>
            <w:shd w:val="clear" w:color="auto" w:fill="FFFFFF"/>
            <w:vAlign w:val="bottom"/>
          </w:tcPr>
          <w:p w14:paraId="4E9342BD" w14:textId="77777777" w:rsidR="00C37B24" w:rsidRPr="009B7016" w:rsidRDefault="00C37B24" w:rsidP="00C37B24">
            <w:pPr>
              <w:pStyle w:val="CETBodytext"/>
              <w:rPr>
                <w:lang w:val="en-GB"/>
              </w:rPr>
            </w:pPr>
            <w:r w:rsidRPr="009B7016">
              <w:rPr>
                <w:lang w:val="en-GB"/>
              </w:rPr>
              <w:t>kg CO</w:t>
            </w:r>
            <w:r w:rsidRPr="00D86CD5">
              <w:rPr>
                <w:vertAlign w:val="subscript"/>
                <w:lang w:val="en-GB"/>
              </w:rPr>
              <w:t>2</w:t>
            </w:r>
            <w:r w:rsidRPr="009B7016">
              <w:rPr>
                <w:lang w:val="en-GB"/>
              </w:rPr>
              <w:t xml:space="preserve"> eq</w:t>
            </w:r>
          </w:p>
        </w:tc>
        <w:tc>
          <w:tcPr>
            <w:tcW w:w="1531" w:type="dxa"/>
            <w:shd w:val="clear" w:color="auto" w:fill="FFFFFF"/>
          </w:tcPr>
          <w:p w14:paraId="027424DB" w14:textId="411F297A" w:rsidR="00C37B24" w:rsidRPr="00932E86" w:rsidRDefault="00C37B24" w:rsidP="00C37B24">
            <w:r w:rsidRPr="00932E86">
              <w:t>7</w:t>
            </w:r>
            <w:r w:rsidR="007166CD">
              <w:t>.</w:t>
            </w:r>
            <w:r w:rsidRPr="00932E86">
              <w:t>40</w:t>
            </w:r>
            <w:r>
              <w:t>e</w:t>
            </w:r>
            <w:r w:rsidRPr="00932E86">
              <w:t>+08</w:t>
            </w:r>
          </w:p>
        </w:tc>
        <w:tc>
          <w:tcPr>
            <w:tcW w:w="1531" w:type="dxa"/>
            <w:shd w:val="clear" w:color="auto" w:fill="FFFFFF"/>
          </w:tcPr>
          <w:p w14:paraId="3CB69104" w14:textId="4FB746B9" w:rsidR="00C37B24" w:rsidRPr="00932E86" w:rsidRDefault="00C37B24" w:rsidP="00C37B24">
            <w:r w:rsidRPr="00932E86">
              <w:t>7051</w:t>
            </w:r>
            <w:r w:rsidR="007166CD">
              <w:t>.</w:t>
            </w:r>
            <w:r w:rsidRPr="00932E86">
              <w:t>2</w:t>
            </w:r>
          </w:p>
        </w:tc>
        <w:tc>
          <w:tcPr>
            <w:tcW w:w="1531" w:type="dxa"/>
            <w:shd w:val="clear" w:color="auto" w:fill="FFFFFF"/>
          </w:tcPr>
          <w:p w14:paraId="42E62DC8" w14:textId="1DC79FD2" w:rsidR="00C37B24" w:rsidRPr="00932E86" w:rsidRDefault="00C37B24" w:rsidP="00C37B24">
            <w:r w:rsidRPr="00932E86">
              <w:t>1</w:t>
            </w:r>
            <w:r w:rsidR="007166CD">
              <w:t>.</w:t>
            </w:r>
            <w:r w:rsidRPr="00932E86">
              <w:t>05</w:t>
            </w:r>
            <w:r>
              <w:t>e</w:t>
            </w:r>
            <w:r w:rsidRPr="00932E86">
              <w:t>+05</w:t>
            </w:r>
          </w:p>
        </w:tc>
      </w:tr>
      <w:tr w:rsidR="00C37B24" w:rsidRPr="00B57B36" w14:paraId="642FFE22" w14:textId="77777777" w:rsidTr="00B05C91">
        <w:tc>
          <w:tcPr>
            <w:tcW w:w="1531" w:type="dxa"/>
            <w:shd w:val="clear" w:color="auto" w:fill="FFFFFF"/>
            <w:vAlign w:val="bottom"/>
          </w:tcPr>
          <w:p w14:paraId="5E453360" w14:textId="77777777" w:rsidR="00C37B24" w:rsidRPr="009B7016" w:rsidRDefault="00C37B24" w:rsidP="00C37B24">
            <w:pPr>
              <w:pStyle w:val="CETBodytext"/>
              <w:rPr>
                <w:lang w:val="en-GB"/>
              </w:rPr>
            </w:pPr>
            <w:r w:rsidRPr="009B7016">
              <w:rPr>
                <w:lang w:val="en-GB"/>
              </w:rPr>
              <w:t>HT-NC</w:t>
            </w:r>
          </w:p>
        </w:tc>
        <w:tc>
          <w:tcPr>
            <w:tcW w:w="1531" w:type="dxa"/>
            <w:shd w:val="clear" w:color="auto" w:fill="FFFFFF"/>
            <w:vAlign w:val="bottom"/>
          </w:tcPr>
          <w:p w14:paraId="1FD0D600" w14:textId="77777777" w:rsidR="00C37B24" w:rsidRPr="009B7016" w:rsidRDefault="00C37B24" w:rsidP="00C37B24">
            <w:pPr>
              <w:pStyle w:val="CETBodytext"/>
              <w:rPr>
                <w:lang w:val="en-GB"/>
              </w:rPr>
            </w:pPr>
            <w:r w:rsidRPr="009B7016">
              <w:rPr>
                <w:lang w:val="en-GB"/>
              </w:rPr>
              <w:t>CTUh</w:t>
            </w:r>
          </w:p>
        </w:tc>
        <w:tc>
          <w:tcPr>
            <w:tcW w:w="1531" w:type="dxa"/>
            <w:shd w:val="clear" w:color="auto" w:fill="FFFFFF"/>
          </w:tcPr>
          <w:p w14:paraId="29AE7599" w14:textId="450F635C" w:rsidR="00C37B24" w:rsidRPr="00932E86" w:rsidRDefault="00C37B24" w:rsidP="00C37B24">
            <w:r w:rsidRPr="00932E86">
              <w:t>1</w:t>
            </w:r>
            <w:r w:rsidR="007166CD">
              <w:t>.</w:t>
            </w:r>
            <w:r w:rsidRPr="00932E86">
              <w:t>0</w:t>
            </w:r>
            <w:r w:rsidR="007166CD">
              <w:t>7e+07</w:t>
            </w:r>
          </w:p>
        </w:tc>
        <w:tc>
          <w:tcPr>
            <w:tcW w:w="1531" w:type="dxa"/>
            <w:shd w:val="clear" w:color="auto" w:fill="FFFFFF"/>
          </w:tcPr>
          <w:p w14:paraId="24E23FE2" w14:textId="6B800954" w:rsidR="00C37B24" w:rsidRPr="00932E86" w:rsidRDefault="00C37B24" w:rsidP="00C37B24">
            <w:r w:rsidRPr="00932E86">
              <w:t>5</w:t>
            </w:r>
            <w:r w:rsidR="007166CD">
              <w:t>.</w:t>
            </w:r>
            <w:r w:rsidRPr="00932E86">
              <w:t>9</w:t>
            </w:r>
            <w:r w:rsidR="007166CD">
              <w:t>6e+04</w:t>
            </w:r>
          </w:p>
        </w:tc>
        <w:tc>
          <w:tcPr>
            <w:tcW w:w="1531" w:type="dxa"/>
            <w:shd w:val="clear" w:color="auto" w:fill="FFFFFF"/>
          </w:tcPr>
          <w:p w14:paraId="16B977A7" w14:textId="650F11B9" w:rsidR="00C37B24" w:rsidRPr="00932E86" w:rsidRDefault="00C37B24" w:rsidP="00C37B24">
            <w:r w:rsidRPr="00932E86">
              <w:t>1</w:t>
            </w:r>
            <w:r w:rsidR="007166CD">
              <w:t>.</w:t>
            </w:r>
            <w:r w:rsidRPr="00932E86">
              <w:t>79</w:t>
            </w:r>
            <w:r>
              <w:t>e</w:t>
            </w:r>
            <w:r w:rsidRPr="00932E86">
              <w:t>+02</w:t>
            </w:r>
          </w:p>
        </w:tc>
      </w:tr>
      <w:tr w:rsidR="00C37B24" w:rsidRPr="00B57B36" w14:paraId="75A31B64" w14:textId="77777777" w:rsidTr="00B05C91">
        <w:tc>
          <w:tcPr>
            <w:tcW w:w="1531" w:type="dxa"/>
            <w:shd w:val="clear" w:color="auto" w:fill="FFFFFF"/>
            <w:vAlign w:val="bottom"/>
          </w:tcPr>
          <w:p w14:paraId="20354E99" w14:textId="77777777" w:rsidR="00C37B24" w:rsidRPr="009B7016" w:rsidRDefault="00C37B24" w:rsidP="00C37B24">
            <w:pPr>
              <w:pStyle w:val="CETBodytext"/>
              <w:rPr>
                <w:lang w:val="en-GB"/>
              </w:rPr>
            </w:pPr>
            <w:r w:rsidRPr="009B7016">
              <w:rPr>
                <w:lang w:val="en-GB"/>
              </w:rPr>
              <w:t>HT-C</w:t>
            </w:r>
          </w:p>
        </w:tc>
        <w:tc>
          <w:tcPr>
            <w:tcW w:w="1531" w:type="dxa"/>
            <w:shd w:val="clear" w:color="auto" w:fill="FFFFFF"/>
            <w:vAlign w:val="bottom"/>
          </w:tcPr>
          <w:p w14:paraId="3814FACE" w14:textId="77777777" w:rsidR="00C37B24" w:rsidRPr="009B7016" w:rsidRDefault="00C37B24" w:rsidP="00C37B24">
            <w:pPr>
              <w:pStyle w:val="CETBodytext"/>
              <w:rPr>
                <w:lang w:val="en-GB"/>
              </w:rPr>
            </w:pPr>
            <w:r w:rsidRPr="009B7016">
              <w:rPr>
                <w:lang w:val="en-GB"/>
              </w:rPr>
              <w:t>CTUh</w:t>
            </w:r>
          </w:p>
        </w:tc>
        <w:tc>
          <w:tcPr>
            <w:tcW w:w="1531" w:type="dxa"/>
            <w:shd w:val="clear" w:color="auto" w:fill="FFFFFF"/>
          </w:tcPr>
          <w:p w14:paraId="17E685A8" w14:textId="2A40CD05" w:rsidR="00C37B24" w:rsidRPr="00932E86" w:rsidRDefault="00C37B24" w:rsidP="00C37B24">
            <w:r w:rsidRPr="00932E86">
              <w:t>1</w:t>
            </w:r>
            <w:r w:rsidR="007166CD">
              <w:t>.</w:t>
            </w:r>
            <w:r w:rsidRPr="00932E86">
              <w:t>37</w:t>
            </w:r>
            <w:r>
              <w:t>e</w:t>
            </w:r>
            <w:r w:rsidRPr="00932E86">
              <w:t>+15</w:t>
            </w:r>
          </w:p>
        </w:tc>
        <w:tc>
          <w:tcPr>
            <w:tcW w:w="1531" w:type="dxa"/>
            <w:shd w:val="clear" w:color="auto" w:fill="FFFFFF"/>
          </w:tcPr>
          <w:p w14:paraId="01A24930" w14:textId="66DC18AE" w:rsidR="00C37B24" w:rsidRPr="00932E86" w:rsidRDefault="00C37B24" w:rsidP="00C37B24">
            <w:r w:rsidRPr="00932E86">
              <w:t>87662</w:t>
            </w:r>
            <w:r w:rsidR="007166CD">
              <w:t>.</w:t>
            </w:r>
            <w:r w:rsidRPr="00932E86">
              <w:t>5</w:t>
            </w:r>
          </w:p>
        </w:tc>
        <w:tc>
          <w:tcPr>
            <w:tcW w:w="1531" w:type="dxa"/>
            <w:shd w:val="clear" w:color="auto" w:fill="FFFFFF"/>
          </w:tcPr>
          <w:p w14:paraId="49DE7108" w14:textId="6CBE9DA7" w:rsidR="00C37B24" w:rsidRPr="00932E86" w:rsidRDefault="00C37B24" w:rsidP="00C37B24">
            <w:r w:rsidRPr="00932E86">
              <w:t>1</w:t>
            </w:r>
            <w:r w:rsidR="007166CD">
              <w:t>.</w:t>
            </w:r>
            <w:r w:rsidRPr="00932E86">
              <w:t>56</w:t>
            </w:r>
            <w:r>
              <w:t>e</w:t>
            </w:r>
            <w:r w:rsidRPr="00932E86">
              <w:t>+10</w:t>
            </w:r>
          </w:p>
        </w:tc>
      </w:tr>
      <w:tr w:rsidR="00C37B24" w:rsidRPr="00B57B36" w14:paraId="2170F339" w14:textId="77777777" w:rsidTr="00B05C91">
        <w:tc>
          <w:tcPr>
            <w:tcW w:w="1531" w:type="dxa"/>
            <w:shd w:val="clear" w:color="auto" w:fill="FFFFFF"/>
            <w:vAlign w:val="bottom"/>
          </w:tcPr>
          <w:p w14:paraId="0D5ECEAE" w14:textId="77777777" w:rsidR="00C37B24" w:rsidRPr="009B7016" w:rsidRDefault="00C37B24" w:rsidP="00C37B24">
            <w:pPr>
              <w:pStyle w:val="CETBodytext"/>
              <w:rPr>
                <w:lang w:val="en-GB"/>
              </w:rPr>
            </w:pPr>
            <w:proofErr w:type="spellStart"/>
            <w:r w:rsidRPr="009B7016">
              <w:rPr>
                <w:lang w:val="en-GB"/>
              </w:rPr>
              <w:t>Feco</w:t>
            </w:r>
            <w:proofErr w:type="spellEnd"/>
          </w:p>
        </w:tc>
        <w:tc>
          <w:tcPr>
            <w:tcW w:w="1531" w:type="dxa"/>
            <w:shd w:val="clear" w:color="auto" w:fill="FFFFFF"/>
            <w:vAlign w:val="bottom"/>
          </w:tcPr>
          <w:p w14:paraId="092BACBA" w14:textId="77777777" w:rsidR="00C37B24" w:rsidRPr="009B7016" w:rsidRDefault="00C37B24" w:rsidP="00C37B24">
            <w:pPr>
              <w:pStyle w:val="CETBodytext"/>
              <w:rPr>
                <w:lang w:val="en-GB"/>
              </w:rPr>
            </w:pPr>
            <w:r w:rsidRPr="009B7016">
              <w:rPr>
                <w:lang w:val="en-GB"/>
              </w:rPr>
              <w:t>CTUe</w:t>
            </w:r>
          </w:p>
        </w:tc>
        <w:tc>
          <w:tcPr>
            <w:tcW w:w="1531" w:type="dxa"/>
            <w:shd w:val="clear" w:color="auto" w:fill="FFFFFF"/>
          </w:tcPr>
          <w:p w14:paraId="6B8E01EE" w14:textId="59ABA43F" w:rsidR="00C37B24" w:rsidRPr="00932E86" w:rsidRDefault="00C37B24" w:rsidP="00C37B24">
            <w:r w:rsidRPr="00932E86">
              <w:t>8</w:t>
            </w:r>
            <w:r w:rsidR="007166CD">
              <w:t>.</w:t>
            </w:r>
            <w:r w:rsidRPr="00932E86">
              <w:t>09</w:t>
            </w:r>
            <w:r>
              <w:t>e</w:t>
            </w:r>
            <w:r w:rsidRPr="00932E86">
              <w:t>+19</w:t>
            </w:r>
          </w:p>
        </w:tc>
        <w:tc>
          <w:tcPr>
            <w:tcW w:w="1531" w:type="dxa"/>
            <w:shd w:val="clear" w:color="auto" w:fill="FFFFFF"/>
          </w:tcPr>
          <w:p w14:paraId="41ED07AA" w14:textId="3D79F2B7" w:rsidR="00C37B24" w:rsidRPr="00932E86" w:rsidRDefault="00C37B24" w:rsidP="00C37B24">
            <w:r w:rsidRPr="00932E86">
              <w:t>2</w:t>
            </w:r>
            <w:r w:rsidR="007166CD">
              <w:t>.</w:t>
            </w:r>
            <w:r w:rsidRPr="00932E86">
              <w:t>80</w:t>
            </w:r>
            <w:r>
              <w:t>e</w:t>
            </w:r>
            <w:r w:rsidRPr="00932E86">
              <w:t>+13</w:t>
            </w:r>
          </w:p>
        </w:tc>
        <w:tc>
          <w:tcPr>
            <w:tcW w:w="1531" w:type="dxa"/>
            <w:shd w:val="clear" w:color="auto" w:fill="FFFFFF"/>
          </w:tcPr>
          <w:p w14:paraId="3D4BD681" w14:textId="4ED7DC54" w:rsidR="00C37B24" w:rsidRPr="00932E86" w:rsidRDefault="00C37B24" w:rsidP="00C37B24">
            <w:r w:rsidRPr="00932E86">
              <w:t>2</w:t>
            </w:r>
            <w:r w:rsidR="007166CD">
              <w:t>.</w:t>
            </w:r>
            <w:r w:rsidRPr="00932E86">
              <w:t>89</w:t>
            </w:r>
            <w:r>
              <w:t>e</w:t>
            </w:r>
            <w:r w:rsidRPr="00932E86">
              <w:t>+06</w:t>
            </w:r>
          </w:p>
        </w:tc>
      </w:tr>
      <w:tr w:rsidR="00C37B24" w:rsidRPr="00B57B36" w14:paraId="6DBDB355" w14:textId="77777777" w:rsidTr="008142E0">
        <w:tc>
          <w:tcPr>
            <w:tcW w:w="1531" w:type="dxa"/>
            <w:shd w:val="clear" w:color="auto" w:fill="FFFFFF"/>
          </w:tcPr>
          <w:p w14:paraId="052F9BD1" w14:textId="77777777" w:rsidR="00C37B24" w:rsidRPr="004F4147" w:rsidRDefault="00C37B24" w:rsidP="00C37B24">
            <w:r w:rsidRPr="004F4147">
              <w:t>L</w:t>
            </w:r>
            <w:r>
              <w:t>U</w:t>
            </w:r>
          </w:p>
        </w:tc>
        <w:tc>
          <w:tcPr>
            <w:tcW w:w="1531" w:type="dxa"/>
            <w:shd w:val="clear" w:color="auto" w:fill="FFFFFF"/>
          </w:tcPr>
          <w:p w14:paraId="0E7946B1" w14:textId="77777777" w:rsidR="00C37B24" w:rsidRPr="004F4147" w:rsidRDefault="00C37B24" w:rsidP="00C37B24">
            <w:r w:rsidRPr="004F4147">
              <w:t>kg C deficit</w:t>
            </w:r>
          </w:p>
        </w:tc>
        <w:tc>
          <w:tcPr>
            <w:tcW w:w="1531" w:type="dxa"/>
            <w:shd w:val="clear" w:color="auto" w:fill="FFFFFF"/>
          </w:tcPr>
          <w:p w14:paraId="5D99BCC1" w14:textId="2549E4ED" w:rsidR="00C37B24" w:rsidRPr="00932E86" w:rsidRDefault="00C37B24" w:rsidP="00C37B24">
            <w:r w:rsidRPr="00932E86">
              <w:t>0</w:t>
            </w:r>
            <w:r w:rsidR="007166CD">
              <w:t>.</w:t>
            </w:r>
            <w:r w:rsidRPr="00932E86">
              <w:t>002</w:t>
            </w:r>
          </w:p>
        </w:tc>
        <w:tc>
          <w:tcPr>
            <w:tcW w:w="1531" w:type="dxa"/>
            <w:shd w:val="clear" w:color="auto" w:fill="FFFFFF"/>
          </w:tcPr>
          <w:p w14:paraId="6DEB2AC0" w14:textId="194A7CFA" w:rsidR="00C37B24" w:rsidRPr="00932E86" w:rsidRDefault="00C37B24" w:rsidP="00C37B24">
            <w:r w:rsidRPr="00932E86">
              <w:t>0</w:t>
            </w:r>
            <w:r w:rsidR="007166CD">
              <w:t>.</w:t>
            </w:r>
            <w:r w:rsidRPr="00932E86">
              <w:t>006</w:t>
            </w:r>
          </w:p>
        </w:tc>
        <w:tc>
          <w:tcPr>
            <w:tcW w:w="1531" w:type="dxa"/>
            <w:shd w:val="clear" w:color="auto" w:fill="FFFFFF"/>
          </w:tcPr>
          <w:p w14:paraId="71D40481" w14:textId="4AFC7A23" w:rsidR="00C37B24" w:rsidRPr="00932E86" w:rsidRDefault="00C37B24" w:rsidP="00C37B24">
            <w:r w:rsidRPr="00932E86">
              <w:t>3</w:t>
            </w:r>
            <w:r w:rsidR="007166CD">
              <w:t>.</w:t>
            </w:r>
            <w:r w:rsidRPr="00932E86">
              <w:t>47</w:t>
            </w:r>
            <w:r>
              <w:t>e</w:t>
            </w:r>
            <w:r w:rsidRPr="00932E86">
              <w:t>-01</w:t>
            </w:r>
          </w:p>
        </w:tc>
      </w:tr>
      <w:tr w:rsidR="00C37B24" w:rsidRPr="00B57B36" w14:paraId="7A16C842" w14:textId="77777777" w:rsidTr="008142E0">
        <w:tc>
          <w:tcPr>
            <w:tcW w:w="1531" w:type="dxa"/>
            <w:shd w:val="clear" w:color="auto" w:fill="FFFFFF"/>
          </w:tcPr>
          <w:p w14:paraId="2195C86E" w14:textId="77777777" w:rsidR="00C37B24" w:rsidRPr="002F5141" w:rsidRDefault="00C37B24" w:rsidP="00C37B24">
            <w:r w:rsidRPr="002F5141">
              <w:t>WD</w:t>
            </w:r>
          </w:p>
        </w:tc>
        <w:tc>
          <w:tcPr>
            <w:tcW w:w="1531" w:type="dxa"/>
            <w:shd w:val="clear" w:color="auto" w:fill="FFFFFF"/>
          </w:tcPr>
          <w:p w14:paraId="0A36E3E1" w14:textId="77777777" w:rsidR="00C37B24" w:rsidRPr="002F5141" w:rsidRDefault="00C37B24" w:rsidP="00C37B24">
            <w:r w:rsidRPr="002F5141">
              <w:t>m3 water eq</w:t>
            </w:r>
          </w:p>
        </w:tc>
        <w:tc>
          <w:tcPr>
            <w:tcW w:w="1531" w:type="dxa"/>
            <w:shd w:val="clear" w:color="auto" w:fill="FFFFFF"/>
          </w:tcPr>
          <w:p w14:paraId="76D0DFE3" w14:textId="6ABE1056" w:rsidR="00C37B24" w:rsidRPr="00932E86" w:rsidRDefault="00C37B24" w:rsidP="00C37B24">
            <w:r w:rsidRPr="00932E86">
              <w:t>5</w:t>
            </w:r>
            <w:r w:rsidR="007166CD">
              <w:t>.</w:t>
            </w:r>
            <w:r w:rsidRPr="00932E86">
              <w:t>71</w:t>
            </w:r>
            <w:r>
              <w:t>e</w:t>
            </w:r>
            <w:r w:rsidRPr="00932E86">
              <w:t>-06</w:t>
            </w:r>
          </w:p>
        </w:tc>
        <w:tc>
          <w:tcPr>
            <w:tcW w:w="1531" w:type="dxa"/>
            <w:shd w:val="clear" w:color="auto" w:fill="FFFFFF"/>
          </w:tcPr>
          <w:p w14:paraId="462A0DA9" w14:textId="595F2F52" w:rsidR="00C37B24" w:rsidRPr="00932E86" w:rsidRDefault="00C37B24" w:rsidP="00C37B24">
            <w:r w:rsidRPr="00932E86">
              <w:t>4</w:t>
            </w:r>
            <w:r w:rsidR="007166CD">
              <w:t>.</w:t>
            </w:r>
            <w:r w:rsidRPr="00932E86">
              <w:t>04</w:t>
            </w:r>
            <w:r>
              <w:t>e</w:t>
            </w:r>
            <w:r w:rsidRPr="00932E86">
              <w:t>-05</w:t>
            </w:r>
          </w:p>
        </w:tc>
        <w:tc>
          <w:tcPr>
            <w:tcW w:w="1531" w:type="dxa"/>
            <w:shd w:val="clear" w:color="auto" w:fill="FFFFFF"/>
          </w:tcPr>
          <w:p w14:paraId="565AF285" w14:textId="345448B7" w:rsidR="00C37B24" w:rsidRPr="00932E86" w:rsidRDefault="00C37B24" w:rsidP="00C37B24">
            <w:r w:rsidRPr="00932E86">
              <w:t>1</w:t>
            </w:r>
            <w:r w:rsidR="007166CD">
              <w:t>.</w:t>
            </w:r>
            <w:r w:rsidRPr="00932E86">
              <w:t>41</w:t>
            </w:r>
            <w:r>
              <w:t>e</w:t>
            </w:r>
            <w:r w:rsidRPr="00932E86">
              <w:t>-01</w:t>
            </w:r>
          </w:p>
        </w:tc>
      </w:tr>
      <w:tr w:rsidR="00C37B24" w:rsidRPr="00B57B36" w14:paraId="532012F5" w14:textId="77777777" w:rsidTr="00B05C91">
        <w:tc>
          <w:tcPr>
            <w:tcW w:w="1531" w:type="dxa"/>
            <w:shd w:val="clear" w:color="auto" w:fill="FFFFFF"/>
            <w:vAlign w:val="bottom"/>
          </w:tcPr>
          <w:p w14:paraId="570D740D" w14:textId="77777777" w:rsidR="00C37B24" w:rsidRPr="009B7016" w:rsidRDefault="00C37B24" w:rsidP="00C37B24">
            <w:pPr>
              <w:pStyle w:val="CETBodytext"/>
              <w:rPr>
                <w:lang w:val="en-GB"/>
              </w:rPr>
            </w:pPr>
            <w:r w:rsidRPr="009B7016">
              <w:rPr>
                <w:lang w:val="en-GB"/>
              </w:rPr>
              <w:t>MRD</w:t>
            </w:r>
          </w:p>
        </w:tc>
        <w:tc>
          <w:tcPr>
            <w:tcW w:w="1531" w:type="dxa"/>
            <w:shd w:val="clear" w:color="auto" w:fill="FFFFFF"/>
            <w:vAlign w:val="bottom"/>
          </w:tcPr>
          <w:p w14:paraId="3A29FC1A" w14:textId="77777777" w:rsidR="00C37B24" w:rsidRPr="009B7016" w:rsidRDefault="00C37B24" w:rsidP="00C37B24">
            <w:pPr>
              <w:pStyle w:val="CETBodytext"/>
              <w:rPr>
                <w:lang w:val="en-GB"/>
              </w:rPr>
            </w:pPr>
            <w:r w:rsidRPr="009B7016">
              <w:rPr>
                <w:lang w:val="en-GB"/>
              </w:rPr>
              <w:t>kg Sb eq</w:t>
            </w:r>
          </w:p>
        </w:tc>
        <w:tc>
          <w:tcPr>
            <w:tcW w:w="1531" w:type="dxa"/>
            <w:shd w:val="clear" w:color="auto" w:fill="FFFFFF"/>
          </w:tcPr>
          <w:p w14:paraId="77B94211" w14:textId="7BBDA296" w:rsidR="00C37B24" w:rsidRPr="00932E86" w:rsidRDefault="00C37B24" w:rsidP="00C37B24">
            <w:r w:rsidRPr="00932E86">
              <w:t>1</w:t>
            </w:r>
            <w:r w:rsidR="007166CD">
              <w:t>.</w:t>
            </w:r>
            <w:r w:rsidRPr="00932E86">
              <w:t>44</w:t>
            </w:r>
            <w:r>
              <w:t>e</w:t>
            </w:r>
            <w:r w:rsidRPr="00932E86">
              <w:t>+09</w:t>
            </w:r>
          </w:p>
        </w:tc>
        <w:tc>
          <w:tcPr>
            <w:tcW w:w="1531" w:type="dxa"/>
            <w:shd w:val="clear" w:color="auto" w:fill="FFFFFF"/>
          </w:tcPr>
          <w:p w14:paraId="1928711A" w14:textId="3F8B7A85" w:rsidR="00C37B24" w:rsidRPr="00932E86" w:rsidRDefault="00C37B24" w:rsidP="00C37B24">
            <w:r w:rsidRPr="00932E86">
              <w:t>188</w:t>
            </w:r>
            <w:r w:rsidR="007166CD">
              <w:t>.</w:t>
            </w:r>
            <w:r>
              <w:t>5</w:t>
            </w:r>
          </w:p>
        </w:tc>
        <w:tc>
          <w:tcPr>
            <w:tcW w:w="1531" w:type="dxa"/>
            <w:shd w:val="clear" w:color="auto" w:fill="FFFFFF"/>
          </w:tcPr>
          <w:p w14:paraId="3F87ADB7" w14:textId="37B05D29" w:rsidR="00C37B24" w:rsidRDefault="00C37B24" w:rsidP="00C37B24">
            <w:r w:rsidRPr="00932E86">
              <w:t>7</w:t>
            </w:r>
            <w:r w:rsidR="007166CD">
              <w:t>.</w:t>
            </w:r>
            <w:r w:rsidRPr="00932E86">
              <w:t>62</w:t>
            </w:r>
            <w:r>
              <w:t>e</w:t>
            </w:r>
            <w:r w:rsidRPr="00932E86">
              <w:t>+06</w:t>
            </w:r>
          </w:p>
        </w:tc>
      </w:tr>
    </w:tbl>
    <w:p w14:paraId="108413CE" w14:textId="62BCC215" w:rsidR="00D86CD5" w:rsidRPr="009B7016" w:rsidRDefault="00D86CD5" w:rsidP="00C37B24">
      <w:pPr>
        <w:pStyle w:val="CETBodytext"/>
        <w:spacing w:before="240"/>
        <w:rPr>
          <w:lang w:val="en-GB"/>
        </w:rPr>
      </w:pPr>
      <w:r w:rsidRPr="009B7016">
        <w:rPr>
          <w:lang w:val="en-GB"/>
        </w:rPr>
        <w:t xml:space="preserve">The innovative packaging, </w:t>
      </w:r>
      <w:r w:rsidR="000A0428">
        <w:rPr>
          <w:lang w:val="en-GB"/>
        </w:rPr>
        <w:t>including</w:t>
      </w:r>
      <w:r w:rsidRPr="009B7016">
        <w:rPr>
          <w:lang w:val="en-GB"/>
        </w:rPr>
        <w:t xml:space="preserve"> the incinerator scenario</w:t>
      </w:r>
      <w:r>
        <w:rPr>
          <w:lang w:val="en-GB"/>
        </w:rPr>
        <w:t>,</w:t>
      </w:r>
      <w:r w:rsidRPr="009B7016">
        <w:rPr>
          <w:lang w:val="en-GB"/>
        </w:rPr>
        <w:t xml:space="preserve"> confirmed </w:t>
      </w:r>
      <w:r w:rsidR="007A7804">
        <w:rPr>
          <w:lang w:val="en-GB"/>
        </w:rPr>
        <w:t xml:space="preserve">its </w:t>
      </w:r>
      <w:r w:rsidRPr="009B7016">
        <w:rPr>
          <w:lang w:val="en-GB"/>
        </w:rPr>
        <w:t xml:space="preserve">more sustainable </w:t>
      </w:r>
      <w:r w:rsidR="000A0428">
        <w:rPr>
          <w:lang w:val="en-GB"/>
        </w:rPr>
        <w:t>features</w:t>
      </w:r>
      <w:r w:rsidRPr="009B7016">
        <w:rPr>
          <w:lang w:val="en-GB"/>
        </w:rPr>
        <w:t xml:space="preserve">. </w:t>
      </w:r>
      <w:r w:rsidR="0089115B">
        <w:rPr>
          <w:lang w:val="en-GB"/>
        </w:rPr>
        <w:t>T</w:t>
      </w:r>
      <w:r w:rsidR="0089115B" w:rsidRPr="009B7016">
        <w:rPr>
          <w:lang w:val="en-GB"/>
        </w:rPr>
        <w:t xml:space="preserve">he higher ratio level </w:t>
      </w:r>
      <w:r w:rsidR="0089115B">
        <w:rPr>
          <w:lang w:val="en-GB"/>
        </w:rPr>
        <w:t>between the traditional packaging</w:t>
      </w:r>
      <w:r w:rsidR="0089115B" w:rsidRPr="005B584A">
        <w:rPr>
          <w:lang w:val="en-GB"/>
        </w:rPr>
        <w:t xml:space="preserve"> </w:t>
      </w:r>
      <w:r w:rsidR="0089115B">
        <w:rPr>
          <w:lang w:val="en-GB"/>
        </w:rPr>
        <w:t xml:space="preserve">and the innovative one is related to </w:t>
      </w:r>
      <w:r w:rsidR="0089115B" w:rsidRPr="009B7016">
        <w:rPr>
          <w:lang w:val="en-GB"/>
        </w:rPr>
        <w:t>the impact category HT-C (1</w:t>
      </w:r>
      <w:r w:rsidR="0089115B">
        <w:rPr>
          <w:lang w:val="en-GB"/>
        </w:rPr>
        <w:t>.</w:t>
      </w:r>
      <w:r w:rsidR="0089115B" w:rsidRPr="009B7016">
        <w:rPr>
          <w:lang w:val="en-GB"/>
        </w:rPr>
        <w:t>56</w:t>
      </w:r>
      <w:r w:rsidR="0089115B">
        <w:rPr>
          <w:lang w:val="en-GB"/>
        </w:rPr>
        <w:t>e</w:t>
      </w:r>
      <w:r w:rsidR="0089115B" w:rsidRPr="009B7016">
        <w:rPr>
          <w:lang w:val="en-GB"/>
        </w:rPr>
        <w:t>+1</w:t>
      </w:r>
      <w:r w:rsidR="0089115B">
        <w:rPr>
          <w:lang w:val="en-GB"/>
        </w:rPr>
        <w:t>0</w:t>
      </w:r>
      <w:r w:rsidR="0089115B" w:rsidRPr="009B7016">
        <w:rPr>
          <w:lang w:val="en-GB"/>
        </w:rPr>
        <w:t>)</w:t>
      </w:r>
      <w:r w:rsidR="0089115B">
        <w:rPr>
          <w:lang w:val="en-GB"/>
        </w:rPr>
        <w:t>.</w:t>
      </w:r>
      <w:r w:rsidR="0089115B" w:rsidRPr="0089115B">
        <w:rPr>
          <w:lang w:val="en-GB"/>
        </w:rPr>
        <w:t xml:space="preserve"> </w:t>
      </w:r>
      <w:r w:rsidR="0089115B">
        <w:rPr>
          <w:lang w:val="en-GB"/>
        </w:rPr>
        <w:t>Moreover,</w:t>
      </w:r>
      <w:r w:rsidR="0089115B" w:rsidRPr="009B7016">
        <w:rPr>
          <w:lang w:val="en-GB"/>
        </w:rPr>
        <w:t xml:space="preserve"> </w:t>
      </w:r>
      <w:r w:rsidR="0089115B">
        <w:rPr>
          <w:lang w:val="en-GB"/>
        </w:rPr>
        <w:t>w</w:t>
      </w:r>
      <w:r w:rsidRPr="009B7016">
        <w:rPr>
          <w:lang w:val="en-GB"/>
        </w:rPr>
        <w:t xml:space="preserve">eighting the </w:t>
      </w:r>
      <w:r w:rsidR="00D84339" w:rsidRPr="009B7016">
        <w:rPr>
          <w:lang w:val="en-GB"/>
        </w:rPr>
        <w:t xml:space="preserve">obtained </w:t>
      </w:r>
      <w:r w:rsidRPr="009B7016">
        <w:rPr>
          <w:lang w:val="en-GB"/>
        </w:rPr>
        <w:t xml:space="preserve">results, </w:t>
      </w:r>
      <w:r w:rsidR="0089115B">
        <w:rPr>
          <w:lang w:val="en-GB"/>
        </w:rPr>
        <w:t xml:space="preserve">HT-C </w:t>
      </w:r>
      <w:r w:rsidRPr="009B7016">
        <w:rPr>
          <w:lang w:val="en-GB"/>
        </w:rPr>
        <w:t xml:space="preserve">is the </w:t>
      </w:r>
      <w:r w:rsidR="0089115B">
        <w:rPr>
          <w:lang w:val="en-GB"/>
        </w:rPr>
        <w:t xml:space="preserve">category </w:t>
      </w:r>
      <w:r w:rsidRPr="009B7016">
        <w:rPr>
          <w:lang w:val="en-GB"/>
        </w:rPr>
        <w:t xml:space="preserve">with </w:t>
      </w:r>
      <w:r w:rsidR="00496CC2">
        <w:rPr>
          <w:noProof/>
          <w:lang w:val="en-GB"/>
        </w:rPr>
        <w:t>a</w:t>
      </w:r>
      <w:r w:rsidRPr="00496CC2">
        <w:rPr>
          <w:noProof/>
          <w:lang w:val="en-GB"/>
        </w:rPr>
        <w:t xml:space="preserve"> higher</w:t>
      </w:r>
      <w:r w:rsidRPr="009B7016">
        <w:rPr>
          <w:lang w:val="en-GB"/>
        </w:rPr>
        <w:t xml:space="preserve"> magnitude</w:t>
      </w:r>
      <w:r w:rsidR="0089115B">
        <w:rPr>
          <w:lang w:val="en-GB"/>
        </w:rPr>
        <w:t xml:space="preserve">. </w:t>
      </w:r>
    </w:p>
    <w:p w14:paraId="35F86E4C" w14:textId="77777777" w:rsidR="009B7016" w:rsidRPr="009B7016" w:rsidRDefault="009B7016" w:rsidP="009B7016">
      <w:pPr>
        <w:pStyle w:val="CETHeading1"/>
      </w:pPr>
      <w:r w:rsidRPr="009B7016">
        <w:lastRenderedPageBreak/>
        <w:t>Conclusions</w:t>
      </w:r>
    </w:p>
    <w:p w14:paraId="505E9A06" w14:textId="1A78ABEE" w:rsidR="007878B7" w:rsidRDefault="008039E6" w:rsidP="005B584A">
      <w:r>
        <w:t xml:space="preserve">A comparison of the </w:t>
      </w:r>
      <w:r w:rsidR="00744107">
        <w:t xml:space="preserve">environmental impact of two </w:t>
      </w:r>
      <w:r w:rsidR="007878B7">
        <w:t>single</w:t>
      </w:r>
      <w:r w:rsidR="00744107" w:rsidRPr="009B7016">
        <w:t>-dose plastic packaging</w:t>
      </w:r>
      <w:r w:rsidR="00744107" w:rsidRPr="00D86CD5">
        <w:t xml:space="preserve"> </w:t>
      </w:r>
      <w:r w:rsidR="00744107">
        <w:t xml:space="preserve">for olive oil (traditional and </w:t>
      </w:r>
      <w:r w:rsidR="00744107" w:rsidRPr="00496CC2">
        <w:rPr>
          <w:noProof/>
        </w:rPr>
        <w:t>bio-based</w:t>
      </w:r>
      <w:r w:rsidR="00744107">
        <w:t xml:space="preserve"> plastic) was performed in this study. Compared to</w:t>
      </w:r>
      <w:r w:rsidR="009B7016" w:rsidRPr="00D86CD5">
        <w:t xml:space="preserve"> the traditional packaging</w:t>
      </w:r>
      <w:r w:rsidR="00744107">
        <w:t>,</w:t>
      </w:r>
      <w:r w:rsidR="009B7016" w:rsidRPr="00D86CD5">
        <w:t xml:space="preserve"> the innovative one has a better profile, but not for all the impact categories. </w:t>
      </w:r>
      <w:r w:rsidR="00267A85">
        <w:t>As for</w:t>
      </w:r>
      <w:r w:rsidR="009B7016" w:rsidRPr="00D86CD5">
        <w:t xml:space="preserve"> the ecosystem quality impact categories</w:t>
      </w:r>
      <w:r w:rsidR="00267A85">
        <w:t>,</w:t>
      </w:r>
      <w:r w:rsidR="009B7016" w:rsidRPr="00D86CD5">
        <w:t xml:space="preserve"> the innovative packaging has the worst environmental performance</w:t>
      </w:r>
      <w:r w:rsidR="00D47368">
        <w:t xml:space="preserve"> (+78% </w:t>
      </w:r>
      <w:proofErr w:type="spellStart"/>
      <w:r w:rsidR="00D47368">
        <w:t>Feco</w:t>
      </w:r>
      <w:proofErr w:type="spellEnd"/>
      <w:r w:rsidR="00D47368">
        <w:t xml:space="preserve">, +35% LU, </w:t>
      </w:r>
      <w:r w:rsidR="007878B7">
        <w:t>+</w:t>
      </w:r>
      <w:r w:rsidR="00D47368">
        <w:t>14.6% WD)</w:t>
      </w:r>
      <w:r w:rsidR="009B7016" w:rsidRPr="00D86CD5">
        <w:t xml:space="preserve"> due to the activit</w:t>
      </w:r>
      <w:r w:rsidR="00267A85">
        <w:t>ies</w:t>
      </w:r>
      <w:r w:rsidR="009B7016" w:rsidRPr="00D86CD5">
        <w:t xml:space="preserve"> necessary along the production </w:t>
      </w:r>
      <w:r w:rsidR="00267A85">
        <w:t xml:space="preserve">chain </w:t>
      </w:r>
      <w:r w:rsidR="009B7016" w:rsidRPr="00D86CD5">
        <w:t xml:space="preserve">(cultivation of the maize, </w:t>
      </w:r>
      <w:r w:rsidR="007878B7" w:rsidRPr="00D86CD5">
        <w:t>starch</w:t>
      </w:r>
      <w:r w:rsidR="007878B7">
        <w:t xml:space="preserve"> production</w:t>
      </w:r>
      <w:r w:rsidR="006073B6">
        <w:t>,</w:t>
      </w:r>
      <w:r w:rsidR="009B7016" w:rsidRPr="00D86CD5">
        <w:t xml:space="preserve"> </w:t>
      </w:r>
      <w:r w:rsidR="007878B7" w:rsidRPr="00D86CD5">
        <w:t xml:space="preserve">machines </w:t>
      </w:r>
      <w:r w:rsidR="007878B7">
        <w:t xml:space="preserve">for </w:t>
      </w:r>
      <w:r w:rsidR="009B7016" w:rsidRPr="00D86CD5">
        <w:t>farming activity</w:t>
      </w:r>
      <w:r w:rsidR="006073B6">
        <w:t>,</w:t>
      </w:r>
      <w:r w:rsidR="009B7016" w:rsidRPr="00D86CD5">
        <w:t xml:space="preserve"> fermentation and chemical </w:t>
      </w:r>
      <w:r w:rsidR="007878B7">
        <w:t xml:space="preserve">processes for </w:t>
      </w:r>
      <w:r w:rsidR="00744107" w:rsidRPr="00D86CD5">
        <w:t>polymers</w:t>
      </w:r>
      <w:r w:rsidR="007878B7">
        <w:t xml:space="preserve"> production</w:t>
      </w:r>
      <w:r w:rsidR="009B7016" w:rsidRPr="00D86CD5">
        <w:t xml:space="preserve">). </w:t>
      </w:r>
      <w:r w:rsidR="00267A85">
        <w:t>Howe</w:t>
      </w:r>
      <w:r w:rsidR="007878B7">
        <w:t>ver, t</w:t>
      </w:r>
      <w:r w:rsidR="007878B7" w:rsidRPr="00D86CD5">
        <w:t xml:space="preserve">he innovative packaging </w:t>
      </w:r>
      <w:r w:rsidR="009B7016" w:rsidRPr="00D86CD5">
        <w:t>is more environmentally sustainable than the traditional one</w:t>
      </w:r>
      <w:r w:rsidR="007878B7">
        <w:t xml:space="preserve"> considering the waste scenario, since the b</w:t>
      </w:r>
      <w:r w:rsidR="00F10604">
        <w:t>i</w:t>
      </w:r>
      <w:r w:rsidR="007878B7">
        <w:t>o</w:t>
      </w:r>
      <w:r w:rsidR="00F10604">
        <w:t>-</w:t>
      </w:r>
      <w:r w:rsidR="007878B7">
        <w:t>based</w:t>
      </w:r>
      <w:r w:rsidR="00F10604">
        <w:t xml:space="preserve"> plastic</w:t>
      </w:r>
      <w:r w:rsidR="00267A85">
        <w:t>,</w:t>
      </w:r>
      <w:r w:rsidR="00F10604">
        <w:t xml:space="preserve"> when incinerated</w:t>
      </w:r>
      <w:r w:rsidR="00267A85">
        <w:t>,</w:t>
      </w:r>
      <w:r w:rsidR="00F10604">
        <w:t xml:space="preserve"> ha</w:t>
      </w:r>
      <w:r w:rsidR="00267A85">
        <w:t>s</w:t>
      </w:r>
      <w:r w:rsidR="00F10604">
        <w:t xml:space="preserve"> a lower impact </w:t>
      </w:r>
      <w:r w:rsidR="005B584A">
        <w:t xml:space="preserve">(CC ratio = </w:t>
      </w:r>
      <w:r w:rsidR="005B584A" w:rsidRPr="00932E86">
        <w:t>1</w:t>
      </w:r>
      <w:r w:rsidR="00814094">
        <w:t>.</w:t>
      </w:r>
      <w:r w:rsidR="005B584A" w:rsidRPr="00932E86">
        <w:t>05</w:t>
      </w:r>
      <w:r w:rsidR="005B584A">
        <w:t>e</w:t>
      </w:r>
      <w:r w:rsidR="005B584A" w:rsidRPr="00932E86">
        <w:t>+05</w:t>
      </w:r>
      <w:r w:rsidR="005B584A">
        <w:t xml:space="preserve">; HT-C ratio = </w:t>
      </w:r>
      <w:r w:rsidR="005B584A" w:rsidRPr="00932E86">
        <w:t>1</w:t>
      </w:r>
      <w:r w:rsidR="00814094">
        <w:t>.</w:t>
      </w:r>
      <w:r w:rsidR="005B584A" w:rsidRPr="00932E86">
        <w:t>56</w:t>
      </w:r>
      <w:r w:rsidR="005B584A">
        <w:t>e</w:t>
      </w:r>
      <w:r w:rsidR="005B584A" w:rsidRPr="00932E86">
        <w:t>+10</w:t>
      </w:r>
      <w:r w:rsidR="005B584A">
        <w:t>)</w:t>
      </w:r>
      <w:r w:rsidR="009B7016" w:rsidRPr="00D86CD5">
        <w:t xml:space="preserve">. </w:t>
      </w:r>
    </w:p>
    <w:p w14:paraId="16AC36C0" w14:textId="7B201216" w:rsidR="009B7016" w:rsidRDefault="00F10604" w:rsidP="005B584A">
      <w:r>
        <w:t xml:space="preserve">The </w:t>
      </w:r>
      <w:r w:rsidR="009B7016" w:rsidRPr="00D86CD5">
        <w:t xml:space="preserve">overall assessment </w:t>
      </w:r>
      <w:r>
        <w:t xml:space="preserve">allows </w:t>
      </w:r>
      <w:r w:rsidR="00496CC2">
        <w:rPr>
          <w:noProof/>
        </w:rPr>
        <w:t>considering</w:t>
      </w:r>
      <w:r w:rsidR="009B7016" w:rsidRPr="00D86CD5">
        <w:t xml:space="preserve"> the innovative packaging </w:t>
      </w:r>
      <w:r w:rsidR="00267A85">
        <w:t xml:space="preserve">a </w:t>
      </w:r>
      <w:r w:rsidR="009B7016" w:rsidRPr="00D86CD5">
        <w:t xml:space="preserve">better </w:t>
      </w:r>
      <w:r w:rsidR="00267A85">
        <w:t xml:space="preserve">solution </w:t>
      </w:r>
      <w:r w:rsidR="009B7016" w:rsidRPr="00D86CD5">
        <w:t>from the environmental point of v</w:t>
      </w:r>
      <w:r>
        <w:t>iew</w:t>
      </w:r>
      <w:r w:rsidR="009B7016" w:rsidRPr="00D86CD5">
        <w:t xml:space="preserve">. </w:t>
      </w:r>
      <w:r>
        <w:t xml:space="preserve">According to these results, further studies could be addressed to </w:t>
      </w:r>
      <w:r w:rsidR="009B7016" w:rsidRPr="00D86CD5">
        <w:t>identif</w:t>
      </w:r>
      <w:r>
        <w:t>y</w:t>
      </w:r>
      <w:r w:rsidR="009B7016" w:rsidRPr="00D86CD5">
        <w:t xml:space="preserve"> </w:t>
      </w:r>
      <w:r w:rsidR="00814094">
        <w:t xml:space="preserve">new </w:t>
      </w:r>
      <w:r w:rsidR="009B7016" w:rsidRPr="00D86CD5">
        <w:t>packaging solutions</w:t>
      </w:r>
      <w:r w:rsidR="00814094">
        <w:t xml:space="preserve">, </w:t>
      </w:r>
      <w:r>
        <w:t>paying attention to</w:t>
      </w:r>
      <w:r w:rsidR="00814094">
        <w:t xml:space="preserve"> the raw materials necessary for the production and to</w:t>
      </w:r>
      <w:r w:rsidR="00744107">
        <w:t xml:space="preserve"> packaging composition </w:t>
      </w:r>
      <w:r>
        <w:t>in</w:t>
      </w:r>
      <w:r w:rsidR="00744107">
        <w:t xml:space="preserve"> view of </w:t>
      </w:r>
      <w:r w:rsidR="009B7016" w:rsidRPr="00D86CD5">
        <w:t xml:space="preserve">the recycling </w:t>
      </w:r>
      <w:r w:rsidR="00744107">
        <w:t xml:space="preserve">possibility </w:t>
      </w:r>
      <w:r w:rsidR="009B7016" w:rsidRPr="00D86CD5">
        <w:t xml:space="preserve">of the multilayer </w:t>
      </w:r>
      <w:r w:rsidR="00814094">
        <w:t>film. The identification of low environmental impact bio-based packaging solution with 100% recyclability</w:t>
      </w:r>
      <w:r w:rsidR="00744107">
        <w:t xml:space="preserve"> </w:t>
      </w:r>
      <w:r w:rsidR="00814094">
        <w:t xml:space="preserve">characteristics and high shelf life properties must be the goal for further studies. </w:t>
      </w:r>
    </w:p>
    <w:p w14:paraId="67BD0EC2" w14:textId="7285F3BB" w:rsidR="00FB7A0F" w:rsidRPr="00B57B36" w:rsidRDefault="00FB7A0F" w:rsidP="00FB7A0F">
      <w:pPr>
        <w:pStyle w:val="CETAcknowledgementstitle"/>
      </w:pPr>
      <w:r w:rsidRPr="00496CC2">
        <w:rPr>
          <w:noProof/>
        </w:rPr>
        <w:t>Acknowledg</w:t>
      </w:r>
      <w:r w:rsidR="00496CC2">
        <w:rPr>
          <w:noProof/>
        </w:rPr>
        <w:t>e</w:t>
      </w:r>
      <w:r w:rsidRPr="00496CC2">
        <w:rPr>
          <w:noProof/>
        </w:rPr>
        <w:t>ments</w:t>
      </w:r>
    </w:p>
    <w:p w14:paraId="5AB13280" w14:textId="31BB1CAB" w:rsidR="00744107" w:rsidRDefault="00267A85" w:rsidP="00FB7A0F">
      <w:pPr>
        <w:pStyle w:val="CETBodytext"/>
      </w:pPr>
      <w:r w:rsidRPr="00267A85">
        <w:t>This work has been supported by AGER 2 Project, grant n° 2016-0105</w:t>
      </w:r>
      <w:r>
        <w:t xml:space="preserve">, </w:t>
      </w:r>
      <w:r w:rsidR="00064B43" w:rsidRPr="00064B43">
        <w:t>Sustainability of the Olive oil System</w:t>
      </w:r>
      <w:r>
        <w:t xml:space="preserve"> (S.O.S.).</w:t>
      </w:r>
    </w:p>
    <w:p w14:paraId="2CA2DDC5" w14:textId="77777777" w:rsidR="00FB7A0F" w:rsidRPr="00814094" w:rsidRDefault="00FB7A0F" w:rsidP="00B07185">
      <w:pPr>
        <w:pStyle w:val="CETAcknowledgementstitle"/>
        <w:rPr>
          <w:noProof/>
          <w:lang w:val="it-IT"/>
        </w:rPr>
      </w:pPr>
      <w:r w:rsidRPr="00814094">
        <w:rPr>
          <w:noProof/>
          <w:lang w:val="it-IT"/>
        </w:rPr>
        <w:t>References</w:t>
      </w:r>
    </w:p>
    <w:p w14:paraId="7F2298D1" w14:textId="1B0ABE77" w:rsidR="009B7016" w:rsidRPr="009B7016" w:rsidRDefault="009B7016" w:rsidP="00FB7A0F">
      <w:pPr>
        <w:pStyle w:val="CETBodytext"/>
        <w:ind w:left="284" w:hanging="284"/>
        <w:rPr>
          <w:lang w:val="en-GB"/>
        </w:rPr>
      </w:pPr>
      <w:r w:rsidRPr="007C1F82">
        <w:rPr>
          <w:lang w:val="it-IT"/>
        </w:rPr>
        <w:t xml:space="preserve">Arena, U., </w:t>
      </w:r>
      <w:proofErr w:type="spellStart"/>
      <w:r w:rsidRPr="007C1F82">
        <w:rPr>
          <w:lang w:val="it-IT"/>
        </w:rPr>
        <w:t>Mastellone</w:t>
      </w:r>
      <w:proofErr w:type="spellEnd"/>
      <w:r w:rsidRPr="007C1F82">
        <w:rPr>
          <w:lang w:val="it-IT"/>
        </w:rPr>
        <w:t xml:space="preserve">, M. L., &amp; Perugini, F. (2003). </w:t>
      </w:r>
      <w:r w:rsidRPr="009B7016">
        <w:rPr>
          <w:lang w:val="en-GB"/>
        </w:rPr>
        <w:t>Life cycle assessment of a plastic packaging recycling system. </w:t>
      </w:r>
      <w:r w:rsidRPr="009B7016">
        <w:rPr>
          <w:i/>
          <w:iCs/>
          <w:lang w:val="en-GB"/>
        </w:rPr>
        <w:t xml:space="preserve">The </w:t>
      </w:r>
      <w:r w:rsidR="006610CD" w:rsidRPr="009B7016">
        <w:rPr>
          <w:i/>
          <w:iCs/>
          <w:lang w:val="en-GB"/>
        </w:rPr>
        <w:t xml:space="preserve">International Journal </w:t>
      </w:r>
      <w:r w:rsidRPr="009B7016">
        <w:rPr>
          <w:i/>
          <w:iCs/>
          <w:lang w:val="en-GB"/>
        </w:rPr>
        <w:t xml:space="preserve">of </w:t>
      </w:r>
      <w:r w:rsidR="006610CD" w:rsidRPr="009B7016">
        <w:rPr>
          <w:i/>
          <w:iCs/>
          <w:lang w:val="en-GB"/>
        </w:rPr>
        <w:t>Life Cycle Assessment</w:t>
      </w:r>
      <w:r w:rsidRPr="009B7016">
        <w:rPr>
          <w:lang w:val="en-GB"/>
        </w:rPr>
        <w:t>, </w:t>
      </w:r>
      <w:r w:rsidRPr="009B7016">
        <w:rPr>
          <w:i/>
          <w:iCs/>
          <w:lang w:val="en-GB"/>
        </w:rPr>
        <w:t>8</w:t>
      </w:r>
      <w:r w:rsidRPr="009B7016">
        <w:rPr>
          <w:lang w:val="en-GB"/>
        </w:rPr>
        <w:t>(2), 92.</w:t>
      </w:r>
    </w:p>
    <w:p w14:paraId="6D4D8A5A" w14:textId="77777777" w:rsidR="009B7016" w:rsidRPr="009B7016" w:rsidRDefault="009B7016" w:rsidP="00FB7A0F">
      <w:pPr>
        <w:pStyle w:val="CETBodytext"/>
        <w:ind w:left="284" w:hanging="284"/>
        <w:rPr>
          <w:lang w:val="en-GB"/>
        </w:rPr>
      </w:pPr>
      <w:r w:rsidRPr="009B7016">
        <w:rPr>
          <w:lang w:val="en-GB"/>
        </w:rPr>
        <w:t xml:space="preserve">Babu, R. P., </w:t>
      </w:r>
      <w:proofErr w:type="spellStart"/>
      <w:r w:rsidRPr="009B7016">
        <w:rPr>
          <w:lang w:val="en-GB"/>
        </w:rPr>
        <w:t>O'connor</w:t>
      </w:r>
      <w:proofErr w:type="spellEnd"/>
      <w:r w:rsidRPr="009B7016">
        <w:rPr>
          <w:lang w:val="en-GB"/>
        </w:rPr>
        <w:t xml:space="preserve">, K., &amp; </w:t>
      </w:r>
      <w:proofErr w:type="spellStart"/>
      <w:r w:rsidRPr="009B7016">
        <w:rPr>
          <w:lang w:val="en-GB"/>
        </w:rPr>
        <w:t>Seeram</w:t>
      </w:r>
      <w:proofErr w:type="spellEnd"/>
      <w:r w:rsidRPr="009B7016">
        <w:rPr>
          <w:lang w:val="en-GB"/>
        </w:rPr>
        <w:t>, R. (2013). Current progress on bio-based polymers and their future trends. </w:t>
      </w:r>
      <w:r w:rsidRPr="009B7016">
        <w:rPr>
          <w:i/>
          <w:iCs/>
          <w:lang w:val="en-GB"/>
        </w:rPr>
        <w:t>Progress in Biomaterials</w:t>
      </w:r>
      <w:r w:rsidRPr="009B7016">
        <w:rPr>
          <w:lang w:val="en-GB"/>
        </w:rPr>
        <w:t>, </w:t>
      </w:r>
      <w:r w:rsidRPr="009B7016">
        <w:rPr>
          <w:i/>
          <w:iCs/>
          <w:lang w:val="en-GB"/>
        </w:rPr>
        <w:t>2</w:t>
      </w:r>
      <w:r w:rsidRPr="009B7016">
        <w:rPr>
          <w:lang w:val="en-GB"/>
        </w:rPr>
        <w:t>(1), 8.</w:t>
      </w:r>
    </w:p>
    <w:p w14:paraId="52C1856C" w14:textId="77777777" w:rsidR="009B7016" w:rsidRPr="009B7016" w:rsidRDefault="009B7016" w:rsidP="00FB7A0F">
      <w:pPr>
        <w:pStyle w:val="CETBodytext"/>
        <w:ind w:left="284" w:hanging="284"/>
        <w:rPr>
          <w:lang w:val="en-GB"/>
        </w:rPr>
      </w:pPr>
      <w:r w:rsidRPr="009B7016">
        <w:rPr>
          <w:lang w:val="en-GB"/>
        </w:rPr>
        <w:t xml:space="preserve">Bogaert, J. C., &amp; </w:t>
      </w:r>
      <w:proofErr w:type="spellStart"/>
      <w:r w:rsidRPr="009B7016">
        <w:rPr>
          <w:lang w:val="en-GB"/>
        </w:rPr>
        <w:t>Coszach</w:t>
      </w:r>
      <w:proofErr w:type="spellEnd"/>
      <w:r w:rsidRPr="009B7016">
        <w:rPr>
          <w:lang w:val="en-GB"/>
        </w:rPr>
        <w:t xml:space="preserve">, P. (2000, March). Poly (lactic acids): a potential solution to </w:t>
      </w:r>
      <w:r w:rsidRPr="00496CC2">
        <w:rPr>
          <w:noProof/>
          <w:lang w:val="en-GB"/>
        </w:rPr>
        <w:t>plastic</w:t>
      </w:r>
      <w:r w:rsidRPr="009B7016">
        <w:rPr>
          <w:lang w:val="en-GB"/>
        </w:rPr>
        <w:t xml:space="preserve"> waste dilemma. In </w:t>
      </w:r>
      <w:r w:rsidRPr="009B7016">
        <w:rPr>
          <w:i/>
          <w:iCs/>
          <w:lang w:val="en-GB"/>
        </w:rPr>
        <w:t>Macromolecular symposia</w:t>
      </w:r>
      <w:r w:rsidRPr="009B7016">
        <w:rPr>
          <w:lang w:val="en-GB"/>
        </w:rPr>
        <w:t> (Vol. 153, No. 1, pp. 287-303). Weinheim: WILEY</w:t>
      </w:r>
      <w:r w:rsidRPr="009B7016">
        <w:rPr>
          <w:rFonts w:ascii="Cambria Math" w:hAnsi="Cambria Math" w:cs="Cambria Math"/>
          <w:lang w:val="en-GB"/>
        </w:rPr>
        <w:t>‐</w:t>
      </w:r>
      <w:r w:rsidRPr="009B7016">
        <w:rPr>
          <w:lang w:val="en-GB"/>
        </w:rPr>
        <w:t>VCH Verlag.</w:t>
      </w:r>
    </w:p>
    <w:p w14:paraId="0215B867" w14:textId="77777777" w:rsidR="00496CC2" w:rsidRPr="00C37B24" w:rsidRDefault="00496CC2" w:rsidP="00496CC2">
      <w:pPr>
        <w:pStyle w:val="CETBodytext"/>
        <w:ind w:left="284" w:hanging="284"/>
        <w:rPr>
          <w:lang w:val="en-GB"/>
        </w:rPr>
      </w:pPr>
      <w:proofErr w:type="spellStart"/>
      <w:r w:rsidRPr="0089090D">
        <w:rPr>
          <w:lang w:val="en-GB"/>
        </w:rPr>
        <w:t>Chomkhamsri</w:t>
      </w:r>
      <w:proofErr w:type="spellEnd"/>
      <w:r w:rsidRPr="0089090D">
        <w:rPr>
          <w:lang w:val="en-GB"/>
        </w:rPr>
        <w:t>, K., Wolf, M. A., &amp; Pant, R. (2011). International reference life cycle data system (ILCD) handbook: review schemes for life cycle assessment. In Towards life cycle sustainability management (pp. 107-117). Springer, Dordrecht.</w:t>
      </w:r>
    </w:p>
    <w:p w14:paraId="58425A81" w14:textId="77777777" w:rsidR="009B7016" w:rsidRPr="009B7016" w:rsidRDefault="009B7016" w:rsidP="00FB7A0F">
      <w:pPr>
        <w:pStyle w:val="CETBodytext"/>
        <w:ind w:left="284" w:hanging="284"/>
        <w:rPr>
          <w:lang w:val="en-GB"/>
        </w:rPr>
      </w:pPr>
      <w:r w:rsidRPr="009B7016">
        <w:rPr>
          <w:lang w:val="en-GB"/>
        </w:rPr>
        <w:t>ISO, E. (2006). 14040: 2006. </w:t>
      </w:r>
      <w:r w:rsidRPr="009B7016">
        <w:rPr>
          <w:i/>
          <w:iCs/>
          <w:lang w:val="en-GB"/>
        </w:rPr>
        <w:t xml:space="preserve">Environmental </w:t>
      </w:r>
      <w:r w:rsidRPr="00496CC2">
        <w:rPr>
          <w:i/>
          <w:iCs/>
          <w:noProof/>
          <w:lang w:val="en-GB"/>
        </w:rPr>
        <w:t>management-Life</w:t>
      </w:r>
      <w:r w:rsidRPr="009B7016">
        <w:rPr>
          <w:i/>
          <w:iCs/>
          <w:lang w:val="en-GB"/>
        </w:rPr>
        <w:t xml:space="preserve"> cycle assessment-Principles and framework. European Committee for Standardization</w:t>
      </w:r>
      <w:r w:rsidRPr="009B7016">
        <w:rPr>
          <w:lang w:val="en-GB"/>
        </w:rPr>
        <w:t>.</w:t>
      </w:r>
    </w:p>
    <w:p w14:paraId="0496EB0C" w14:textId="77777777" w:rsidR="009B7016" w:rsidRPr="009B7016" w:rsidRDefault="009B7016" w:rsidP="00FB7A0F">
      <w:pPr>
        <w:pStyle w:val="CETBodytext"/>
        <w:ind w:left="284" w:hanging="284"/>
        <w:rPr>
          <w:lang w:val="en-GB"/>
        </w:rPr>
      </w:pPr>
      <w:r w:rsidRPr="009B7016">
        <w:rPr>
          <w:lang w:val="en-GB"/>
        </w:rPr>
        <w:t>Iwata, T. (2015). Biodegradable and bio</w:t>
      </w:r>
      <w:r w:rsidRPr="009B7016">
        <w:rPr>
          <w:rFonts w:ascii="Cambria Math" w:hAnsi="Cambria Math" w:cs="Cambria Math"/>
          <w:lang w:val="en-GB"/>
        </w:rPr>
        <w:t>‐</w:t>
      </w:r>
      <w:r w:rsidRPr="009B7016">
        <w:rPr>
          <w:lang w:val="en-GB"/>
        </w:rPr>
        <w:t xml:space="preserve">based polymers: </w:t>
      </w:r>
      <w:proofErr w:type="gramStart"/>
      <w:r w:rsidRPr="009B7016">
        <w:rPr>
          <w:lang w:val="en-GB"/>
        </w:rPr>
        <w:t>future prospects</w:t>
      </w:r>
      <w:proofErr w:type="gramEnd"/>
      <w:r w:rsidRPr="009B7016">
        <w:rPr>
          <w:lang w:val="en-GB"/>
        </w:rPr>
        <w:t xml:space="preserve"> of eco</w:t>
      </w:r>
      <w:r w:rsidRPr="009B7016">
        <w:rPr>
          <w:rFonts w:ascii="Cambria Math" w:hAnsi="Cambria Math" w:cs="Cambria Math"/>
          <w:lang w:val="en-GB"/>
        </w:rPr>
        <w:t>‐</w:t>
      </w:r>
      <w:r w:rsidRPr="009B7016">
        <w:rPr>
          <w:lang w:val="en-GB"/>
        </w:rPr>
        <w:t>friendly plastics. </w:t>
      </w:r>
      <w:proofErr w:type="spellStart"/>
      <w:r w:rsidRPr="009B7016">
        <w:rPr>
          <w:i/>
          <w:iCs/>
          <w:lang w:val="en-GB"/>
        </w:rPr>
        <w:t>Angewandte</w:t>
      </w:r>
      <w:proofErr w:type="spellEnd"/>
      <w:r w:rsidRPr="009B7016">
        <w:rPr>
          <w:i/>
          <w:iCs/>
          <w:lang w:val="en-GB"/>
        </w:rPr>
        <w:t xml:space="preserve"> </w:t>
      </w:r>
      <w:proofErr w:type="spellStart"/>
      <w:r w:rsidRPr="009B7016">
        <w:rPr>
          <w:i/>
          <w:iCs/>
          <w:lang w:val="en-GB"/>
        </w:rPr>
        <w:t>Chemie</w:t>
      </w:r>
      <w:proofErr w:type="spellEnd"/>
      <w:r w:rsidRPr="009B7016">
        <w:rPr>
          <w:i/>
          <w:iCs/>
          <w:lang w:val="en-GB"/>
        </w:rPr>
        <w:t xml:space="preserve"> International Edition</w:t>
      </w:r>
      <w:r w:rsidRPr="009B7016">
        <w:rPr>
          <w:lang w:val="en-GB"/>
        </w:rPr>
        <w:t>, </w:t>
      </w:r>
      <w:r w:rsidRPr="009B7016">
        <w:rPr>
          <w:i/>
          <w:iCs/>
          <w:lang w:val="en-GB"/>
        </w:rPr>
        <w:t>54</w:t>
      </w:r>
      <w:r w:rsidRPr="009B7016">
        <w:rPr>
          <w:lang w:val="en-GB"/>
        </w:rPr>
        <w:t>(11), 3210-3215.</w:t>
      </w:r>
    </w:p>
    <w:p w14:paraId="2CC3D938" w14:textId="77777777" w:rsidR="009B7016" w:rsidRPr="009B7016" w:rsidRDefault="009B7016" w:rsidP="00FB7A0F">
      <w:pPr>
        <w:pStyle w:val="CETBodytext"/>
        <w:ind w:left="284" w:hanging="284"/>
        <w:rPr>
          <w:lang w:val="en-GB"/>
        </w:rPr>
      </w:pPr>
      <w:proofErr w:type="spellStart"/>
      <w:r w:rsidRPr="009B7016">
        <w:rPr>
          <w:lang w:val="en-GB"/>
        </w:rPr>
        <w:t>Jambeck</w:t>
      </w:r>
      <w:proofErr w:type="spellEnd"/>
      <w:r w:rsidRPr="009B7016">
        <w:rPr>
          <w:lang w:val="en-GB"/>
        </w:rPr>
        <w:t xml:space="preserve">, J. R., Geyer, R., Wilcox, C., Siegler, T. R., Perryman, M., </w:t>
      </w:r>
      <w:r w:rsidRPr="00496CC2">
        <w:rPr>
          <w:noProof/>
          <w:lang w:val="en-GB"/>
        </w:rPr>
        <w:t>Andrady</w:t>
      </w:r>
      <w:r w:rsidRPr="009B7016">
        <w:rPr>
          <w:lang w:val="en-GB"/>
        </w:rPr>
        <w:t>, A., ... &amp; Law, K. L. (2015). Plastic waste inputs from land into the ocean. </w:t>
      </w:r>
      <w:r w:rsidRPr="009B7016">
        <w:rPr>
          <w:i/>
          <w:iCs/>
          <w:lang w:val="en-GB"/>
        </w:rPr>
        <w:t>Science</w:t>
      </w:r>
      <w:r w:rsidRPr="009B7016">
        <w:rPr>
          <w:lang w:val="en-GB"/>
        </w:rPr>
        <w:t>, </w:t>
      </w:r>
      <w:r w:rsidRPr="009B7016">
        <w:rPr>
          <w:i/>
          <w:iCs/>
          <w:lang w:val="en-GB"/>
        </w:rPr>
        <w:t>347</w:t>
      </w:r>
      <w:r w:rsidRPr="009B7016">
        <w:rPr>
          <w:lang w:val="en-GB"/>
        </w:rPr>
        <w:t>(6223), 768-771.</w:t>
      </w:r>
    </w:p>
    <w:p w14:paraId="7070F31C" w14:textId="77777777" w:rsidR="009B7016" w:rsidRPr="009B7016" w:rsidRDefault="009B7016" w:rsidP="00FB7A0F">
      <w:pPr>
        <w:pStyle w:val="CETBodytext"/>
        <w:ind w:left="284" w:hanging="284"/>
        <w:rPr>
          <w:lang w:val="en-GB"/>
        </w:rPr>
      </w:pPr>
      <w:proofErr w:type="spellStart"/>
      <w:r w:rsidRPr="009B7016">
        <w:rPr>
          <w:lang w:val="en-GB"/>
        </w:rPr>
        <w:t>Jamshidian</w:t>
      </w:r>
      <w:proofErr w:type="spellEnd"/>
      <w:r w:rsidRPr="009B7016">
        <w:rPr>
          <w:lang w:val="en-GB"/>
        </w:rPr>
        <w:t xml:space="preserve">, M., </w:t>
      </w:r>
      <w:proofErr w:type="spellStart"/>
      <w:r w:rsidRPr="009B7016">
        <w:rPr>
          <w:lang w:val="en-GB"/>
        </w:rPr>
        <w:t>Tehrany</w:t>
      </w:r>
      <w:proofErr w:type="spellEnd"/>
      <w:r w:rsidRPr="009B7016">
        <w:rPr>
          <w:lang w:val="en-GB"/>
        </w:rPr>
        <w:t xml:space="preserve">, E. A., Imran, M., </w:t>
      </w:r>
      <w:proofErr w:type="spellStart"/>
      <w:r w:rsidRPr="009B7016">
        <w:rPr>
          <w:lang w:val="en-GB"/>
        </w:rPr>
        <w:t>Jacquot</w:t>
      </w:r>
      <w:proofErr w:type="spellEnd"/>
      <w:r w:rsidRPr="009B7016">
        <w:rPr>
          <w:lang w:val="en-GB"/>
        </w:rPr>
        <w:t xml:space="preserve">, M., &amp; </w:t>
      </w:r>
      <w:proofErr w:type="spellStart"/>
      <w:r w:rsidRPr="009B7016">
        <w:rPr>
          <w:lang w:val="en-GB"/>
        </w:rPr>
        <w:t>Desobry</w:t>
      </w:r>
      <w:proofErr w:type="spellEnd"/>
      <w:r w:rsidRPr="009B7016">
        <w:rPr>
          <w:lang w:val="en-GB"/>
        </w:rPr>
        <w:t>, S. (2010). Poly</w:t>
      </w:r>
      <w:r w:rsidRPr="009B7016">
        <w:rPr>
          <w:rFonts w:ascii="Cambria Math" w:hAnsi="Cambria Math" w:cs="Cambria Math"/>
          <w:lang w:val="en-GB"/>
        </w:rPr>
        <w:t>‐</w:t>
      </w:r>
      <w:r w:rsidRPr="009B7016">
        <w:rPr>
          <w:lang w:val="en-GB"/>
        </w:rPr>
        <w:t>lactic acid: production, applications, nanocomposites, and release studies. </w:t>
      </w:r>
      <w:r w:rsidRPr="009B7016">
        <w:rPr>
          <w:i/>
          <w:iCs/>
          <w:lang w:val="en-GB"/>
        </w:rPr>
        <w:t>Comprehensive Reviews in Food Science and Food Safety</w:t>
      </w:r>
      <w:r w:rsidRPr="009B7016">
        <w:rPr>
          <w:lang w:val="en-GB"/>
        </w:rPr>
        <w:t>, </w:t>
      </w:r>
      <w:r w:rsidRPr="009B7016">
        <w:rPr>
          <w:i/>
          <w:iCs/>
          <w:lang w:val="en-GB"/>
        </w:rPr>
        <w:t>9</w:t>
      </w:r>
      <w:r w:rsidRPr="009B7016">
        <w:rPr>
          <w:lang w:val="en-GB"/>
        </w:rPr>
        <w:t>(5), 552-571.</w:t>
      </w:r>
    </w:p>
    <w:p w14:paraId="382B7B19" w14:textId="77777777" w:rsidR="009B7016" w:rsidRPr="009B7016" w:rsidRDefault="009B7016" w:rsidP="00FB7A0F">
      <w:pPr>
        <w:pStyle w:val="CETBodytext"/>
        <w:ind w:left="284" w:hanging="284"/>
        <w:rPr>
          <w:lang w:val="en-GB"/>
        </w:rPr>
      </w:pPr>
      <w:r w:rsidRPr="009B7016">
        <w:rPr>
          <w:lang w:val="en-GB"/>
        </w:rPr>
        <w:t>Kirwan, M. J., &amp; Strawbridge, J. W. (2003). Plastics in food packaging. </w:t>
      </w:r>
      <w:r w:rsidRPr="009B7016">
        <w:rPr>
          <w:i/>
          <w:iCs/>
          <w:lang w:val="en-GB"/>
        </w:rPr>
        <w:t>Food packaging technology</w:t>
      </w:r>
      <w:r w:rsidRPr="009B7016">
        <w:rPr>
          <w:lang w:val="en-GB"/>
        </w:rPr>
        <w:t>, 174-240.</w:t>
      </w:r>
    </w:p>
    <w:p w14:paraId="771E46B8" w14:textId="77777777" w:rsidR="009B7016" w:rsidRPr="009B7016" w:rsidRDefault="009B7016" w:rsidP="00FB7A0F">
      <w:pPr>
        <w:pStyle w:val="CETBodytext"/>
        <w:ind w:left="284" w:hanging="284"/>
        <w:rPr>
          <w:lang w:val="en-GB"/>
        </w:rPr>
      </w:pPr>
      <w:r w:rsidRPr="009B7016">
        <w:rPr>
          <w:lang w:val="it-IT"/>
        </w:rPr>
        <w:t xml:space="preserve">Lopez-Rubio, A., </w:t>
      </w:r>
      <w:proofErr w:type="spellStart"/>
      <w:r w:rsidRPr="009B7016">
        <w:rPr>
          <w:lang w:val="it-IT"/>
        </w:rPr>
        <w:t>Almenar</w:t>
      </w:r>
      <w:proofErr w:type="spellEnd"/>
      <w:r w:rsidRPr="009B7016">
        <w:rPr>
          <w:lang w:val="it-IT"/>
        </w:rPr>
        <w:t xml:space="preserve">, E., Hernandez-Muñoz, P., </w:t>
      </w:r>
      <w:proofErr w:type="spellStart"/>
      <w:r w:rsidRPr="009B7016">
        <w:rPr>
          <w:lang w:val="it-IT"/>
        </w:rPr>
        <w:t>Lagarón</w:t>
      </w:r>
      <w:proofErr w:type="spellEnd"/>
      <w:r w:rsidRPr="009B7016">
        <w:rPr>
          <w:lang w:val="it-IT"/>
        </w:rPr>
        <w:t xml:space="preserve">, J. M., </w:t>
      </w:r>
      <w:proofErr w:type="spellStart"/>
      <w:r w:rsidRPr="009B7016">
        <w:rPr>
          <w:lang w:val="it-IT"/>
        </w:rPr>
        <w:t>Catalá</w:t>
      </w:r>
      <w:proofErr w:type="spellEnd"/>
      <w:r w:rsidRPr="009B7016">
        <w:rPr>
          <w:lang w:val="it-IT"/>
        </w:rPr>
        <w:t xml:space="preserve">, R., &amp; </w:t>
      </w:r>
      <w:proofErr w:type="spellStart"/>
      <w:r w:rsidRPr="009B7016">
        <w:rPr>
          <w:lang w:val="it-IT"/>
        </w:rPr>
        <w:t>Gavara</w:t>
      </w:r>
      <w:proofErr w:type="spellEnd"/>
      <w:r w:rsidRPr="009B7016">
        <w:rPr>
          <w:lang w:val="it-IT"/>
        </w:rPr>
        <w:t xml:space="preserve">, R. (2004). </w:t>
      </w:r>
      <w:r w:rsidRPr="009B7016">
        <w:rPr>
          <w:lang w:val="en-GB"/>
        </w:rPr>
        <w:t>Overview of active polymer-based packaging technologies for food applications. </w:t>
      </w:r>
      <w:r w:rsidRPr="009B7016">
        <w:rPr>
          <w:i/>
          <w:iCs/>
          <w:lang w:val="en-GB"/>
        </w:rPr>
        <w:t>Food Reviews International</w:t>
      </w:r>
      <w:r w:rsidRPr="009B7016">
        <w:rPr>
          <w:lang w:val="en-GB"/>
        </w:rPr>
        <w:t>, </w:t>
      </w:r>
      <w:r w:rsidRPr="009B7016">
        <w:rPr>
          <w:i/>
          <w:iCs/>
          <w:lang w:val="en-GB"/>
        </w:rPr>
        <w:t>20</w:t>
      </w:r>
      <w:r w:rsidRPr="009B7016">
        <w:rPr>
          <w:lang w:val="en-GB"/>
        </w:rPr>
        <w:t>(4), 357-387.</w:t>
      </w:r>
    </w:p>
    <w:p w14:paraId="5F8BFC79" w14:textId="77777777" w:rsidR="009B7016" w:rsidRPr="00814094" w:rsidRDefault="009B7016" w:rsidP="00FB7A0F">
      <w:pPr>
        <w:pStyle w:val="CETBodytext"/>
        <w:ind w:left="284" w:hanging="284"/>
        <w:rPr>
          <w:lang w:val="en-GB"/>
        </w:rPr>
      </w:pPr>
      <w:r w:rsidRPr="009B7016">
        <w:rPr>
          <w:lang w:val="en-GB"/>
        </w:rPr>
        <w:t>Mattox, D. M. (2010). </w:t>
      </w:r>
      <w:r w:rsidRPr="009B7016">
        <w:rPr>
          <w:i/>
          <w:iCs/>
          <w:lang w:val="en-GB"/>
        </w:rPr>
        <w:t xml:space="preserve">Handbook of physical </w:t>
      </w:r>
      <w:r w:rsidRPr="00496CC2">
        <w:rPr>
          <w:i/>
          <w:iCs/>
          <w:noProof/>
          <w:lang w:val="en-GB"/>
        </w:rPr>
        <w:t>vapor</w:t>
      </w:r>
      <w:r w:rsidRPr="009B7016">
        <w:rPr>
          <w:i/>
          <w:iCs/>
          <w:lang w:val="en-GB"/>
        </w:rPr>
        <w:t xml:space="preserve"> deposition (PVD) processing</w:t>
      </w:r>
      <w:r w:rsidRPr="009B7016">
        <w:rPr>
          <w:lang w:val="en-GB"/>
        </w:rPr>
        <w:t xml:space="preserve">. </w:t>
      </w:r>
      <w:r w:rsidRPr="00814094">
        <w:rPr>
          <w:lang w:val="en-GB"/>
        </w:rPr>
        <w:t>William Andrew.</w:t>
      </w:r>
    </w:p>
    <w:p w14:paraId="2E8CBCCF" w14:textId="77777777" w:rsidR="00496CC2" w:rsidRPr="00814094" w:rsidRDefault="00496CC2" w:rsidP="00496CC2">
      <w:pPr>
        <w:pStyle w:val="CETBodytext"/>
        <w:ind w:left="284" w:hanging="284"/>
        <w:rPr>
          <w:lang w:val="it-IT"/>
        </w:rPr>
      </w:pPr>
      <w:r>
        <w:rPr>
          <w:lang w:val="en-GB"/>
        </w:rPr>
        <w:t>Plastics</w:t>
      </w:r>
      <w:r w:rsidRPr="009B7016">
        <w:rPr>
          <w:lang w:val="en-GB"/>
        </w:rPr>
        <w:t>Europe (2018). Plastics–the Facts 2017/2018 An analysis of European plastics production, demand and waste data. </w:t>
      </w:r>
      <w:r w:rsidRPr="00814094">
        <w:rPr>
          <w:i/>
          <w:iCs/>
          <w:lang w:val="it-IT"/>
        </w:rPr>
        <w:t xml:space="preserve">Plastic Europe </w:t>
      </w:r>
      <w:proofErr w:type="spellStart"/>
      <w:r w:rsidRPr="00814094">
        <w:rPr>
          <w:i/>
          <w:iCs/>
          <w:lang w:val="it-IT"/>
        </w:rPr>
        <w:t>at</w:t>
      </w:r>
      <w:proofErr w:type="spellEnd"/>
      <w:r w:rsidRPr="00814094">
        <w:rPr>
          <w:i/>
          <w:iCs/>
          <w:lang w:val="it-IT"/>
        </w:rPr>
        <w:t xml:space="preserve"> www.plasticseurope.org</w:t>
      </w:r>
      <w:r w:rsidRPr="00814094">
        <w:rPr>
          <w:lang w:val="it-IT"/>
        </w:rPr>
        <w:t>.</w:t>
      </w:r>
    </w:p>
    <w:p w14:paraId="1861A313" w14:textId="77777777" w:rsidR="009B7016" w:rsidRPr="009B7016" w:rsidRDefault="009B7016" w:rsidP="00FB7A0F">
      <w:pPr>
        <w:pStyle w:val="CETBodytext"/>
        <w:ind w:left="284" w:hanging="284"/>
        <w:rPr>
          <w:lang w:val="en-GB"/>
        </w:rPr>
      </w:pPr>
      <w:r w:rsidRPr="009B7016">
        <w:rPr>
          <w:lang w:val="it-IT"/>
        </w:rPr>
        <w:t xml:space="preserve">Siracusa, V., </w:t>
      </w:r>
      <w:proofErr w:type="spellStart"/>
      <w:r w:rsidRPr="009B7016">
        <w:rPr>
          <w:lang w:val="it-IT"/>
        </w:rPr>
        <w:t>Rocculi</w:t>
      </w:r>
      <w:proofErr w:type="spellEnd"/>
      <w:r w:rsidRPr="009B7016">
        <w:rPr>
          <w:lang w:val="it-IT"/>
        </w:rPr>
        <w:t xml:space="preserve">, P., Romani, S., &amp; Dalla Rosa, M. (2008). </w:t>
      </w:r>
      <w:r w:rsidRPr="009B7016">
        <w:rPr>
          <w:lang w:val="en-GB"/>
        </w:rPr>
        <w:t>Biodegradable polymers for food packaging: a review. </w:t>
      </w:r>
      <w:r w:rsidRPr="009B7016">
        <w:rPr>
          <w:i/>
          <w:iCs/>
          <w:lang w:val="en-GB"/>
        </w:rPr>
        <w:t>Trends in Food Science &amp; Technology</w:t>
      </w:r>
      <w:r w:rsidRPr="009B7016">
        <w:rPr>
          <w:lang w:val="en-GB"/>
        </w:rPr>
        <w:t>, </w:t>
      </w:r>
      <w:r w:rsidRPr="009B7016">
        <w:rPr>
          <w:i/>
          <w:iCs/>
          <w:lang w:val="en-GB"/>
        </w:rPr>
        <w:t>19</w:t>
      </w:r>
      <w:r w:rsidRPr="009B7016">
        <w:rPr>
          <w:lang w:val="en-GB"/>
        </w:rPr>
        <w:t>(12), 634-643.</w:t>
      </w:r>
    </w:p>
    <w:p w14:paraId="74B9BFB4" w14:textId="77777777" w:rsidR="009B7016" w:rsidRPr="009B7016" w:rsidRDefault="009B7016" w:rsidP="00FB7A0F">
      <w:pPr>
        <w:pStyle w:val="CETBodytext"/>
        <w:ind w:left="284" w:hanging="284"/>
        <w:rPr>
          <w:lang w:val="en-GB"/>
        </w:rPr>
      </w:pPr>
      <w:r w:rsidRPr="009B7016">
        <w:rPr>
          <w:lang w:val="en-GB"/>
        </w:rPr>
        <w:t xml:space="preserve">Shen, L., </w:t>
      </w:r>
      <w:proofErr w:type="spellStart"/>
      <w:r w:rsidRPr="009B7016">
        <w:rPr>
          <w:lang w:val="en-GB"/>
        </w:rPr>
        <w:t>Haufe</w:t>
      </w:r>
      <w:proofErr w:type="spellEnd"/>
      <w:r w:rsidRPr="009B7016">
        <w:rPr>
          <w:lang w:val="en-GB"/>
        </w:rPr>
        <w:t>, J., &amp; Patel, M. K. (2009). Product overview and market projection of emerging bio-based plastics PRO-BIP 2009. </w:t>
      </w:r>
      <w:r w:rsidRPr="009B7016">
        <w:rPr>
          <w:i/>
          <w:iCs/>
          <w:lang w:val="en-GB"/>
        </w:rPr>
        <w:t>Report for European polysaccharide network of excellence (EPNOE) and European bioplastics</w:t>
      </w:r>
      <w:r w:rsidRPr="009B7016">
        <w:rPr>
          <w:lang w:val="en-GB"/>
        </w:rPr>
        <w:t>, </w:t>
      </w:r>
      <w:r w:rsidRPr="009B7016">
        <w:rPr>
          <w:i/>
          <w:iCs/>
          <w:lang w:val="en-GB"/>
        </w:rPr>
        <w:t>243</w:t>
      </w:r>
      <w:r w:rsidRPr="009B7016">
        <w:rPr>
          <w:lang w:val="en-GB"/>
        </w:rPr>
        <w:t>.</w:t>
      </w:r>
    </w:p>
    <w:p w14:paraId="14FC5840" w14:textId="77777777" w:rsidR="009B7016" w:rsidRPr="009B7016" w:rsidRDefault="009B7016" w:rsidP="00FB7A0F">
      <w:pPr>
        <w:pStyle w:val="CETBodytext"/>
        <w:ind w:left="284" w:hanging="284"/>
        <w:rPr>
          <w:lang w:val="en-GB"/>
        </w:rPr>
      </w:pPr>
      <w:r w:rsidRPr="009B7016">
        <w:rPr>
          <w:lang w:val="en-GB"/>
        </w:rPr>
        <w:t>Shen, L., Worrell, E., &amp; Patel, M. (2010). Present and future development in plastics from biomass. </w:t>
      </w:r>
      <w:r w:rsidRPr="009B7016">
        <w:rPr>
          <w:i/>
          <w:iCs/>
          <w:lang w:val="en-GB"/>
        </w:rPr>
        <w:t>Biofuels, Bioproducts and Biorefining: Innovation for a sustainable economy</w:t>
      </w:r>
      <w:r w:rsidRPr="009B7016">
        <w:rPr>
          <w:lang w:val="en-GB"/>
        </w:rPr>
        <w:t>, </w:t>
      </w:r>
      <w:r w:rsidRPr="009B7016">
        <w:rPr>
          <w:i/>
          <w:iCs/>
          <w:lang w:val="en-GB"/>
        </w:rPr>
        <w:t>4</w:t>
      </w:r>
      <w:r w:rsidRPr="009B7016">
        <w:rPr>
          <w:lang w:val="en-GB"/>
        </w:rPr>
        <w:t>(1), 25-40.</w:t>
      </w:r>
    </w:p>
    <w:p w14:paraId="2FD24C78" w14:textId="77777777" w:rsidR="009B7016" w:rsidRPr="009B7016" w:rsidRDefault="009B7016" w:rsidP="00FB7A0F">
      <w:pPr>
        <w:pStyle w:val="CETBodytext"/>
        <w:ind w:left="284" w:hanging="284"/>
        <w:rPr>
          <w:lang w:val="en-GB"/>
        </w:rPr>
      </w:pPr>
      <w:r w:rsidRPr="009B7016">
        <w:rPr>
          <w:lang w:val="en-GB"/>
        </w:rPr>
        <w:t xml:space="preserve">Weber, C. J., </w:t>
      </w:r>
      <w:proofErr w:type="spellStart"/>
      <w:r w:rsidRPr="009B7016">
        <w:rPr>
          <w:lang w:val="en-GB"/>
        </w:rPr>
        <w:t>Haugaard</w:t>
      </w:r>
      <w:proofErr w:type="spellEnd"/>
      <w:r w:rsidRPr="009B7016">
        <w:rPr>
          <w:lang w:val="en-GB"/>
        </w:rPr>
        <w:t xml:space="preserve">, V., </w:t>
      </w:r>
      <w:proofErr w:type="spellStart"/>
      <w:r w:rsidRPr="009B7016">
        <w:rPr>
          <w:lang w:val="en-GB"/>
        </w:rPr>
        <w:t>Festersen</w:t>
      </w:r>
      <w:proofErr w:type="spellEnd"/>
      <w:r w:rsidRPr="009B7016">
        <w:rPr>
          <w:lang w:val="en-GB"/>
        </w:rPr>
        <w:t xml:space="preserve">, R., &amp; </w:t>
      </w:r>
      <w:proofErr w:type="spellStart"/>
      <w:r w:rsidRPr="009B7016">
        <w:rPr>
          <w:lang w:val="en-GB"/>
        </w:rPr>
        <w:t>Bertelsen</w:t>
      </w:r>
      <w:proofErr w:type="spellEnd"/>
      <w:r w:rsidRPr="009B7016">
        <w:rPr>
          <w:lang w:val="en-GB"/>
        </w:rPr>
        <w:t xml:space="preserve">, G. (2002). Production and applications of </w:t>
      </w:r>
      <w:proofErr w:type="spellStart"/>
      <w:r w:rsidRPr="009B7016">
        <w:rPr>
          <w:lang w:val="en-GB"/>
        </w:rPr>
        <w:t>biobased</w:t>
      </w:r>
      <w:proofErr w:type="spellEnd"/>
      <w:r w:rsidRPr="009B7016">
        <w:rPr>
          <w:lang w:val="en-GB"/>
        </w:rPr>
        <w:t xml:space="preserve"> packaging materials for the food industry. </w:t>
      </w:r>
      <w:r w:rsidRPr="009B7016">
        <w:rPr>
          <w:i/>
          <w:iCs/>
          <w:lang w:val="en-GB"/>
        </w:rPr>
        <w:t>Food Additives &amp; Contaminants</w:t>
      </w:r>
      <w:r w:rsidRPr="009B7016">
        <w:rPr>
          <w:lang w:val="en-GB"/>
        </w:rPr>
        <w:t>, </w:t>
      </w:r>
      <w:r w:rsidRPr="009B7016">
        <w:rPr>
          <w:i/>
          <w:iCs/>
          <w:lang w:val="en-GB"/>
        </w:rPr>
        <w:t>19</w:t>
      </w:r>
      <w:r w:rsidRPr="009B7016">
        <w:rPr>
          <w:lang w:val="en-GB"/>
        </w:rPr>
        <w:t>(S1), 172-177.</w:t>
      </w:r>
    </w:p>
    <w:sectPr w:rsidR="009B7016" w:rsidRPr="009B701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8F46" w14:textId="77777777" w:rsidR="0080385A" w:rsidRDefault="0080385A" w:rsidP="004F5E36">
      <w:r>
        <w:separator/>
      </w:r>
    </w:p>
  </w:endnote>
  <w:endnote w:type="continuationSeparator" w:id="0">
    <w:p w14:paraId="731863C5" w14:textId="77777777" w:rsidR="0080385A" w:rsidRDefault="0080385A" w:rsidP="004F5E36">
      <w:r>
        <w:continuationSeparator/>
      </w:r>
    </w:p>
  </w:endnote>
  <w:endnote w:type="continuationNotice" w:id="1">
    <w:p w14:paraId="01EE4D7A" w14:textId="77777777" w:rsidR="0080385A" w:rsidRDefault="008038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A5B55" w14:textId="77777777" w:rsidR="0080385A" w:rsidRDefault="0080385A" w:rsidP="004F5E36">
      <w:r>
        <w:separator/>
      </w:r>
    </w:p>
  </w:footnote>
  <w:footnote w:type="continuationSeparator" w:id="0">
    <w:p w14:paraId="16E747F5" w14:textId="77777777" w:rsidR="0080385A" w:rsidRDefault="0080385A" w:rsidP="004F5E36">
      <w:r>
        <w:continuationSeparator/>
      </w:r>
    </w:p>
  </w:footnote>
  <w:footnote w:type="continuationNotice" w:id="1">
    <w:p w14:paraId="0524201F" w14:textId="77777777" w:rsidR="0080385A" w:rsidRDefault="0080385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A665124"/>
    <w:multiLevelType w:val="multilevel"/>
    <w:tmpl w:val="2EC0E560"/>
    <w:lvl w:ilvl="0">
      <w:numFmt w:val="decimal"/>
      <w:lvlText w:val="%1"/>
      <w:lvlJc w:val="left"/>
      <w:pPr>
        <w:ind w:left="360" w:hanging="360"/>
      </w:pPr>
    </w:lvl>
    <w:lvl w:ilvl="1">
      <w:start w:val="7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A800C7"/>
    <w:multiLevelType w:val="hybridMultilevel"/>
    <w:tmpl w:val="0282B2B4"/>
    <w:lvl w:ilvl="0" w:tplc="7366812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6B7FCB"/>
    <w:multiLevelType w:val="multilevel"/>
    <w:tmpl w:val="34CE2B14"/>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77B4409"/>
    <w:multiLevelType w:val="hybridMultilevel"/>
    <w:tmpl w:val="12743E06"/>
    <w:lvl w:ilvl="0" w:tplc="3572D8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7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oFALGzlawtAAAA"/>
  </w:docVars>
  <w:rsids>
    <w:rsidRoot w:val="000E414A"/>
    <w:rsid w:val="000019B9"/>
    <w:rsid w:val="000027C0"/>
    <w:rsid w:val="000052FB"/>
    <w:rsid w:val="00007E99"/>
    <w:rsid w:val="00010F40"/>
    <w:rsid w:val="000117CB"/>
    <w:rsid w:val="00017F8E"/>
    <w:rsid w:val="0003148D"/>
    <w:rsid w:val="00032A52"/>
    <w:rsid w:val="00033E53"/>
    <w:rsid w:val="0003618F"/>
    <w:rsid w:val="00037F96"/>
    <w:rsid w:val="00045B88"/>
    <w:rsid w:val="00047D7F"/>
    <w:rsid w:val="00051566"/>
    <w:rsid w:val="000572F1"/>
    <w:rsid w:val="00060B36"/>
    <w:rsid w:val="000614A8"/>
    <w:rsid w:val="00062A9A"/>
    <w:rsid w:val="00064B43"/>
    <w:rsid w:val="00065058"/>
    <w:rsid w:val="0007465D"/>
    <w:rsid w:val="000754D3"/>
    <w:rsid w:val="00080B86"/>
    <w:rsid w:val="00084444"/>
    <w:rsid w:val="00086C39"/>
    <w:rsid w:val="0009227C"/>
    <w:rsid w:val="0009797E"/>
    <w:rsid w:val="000A03B2"/>
    <w:rsid w:val="000A0428"/>
    <w:rsid w:val="000A3222"/>
    <w:rsid w:val="000A3B79"/>
    <w:rsid w:val="000A7E56"/>
    <w:rsid w:val="000B7BCA"/>
    <w:rsid w:val="000C162F"/>
    <w:rsid w:val="000C42C6"/>
    <w:rsid w:val="000D34BE"/>
    <w:rsid w:val="000D4C22"/>
    <w:rsid w:val="000D7FC3"/>
    <w:rsid w:val="000E102F"/>
    <w:rsid w:val="000E1D6F"/>
    <w:rsid w:val="000E36F1"/>
    <w:rsid w:val="000E3A73"/>
    <w:rsid w:val="000E414A"/>
    <w:rsid w:val="000F093C"/>
    <w:rsid w:val="000F16BD"/>
    <w:rsid w:val="000F3954"/>
    <w:rsid w:val="000F787B"/>
    <w:rsid w:val="00101C5B"/>
    <w:rsid w:val="00105603"/>
    <w:rsid w:val="00112DB0"/>
    <w:rsid w:val="00120854"/>
    <w:rsid w:val="0012091F"/>
    <w:rsid w:val="00120F62"/>
    <w:rsid w:val="001268EF"/>
    <w:rsid w:val="00126BC2"/>
    <w:rsid w:val="00130211"/>
    <w:rsid w:val="001308B6"/>
    <w:rsid w:val="0013121F"/>
    <w:rsid w:val="00131FAB"/>
    <w:rsid w:val="00131FE6"/>
    <w:rsid w:val="0013263F"/>
    <w:rsid w:val="00134DE4"/>
    <w:rsid w:val="00137669"/>
    <w:rsid w:val="0014034D"/>
    <w:rsid w:val="00143CA0"/>
    <w:rsid w:val="00143F17"/>
    <w:rsid w:val="0014741F"/>
    <w:rsid w:val="00147B52"/>
    <w:rsid w:val="00150E59"/>
    <w:rsid w:val="00152DE3"/>
    <w:rsid w:val="00164CF9"/>
    <w:rsid w:val="0016708B"/>
    <w:rsid w:val="00172D15"/>
    <w:rsid w:val="00176B0E"/>
    <w:rsid w:val="00182EC3"/>
    <w:rsid w:val="00184AD6"/>
    <w:rsid w:val="00187BF1"/>
    <w:rsid w:val="001A4AD5"/>
    <w:rsid w:val="001A5029"/>
    <w:rsid w:val="001B0349"/>
    <w:rsid w:val="001B65C1"/>
    <w:rsid w:val="001C176F"/>
    <w:rsid w:val="001C684B"/>
    <w:rsid w:val="001D4316"/>
    <w:rsid w:val="001D53FC"/>
    <w:rsid w:val="001E7A05"/>
    <w:rsid w:val="001F1101"/>
    <w:rsid w:val="001F42A5"/>
    <w:rsid w:val="001F7B9D"/>
    <w:rsid w:val="00205367"/>
    <w:rsid w:val="00210CDC"/>
    <w:rsid w:val="00211E7E"/>
    <w:rsid w:val="00213747"/>
    <w:rsid w:val="002224B4"/>
    <w:rsid w:val="00225E24"/>
    <w:rsid w:val="00241FF8"/>
    <w:rsid w:val="002447EF"/>
    <w:rsid w:val="00246A9F"/>
    <w:rsid w:val="00251550"/>
    <w:rsid w:val="00252C1A"/>
    <w:rsid w:val="0025334D"/>
    <w:rsid w:val="00263B05"/>
    <w:rsid w:val="00265348"/>
    <w:rsid w:val="00267A85"/>
    <w:rsid w:val="0027221A"/>
    <w:rsid w:val="00274456"/>
    <w:rsid w:val="00275B61"/>
    <w:rsid w:val="00281538"/>
    <w:rsid w:val="00282656"/>
    <w:rsid w:val="0029326F"/>
    <w:rsid w:val="00294750"/>
    <w:rsid w:val="00296B83"/>
    <w:rsid w:val="002B2CE8"/>
    <w:rsid w:val="002B78CE"/>
    <w:rsid w:val="002C2FB6"/>
    <w:rsid w:val="002D5BCD"/>
    <w:rsid w:val="002F5740"/>
    <w:rsid w:val="002F706A"/>
    <w:rsid w:val="003009B7"/>
    <w:rsid w:val="00300E56"/>
    <w:rsid w:val="00303F72"/>
    <w:rsid w:val="0030469C"/>
    <w:rsid w:val="00311A19"/>
    <w:rsid w:val="00321CA6"/>
    <w:rsid w:val="00334C09"/>
    <w:rsid w:val="003365E3"/>
    <w:rsid w:val="00343593"/>
    <w:rsid w:val="00350A40"/>
    <w:rsid w:val="0035314C"/>
    <w:rsid w:val="00357EEE"/>
    <w:rsid w:val="003723D4"/>
    <w:rsid w:val="00375453"/>
    <w:rsid w:val="00377A1D"/>
    <w:rsid w:val="0038002B"/>
    <w:rsid w:val="00384CC8"/>
    <w:rsid w:val="003871FD"/>
    <w:rsid w:val="00391CC2"/>
    <w:rsid w:val="003A1446"/>
    <w:rsid w:val="003A1E30"/>
    <w:rsid w:val="003A4735"/>
    <w:rsid w:val="003A7D1C"/>
    <w:rsid w:val="003B08E9"/>
    <w:rsid w:val="003B304B"/>
    <w:rsid w:val="003B3146"/>
    <w:rsid w:val="003B60F3"/>
    <w:rsid w:val="003B6175"/>
    <w:rsid w:val="003D2BDB"/>
    <w:rsid w:val="003E4414"/>
    <w:rsid w:val="003E5D2E"/>
    <w:rsid w:val="003F015E"/>
    <w:rsid w:val="003F0C3F"/>
    <w:rsid w:val="00400414"/>
    <w:rsid w:val="0041446B"/>
    <w:rsid w:val="00427927"/>
    <w:rsid w:val="00433143"/>
    <w:rsid w:val="0044329C"/>
    <w:rsid w:val="004577FE"/>
    <w:rsid w:val="00457B9C"/>
    <w:rsid w:val="0046164A"/>
    <w:rsid w:val="004628D2"/>
    <w:rsid w:val="00462DCD"/>
    <w:rsid w:val="004648AD"/>
    <w:rsid w:val="004703A9"/>
    <w:rsid w:val="00472478"/>
    <w:rsid w:val="00474161"/>
    <w:rsid w:val="004760DE"/>
    <w:rsid w:val="004779C7"/>
    <w:rsid w:val="00477D71"/>
    <w:rsid w:val="00496CC2"/>
    <w:rsid w:val="004A004E"/>
    <w:rsid w:val="004A1F9D"/>
    <w:rsid w:val="004A24CF"/>
    <w:rsid w:val="004B6721"/>
    <w:rsid w:val="004C0BC2"/>
    <w:rsid w:val="004C3644"/>
    <w:rsid w:val="004C3D1D"/>
    <w:rsid w:val="004C7913"/>
    <w:rsid w:val="004D0D5E"/>
    <w:rsid w:val="004E0F4F"/>
    <w:rsid w:val="004E4DD6"/>
    <w:rsid w:val="004F1261"/>
    <w:rsid w:val="004F4B0B"/>
    <w:rsid w:val="004F5E36"/>
    <w:rsid w:val="00503F53"/>
    <w:rsid w:val="00507B47"/>
    <w:rsid w:val="00507CC9"/>
    <w:rsid w:val="005119A5"/>
    <w:rsid w:val="00527829"/>
    <w:rsid w:val="005278B7"/>
    <w:rsid w:val="00532016"/>
    <w:rsid w:val="005346C8"/>
    <w:rsid w:val="00543E7D"/>
    <w:rsid w:val="00546B05"/>
    <w:rsid w:val="00547A68"/>
    <w:rsid w:val="00552CCD"/>
    <w:rsid w:val="005531C9"/>
    <w:rsid w:val="00555B0B"/>
    <w:rsid w:val="00556442"/>
    <w:rsid w:val="00561D7C"/>
    <w:rsid w:val="005632C9"/>
    <w:rsid w:val="0057458F"/>
    <w:rsid w:val="005819BF"/>
    <w:rsid w:val="00584E48"/>
    <w:rsid w:val="005934DE"/>
    <w:rsid w:val="005A0F2B"/>
    <w:rsid w:val="005A4566"/>
    <w:rsid w:val="005B2110"/>
    <w:rsid w:val="005B584A"/>
    <w:rsid w:val="005B61E6"/>
    <w:rsid w:val="005C26B3"/>
    <w:rsid w:val="005C77E1"/>
    <w:rsid w:val="005D6A2F"/>
    <w:rsid w:val="005E01CF"/>
    <w:rsid w:val="005E1A82"/>
    <w:rsid w:val="005E2D57"/>
    <w:rsid w:val="005E794C"/>
    <w:rsid w:val="005F0A28"/>
    <w:rsid w:val="005F0E5E"/>
    <w:rsid w:val="005F6605"/>
    <w:rsid w:val="005F759D"/>
    <w:rsid w:val="00600535"/>
    <w:rsid w:val="00603DB6"/>
    <w:rsid w:val="006052C9"/>
    <w:rsid w:val="006073B6"/>
    <w:rsid w:val="00610CD6"/>
    <w:rsid w:val="006129F2"/>
    <w:rsid w:val="006135CD"/>
    <w:rsid w:val="006169A8"/>
    <w:rsid w:val="00620DEE"/>
    <w:rsid w:val="00621D5E"/>
    <w:rsid w:val="00621F92"/>
    <w:rsid w:val="0062355A"/>
    <w:rsid w:val="00625639"/>
    <w:rsid w:val="0062645A"/>
    <w:rsid w:val="00631B33"/>
    <w:rsid w:val="00633CE2"/>
    <w:rsid w:val="00641451"/>
    <w:rsid w:val="0064184D"/>
    <w:rsid w:val="006422CC"/>
    <w:rsid w:val="006531B4"/>
    <w:rsid w:val="00660E3E"/>
    <w:rsid w:val="006610CD"/>
    <w:rsid w:val="00662E74"/>
    <w:rsid w:val="00673338"/>
    <w:rsid w:val="00673A09"/>
    <w:rsid w:val="00680C23"/>
    <w:rsid w:val="00680F48"/>
    <w:rsid w:val="00683F8F"/>
    <w:rsid w:val="00687316"/>
    <w:rsid w:val="00693766"/>
    <w:rsid w:val="006A3281"/>
    <w:rsid w:val="006A634E"/>
    <w:rsid w:val="006B10E5"/>
    <w:rsid w:val="006B139B"/>
    <w:rsid w:val="006B23F0"/>
    <w:rsid w:val="006B4888"/>
    <w:rsid w:val="006B5F2D"/>
    <w:rsid w:val="006B6A9A"/>
    <w:rsid w:val="006C2E45"/>
    <w:rsid w:val="006C359C"/>
    <w:rsid w:val="006C5579"/>
    <w:rsid w:val="006D1812"/>
    <w:rsid w:val="006E4D6A"/>
    <w:rsid w:val="006E737D"/>
    <w:rsid w:val="006F0320"/>
    <w:rsid w:val="006F5B70"/>
    <w:rsid w:val="00700CD4"/>
    <w:rsid w:val="0070195D"/>
    <w:rsid w:val="00702D2B"/>
    <w:rsid w:val="007133E6"/>
    <w:rsid w:val="007138E8"/>
    <w:rsid w:val="007166CD"/>
    <w:rsid w:val="007171EC"/>
    <w:rsid w:val="00720A24"/>
    <w:rsid w:val="00732386"/>
    <w:rsid w:val="0073406A"/>
    <w:rsid w:val="007372BC"/>
    <w:rsid w:val="00744107"/>
    <w:rsid w:val="007447F3"/>
    <w:rsid w:val="0075499F"/>
    <w:rsid w:val="00755E35"/>
    <w:rsid w:val="007619B9"/>
    <w:rsid w:val="00761B54"/>
    <w:rsid w:val="007661C8"/>
    <w:rsid w:val="007670B1"/>
    <w:rsid w:val="0077098D"/>
    <w:rsid w:val="00771B3E"/>
    <w:rsid w:val="0077645A"/>
    <w:rsid w:val="007878B7"/>
    <w:rsid w:val="00792F43"/>
    <w:rsid w:val="007931FA"/>
    <w:rsid w:val="007A7804"/>
    <w:rsid w:val="007A7BBA"/>
    <w:rsid w:val="007B0C50"/>
    <w:rsid w:val="007B1E64"/>
    <w:rsid w:val="007B3C90"/>
    <w:rsid w:val="007B40A4"/>
    <w:rsid w:val="007B5C1B"/>
    <w:rsid w:val="007B69AB"/>
    <w:rsid w:val="007B7538"/>
    <w:rsid w:val="007C0DCE"/>
    <w:rsid w:val="007C1A43"/>
    <w:rsid w:val="007C1F82"/>
    <w:rsid w:val="007D15A1"/>
    <w:rsid w:val="007E1DC6"/>
    <w:rsid w:val="007F010C"/>
    <w:rsid w:val="0080385A"/>
    <w:rsid w:val="008039E6"/>
    <w:rsid w:val="00813288"/>
    <w:rsid w:val="00814094"/>
    <w:rsid w:val="008168FC"/>
    <w:rsid w:val="00830996"/>
    <w:rsid w:val="008345F1"/>
    <w:rsid w:val="00836595"/>
    <w:rsid w:val="0083722D"/>
    <w:rsid w:val="008525EC"/>
    <w:rsid w:val="008542C0"/>
    <w:rsid w:val="008606B7"/>
    <w:rsid w:val="00865B07"/>
    <w:rsid w:val="008667EA"/>
    <w:rsid w:val="0087637F"/>
    <w:rsid w:val="008776E0"/>
    <w:rsid w:val="008779EE"/>
    <w:rsid w:val="00877BC4"/>
    <w:rsid w:val="008827A0"/>
    <w:rsid w:val="00887176"/>
    <w:rsid w:val="008904B9"/>
    <w:rsid w:val="0089090D"/>
    <w:rsid w:val="0089115B"/>
    <w:rsid w:val="00892AD5"/>
    <w:rsid w:val="008A1512"/>
    <w:rsid w:val="008A25FD"/>
    <w:rsid w:val="008B0500"/>
    <w:rsid w:val="008B6318"/>
    <w:rsid w:val="008B6E1B"/>
    <w:rsid w:val="008C023D"/>
    <w:rsid w:val="008C15CF"/>
    <w:rsid w:val="008C31FB"/>
    <w:rsid w:val="008C78C1"/>
    <w:rsid w:val="008D32B9"/>
    <w:rsid w:val="008D433B"/>
    <w:rsid w:val="008D49E3"/>
    <w:rsid w:val="008E20B4"/>
    <w:rsid w:val="008E566E"/>
    <w:rsid w:val="008F5D58"/>
    <w:rsid w:val="008F6542"/>
    <w:rsid w:val="0090161A"/>
    <w:rsid w:val="00901EB6"/>
    <w:rsid w:val="00902990"/>
    <w:rsid w:val="00904C62"/>
    <w:rsid w:val="0091289E"/>
    <w:rsid w:val="00913511"/>
    <w:rsid w:val="00914036"/>
    <w:rsid w:val="00923F0E"/>
    <w:rsid w:val="00924DAC"/>
    <w:rsid w:val="00927058"/>
    <w:rsid w:val="00933A63"/>
    <w:rsid w:val="00940D6F"/>
    <w:rsid w:val="009450CE"/>
    <w:rsid w:val="00947179"/>
    <w:rsid w:val="00950D1E"/>
    <w:rsid w:val="0095164B"/>
    <w:rsid w:val="00954090"/>
    <w:rsid w:val="009573E7"/>
    <w:rsid w:val="00961610"/>
    <w:rsid w:val="009635B9"/>
    <w:rsid w:val="00963E05"/>
    <w:rsid w:val="00966096"/>
    <w:rsid w:val="009668AE"/>
    <w:rsid w:val="00967D54"/>
    <w:rsid w:val="00980B8C"/>
    <w:rsid w:val="009847E0"/>
    <w:rsid w:val="0099284A"/>
    <w:rsid w:val="00996483"/>
    <w:rsid w:val="00996F5A"/>
    <w:rsid w:val="009A05B5"/>
    <w:rsid w:val="009A0A3E"/>
    <w:rsid w:val="009B041A"/>
    <w:rsid w:val="009B6A42"/>
    <w:rsid w:val="009B7016"/>
    <w:rsid w:val="009C01A4"/>
    <w:rsid w:val="009C5BF8"/>
    <w:rsid w:val="009C6898"/>
    <w:rsid w:val="009C6995"/>
    <w:rsid w:val="009C7C86"/>
    <w:rsid w:val="009C7F7F"/>
    <w:rsid w:val="009D2FF7"/>
    <w:rsid w:val="009D79B4"/>
    <w:rsid w:val="009E1B1E"/>
    <w:rsid w:val="009E7884"/>
    <w:rsid w:val="009E788A"/>
    <w:rsid w:val="009E7AEA"/>
    <w:rsid w:val="009E7EC5"/>
    <w:rsid w:val="009F0E08"/>
    <w:rsid w:val="00A05154"/>
    <w:rsid w:val="00A06189"/>
    <w:rsid w:val="00A12372"/>
    <w:rsid w:val="00A1763D"/>
    <w:rsid w:val="00A17CEC"/>
    <w:rsid w:val="00A20FB0"/>
    <w:rsid w:val="00A27EF0"/>
    <w:rsid w:val="00A3400D"/>
    <w:rsid w:val="00A37BD4"/>
    <w:rsid w:val="00A42B9C"/>
    <w:rsid w:val="00A50B20"/>
    <w:rsid w:val="00A51390"/>
    <w:rsid w:val="00A60D13"/>
    <w:rsid w:val="00A6718D"/>
    <w:rsid w:val="00A72745"/>
    <w:rsid w:val="00A76EFC"/>
    <w:rsid w:val="00A851FA"/>
    <w:rsid w:val="00A91010"/>
    <w:rsid w:val="00A9270C"/>
    <w:rsid w:val="00A949B8"/>
    <w:rsid w:val="00A97F29"/>
    <w:rsid w:val="00AA0489"/>
    <w:rsid w:val="00AA2A75"/>
    <w:rsid w:val="00AA702E"/>
    <w:rsid w:val="00AB0964"/>
    <w:rsid w:val="00AB23EA"/>
    <w:rsid w:val="00AB5011"/>
    <w:rsid w:val="00AC2D73"/>
    <w:rsid w:val="00AC7368"/>
    <w:rsid w:val="00AD16B9"/>
    <w:rsid w:val="00AD183D"/>
    <w:rsid w:val="00AD23D7"/>
    <w:rsid w:val="00AE34D2"/>
    <w:rsid w:val="00AE377D"/>
    <w:rsid w:val="00AF1449"/>
    <w:rsid w:val="00AF5A26"/>
    <w:rsid w:val="00B07185"/>
    <w:rsid w:val="00B17A9C"/>
    <w:rsid w:val="00B17FBD"/>
    <w:rsid w:val="00B20A4C"/>
    <w:rsid w:val="00B21877"/>
    <w:rsid w:val="00B315A6"/>
    <w:rsid w:val="00B31813"/>
    <w:rsid w:val="00B33365"/>
    <w:rsid w:val="00B57B36"/>
    <w:rsid w:val="00B72320"/>
    <w:rsid w:val="00B8686D"/>
    <w:rsid w:val="00BA1155"/>
    <w:rsid w:val="00BA4C8C"/>
    <w:rsid w:val="00BB0A1D"/>
    <w:rsid w:val="00BB4EEC"/>
    <w:rsid w:val="00BC30C9"/>
    <w:rsid w:val="00BD04A3"/>
    <w:rsid w:val="00BD26B8"/>
    <w:rsid w:val="00BD54AA"/>
    <w:rsid w:val="00BD6163"/>
    <w:rsid w:val="00BE005B"/>
    <w:rsid w:val="00BE3E58"/>
    <w:rsid w:val="00C007C3"/>
    <w:rsid w:val="00C01616"/>
    <w:rsid w:val="00C0162B"/>
    <w:rsid w:val="00C169E6"/>
    <w:rsid w:val="00C345B1"/>
    <w:rsid w:val="00C34E32"/>
    <w:rsid w:val="00C37B24"/>
    <w:rsid w:val="00C40142"/>
    <w:rsid w:val="00C413E9"/>
    <w:rsid w:val="00C42519"/>
    <w:rsid w:val="00C45CAE"/>
    <w:rsid w:val="00C5585F"/>
    <w:rsid w:val="00C57182"/>
    <w:rsid w:val="00C57863"/>
    <w:rsid w:val="00C62E7B"/>
    <w:rsid w:val="00C655FD"/>
    <w:rsid w:val="00C67B5E"/>
    <w:rsid w:val="00C870A8"/>
    <w:rsid w:val="00C905A5"/>
    <w:rsid w:val="00C93673"/>
    <w:rsid w:val="00C94434"/>
    <w:rsid w:val="00CA0D75"/>
    <w:rsid w:val="00CA1C95"/>
    <w:rsid w:val="00CA38B1"/>
    <w:rsid w:val="00CA3AC4"/>
    <w:rsid w:val="00CA47F0"/>
    <w:rsid w:val="00CA4CB9"/>
    <w:rsid w:val="00CA5A9C"/>
    <w:rsid w:val="00CA7F47"/>
    <w:rsid w:val="00CB15B8"/>
    <w:rsid w:val="00CB319D"/>
    <w:rsid w:val="00CB51D7"/>
    <w:rsid w:val="00CB5742"/>
    <w:rsid w:val="00CC6957"/>
    <w:rsid w:val="00CD1A4E"/>
    <w:rsid w:val="00CD1DCC"/>
    <w:rsid w:val="00CD3517"/>
    <w:rsid w:val="00CD5A00"/>
    <w:rsid w:val="00CD5FE2"/>
    <w:rsid w:val="00CE5081"/>
    <w:rsid w:val="00CE7C68"/>
    <w:rsid w:val="00CF53BA"/>
    <w:rsid w:val="00D02B4C"/>
    <w:rsid w:val="00D040C4"/>
    <w:rsid w:val="00D071DE"/>
    <w:rsid w:val="00D2149F"/>
    <w:rsid w:val="00D225ED"/>
    <w:rsid w:val="00D23EEB"/>
    <w:rsid w:val="00D24580"/>
    <w:rsid w:val="00D25AC6"/>
    <w:rsid w:val="00D33A06"/>
    <w:rsid w:val="00D3450C"/>
    <w:rsid w:val="00D40854"/>
    <w:rsid w:val="00D47368"/>
    <w:rsid w:val="00D556B1"/>
    <w:rsid w:val="00D57C84"/>
    <w:rsid w:val="00D6057D"/>
    <w:rsid w:val="00D84031"/>
    <w:rsid w:val="00D84339"/>
    <w:rsid w:val="00D84576"/>
    <w:rsid w:val="00D86CD5"/>
    <w:rsid w:val="00D86E2B"/>
    <w:rsid w:val="00D9646D"/>
    <w:rsid w:val="00DA1399"/>
    <w:rsid w:val="00DA24C6"/>
    <w:rsid w:val="00DA4D7B"/>
    <w:rsid w:val="00DA5EC1"/>
    <w:rsid w:val="00DB2079"/>
    <w:rsid w:val="00DB7390"/>
    <w:rsid w:val="00DE264A"/>
    <w:rsid w:val="00DE5209"/>
    <w:rsid w:val="00DE6B19"/>
    <w:rsid w:val="00E00445"/>
    <w:rsid w:val="00E02A00"/>
    <w:rsid w:val="00E02D18"/>
    <w:rsid w:val="00E041E7"/>
    <w:rsid w:val="00E07FE0"/>
    <w:rsid w:val="00E11116"/>
    <w:rsid w:val="00E21E25"/>
    <w:rsid w:val="00E23CA1"/>
    <w:rsid w:val="00E27563"/>
    <w:rsid w:val="00E409A8"/>
    <w:rsid w:val="00E50C12"/>
    <w:rsid w:val="00E5449C"/>
    <w:rsid w:val="00E57E19"/>
    <w:rsid w:val="00E6098F"/>
    <w:rsid w:val="00E63EE3"/>
    <w:rsid w:val="00E64D9F"/>
    <w:rsid w:val="00E65B91"/>
    <w:rsid w:val="00E7209D"/>
    <w:rsid w:val="00E721E8"/>
    <w:rsid w:val="00E725D9"/>
    <w:rsid w:val="00E77223"/>
    <w:rsid w:val="00E84EED"/>
    <w:rsid w:val="00E8528B"/>
    <w:rsid w:val="00E85B94"/>
    <w:rsid w:val="00E9602B"/>
    <w:rsid w:val="00E9638E"/>
    <w:rsid w:val="00E96693"/>
    <w:rsid w:val="00E96EEE"/>
    <w:rsid w:val="00E978D0"/>
    <w:rsid w:val="00EA4613"/>
    <w:rsid w:val="00EA7B54"/>
    <w:rsid w:val="00EA7F91"/>
    <w:rsid w:val="00EB1523"/>
    <w:rsid w:val="00EB2A3B"/>
    <w:rsid w:val="00EC0E49"/>
    <w:rsid w:val="00EC367B"/>
    <w:rsid w:val="00ED02E8"/>
    <w:rsid w:val="00EE0131"/>
    <w:rsid w:val="00EE7CBD"/>
    <w:rsid w:val="00F01830"/>
    <w:rsid w:val="00F04463"/>
    <w:rsid w:val="00F04AFB"/>
    <w:rsid w:val="00F10604"/>
    <w:rsid w:val="00F12716"/>
    <w:rsid w:val="00F1296F"/>
    <w:rsid w:val="00F155B2"/>
    <w:rsid w:val="00F20224"/>
    <w:rsid w:val="00F206E4"/>
    <w:rsid w:val="00F22041"/>
    <w:rsid w:val="00F246DE"/>
    <w:rsid w:val="00F276B8"/>
    <w:rsid w:val="00F30C64"/>
    <w:rsid w:val="00F32CDB"/>
    <w:rsid w:val="00F41107"/>
    <w:rsid w:val="00F5272E"/>
    <w:rsid w:val="00F5343C"/>
    <w:rsid w:val="00F61BD1"/>
    <w:rsid w:val="00F639C7"/>
    <w:rsid w:val="00F63A70"/>
    <w:rsid w:val="00F66841"/>
    <w:rsid w:val="00F67D7D"/>
    <w:rsid w:val="00F717B8"/>
    <w:rsid w:val="00F718B1"/>
    <w:rsid w:val="00F76E73"/>
    <w:rsid w:val="00FA159B"/>
    <w:rsid w:val="00FA21D0"/>
    <w:rsid w:val="00FA36E3"/>
    <w:rsid w:val="00FA5F5F"/>
    <w:rsid w:val="00FA6F84"/>
    <w:rsid w:val="00FB2D10"/>
    <w:rsid w:val="00FB730C"/>
    <w:rsid w:val="00FB7A0F"/>
    <w:rsid w:val="00FC18A8"/>
    <w:rsid w:val="00FC2695"/>
    <w:rsid w:val="00FC3E03"/>
    <w:rsid w:val="00FC3FC1"/>
    <w:rsid w:val="00FC4674"/>
    <w:rsid w:val="00FC4AE2"/>
    <w:rsid w:val="00FE4BE7"/>
    <w:rsid w:val="00FF6C4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4A8B9"/>
  <w15:docId w15:val="{4E265983-7B45-4AF6-97FE-905069F6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BookTitle">
    <w:name w:val="Book Title"/>
    <w:basedOn w:val="DefaultParagraphFont"/>
    <w:uiPriority w:val="33"/>
    <w:qFormat/>
    <w:rsid w:val="0016708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466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66234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2097">
      <w:bodyDiv w:val="1"/>
      <w:marLeft w:val="0"/>
      <w:marRight w:val="0"/>
      <w:marTop w:val="0"/>
      <w:marBottom w:val="0"/>
      <w:divBdr>
        <w:top w:val="none" w:sz="0" w:space="0" w:color="auto"/>
        <w:left w:val="none" w:sz="0" w:space="0" w:color="auto"/>
        <w:bottom w:val="none" w:sz="0" w:space="0" w:color="auto"/>
        <w:right w:val="none" w:sz="0" w:space="0" w:color="auto"/>
      </w:divBdr>
    </w:div>
    <w:div w:id="162345844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66A6-39C5-4186-8ACA-198CC844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6</Pages>
  <Words>3538</Words>
  <Characters>20171</Characters>
  <Application>Microsoft Office Word</Application>
  <DocSecurity>0</DocSecurity>
  <Lines>168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Andrea Casson</cp:lastModifiedBy>
  <cp:revision>182</cp:revision>
  <cp:lastPrinted>2019-01-21T09:18:00Z</cp:lastPrinted>
  <dcterms:created xsi:type="dcterms:W3CDTF">2019-01-29T14:01:00Z</dcterms:created>
  <dcterms:modified xsi:type="dcterms:W3CDTF">2019-04-15T09:11:00Z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