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D01CCB" w14:paraId="78B1A934" w14:textId="77777777">
        <w:trPr>
          <w:trHeight w:val="852"/>
          <w:jc w:val="center"/>
        </w:trPr>
        <w:tc>
          <w:tcPr>
            <w:tcW w:w="6946" w:type="dxa"/>
            <w:vMerge w:val="restart"/>
            <w:tcBorders>
              <w:right w:val="single" w:sz="4" w:space="0" w:color="auto"/>
            </w:tcBorders>
          </w:tcPr>
          <w:p w14:paraId="1A585AA3" w14:textId="77777777" w:rsidR="000A03B2" w:rsidRPr="00D01CCB" w:rsidRDefault="000A03B2" w:rsidP="00DE264A">
            <w:pPr>
              <w:tabs>
                <w:tab w:val="left" w:pos="-108"/>
              </w:tabs>
              <w:ind w:left="-108"/>
              <w:jc w:val="left"/>
              <w:rPr>
                <w:rFonts w:cs="Arial"/>
                <w:b/>
                <w:bCs/>
                <w:i/>
                <w:iCs/>
                <w:color w:val="000066"/>
                <w:sz w:val="12"/>
                <w:szCs w:val="12"/>
                <w:lang w:eastAsia="it-IT"/>
              </w:rPr>
            </w:pPr>
            <w:r w:rsidRPr="00D01CCB">
              <w:rPr>
                <w:rFonts w:ascii="AdvP6960" w:hAnsi="AdvP6960" w:cs="AdvP6960"/>
                <w:noProof/>
                <w:color w:val="241F20"/>
                <w:szCs w:val="18"/>
                <w:lang w:eastAsia="it-IT"/>
              </w:rPr>
              <w:drawing>
                <wp:inline distT="0" distB="0" distL="0" distR="0" wp14:anchorId="36FF09AF" wp14:editId="7123569D">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01CCB">
              <w:rPr>
                <w:rFonts w:ascii="AdvP6960" w:hAnsi="AdvP6960" w:cs="AdvP6960"/>
                <w:color w:val="241F20"/>
                <w:szCs w:val="18"/>
                <w:lang w:eastAsia="it-IT"/>
              </w:rPr>
              <w:t xml:space="preserve"> </w:t>
            </w:r>
            <w:r w:rsidRPr="00D01CCB">
              <w:rPr>
                <w:rFonts w:cs="Arial"/>
                <w:b/>
                <w:bCs/>
                <w:i/>
                <w:iCs/>
                <w:color w:val="000066"/>
                <w:sz w:val="24"/>
                <w:szCs w:val="24"/>
                <w:lang w:eastAsia="it-IT"/>
              </w:rPr>
              <w:t>CHEMICAL ENGINEERING</w:t>
            </w:r>
            <w:r w:rsidRPr="00D01CCB">
              <w:rPr>
                <w:rFonts w:cs="Arial"/>
                <w:b/>
                <w:bCs/>
                <w:i/>
                <w:iCs/>
                <w:color w:val="0033FF"/>
                <w:sz w:val="24"/>
                <w:szCs w:val="24"/>
                <w:lang w:eastAsia="it-IT"/>
              </w:rPr>
              <w:t xml:space="preserve"> </w:t>
            </w:r>
            <w:r w:rsidRPr="00D01CCB">
              <w:rPr>
                <w:rFonts w:cs="Arial"/>
                <w:b/>
                <w:bCs/>
                <w:i/>
                <w:iCs/>
                <w:color w:val="666666"/>
                <w:sz w:val="24"/>
                <w:szCs w:val="24"/>
                <w:lang w:eastAsia="it-IT"/>
              </w:rPr>
              <w:t>TRANSACTIONS</w:t>
            </w:r>
            <w:r w:rsidRPr="00D01CCB">
              <w:rPr>
                <w:color w:val="333333"/>
                <w:sz w:val="24"/>
                <w:szCs w:val="24"/>
                <w:lang w:eastAsia="it-IT"/>
              </w:rPr>
              <w:t xml:space="preserve"> </w:t>
            </w:r>
            <w:r w:rsidRPr="00D01CCB">
              <w:rPr>
                <w:rFonts w:cs="Arial"/>
                <w:b/>
                <w:bCs/>
                <w:i/>
                <w:iCs/>
                <w:color w:val="000066"/>
                <w:sz w:val="27"/>
                <w:szCs w:val="27"/>
                <w:lang w:eastAsia="it-IT"/>
              </w:rPr>
              <w:br/>
            </w:r>
          </w:p>
          <w:p w14:paraId="4A99E187" w14:textId="77777777" w:rsidR="000A03B2" w:rsidRPr="00D01CCB" w:rsidRDefault="00A76EFC" w:rsidP="009635B9">
            <w:pPr>
              <w:tabs>
                <w:tab w:val="left" w:pos="-108"/>
              </w:tabs>
              <w:ind w:left="-108"/>
              <w:rPr>
                <w:rFonts w:cs="Arial"/>
                <w:b/>
                <w:bCs/>
                <w:i/>
                <w:iCs/>
                <w:color w:val="000066"/>
                <w:sz w:val="22"/>
                <w:szCs w:val="22"/>
                <w:lang w:eastAsia="it-IT"/>
              </w:rPr>
            </w:pPr>
            <w:r w:rsidRPr="00D01CCB">
              <w:rPr>
                <w:rFonts w:cs="Arial"/>
                <w:b/>
                <w:bCs/>
                <w:i/>
                <w:iCs/>
                <w:color w:val="000066"/>
                <w:sz w:val="22"/>
                <w:szCs w:val="22"/>
                <w:lang w:eastAsia="it-IT"/>
              </w:rPr>
              <w:t xml:space="preserve">VOL. </w:t>
            </w:r>
            <w:r w:rsidR="007931FA" w:rsidRPr="00D01CCB">
              <w:rPr>
                <w:rFonts w:cs="Arial"/>
                <w:b/>
                <w:bCs/>
                <w:i/>
                <w:iCs/>
                <w:color w:val="000066"/>
                <w:sz w:val="22"/>
                <w:szCs w:val="22"/>
                <w:lang w:eastAsia="it-IT"/>
              </w:rPr>
              <w:t>7</w:t>
            </w:r>
            <w:r w:rsidR="009635B9" w:rsidRPr="00D01CCB">
              <w:rPr>
                <w:rFonts w:cs="Arial"/>
                <w:b/>
                <w:bCs/>
                <w:i/>
                <w:iCs/>
                <w:color w:val="000066"/>
                <w:sz w:val="22"/>
                <w:szCs w:val="22"/>
                <w:lang w:eastAsia="it-IT"/>
              </w:rPr>
              <w:t>6</w:t>
            </w:r>
            <w:r w:rsidR="00FA5F5F" w:rsidRPr="00D01CCB">
              <w:rPr>
                <w:rFonts w:cs="Arial"/>
                <w:b/>
                <w:bCs/>
                <w:i/>
                <w:iCs/>
                <w:color w:val="000066"/>
                <w:sz w:val="22"/>
                <w:szCs w:val="22"/>
                <w:lang w:eastAsia="it-IT"/>
              </w:rPr>
              <w:t>, 201</w:t>
            </w:r>
            <w:r w:rsidR="007931FA" w:rsidRPr="00D01CCB">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0C6DC85F" w14:textId="77777777" w:rsidR="000A03B2" w:rsidRPr="00D01CCB" w:rsidRDefault="000A03B2" w:rsidP="00CD5FE2">
            <w:pPr>
              <w:spacing w:line="140" w:lineRule="atLeast"/>
              <w:jc w:val="right"/>
              <w:rPr>
                <w:rFonts w:cs="Arial"/>
                <w:sz w:val="14"/>
                <w:szCs w:val="14"/>
              </w:rPr>
            </w:pPr>
            <w:r w:rsidRPr="00D01CCB">
              <w:rPr>
                <w:rFonts w:cs="Arial"/>
                <w:sz w:val="14"/>
                <w:szCs w:val="14"/>
              </w:rPr>
              <w:t>A publication of</w:t>
            </w:r>
          </w:p>
          <w:p w14:paraId="6AAC8D32" w14:textId="77777777" w:rsidR="000A03B2" w:rsidRPr="00D01CCB" w:rsidRDefault="000A03B2" w:rsidP="00CD5FE2">
            <w:pPr>
              <w:jc w:val="right"/>
            </w:pPr>
            <w:r w:rsidRPr="00D01CCB">
              <w:rPr>
                <w:noProof/>
                <w:lang w:eastAsia="it-IT"/>
              </w:rPr>
              <w:drawing>
                <wp:inline distT="0" distB="0" distL="0" distR="0" wp14:anchorId="73BEAF48" wp14:editId="75574CDF">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01CCB" w14:paraId="2C3CA9EA" w14:textId="77777777">
        <w:trPr>
          <w:trHeight w:val="567"/>
          <w:jc w:val="center"/>
        </w:trPr>
        <w:tc>
          <w:tcPr>
            <w:tcW w:w="6946" w:type="dxa"/>
            <w:vMerge/>
            <w:tcBorders>
              <w:right w:val="single" w:sz="4" w:space="0" w:color="auto"/>
            </w:tcBorders>
          </w:tcPr>
          <w:p w14:paraId="52B51B43" w14:textId="77777777" w:rsidR="000A03B2" w:rsidRPr="00D01CCB" w:rsidRDefault="000A03B2" w:rsidP="00CD5FE2">
            <w:pPr>
              <w:tabs>
                <w:tab w:val="left" w:pos="-108"/>
              </w:tabs>
            </w:pPr>
          </w:p>
        </w:tc>
        <w:tc>
          <w:tcPr>
            <w:tcW w:w="1843" w:type="dxa"/>
            <w:tcBorders>
              <w:left w:val="single" w:sz="4" w:space="0" w:color="auto"/>
              <w:bottom w:val="nil"/>
              <w:right w:val="single" w:sz="4" w:space="0" w:color="auto"/>
            </w:tcBorders>
          </w:tcPr>
          <w:p w14:paraId="08E3BE6C" w14:textId="77777777" w:rsidR="000A03B2" w:rsidRPr="00D01CCB" w:rsidRDefault="000A03B2" w:rsidP="00CD5FE2">
            <w:pPr>
              <w:spacing w:line="140" w:lineRule="atLeast"/>
              <w:jc w:val="right"/>
              <w:rPr>
                <w:rFonts w:cs="Arial"/>
                <w:sz w:val="14"/>
                <w:szCs w:val="14"/>
              </w:rPr>
            </w:pPr>
            <w:r w:rsidRPr="00D01CCB">
              <w:rPr>
                <w:rFonts w:cs="Arial"/>
                <w:sz w:val="14"/>
                <w:szCs w:val="14"/>
              </w:rPr>
              <w:t>The Italian Association</w:t>
            </w:r>
          </w:p>
          <w:p w14:paraId="240CE9FC" w14:textId="77777777" w:rsidR="000A03B2" w:rsidRPr="00D01CCB" w:rsidRDefault="000A03B2" w:rsidP="00CD5FE2">
            <w:pPr>
              <w:spacing w:line="140" w:lineRule="atLeast"/>
              <w:jc w:val="right"/>
              <w:rPr>
                <w:rFonts w:cs="Arial"/>
                <w:sz w:val="14"/>
                <w:szCs w:val="14"/>
              </w:rPr>
            </w:pPr>
            <w:r w:rsidRPr="00D01CCB">
              <w:rPr>
                <w:rFonts w:cs="Arial"/>
                <w:sz w:val="14"/>
                <w:szCs w:val="14"/>
              </w:rPr>
              <w:t>of Chemical Engineering</w:t>
            </w:r>
          </w:p>
          <w:p w14:paraId="1E793D98" w14:textId="77777777" w:rsidR="000A03B2" w:rsidRPr="00D01CCB" w:rsidRDefault="000A03B2" w:rsidP="00CD5FE2">
            <w:pPr>
              <w:spacing w:line="140" w:lineRule="atLeast"/>
              <w:jc w:val="right"/>
              <w:rPr>
                <w:rFonts w:cs="Arial"/>
                <w:sz w:val="14"/>
                <w:szCs w:val="14"/>
              </w:rPr>
            </w:pPr>
            <w:r w:rsidRPr="00D01CCB">
              <w:rPr>
                <w:rFonts w:cs="Arial"/>
                <w:sz w:val="14"/>
                <w:szCs w:val="14"/>
              </w:rPr>
              <w:t xml:space="preserve">Online at </w:t>
            </w:r>
            <w:r w:rsidR="00892AD5" w:rsidRPr="00D01CCB">
              <w:rPr>
                <w:rFonts w:cs="Arial"/>
                <w:sz w:val="14"/>
                <w:szCs w:val="14"/>
              </w:rPr>
              <w:t>www.aidic.it/</w:t>
            </w:r>
            <w:r w:rsidR="00892AD5" w:rsidRPr="00D01CCB">
              <w:rPr>
                <w:rFonts w:cs="Arial"/>
                <w:noProof/>
                <w:sz w:val="14"/>
                <w:szCs w:val="14"/>
              </w:rPr>
              <w:t>cet</w:t>
            </w:r>
          </w:p>
        </w:tc>
      </w:tr>
      <w:tr w:rsidR="000A03B2" w:rsidRPr="00D01CCB" w14:paraId="68B37EE7" w14:textId="77777777">
        <w:trPr>
          <w:trHeight w:val="68"/>
          <w:jc w:val="center"/>
        </w:trPr>
        <w:tc>
          <w:tcPr>
            <w:tcW w:w="8789" w:type="dxa"/>
            <w:gridSpan w:val="2"/>
          </w:tcPr>
          <w:p w14:paraId="2E4F4A9A" w14:textId="77777777" w:rsidR="00300E56" w:rsidRPr="00237A3F" w:rsidRDefault="00300E56" w:rsidP="003365E3">
            <w:pPr>
              <w:ind w:left="-107"/>
              <w:rPr>
                <w:lang w:val="it-IT"/>
              </w:rPr>
            </w:pPr>
            <w:r w:rsidRPr="00237A3F">
              <w:rPr>
                <w:rFonts w:ascii="Tahoma" w:hAnsi="Tahoma" w:cs="Tahoma"/>
                <w:iCs/>
                <w:color w:val="333333"/>
                <w:sz w:val="14"/>
                <w:szCs w:val="14"/>
                <w:lang w:val="it-IT" w:eastAsia="it-IT"/>
              </w:rPr>
              <w:t xml:space="preserve">Guest </w:t>
            </w:r>
            <w:proofErr w:type="spellStart"/>
            <w:r w:rsidRPr="00237A3F">
              <w:rPr>
                <w:rFonts w:ascii="Tahoma" w:hAnsi="Tahoma" w:cs="Tahoma"/>
                <w:iCs/>
                <w:color w:val="333333"/>
                <w:sz w:val="14"/>
                <w:szCs w:val="14"/>
                <w:lang w:val="it-IT" w:eastAsia="it-IT"/>
              </w:rPr>
              <w:t>Editors</w:t>
            </w:r>
            <w:proofErr w:type="spellEnd"/>
            <w:r w:rsidRPr="00237A3F">
              <w:rPr>
                <w:rFonts w:ascii="Tahoma" w:hAnsi="Tahoma" w:cs="Tahoma"/>
                <w:iCs/>
                <w:color w:val="333333"/>
                <w:sz w:val="14"/>
                <w:szCs w:val="14"/>
                <w:lang w:val="it-IT" w:eastAsia="it-IT"/>
              </w:rPr>
              <w:t>:</w:t>
            </w:r>
            <w:r w:rsidR="00904C62" w:rsidRPr="00237A3F">
              <w:rPr>
                <w:rFonts w:ascii="Tahoma" w:hAnsi="Tahoma" w:cs="Tahoma"/>
                <w:iCs/>
                <w:color w:val="333333"/>
                <w:sz w:val="14"/>
                <w:szCs w:val="14"/>
                <w:lang w:val="it-IT" w:eastAsia="it-IT"/>
              </w:rPr>
              <w:t xml:space="preserve"> </w:t>
            </w:r>
            <w:r w:rsidR="009635B9" w:rsidRPr="00237A3F">
              <w:rPr>
                <w:rFonts w:ascii="Tahoma" w:hAnsi="Tahoma" w:cs="Tahoma"/>
                <w:sz w:val="14"/>
                <w:szCs w:val="14"/>
                <w:lang w:val="it-IT"/>
              </w:rPr>
              <w:t>Sauro Pierucci,</w:t>
            </w:r>
            <w:r w:rsidR="003B60F3" w:rsidRPr="00237A3F">
              <w:rPr>
                <w:rFonts w:ascii="Tahoma" w:hAnsi="Tahoma" w:cs="Tahoma"/>
                <w:sz w:val="14"/>
                <w:szCs w:val="14"/>
                <w:lang w:val="it-IT"/>
              </w:rPr>
              <w:t xml:space="preserve"> </w:t>
            </w:r>
            <w:proofErr w:type="spellStart"/>
            <w:r w:rsidR="00047D7F" w:rsidRPr="00237A3F">
              <w:rPr>
                <w:rFonts w:ascii="Tahoma" w:hAnsi="Tahoma" w:cs="Tahoma"/>
                <w:sz w:val="14"/>
                <w:szCs w:val="14"/>
                <w:shd w:val="clear" w:color="auto" w:fill="FFFFFF"/>
                <w:lang w:val="it-IT"/>
              </w:rPr>
              <w:t>Jiří</w:t>
            </w:r>
            <w:proofErr w:type="spellEnd"/>
            <w:r w:rsidR="00047D7F" w:rsidRPr="00237A3F">
              <w:rPr>
                <w:rFonts w:ascii="Tahoma" w:hAnsi="Tahoma" w:cs="Tahoma"/>
                <w:sz w:val="14"/>
                <w:szCs w:val="14"/>
                <w:shd w:val="clear" w:color="auto" w:fill="FFFFFF"/>
                <w:lang w:val="it-IT"/>
              </w:rPr>
              <w:t xml:space="preserve"> </w:t>
            </w:r>
            <w:proofErr w:type="spellStart"/>
            <w:r w:rsidR="00047D7F" w:rsidRPr="00237A3F">
              <w:rPr>
                <w:rFonts w:ascii="Tahoma" w:hAnsi="Tahoma" w:cs="Tahoma"/>
                <w:sz w:val="14"/>
                <w:szCs w:val="14"/>
                <w:shd w:val="clear" w:color="auto" w:fill="FFFFFF"/>
                <w:lang w:val="it-IT"/>
              </w:rPr>
              <w:t>Jaromír</w:t>
            </w:r>
            <w:proofErr w:type="spellEnd"/>
            <w:r w:rsidR="00047D7F" w:rsidRPr="00237A3F">
              <w:rPr>
                <w:rFonts w:ascii="Tahoma" w:hAnsi="Tahoma" w:cs="Tahoma"/>
                <w:sz w:val="14"/>
                <w:szCs w:val="14"/>
                <w:shd w:val="clear" w:color="auto" w:fill="FFFFFF"/>
                <w:lang w:val="it-IT"/>
              </w:rPr>
              <w:t xml:space="preserve"> </w:t>
            </w:r>
            <w:proofErr w:type="spellStart"/>
            <w:r w:rsidR="00047D7F" w:rsidRPr="00237A3F">
              <w:rPr>
                <w:rFonts w:ascii="Tahoma" w:hAnsi="Tahoma" w:cs="Tahoma"/>
                <w:sz w:val="14"/>
                <w:szCs w:val="14"/>
                <w:shd w:val="clear" w:color="auto" w:fill="FFFFFF"/>
                <w:lang w:val="it-IT"/>
              </w:rPr>
              <w:t>Klemeš</w:t>
            </w:r>
            <w:proofErr w:type="spellEnd"/>
            <w:r w:rsidR="00252C1A" w:rsidRPr="00237A3F">
              <w:rPr>
                <w:rFonts w:ascii="Tahoma" w:hAnsi="Tahoma" w:cs="Tahoma"/>
                <w:sz w:val="14"/>
                <w:szCs w:val="14"/>
                <w:shd w:val="clear" w:color="auto" w:fill="FFFFFF"/>
                <w:lang w:val="it-IT"/>
              </w:rPr>
              <w:t>, Laura Piazza</w:t>
            </w:r>
          </w:p>
          <w:p w14:paraId="32EDD28F" w14:textId="77777777" w:rsidR="000A03B2" w:rsidRPr="00D01CCB" w:rsidRDefault="00FA5F5F" w:rsidP="00131FAB">
            <w:pPr>
              <w:tabs>
                <w:tab w:val="left" w:pos="-108"/>
              </w:tabs>
              <w:spacing w:line="140" w:lineRule="atLeast"/>
              <w:ind w:left="-107"/>
              <w:jc w:val="left"/>
            </w:pPr>
            <w:r w:rsidRPr="00D01CCB">
              <w:rPr>
                <w:rFonts w:ascii="Tahoma" w:hAnsi="Tahoma" w:cs="Tahoma"/>
                <w:iCs/>
                <w:color w:val="333333"/>
                <w:sz w:val="14"/>
                <w:szCs w:val="14"/>
                <w:lang w:eastAsia="it-IT"/>
              </w:rPr>
              <w:t>Copyright © 201</w:t>
            </w:r>
            <w:r w:rsidR="007931FA" w:rsidRPr="00D01CCB">
              <w:rPr>
                <w:rFonts w:ascii="Tahoma" w:hAnsi="Tahoma" w:cs="Tahoma"/>
                <w:iCs/>
                <w:color w:val="333333"/>
                <w:sz w:val="14"/>
                <w:szCs w:val="14"/>
                <w:lang w:eastAsia="it-IT"/>
              </w:rPr>
              <w:t>9</w:t>
            </w:r>
            <w:r w:rsidR="00904C62" w:rsidRPr="00D01CCB">
              <w:rPr>
                <w:rFonts w:ascii="Tahoma" w:hAnsi="Tahoma" w:cs="Tahoma"/>
                <w:iCs/>
                <w:color w:val="333333"/>
                <w:sz w:val="14"/>
                <w:szCs w:val="14"/>
                <w:lang w:eastAsia="it-IT"/>
              </w:rPr>
              <w:t xml:space="preserve">, AIDIC </w:t>
            </w:r>
            <w:proofErr w:type="spellStart"/>
            <w:r w:rsidR="00904C62" w:rsidRPr="00D01CCB">
              <w:rPr>
                <w:rFonts w:ascii="Tahoma" w:hAnsi="Tahoma" w:cs="Tahoma"/>
                <w:iCs/>
                <w:color w:val="333333"/>
                <w:sz w:val="14"/>
                <w:szCs w:val="14"/>
                <w:lang w:eastAsia="it-IT"/>
              </w:rPr>
              <w:t>Servizi</w:t>
            </w:r>
            <w:proofErr w:type="spellEnd"/>
            <w:r w:rsidR="00904C62" w:rsidRPr="00D01CCB">
              <w:rPr>
                <w:rFonts w:ascii="Tahoma" w:hAnsi="Tahoma" w:cs="Tahoma"/>
                <w:iCs/>
                <w:color w:val="333333"/>
                <w:sz w:val="14"/>
                <w:szCs w:val="14"/>
                <w:lang w:eastAsia="it-IT"/>
              </w:rPr>
              <w:t xml:space="preserve"> </w:t>
            </w:r>
            <w:proofErr w:type="spellStart"/>
            <w:r w:rsidR="00904C62" w:rsidRPr="00D01CCB">
              <w:rPr>
                <w:rFonts w:ascii="Tahoma" w:hAnsi="Tahoma" w:cs="Tahoma"/>
                <w:iCs/>
                <w:color w:val="333333"/>
                <w:sz w:val="14"/>
                <w:szCs w:val="14"/>
                <w:lang w:eastAsia="it-IT"/>
              </w:rPr>
              <w:t>S.r.l</w:t>
            </w:r>
            <w:proofErr w:type="spellEnd"/>
            <w:r w:rsidR="00904C62" w:rsidRPr="00D01CCB">
              <w:rPr>
                <w:rFonts w:ascii="Tahoma" w:hAnsi="Tahoma" w:cs="Tahoma"/>
                <w:iCs/>
                <w:color w:val="333333"/>
                <w:sz w:val="14"/>
                <w:szCs w:val="14"/>
                <w:lang w:eastAsia="it-IT"/>
              </w:rPr>
              <w:t>.</w:t>
            </w:r>
            <w:r w:rsidR="00300E56" w:rsidRPr="00D01CCB">
              <w:rPr>
                <w:rFonts w:ascii="Tahoma" w:hAnsi="Tahoma" w:cs="Tahoma"/>
                <w:iCs/>
                <w:color w:val="333333"/>
                <w:sz w:val="14"/>
                <w:szCs w:val="14"/>
                <w:lang w:eastAsia="it-IT"/>
              </w:rPr>
              <w:br/>
            </w:r>
            <w:r w:rsidR="00300E56" w:rsidRPr="00D01CCB">
              <w:rPr>
                <w:rFonts w:ascii="Tahoma" w:hAnsi="Tahoma" w:cs="Tahoma"/>
                <w:b/>
                <w:iCs/>
                <w:color w:val="000000"/>
                <w:sz w:val="14"/>
                <w:szCs w:val="14"/>
                <w:lang w:eastAsia="it-IT"/>
              </w:rPr>
              <w:t>ISBN</w:t>
            </w:r>
            <w:r w:rsidR="00300E56" w:rsidRPr="00D01CCB">
              <w:rPr>
                <w:rFonts w:ascii="Tahoma" w:hAnsi="Tahoma" w:cs="Tahoma"/>
                <w:iCs/>
                <w:color w:val="000000"/>
                <w:sz w:val="14"/>
                <w:szCs w:val="14"/>
                <w:lang w:eastAsia="it-IT"/>
              </w:rPr>
              <w:t xml:space="preserve"> </w:t>
            </w:r>
            <w:r w:rsidR="008D32B9" w:rsidRPr="00D01CCB">
              <w:rPr>
                <w:rFonts w:ascii="Tahoma" w:hAnsi="Tahoma" w:cs="Tahoma"/>
                <w:sz w:val="14"/>
                <w:szCs w:val="14"/>
              </w:rPr>
              <w:t>978-88-95608-</w:t>
            </w:r>
            <w:r w:rsidR="009635B9" w:rsidRPr="00D01CCB">
              <w:rPr>
                <w:rFonts w:ascii="Tahoma" w:hAnsi="Tahoma" w:cs="Tahoma"/>
                <w:sz w:val="14"/>
                <w:szCs w:val="14"/>
              </w:rPr>
              <w:t>73</w:t>
            </w:r>
            <w:r w:rsidR="008D32B9" w:rsidRPr="00D01CCB">
              <w:rPr>
                <w:rFonts w:ascii="Tahoma" w:hAnsi="Tahoma" w:cs="Tahoma"/>
                <w:sz w:val="14"/>
                <w:szCs w:val="14"/>
              </w:rPr>
              <w:t>-</w:t>
            </w:r>
            <w:r w:rsidR="009635B9" w:rsidRPr="00D01CCB">
              <w:rPr>
                <w:rFonts w:ascii="Tahoma" w:hAnsi="Tahoma" w:cs="Tahoma"/>
                <w:sz w:val="14"/>
                <w:szCs w:val="14"/>
              </w:rPr>
              <w:t>0</w:t>
            </w:r>
            <w:r w:rsidR="00300E56" w:rsidRPr="00D01CCB">
              <w:rPr>
                <w:rFonts w:ascii="Tahoma" w:hAnsi="Tahoma" w:cs="Tahoma"/>
                <w:iCs/>
                <w:color w:val="333333"/>
                <w:sz w:val="14"/>
                <w:szCs w:val="14"/>
                <w:lang w:eastAsia="it-IT"/>
              </w:rPr>
              <w:t xml:space="preserve">; </w:t>
            </w:r>
            <w:r w:rsidR="00300E56" w:rsidRPr="00D01CCB">
              <w:rPr>
                <w:rFonts w:ascii="Tahoma" w:hAnsi="Tahoma" w:cs="Tahoma"/>
                <w:b/>
                <w:iCs/>
                <w:color w:val="333333"/>
                <w:sz w:val="14"/>
                <w:szCs w:val="14"/>
                <w:lang w:eastAsia="it-IT"/>
              </w:rPr>
              <w:t>ISSN</w:t>
            </w:r>
            <w:r w:rsidR="00300E56" w:rsidRPr="00D01CCB">
              <w:rPr>
                <w:rFonts w:ascii="Tahoma" w:hAnsi="Tahoma" w:cs="Tahoma"/>
                <w:iCs/>
                <w:color w:val="333333"/>
                <w:sz w:val="14"/>
                <w:szCs w:val="14"/>
                <w:lang w:eastAsia="it-IT"/>
              </w:rPr>
              <w:t xml:space="preserve"> 2283-9216</w:t>
            </w:r>
          </w:p>
        </w:tc>
      </w:tr>
    </w:tbl>
    <w:p w14:paraId="491864A5" w14:textId="77777777" w:rsidR="000A03B2" w:rsidRPr="00D01CCB" w:rsidRDefault="000A03B2" w:rsidP="000A03B2">
      <w:pPr>
        <w:pStyle w:val="CETAuthors"/>
        <w:sectPr w:rsidR="000A03B2" w:rsidRPr="00D01CCB">
          <w:type w:val="continuous"/>
          <w:pgSz w:w="11906" w:h="16838" w:code="9"/>
          <w:pgMar w:top="1701" w:right="1418" w:bottom="1701" w:left="1701" w:header="1701" w:footer="0" w:gutter="0"/>
          <w:cols w:space="708"/>
          <w:titlePg/>
          <w:docGrid w:linePitch="360"/>
        </w:sectPr>
      </w:pPr>
    </w:p>
    <w:p w14:paraId="47D9EA07" w14:textId="77777777" w:rsidR="004F1261" w:rsidRPr="00D01CCB" w:rsidRDefault="004F1261" w:rsidP="00AB5011">
      <w:pPr>
        <w:pStyle w:val="CETAuthors"/>
        <w:rPr>
          <w:noProof w:val="0"/>
          <w:sz w:val="32"/>
        </w:rPr>
      </w:pPr>
      <w:r w:rsidRPr="00D01CCB">
        <w:rPr>
          <w:noProof w:val="0"/>
          <w:sz w:val="32"/>
        </w:rPr>
        <w:t>Environmental impact evaluation of legume-based burger and meat burger</w:t>
      </w:r>
    </w:p>
    <w:p w14:paraId="0DF3F174" w14:textId="35879420" w:rsidR="00E978D0" w:rsidRPr="00237A3F" w:rsidRDefault="004F1261" w:rsidP="00AB5011">
      <w:pPr>
        <w:pStyle w:val="CETAuthors"/>
        <w:rPr>
          <w:lang w:val="it-IT"/>
        </w:rPr>
      </w:pPr>
      <w:r w:rsidRPr="00237A3F">
        <w:rPr>
          <w:lang w:val="it-IT"/>
        </w:rPr>
        <w:t>Casson A., Giovenzana V., Beghi R.</w:t>
      </w:r>
      <w:r w:rsidR="00D445E5" w:rsidRPr="00237A3F">
        <w:rPr>
          <w:lang w:val="it-IT"/>
        </w:rPr>
        <w:t xml:space="preserve"> *</w:t>
      </w:r>
      <w:r w:rsidRPr="00237A3F">
        <w:rPr>
          <w:lang w:val="it-IT"/>
        </w:rPr>
        <w:t>, Tugnolo A., Guidetti R.</w:t>
      </w:r>
    </w:p>
    <w:p w14:paraId="628299A0" w14:textId="682F6890" w:rsidR="00E978D0" w:rsidRPr="00237A3F" w:rsidRDefault="00AA7532" w:rsidP="00E978D0">
      <w:pPr>
        <w:pStyle w:val="CETAddress"/>
        <w:rPr>
          <w:lang w:val="it-IT"/>
        </w:rPr>
      </w:pPr>
      <w:r w:rsidRPr="00237A3F">
        <w:rPr>
          <w:lang w:val="it-IT"/>
        </w:rPr>
        <w:t>Department of Agricultural and Environmental Sciences - Production, Landscape, Agroenergy, Università degli Studi di Milano, via Celoria, 2, 20133 Milano</w:t>
      </w:r>
      <w:r w:rsidR="00E978D0" w:rsidRPr="00237A3F">
        <w:rPr>
          <w:lang w:val="it-IT"/>
        </w:rPr>
        <w:t xml:space="preserve"> </w:t>
      </w:r>
    </w:p>
    <w:p w14:paraId="6CAFC639" w14:textId="76035E9A" w:rsidR="00600FE1" w:rsidRPr="00237A3F" w:rsidRDefault="006D1812" w:rsidP="00600FE1">
      <w:pPr>
        <w:pStyle w:val="CETemail"/>
        <w:rPr>
          <w:lang w:val="it-IT"/>
        </w:rPr>
      </w:pPr>
      <w:r w:rsidRPr="00237A3F">
        <w:rPr>
          <w:lang w:val="it-IT"/>
        </w:rPr>
        <w:t>*</w:t>
      </w:r>
      <w:r w:rsidR="00D445E5" w:rsidRPr="00237A3F">
        <w:rPr>
          <w:lang w:val="it-IT"/>
        </w:rPr>
        <w:t>roberto.beghi</w:t>
      </w:r>
      <w:r w:rsidR="004F1261" w:rsidRPr="00237A3F">
        <w:rPr>
          <w:lang w:val="it-IT"/>
        </w:rPr>
        <w:t>@unimi.it</w:t>
      </w:r>
      <w:r w:rsidR="00600535" w:rsidRPr="00237A3F">
        <w:rPr>
          <w:lang w:val="it-IT"/>
        </w:rPr>
        <w:t xml:space="preserve"> </w:t>
      </w:r>
    </w:p>
    <w:p w14:paraId="7A513E91" w14:textId="727F4B77" w:rsidR="00600FE1" w:rsidRPr="00D01CCB" w:rsidRDefault="00600FE1" w:rsidP="00600FE1">
      <w:pPr>
        <w:pStyle w:val="CETBodytext"/>
        <w:rPr>
          <w:lang w:val="en-GB"/>
        </w:rPr>
      </w:pPr>
      <w:r w:rsidRPr="00D01CCB">
        <w:rPr>
          <w:lang w:val="en-GB"/>
        </w:rPr>
        <w:t xml:space="preserve">The industrial development leads to a </w:t>
      </w:r>
      <w:r w:rsidR="001F29CB">
        <w:rPr>
          <w:lang w:val="en-GB"/>
        </w:rPr>
        <w:t>consumption</w:t>
      </w:r>
      <w:r w:rsidR="001F29CB" w:rsidRPr="00D01CCB">
        <w:rPr>
          <w:lang w:val="en-GB"/>
        </w:rPr>
        <w:t xml:space="preserve"> </w:t>
      </w:r>
      <w:r w:rsidRPr="00D01CCB">
        <w:rPr>
          <w:lang w:val="en-GB"/>
        </w:rPr>
        <w:t xml:space="preserve">of natural resources and an increase of environmental impacts. </w:t>
      </w:r>
      <w:r w:rsidR="001435BB">
        <w:rPr>
          <w:lang w:val="en-GB"/>
        </w:rPr>
        <w:t>T</w:t>
      </w:r>
      <w:r w:rsidRPr="00D01CCB">
        <w:rPr>
          <w:lang w:val="en-GB"/>
        </w:rPr>
        <w:t xml:space="preserve">he protection of human well-being and ecosystem are essential to obtain sustainable products. </w:t>
      </w:r>
      <w:r w:rsidR="001435BB" w:rsidRPr="00D01CCB">
        <w:rPr>
          <w:lang w:val="en-GB"/>
        </w:rPr>
        <w:t xml:space="preserve">In this scenario, </w:t>
      </w:r>
      <w:r w:rsidR="001435BB">
        <w:rPr>
          <w:lang w:val="en-GB"/>
        </w:rPr>
        <w:t>t</w:t>
      </w:r>
      <w:r w:rsidRPr="00D01CCB">
        <w:rPr>
          <w:lang w:val="en-GB"/>
        </w:rPr>
        <w:t xml:space="preserve">he </w:t>
      </w:r>
      <w:r w:rsidR="001435BB">
        <w:rPr>
          <w:lang w:val="en-GB"/>
        </w:rPr>
        <w:t>reduction</w:t>
      </w:r>
      <w:r w:rsidR="001435BB" w:rsidRPr="00D01CCB" w:rsidDel="001435BB">
        <w:rPr>
          <w:lang w:val="en-GB"/>
        </w:rPr>
        <w:t xml:space="preserve"> </w:t>
      </w:r>
      <w:r w:rsidR="001435BB">
        <w:rPr>
          <w:lang w:val="en-GB"/>
        </w:rPr>
        <w:t xml:space="preserve">of </w:t>
      </w:r>
      <w:r w:rsidR="001435BB" w:rsidRPr="00D01CCB">
        <w:rPr>
          <w:lang w:val="en-GB"/>
        </w:rPr>
        <w:t xml:space="preserve">environmental impact </w:t>
      </w:r>
      <w:r w:rsidR="001435BB">
        <w:rPr>
          <w:lang w:val="en-GB"/>
        </w:rPr>
        <w:t>required for</w:t>
      </w:r>
      <w:r w:rsidRPr="00D01CCB">
        <w:rPr>
          <w:lang w:val="en-GB"/>
        </w:rPr>
        <w:t xml:space="preserve"> food productions collides with the population increase. </w:t>
      </w:r>
      <w:r w:rsidR="001435BB">
        <w:rPr>
          <w:lang w:val="en-GB"/>
        </w:rPr>
        <w:t xml:space="preserve">A </w:t>
      </w:r>
      <w:r w:rsidR="001435BB" w:rsidRPr="00D01CCB">
        <w:rPr>
          <w:lang w:val="en-GB"/>
        </w:rPr>
        <w:t>key</w:t>
      </w:r>
      <w:r w:rsidR="001435BB">
        <w:rPr>
          <w:lang w:val="en-GB"/>
        </w:rPr>
        <w:t xml:space="preserve"> aspect is the</w:t>
      </w:r>
      <w:r w:rsidR="001435BB" w:rsidRPr="00D01CCB">
        <w:rPr>
          <w:lang w:val="en-GB"/>
        </w:rPr>
        <w:t xml:space="preserve"> </w:t>
      </w:r>
      <w:r w:rsidR="001435BB">
        <w:rPr>
          <w:lang w:val="en-GB"/>
        </w:rPr>
        <w:t>i</w:t>
      </w:r>
      <w:r w:rsidRPr="00D01CCB">
        <w:rPr>
          <w:lang w:val="en-GB"/>
        </w:rPr>
        <w:t>ncrease</w:t>
      </w:r>
      <w:r w:rsidR="001435BB">
        <w:rPr>
          <w:lang w:val="en-GB"/>
        </w:rPr>
        <w:t xml:space="preserve"> of</w:t>
      </w:r>
      <w:r w:rsidRPr="00D01CCB">
        <w:rPr>
          <w:lang w:val="en-GB"/>
        </w:rPr>
        <w:t xml:space="preserve"> the productivity and</w:t>
      </w:r>
      <w:r w:rsidR="001435BB">
        <w:rPr>
          <w:lang w:val="en-GB"/>
        </w:rPr>
        <w:t xml:space="preserve"> the</w:t>
      </w:r>
      <w:r w:rsidRPr="00D01CCB">
        <w:rPr>
          <w:lang w:val="en-GB"/>
        </w:rPr>
        <w:t xml:space="preserve"> reduc</w:t>
      </w:r>
      <w:r w:rsidR="001435BB">
        <w:rPr>
          <w:lang w:val="en-GB"/>
        </w:rPr>
        <w:t>tion of</w:t>
      </w:r>
      <w:r w:rsidRPr="00D01CCB">
        <w:rPr>
          <w:lang w:val="en-GB"/>
        </w:rPr>
        <w:t xml:space="preserve"> the greenhouse gases emissions to allow continuity to the industrial development respecting the environmental system. The “Legume Genetic Resources as a tool for the development of innovative and sustainable food Technological system” (</w:t>
      </w:r>
      <w:proofErr w:type="spellStart"/>
      <w:r w:rsidRPr="00D01CCB">
        <w:rPr>
          <w:lang w:val="en-GB"/>
        </w:rPr>
        <w:t>LeGeReTe</w:t>
      </w:r>
      <w:proofErr w:type="spellEnd"/>
      <w:r w:rsidRPr="00D01CCB">
        <w:rPr>
          <w:lang w:val="en-GB"/>
        </w:rPr>
        <w:t xml:space="preserve">) project is focused on the environmental impact of food products considering </w:t>
      </w:r>
      <w:proofErr w:type="gramStart"/>
      <w:r w:rsidR="001435BB">
        <w:rPr>
          <w:lang w:val="en-GB"/>
        </w:rPr>
        <w:t xml:space="preserve">in particular </w:t>
      </w:r>
      <w:r w:rsidRPr="00D01CCB">
        <w:rPr>
          <w:lang w:val="en-GB"/>
        </w:rPr>
        <w:t>legume-based</w:t>
      </w:r>
      <w:proofErr w:type="gramEnd"/>
      <w:r w:rsidRPr="00D01CCB">
        <w:rPr>
          <w:lang w:val="en-GB"/>
        </w:rPr>
        <w:t xml:space="preserve"> food</w:t>
      </w:r>
      <w:r w:rsidR="001435BB">
        <w:rPr>
          <w:lang w:val="en-GB"/>
        </w:rPr>
        <w:t>,</w:t>
      </w:r>
      <w:r w:rsidRPr="00D01CCB">
        <w:rPr>
          <w:lang w:val="en-GB"/>
        </w:rPr>
        <w:t xml:space="preserve"> which </w:t>
      </w:r>
      <w:r w:rsidR="001435BB">
        <w:rPr>
          <w:lang w:val="en-GB"/>
        </w:rPr>
        <w:t>could</w:t>
      </w:r>
      <w:r w:rsidRPr="00D01CCB">
        <w:rPr>
          <w:lang w:val="en-GB"/>
        </w:rPr>
        <w:t xml:space="preserve"> represent an alternative to the traditional food. The object of the study is the comparison between the environmental impact of</w:t>
      </w:r>
      <w:r w:rsidR="001435BB">
        <w:rPr>
          <w:lang w:val="en-GB"/>
        </w:rPr>
        <w:t xml:space="preserve"> the</w:t>
      </w:r>
      <w:r w:rsidRPr="00D01CCB">
        <w:rPr>
          <w:lang w:val="en-GB"/>
        </w:rPr>
        <w:t xml:space="preserve"> legume-based </w:t>
      </w:r>
      <w:r w:rsidR="001550D5" w:rsidRPr="00D01CCB">
        <w:rPr>
          <w:lang w:val="en-GB"/>
        </w:rPr>
        <w:t xml:space="preserve">burger </w:t>
      </w:r>
      <w:r w:rsidRPr="00D01CCB">
        <w:rPr>
          <w:lang w:val="en-GB"/>
        </w:rPr>
        <w:t xml:space="preserve">production chain and </w:t>
      </w:r>
      <w:r w:rsidR="001435BB" w:rsidRPr="00D01CCB">
        <w:rPr>
          <w:lang w:val="en-GB"/>
        </w:rPr>
        <w:t>o</w:t>
      </w:r>
      <w:r w:rsidR="001435BB">
        <w:rPr>
          <w:lang w:val="en-GB"/>
        </w:rPr>
        <w:t>f</w:t>
      </w:r>
      <w:r w:rsidR="001435BB" w:rsidRPr="00D01CCB">
        <w:rPr>
          <w:lang w:val="en-GB"/>
        </w:rPr>
        <w:t xml:space="preserve"> </w:t>
      </w:r>
      <w:r w:rsidRPr="00D01CCB">
        <w:rPr>
          <w:lang w:val="en-GB"/>
        </w:rPr>
        <w:t xml:space="preserve">the traditional meat burger production chain. The Life Cycle Assessment (LCA) method was applied to assess the environmental sustainability of the analysed </w:t>
      </w:r>
      <w:r w:rsidR="001435BB">
        <w:rPr>
          <w:lang w:val="en-GB"/>
        </w:rPr>
        <w:t>case studies</w:t>
      </w:r>
      <w:r w:rsidRPr="00D01CCB">
        <w:rPr>
          <w:lang w:val="en-GB"/>
        </w:rPr>
        <w:t xml:space="preserve">. </w:t>
      </w:r>
      <w:r w:rsidR="001435BB">
        <w:rPr>
          <w:lang w:val="en-GB"/>
        </w:rPr>
        <w:t xml:space="preserve">A </w:t>
      </w:r>
      <w:r w:rsidRPr="00D01CCB">
        <w:rPr>
          <w:lang w:val="en-GB"/>
        </w:rPr>
        <w:t>“</w:t>
      </w:r>
      <w:r w:rsidR="0066017D">
        <w:rPr>
          <w:lang w:val="en-GB"/>
        </w:rPr>
        <w:t>f</w:t>
      </w:r>
      <w:r w:rsidRPr="00D01CCB">
        <w:rPr>
          <w:lang w:val="en-GB"/>
        </w:rPr>
        <w:t xml:space="preserve">rom cradle to grave” approach was used, </w:t>
      </w:r>
      <w:r w:rsidR="00332D5F">
        <w:rPr>
          <w:lang w:val="en-GB"/>
        </w:rPr>
        <w:t>therefore</w:t>
      </w:r>
      <w:r w:rsidR="00332D5F" w:rsidRPr="00D01CCB">
        <w:rPr>
          <w:lang w:val="en-GB"/>
        </w:rPr>
        <w:t xml:space="preserve"> </w:t>
      </w:r>
      <w:r w:rsidRPr="00D01CCB">
        <w:rPr>
          <w:lang w:val="en-GB"/>
        </w:rPr>
        <w:t>agricultural phase, industrial process and domestic preparation were considered. The functional unit considered is 1 burger (100 g of product). The results of the environmental impact analysis for both the burger</w:t>
      </w:r>
      <w:r w:rsidR="00332D5F">
        <w:rPr>
          <w:lang w:val="en-GB"/>
        </w:rPr>
        <w:t xml:space="preserve"> typologies</w:t>
      </w:r>
      <w:r w:rsidRPr="00D01CCB">
        <w:rPr>
          <w:lang w:val="en-GB"/>
        </w:rPr>
        <w:t xml:space="preserve"> showed that the agricultural </w:t>
      </w:r>
      <w:r w:rsidR="00332D5F">
        <w:rPr>
          <w:lang w:val="en-GB"/>
        </w:rPr>
        <w:t>phase</w:t>
      </w:r>
      <w:r w:rsidR="00332D5F" w:rsidRPr="00D01CCB">
        <w:rPr>
          <w:lang w:val="en-GB"/>
        </w:rPr>
        <w:t xml:space="preserve"> </w:t>
      </w:r>
      <w:r w:rsidRPr="00D01CCB">
        <w:rPr>
          <w:lang w:val="en-GB"/>
        </w:rPr>
        <w:t>is the most impacting</w:t>
      </w:r>
      <w:r w:rsidR="00332D5F">
        <w:rPr>
          <w:lang w:val="en-GB"/>
        </w:rPr>
        <w:t xml:space="preserve"> one </w:t>
      </w:r>
      <w:r w:rsidR="00332D5F" w:rsidRPr="00D01CCB">
        <w:rPr>
          <w:lang w:val="en-GB"/>
        </w:rPr>
        <w:t>for most of the impact categories</w:t>
      </w:r>
      <w:r w:rsidRPr="00D01CCB">
        <w:rPr>
          <w:lang w:val="en-GB"/>
        </w:rPr>
        <w:t xml:space="preserve">. Analysing the two food chains, the industrial process of legume-based burger provides the higher environmental impact respect to the meat burger. Moreover, the impact assessment of meat burger production chain, for most of the impact categories, reaches a value of 3-4 times greater than </w:t>
      </w:r>
      <w:r w:rsidR="00C26E10">
        <w:rPr>
          <w:lang w:val="en-GB"/>
        </w:rPr>
        <w:t xml:space="preserve">a </w:t>
      </w:r>
      <w:r w:rsidRPr="00D01CCB">
        <w:rPr>
          <w:lang w:val="en-GB"/>
        </w:rPr>
        <w:t xml:space="preserve">legumes-based burger. Finally, </w:t>
      </w:r>
      <w:r w:rsidR="00332D5F">
        <w:rPr>
          <w:lang w:val="en-GB"/>
        </w:rPr>
        <w:t xml:space="preserve">with the aim of </w:t>
      </w:r>
      <w:r w:rsidRPr="00D01CCB">
        <w:rPr>
          <w:lang w:val="en-GB"/>
        </w:rPr>
        <w:t xml:space="preserve">considering nutritional aspects to compare </w:t>
      </w:r>
      <w:r w:rsidR="00332D5F">
        <w:rPr>
          <w:lang w:val="en-GB"/>
        </w:rPr>
        <w:t xml:space="preserve">the </w:t>
      </w:r>
      <w:r w:rsidRPr="00D01CCB">
        <w:rPr>
          <w:lang w:val="en-GB"/>
        </w:rPr>
        <w:t xml:space="preserve">impact values, </w:t>
      </w:r>
      <w:r w:rsidR="00332D5F">
        <w:rPr>
          <w:lang w:val="en-GB"/>
        </w:rPr>
        <w:t xml:space="preserve">a quantity of </w:t>
      </w:r>
      <w:r w:rsidRPr="00D01CCB">
        <w:rPr>
          <w:lang w:val="en-GB"/>
        </w:rPr>
        <w:t>15 g of protein (</w:t>
      </w:r>
      <w:r w:rsidR="00332D5F">
        <w:rPr>
          <w:lang w:val="en-GB"/>
        </w:rPr>
        <w:t xml:space="preserve">corresponding to the </w:t>
      </w:r>
      <w:r w:rsidRPr="00D01CCB">
        <w:rPr>
          <w:lang w:val="en-GB"/>
        </w:rPr>
        <w:t xml:space="preserve">protein content </w:t>
      </w:r>
      <w:r w:rsidR="00332D5F">
        <w:rPr>
          <w:lang w:val="en-GB"/>
        </w:rPr>
        <w:t xml:space="preserve">of </w:t>
      </w:r>
      <w:r w:rsidRPr="00D01CCB">
        <w:rPr>
          <w:lang w:val="en-GB"/>
        </w:rPr>
        <w:t xml:space="preserve">a meat burger of 100 g) </w:t>
      </w:r>
      <w:r w:rsidR="00332D5F">
        <w:rPr>
          <w:lang w:val="en-GB"/>
        </w:rPr>
        <w:t>was</w:t>
      </w:r>
      <w:r w:rsidR="00332D5F" w:rsidRPr="00D01CCB">
        <w:rPr>
          <w:lang w:val="en-GB"/>
        </w:rPr>
        <w:t xml:space="preserve"> considered</w:t>
      </w:r>
      <w:r w:rsidRPr="00D01CCB">
        <w:rPr>
          <w:lang w:val="en-GB"/>
        </w:rPr>
        <w:t xml:space="preserve"> as </w:t>
      </w:r>
      <w:r w:rsidR="00C26E10">
        <w:rPr>
          <w:lang w:val="en-GB"/>
        </w:rPr>
        <w:t xml:space="preserve">a </w:t>
      </w:r>
      <w:r w:rsidRPr="00D01CCB">
        <w:rPr>
          <w:lang w:val="en-GB"/>
        </w:rPr>
        <w:t xml:space="preserve">nutritional functional unit. To reach the same protein content for the meat burger, it’s necessary </w:t>
      </w:r>
      <w:r w:rsidR="00332D5F">
        <w:rPr>
          <w:lang w:val="en-GB"/>
        </w:rPr>
        <w:t>an intake of</w:t>
      </w:r>
      <w:r w:rsidRPr="00D01CCB">
        <w:rPr>
          <w:lang w:val="en-GB"/>
        </w:rPr>
        <w:t xml:space="preserve"> two legume-based burgers. </w:t>
      </w:r>
      <w:r w:rsidR="00332D5F">
        <w:rPr>
          <w:lang w:val="en-GB"/>
        </w:rPr>
        <w:t>Nevertheless, d</w:t>
      </w:r>
      <w:r w:rsidR="00332D5F" w:rsidRPr="00D01CCB">
        <w:rPr>
          <w:lang w:val="en-GB"/>
        </w:rPr>
        <w:t xml:space="preserve">oubling </w:t>
      </w:r>
      <w:r w:rsidRPr="00D01CCB">
        <w:rPr>
          <w:lang w:val="en-GB"/>
        </w:rPr>
        <w:t>the environmental damages of legume-based burger, the environmental impact related to meat burger remain</w:t>
      </w:r>
      <w:r w:rsidR="00C26E10">
        <w:rPr>
          <w:lang w:val="en-GB"/>
        </w:rPr>
        <w:t>s</w:t>
      </w:r>
      <w:r w:rsidRPr="00D01CCB">
        <w:rPr>
          <w:lang w:val="en-GB"/>
        </w:rPr>
        <w:t xml:space="preserve"> higher.</w:t>
      </w:r>
    </w:p>
    <w:p w14:paraId="59553E0C" w14:textId="3149863E" w:rsidR="00737BD9" w:rsidRPr="00D01CCB" w:rsidRDefault="00737BD9" w:rsidP="00737BD9">
      <w:pPr>
        <w:pStyle w:val="CETHeading1"/>
        <w:rPr>
          <w:lang w:val="en-GB"/>
        </w:rPr>
      </w:pPr>
      <w:r w:rsidRPr="00D01CCB">
        <w:rPr>
          <w:lang w:val="en-GB"/>
        </w:rPr>
        <w:t xml:space="preserve">Introduction </w:t>
      </w:r>
    </w:p>
    <w:p w14:paraId="73C3AF68" w14:textId="3395F7BB" w:rsidR="005951F8" w:rsidRPr="00D01CCB" w:rsidRDefault="00D445E5" w:rsidP="00737BD9">
      <w:pPr>
        <w:pStyle w:val="CETBodytext"/>
        <w:rPr>
          <w:lang w:val="en-GB"/>
        </w:rPr>
      </w:pPr>
      <w:r w:rsidRPr="00D01CCB">
        <w:rPr>
          <w:lang w:val="en-GB"/>
        </w:rPr>
        <w:t>M</w:t>
      </w:r>
      <w:r w:rsidR="00BF2D71" w:rsidRPr="00D01CCB">
        <w:rPr>
          <w:lang w:val="en-GB"/>
        </w:rPr>
        <w:t xml:space="preserve">eat products </w:t>
      </w:r>
      <w:r w:rsidRPr="00D01CCB">
        <w:rPr>
          <w:lang w:val="en-GB"/>
        </w:rPr>
        <w:t xml:space="preserve">are </w:t>
      </w:r>
      <w:r w:rsidR="00BF2D71" w:rsidRPr="00D01CCB">
        <w:rPr>
          <w:lang w:val="en-GB"/>
        </w:rPr>
        <w:t>a</w:t>
      </w:r>
      <w:r w:rsidRPr="00D01CCB">
        <w:rPr>
          <w:lang w:val="en-GB"/>
        </w:rPr>
        <w:t>n</w:t>
      </w:r>
      <w:r w:rsidR="00BF2D71" w:rsidRPr="00D01CCB">
        <w:rPr>
          <w:lang w:val="en-GB"/>
        </w:rPr>
        <w:t xml:space="preserve"> interesting choice for a good diet </w:t>
      </w:r>
      <w:r w:rsidRPr="00D01CCB">
        <w:rPr>
          <w:lang w:val="en-GB"/>
        </w:rPr>
        <w:t xml:space="preserve">due to the presence of minerals, vitamins, and proteins with high biological value (Pereira et al., 2013; </w:t>
      </w:r>
      <w:proofErr w:type="spellStart"/>
      <w:r w:rsidRPr="00D01CCB">
        <w:rPr>
          <w:lang w:val="en-GB"/>
        </w:rPr>
        <w:t>Xiong</w:t>
      </w:r>
      <w:proofErr w:type="spellEnd"/>
      <w:r w:rsidRPr="00D01CCB">
        <w:rPr>
          <w:lang w:val="en-GB"/>
        </w:rPr>
        <w:t>, 2004)</w:t>
      </w:r>
      <w:r w:rsidR="00737BD9" w:rsidRPr="00D01CCB">
        <w:rPr>
          <w:lang w:val="en-GB"/>
        </w:rPr>
        <w:t xml:space="preserve">. </w:t>
      </w:r>
      <w:r w:rsidR="008D30C3" w:rsidRPr="00D01CCB">
        <w:rPr>
          <w:lang w:val="en-GB"/>
        </w:rPr>
        <w:t>Despite</w:t>
      </w:r>
      <w:r w:rsidR="00BF2D71" w:rsidRPr="00D01CCB">
        <w:rPr>
          <w:lang w:val="en-GB"/>
        </w:rPr>
        <w:t xml:space="preserve"> that, the meat</w:t>
      </w:r>
      <w:r w:rsidRPr="00D01CCB">
        <w:rPr>
          <w:lang w:val="en-GB"/>
        </w:rPr>
        <w:t xml:space="preserve"> and</w:t>
      </w:r>
      <w:r w:rsidR="00BF2D71" w:rsidRPr="00D01CCB">
        <w:rPr>
          <w:lang w:val="en-GB"/>
        </w:rPr>
        <w:t xml:space="preserve"> especially </w:t>
      </w:r>
      <w:r w:rsidR="00BF2D71" w:rsidRPr="00D01CCB">
        <w:rPr>
          <w:noProof/>
          <w:lang w:val="en-GB"/>
        </w:rPr>
        <w:t>red</w:t>
      </w:r>
      <w:r w:rsidR="00BF2D71" w:rsidRPr="00D01CCB">
        <w:rPr>
          <w:lang w:val="en-GB"/>
        </w:rPr>
        <w:t xml:space="preserve"> meat contains</w:t>
      </w:r>
      <w:r w:rsidR="00BF2D71" w:rsidRPr="00D01CCB" w:rsidDel="00BF2D71">
        <w:rPr>
          <w:lang w:val="en-GB"/>
        </w:rPr>
        <w:t xml:space="preserve"> </w:t>
      </w:r>
      <w:r w:rsidR="00BF2D71" w:rsidRPr="00D01CCB">
        <w:rPr>
          <w:lang w:val="en-GB"/>
        </w:rPr>
        <w:t xml:space="preserve">a </w:t>
      </w:r>
      <w:r w:rsidR="00737BD9" w:rsidRPr="00D01CCB">
        <w:rPr>
          <w:lang w:val="en-GB"/>
        </w:rPr>
        <w:t>high quantity of cholesterol and saturated fatty acids (PUFAs) (</w:t>
      </w:r>
      <w:proofErr w:type="spellStart"/>
      <w:r w:rsidR="00737BD9" w:rsidRPr="00D01CCB">
        <w:rPr>
          <w:lang w:val="en-GB"/>
        </w:rPr>
        <w:t>Muguerza</w:t>
      </w:r>
      <w:proofErr w:type="spellEnd"/>
      <w:r w:rsidR="00737BD9" w:rsidRPr="00D01CCB">
        <w:rPr>
          <w:lang w:val="en-GB"/>
        </w:rPr>
        <w:t xml:space="preserve"> et al., 2004). </w:t>
      </w:r>
      <w:r w:rsidR="00600FE1" w:rsidRPr="00D01CCB">
        <w:rPr>
          <w:noProof/>
          <w:lang w:val="en-GB"/>
        </w:rPr>
        <w:t>L</w:t>
      </w:r>
      <w:r w:rsidR="00737BD9" w:rsidRPr="00D01CCB">
        <w:rPr>
          <w:noProof/>
          <w:lang w:val="en-GB"/>
        </w:rPr>
        <w:t>arge</w:t>
      </w:r>
      <w:r w:rsidR="00737BD9" w:rsidRPr="00D01CCB">
        <w:rPr>
          <w:lang w:val="en-GB"/>
        </w:rPr>
        <w:t xml:space="preserve"> consumption</w:t>
      </w:r>
      <w:r w:rsidR="00F06BB4" w:rsidRPr="00D01CCB">
        <w:rPr>
          <w:lang w:val="en-GB"/>
        </w:rPr>
        <w:t xml:space="preserve"> of these </w:t>
      </w:r>
      <w:r w:rsidR="00A154CB" w:rsidRPr="00D01CCB">
        <w:rPr>
          <w:lang w:val="en-GB"/>
        </w:rPr>
        <w:t>constituents</w:t>
      </w:r>
      <w:r w:rsidR="00737BD9" w:rsidRPr="00D01CCB">
        <w:rPr>
          <w:lang w:val="en-GB"/>
        </w:rPr>
        <w:t xml:space="preserve"> could cause cardiovascular disease</w:t>
      </w:r>
      <w:r w:rsidR="00D66809" w:rsidRPr="00D01CCB">
        <w:rPr>
          <w:lang w:val="en-GB"/>
        </w:rPr>
        <w:t>s</w:t>
      </w:r>
      <w:r w:rsidR="00737BD9" w:rsidRPr="00D01CCB">
        <w:rPr>
          <w:lang w:val="en-GB"/>
        </w:rPr>
        <w:t xml:space="preserve"> (CVD), cancer</w:t>
      </w:r>
      <w:r w:rsidR="00F06BB4" w:rsidRPr="00D01CCB">
        <w:rPr>
          <w:lang w:val="en-GB"/>
        </w:rPr>
        <w:t xml:space="preserve">, </w:t>
      </w:r>
      <w:r w:rsidR="00737BD9" w:rsidRPr="00D01CCB">
        <w:rPr>
          <w:lang w:val="en-GB"/>
        </w:rPr>
        <w:t>inflammatory and autoimmune diseases (</w:t>
      </w:r>
      <w:r w:rsidR="00FF1E0C" w:rsidRPr="00D01CCB">
        <w:rPr>
          <w:lang w:val="en-GB"/>
        </w:rPr>
        <w:t xml:space="preserve">Cengiz &amp; </w:t>
      </w:r>
      <w:proofErr w:type="spellStart"/>
      <w:r w:rsidR="00FF1E0C" w:rsidRPr="00D01CCB">
        <w:rPr>
          <w:lang w:val="en-GB"/>
        </w:rPr>
        <w:t>Gokoglu</w:t>
      </w:r>
      <w:proofErr w:type="spellEnd"/>
      <w:r w:rsidR="00E52A84" w:rsidRPr="00D01CCB">
        <w:rPr>
          <w:lang w:val="en-GB"/>
        </w:rPr>
        <w:t xml:space="preserve">, </w:t>
      </w:r>
      <w:r w:rsidR="00FF1E0C" w:rsidRPr="00D01CCB">
        <w:rPr>
          <w:lang w:val="en-GB"/>
        </w:rPr>
        <w:t xml:space="preserve">2005; </w:t>
      </w:r>
      <w:proofErr w:type="spellStart"/>
      <w:r w:rsidR="00737BD9" w:rsidRPr="00D01CCB">
        <w:rPr>
          <w:lang w:val="en-GB"/>
        </w:rPr>
        <w:t>Simopoulos</w:t>
      </w:r>
      <w:proofErr w:type="spellEnd"/>
      <w:r w:rsidRPr="00D01CCB">
        <w:rPr>
          <w:lang w:val="en-GB"/>
        </w:rPr>
        <w:t>,</w:t>
      </w:r>
      <w:r w:rsidR="00737BD9" w:rsidRPr="00D01CCB">
        <w:rPr>
          <w:lang w:val="en-GB"/>
        </w:rPr>
        <w:t xml:space="preserve"> 2002). </w:t>
      </w:r>
    </w:p>
    <w:p w14:paraId="352D2C82" w14:textId="3F5B2DB6" w:rsidR="00737BD9" w:rsidRPr="00D01CCB" w:rsidRDefault="00600FE1" w:rsidP="00737BD9">
      <w:pPr>
        <w:pStyle w:val="CETBodytext"/>
        <w:rPr>
          <w:lang w:val="en-GB"/>
        </w:rPr>
      </w:pPr>
      <w:r w:rsidRPr="00D01CCB">
        <w:rPr>
          <w:noProof/>
          <w:lang w:val="en-GB"/>
        </w:rPr>
        <w:t>W</w:t>
      </w:r>
      <w:r w:rsidR="007C0A79" w:rsidRPr="00D01CCB">
        <w:rPr>
          <w:noProof/>
          <w:lang w:val="en-GB"/>
        </w:rPr>
        <w:t>orldwide</w:t>
      </w:r>
      <w:r w:rsidR="007C0A79" w:rsidRPr="00D01CCB">
        <w:rPr>
          <w:lang w:val="en-GB"/>
        </w:rPr>
        <w:t xml:space="preserve"> meat consumption has been modifying in the last years. </w:t>
      </w:r>
      <w:r w:rsidR="00D445E5" w:rsidRPr="00D01CCB">
        <w:rPr>
          <w:lang w:val="en-GB"/>
        </w:rPr>
        <w:t xml:space="preserve">The rationale of this changing is related not only to </w:t>
      </w:r>
      <w:r w:rsidR="007C0A79" w:rsidRPr="00D01CCB">
        <w:rPr>
          <w:lang w:val="en-GB"/>
        </w:rPr>
        <w:t>healthy aspects</w:t>
      </w:r>
      <w:r w:rsidR="00D445E5" w:rsidRPr="00D01CCB">
        <w:rPr>
          <w:lang w:val="en-GB"/>
        </w:rPr>
        <w:t>.</w:t>
      </w:r>
      <w:r w:rsidR="007C0A79" w:rsidRPr="00D01CCB">
        <w:rPr>
          <w:lang w:val="en-GB"/>
        </w:rPr>
        <w:t xml:space="preserve"> </w:t>
      </w:r>
      <w:proofErr w:type="spellStart"/>
      <w:r w:rsidR="00737BD9" w:rsidRPr="00D01CCB">
        <w:rPr>
          <w:lang w:val="en-GB"/>
        </w:rPr>
        <w:t>Asgar</w:t>
      </w:r>
      <w:proofErr w:type="spellEnd"/>
      <w:r w:rsidR="00737BD9" w:rsidRPr="00D01CCB">
        <w:rPr>
          <w:lang w:val="en-GB"/>
        </w:rPr>
        <w:t xml:space="preserve"> et al. (2010) prove</w:t>
      </w:r>
      <w:r w:rsidR="00CC510B" w:rsidRPr="00D01CCB">
        <w:rPr>
          <w:lang w:val="en-GB"/>
        </w:rPr>
        <w:t>d</w:t>
      </w:r>
      <w:r w:rsidR="00737BD9" w:rsidRPr="00D01CCB">
        <w:rPr>
          <w:lang w:val="en-GB"/>
        </w:rPr>
        <w:t xml:space="preserve"> that</w:t>
      </w:r>
      <w:r w:rsidR="00CC510B" w:rsidRPr="00D01CCB">
        <w:rPr>
          <w:lang w:val="en-GB"/>
        </w:rPr>
        <w:t xml:space="preserve"> </w:t>
      </w:r>
      <w:r w:rsidR="00160FA3" w:rsidRPr="00D01CCB">
        <w:rPr>
          <w:lang w:val="en-GB"/>
        </w:rPr>
        <w:t xml:space="preserve">consumption changes are driven by fear of </w:t>
      </w:r>
      <w:r w:rsidR="00737BD9" w:rsidRPr="00D01CCB">
        <w:rPr>
          <w:lang w:val="en-GB"/>
        </w:rPr>
        <w:t>animal disease</w:t>
      </w:r>
      <w:r w:rsidR="00CC510B" w:rsidRPr="00D01CCB">
        <w:rPr>
          <w:lang w:val="en-GB"/>
        </w:rPr>
        <w:t>s</w:t>
      </w:r>
      <w:r w:rsidR="00737BD9" w:rsidRPr="00D01CCB">
        <w:rPr>
          <w:lang w:val="en-GB"/>
        </w:rPr>
        <w:t xml:space="preserve"> like the mad cow in 1980, </w:t>
      </w:r>
      <w:r w:rsidR="00160FA3" w:rsidRPr="00D01CCB">
        <w:rPr>
          <w:lang w:val="en-GB"/>
        </w:rPr>
        <w:t xml:space="preserve">by </w:t>
      </w:r>
      <w:r w:rsidR="00737BD9" w:rsidRPr="00D01CCB">
        <w:rPr>
          <w:lang w:val="en-GB"/>
        </w:rPr>
        <w:t xml:space="preserve">religious lifestyles choices, </w:t>
      </w:r>
      <w:r w:rsidR="00160FA3" w:rsidRPr="00D01CCB">
        <w:rPr>
          <w:lang w:val="en-GB"/>
        </w:rPr>
        <w:t xml:space="preserve">by </w:t>
      </w:r>
      <w:r w:rsidR="00737BD9" w:rsidRPr="00D01CCB">
        <w:rPr>
          <w:lang w:val="en-GB"/>
        </w:rPr>
        <w:t xml:space="preserve">the rising of vegetarianism, </w:t>
      </w:r>
      <w:r w:rsidR="00160FA3" w:rsidRPr="00D01CCB">
        <w:rPr>
          <w:lang w:val="en-GB"/>
        </w:rPr>
        <w:t xml:space="preserve">by </w:t>
      </w:r>
      <w:r w:rsidR="00737BD9" w:rsidRPr="00D01CCB">
        <w:rPr>
          <w:lang w:val="en-GB"/>
        </w:rPr>
        <w:t xml:space="preserve">animal rights movement, </w:t>
      </w:r>
      <w:r w:rsidR="00160FA3" w:rsidRPr="00D01CCB">
        <w:rPr>
          <w:lang w:val="en-GB"/>
        </w:rPr>
        <w:t xml:space="preserve">and by </w:t>
      </w:r>
      <w:r w:rsidR="00737BD9" w:rsidRPr="00D01CCB">
        <w:rPr>
          <w:lang w:val="en-GB"/>
        </w:rPr>
        <w:t xml:space="preserve">economic and environmental </w:t>
      </w:r>
      <w:r w:rsidR="0057592D" w:rsidRPr="00D01CCB">
        <w:rPr>
          <w:lang w:val="en-GB"/>
        </w:rPr>
        <w:t>aspects</w:t>
      </w:r>
      <w:r w:rsidR="00737BD9" w:rsidRPr="00D01CCB">
        <w:rPr>
          <w:lang w:val="en-GB"/>
        </w:rPr>
        <w:t xml:space="preserve">. </w:t>
      </w:r>
      <w:r w:rsidR="0057592D" w:rsidRPr="00D01CCB">
        <w:rPr>
          <w:lang w:val="en-GB"/>
        </w:rPr>
        <w:t>For th</w:t>
      </w:r>
      <w:r w:rsidR="009A5335" w:rsidRPr="00D01CCB">
        <w:rPr>
          <w:lang w:val="en-GB"/>
        </w:rPr>
        <w:t>e</w:t>
      </w:r>
      <w:r w:rsidR="0057592D" w:rsidRPr="00D01CCB">
        <w:rPr>
          <w:lang w:val="en-GB"/>
        </w:rPr>
        <w:t>s</w:t>
      </w:r>
      <w:r w:rsidR="009A5335" w:rsidRPr="00D01CCB">
        <w:rPr>
          <w:lang w:val="en-GB"/>
        </w:rPr>
        <w:t>e</w:t>
      </w:r>
      <w:r w:rsidR="0057592D" w:rsidRPr="00D01CCB">
        <w:rPr>
          <w:lang w:val="en-GB"/>
        </w:rPr>
        <w:t xml:space="preserve"> reason</w:t>
      </w:r>
      <w:r w:rsidR="005951F8" w:rsidRPr="00D01CCB">
        <w:rPr>
          <w:lang w:val="en-GB"/>
        </w:rPr>
        <w:t>s</w:t>
      </w:r>
      <w:r w:rsidR="0057592D" w:rsidRPr="00D01CCB">
        <w:rPr>
          <w:lang w:val="en-GB"/>
        </w:rPr>
        <w:t>,</w:t>
      </w:r>
      <w:r w:rsidR="00737BD9" w:rsidRPr="00D01CCB">
        <w:rPr>
          <w:lang w:val="en-GB"/>
        </w:rPr>
        <w:t xml:space="preserve"> the food industries have been prompted to move to alternatives foods</w:t>
      </w:r>
      <w:r w:rsidR="0057592D" w:rsidRPr="00D01CCB">
        <w:rPr>
          <w:lang w:val="en-GB"/>
        </w:rPr>
        <w:t>.</w:t>
      </w:r>
      <w:r w:rsidR="00737BD9" w:rsidRPr="00D01CCB">
        <w:rPr>
          <w:lang w:val="en-GB"/>
        </w:rPr>
        <w:t xml:space="preserve"> </w:t>
      </w:r>
      <w:r w:rsidR="0057592D" w:rsidRPr="00D01CCB">
        <w:rPr>
          <w:lang w:val="en-GB"/>
        </w:rPr>
        <w:t>T</w:t>
      </w:r>
      <w:r w:rsidR="00737BD9" w:rsidRPr="00D01CCB">
        <w:rPr>
          <w:lang w:val="en-GB"/>
        </w:rPr>
        <w:t>he vegetable products</w:t>
      </w:r>
      <w:r w:rsidR="00A154CB" w:rsidRPr="00D01CCB">
        <w:rPr>
          <w:lang w:val="en-GB"/>
        </w:rPr>
        <w:t xml:space="preserve">, </w:t>
      </w:r>
      <w:r w:rsidR="007C0A79" w:rsidRPr="00D01CCB">
        <w:rPr>
          <w:lang w:val="en-GB"/>
        </w:rPr>
        <w:t>compared to</w:t>
      </w:r>
      <w:r w:rsidR="00737BD9" w:rsidRPr="00D01CCB">
        <w:rPr>
          <w:lang w:val="en-GB"/>
        </w:rPr>
        <w:t xml:space="preserve"> </w:t>
      </w:r>
      <w:r w:rsidR="007C0A79" w:rsidRPr="00D01CCB">
        <w:rPr>
          <w:lang w:val="en-GB"/>
        </w:rPr>
        <w:t xml:space="preserve">meat products, </w:t>
      </w:r>
      <w:r w:rsidR="00737BD9" w:rsidRPr="00D01CCB">
        <w:rPr>
          <w:lang w:val="en-GB"/>
        </w:rPr>
        <w:t xml:space="preserve">become </w:t>
      </w:r>
      <w:r w:rsidR="00A154CB" w:rsidRPr="00D01CCB">
        <w:rPr>
          <w:lang w:val="en-GB"/>
        </w:rPr>
        <w:t>a good</w:t>
      </w:r>
      <w:r w:rsidR="00737BD9" w:rsidRPr="00D01CCB">
        <w:rPr>
          <w:lang w:val="en-GB"/>
        </w:rPr>
        <w:t xml:space="preserve"> alternative</w:t>
      </w:r>
      <w:r w:rsidR="00A154CB" w:rsidRPr="00D01CCB">
        <w:rPr>
          <w:lang w:val="en-GB"/>
        </w:rPr>
        <w:t xml:space="preserve"> thanks to their</w:t>
      </w:r>
      <w:r w:rsidR="00737BD9" w:rsidRPr="00D01CCB">
        <w:rPr>
          <w:lang w:val="en-GB"/>
        </w:rPr>
        <w:t xml:space="preserve"> lower price and the </w:t>
      </w:r>
      <w:r w:rsidR="00A154CB" w:rsidRPr="00D01CCB">
        <w:rPr>
          <w:lang w:val="en-GB"/>
        </w:rPr>
        <w:t xml:space="preserve">large </w:t>
      </w:r>
      <w:r w:rsidR="00737BD9" w:rsidRPr="00D01CCB">
        <w:rPr>
          <w:lang w:val="en-GB"/>
        </w:rPr>
        <w:t xml:space="preserve">availability all over the world </w:t>
      </w:r>
      <w:r w:rsidR="00A154CB" w:rsidRPr="00D01CCB">
        <w:rPr>
          <w:lang w:val="en-GB"/>
        </w:rPr>
        <w:t>(</w:t>
      </w:r>
      <w:r w:rsidR="00737BD9" w:rsidRPr="00D01CCB">
        <w:rPr>
          <w:lang w:val="en-GB"/>
        </w:rPr>
        <w:t>also in the developing country</w:t>
      </w:r>
      <w:r w:rsidR="00A154CB" w:rsidRPr="00D01CCB">
        <w:rPr>
          <w:lang w:val="en-GB"/>
        </w:rPr>
        <w:t>)</w:t>
      </w:r>
      <w:r w:rsidR="00E52A84" w:rsidRPr="00D01CCB">
        <w:rPr>
          <w:lang w:val="en-GB"/>
        </w:rPr>
        <w:t xml:space="preserve"> (Delgado, 2003)</w:t>
      </w:r>
      <w:r w:rsidR="00737BD9" w:rsidRPr="00D01CCB">
        <w:rPr>
          <w:lang w:val="en-GB"/>
        </w:rPr>
        <w:t xml:space="preserve">.  </w:t>
      </w:r>
    </w:p>
    <w:p w14:paraId="2C82F756" w14:textId="0AEC94EA" w:rsidR="00737BD9" w:rsidRPr="00D01CCB" w:rsidRDefault="00871B59" w:rsidP="00737BD9">
      <w:pPr>
        <w:pStyle w:val="CETBodytext"/>
        <w:rPr>
          <w:lang w:val="en-GB"/>
        </w:rPr>
      </w:pPr>
      <w:r>
        <w:rPr>
          <w:lang w:val="en-GB"/>
        </w:rPr>
        <w:t>Among</w:t>
      </w:r>
      <w:r w:rsidR="00AA55D7" w:rsidRPr="00D01CCB">
        <w:rPr>
          <w:lang w:val="en-GB"/>
        </w:rPr>
        <w:t xml:space="preserve"> </w:t>
      </w:r>
      <w:r w:rsidR="00737BD9" w:rsidRPr="00D01CCB">
        <w:rPr>
          <w:lang w:val="en-GB"/>
        </w:rPr>
        <w:t xml:space="preserve">the </w:t>
      </w:r>
      <w:r w:rsidR="005951F8" w:rsidRPr="00D01CCB">
        <w:rPr>
          <w:lang w:val="en-GB"/>
        </w:rPr>
        <w:t>vegetarian products</w:t>
      </w:r>
      <w:r w:rsidR="00737BD9" w:rsidRPr="00D01CCB">
        <w:rPr>
          <w:lang w:val="en-GB"/>
        </w:rPr>
        <w:t xml:space="preserve">, legumes </w:t>
      </w:r>
      <w:r w:rsidR="00F06904" w:rsidRPr="00D01CCB">
        <w:rPr>
          <w:lang w:val="en-GB"/>
        </w:rPr>
        <w:t xml:space="preserve">play </w:t>
      </w:r>
      <w:r w:rsidR="00737BD9" w:rsidRPr="00D01CCB">
        <w:rPr>
          <w:lang w:val="en-GB"/>
        </w:rPr>
        <w:t xml:space="preserve">an important </w:t>
      </w:r>
      <w:r w:rsidR="00F06904" w:rsidRPr="00D01CCB">
        <w:rPr>
          <w:lang w:val="en-GB"/>
        </w:rPr>
        <w:t xml:space="preserve">role </w:t>
      </w:r>
      <w:r w:rsidR="00737BD9" w:rsidRPr="00D01CCB">
        <w:rPr>
          <w:lang w:val="en-GB"/>
        </w:rPr>
        <w:t xml:space="preserve">in the food industry. </w:t>
      </w:r>
      <w:r w:rsidR="00F06904" w:rsidRPr="00D01CCB">
        <w:rPr>
          <w:lang w:val="en-GB"/>
        </w:rPr>
        <w:t>Moreover, t</w:t>
      </w:r>
      <w:r w:rsidR="00737BD9" w:rsidRPr="00D01CCB">
        <w:rPr>
          <w:lang w:val="en-GB"/>
        </w:rPr>
        <w:t>hey are a good source of energy, minerals, and B vitamins</w:t>
      </w:r>
      <w:r w:rsidR="00F06904" w:rsidRPr="00D01CCB">
        <w:rPr>
          <w:lang w:val="en-GB"/>
        </w:rPr>
        <w:t xml:space="preserve"> useful</w:t>
      </w:r>
      <w:r w:rsidR="00737BD9" w:rsidRPr="00D01CCB">
        <w:rPr>
          <w:lang w:val="en-GB"/>
        </w:rPr>
        <w:t xml:space="preserve"> </w:t>
      </w:r>
      <w:r w:rsidR="00F06904" w:rsidRPr="00D01CCB">
        <w:rPr>
          <w:lang w:val="en-GB"/>
        </w:rPr>
        <w:t xml:space="preserve">for </w:t>
      </w:r>
      <w:r w:rsidR="00737BD9" w:rsidRPr="00D01CCB">
        <w:rPr>
          <w:lang w:val="en-GB"/>
        </w:rPr>
        <w:t>human nutrition (</w:t>
      </w:r>
      <w:proofErr w:type="spellStart"/>
      <w:r w:rsidR="00737BD9" w:rsidRPr="00D01CCB">
        <w:rPr>
          <w:lang w:val="en-GB"/>
        </w:rPr>
        <w:t>Oboh</w:t>
      </w:r>
      <w:proofErr w:type="spellEnd"/>
      <w:r w:rsidR="00737BD9" w:rsidRPr="00D01CCB">
        <w:rPr>
          <w:lang w:val="en-GB"/>
        </w:rPr>
        <w:t xml:space="preserve"> et al., 2009). Legumes are also </w:t>
      </w:r>
      <w:r w:rsidR="00737BD9" w:rsidRPr="00D01CCB">
        <w:rPr>
          <w:lang w:val="en-GB"/>
        </w:rPr>
        <w:lastRenderedPageBreak/>
        <w:t>part of the dietary habit</w:t>
      </w:r>
      <w:r w:rsidR="00160FA3" w:rsidRPr="00D01CCB">
        <w:rPr>
          <w:lang w:val="en-GB"/>
        </w:rPr>
        <w:t>s</w:t>
      </w:r>
      <w:r w:rsidR="00737BD9" w:rsidRPr="00D01CCB">
        <w:rPr>
          <w:lang w:val="en-GB"/>
        </w:rPr>
        <w:t xml:space="preserve"> </w:t>
      </w:r>
      <w:r w:rsidR="00F06904" w:rsidRPr="00D01CCB">
        <w:rPr>
          <w:lang w:val="en-GB"/>
        </w:rPr>
        <w:t xml:space="preserve">for </w:t>
      </w:r>
      <w:r w:rsidR="00737BD9" w:rsidRPr="00D01CCB">
        <w:rPr>
          <w:lang w:val="en-GB"/>
        </w:rPr>
        <w:t xml:space="preserve">thousands </w:t>
      </w:r>
      <w:r w:rsidR="005951F8" w:rsidRPr="00D01CCB">
        <w:rPr>
          <w:lang w:val="en-GB"/>
        </w:rPr>
        <w:t xml:space="preserve">of </w:t>
      </w:r>
      <w:r w:rsidR="00737BD9" w:rsidRPr="00D01CCB">
        <w:rPr>
          <w:lang w:val="en-GB"/>
        </w:rPr>
        <w:t>years</w:t>
      </w:r>
      <w:r w:rsidR="005951F8" w:rsidRPr="00D01CCB">
        <w:rPr>
          <w:lang w:val="en-GB"/>
        </w:rPr>
        <w:t xml:space="preserve"> and</w:t>
      </w:r>
      <w:r w:rsidR="00737BD9" w:rsidRPr="00D01CCB">
        <w:rPr>
          <w:lang w:val="en-GB"/>
        </w:rPr>
        <w:t xml:space="preserve"> </w:t>
      </w:r>
      <w:r w:rsidR="00F526E5" w:rsidRPr="00D01CCB">
        <w:rPr>
          <w:lang w:val="en-GB"/>
        </w:rPr>
        <w:t>they</w:t>
      </w:r>
      <w:r w:rsidR="00737BD9" w:rsidRPr="00D01CCB">
        <w:rPr>
          <w:lang w:val="en-GB"/>
        </w:rPr>
        <w:t xml:space="preserve"> are </w:t>
      </w:r>
      <w:r w:rsidR="00725AFE" w:rsidRPr="00D01CCB">
        <w:rPr>
          <w:lang w:val="en-GB"/>
        </w:rPr>
        <w:t xml:space="preserve">the </w:t>
      </w:r>
      <w:r w:rsidR="00737BD9" w:rsidRPr="00D01CCB">
        <w:rPr>
          <w:lang w:val="en-GB"/>
        </w:rPr>
        <w:t>unique supply of protein</w:t>
      </w:r>
      <w:r w:rsidR="00725AFE" w:rsidRPr="00D01CCB">
        <w:rPr>
          <w:lang w:val="en-GB"/>
        </w:rPr>
        <w:t>s</w:t>
      </w:r>
      <w:r w:rsidR="00737BD9" w:rsidRPr="00D01CCB">
        <w:rPr>
          <w:lang w:val="en-GB"/>
        </w:rPr>
        <w:t xml:space="preserve"> in the diet </w:t>
      </w:r>
      <w:r w:rsidRPr="00D01CCB">
        <w:rPr>
          <w:lang w:val="en-GB"/>
        </w:rPr>
        <w:t xml:space="preserve">for some developing countries </w:t>
      </w:r>
      <w:r w:rsidR="00737BD9" w:rsidRPr="00D01CCB">
        <w:rPr>
          <w:lang w:val="en-GB"/>
        </w:rPr>
        <w:t>(</w:t>
      </w:r>
      <w:proofErr w:type="spellStart"/>
      <w:r w:rsidR="00737BD9" w:rsidRPr="00D01CCB">
        <w:rPr>
          <w:lang w:val="en-GB"/>
        </w:rPr>
        <w:t>Riascos</w:t>
      </w:r>
      <w:proofErr w:type="spellEnd"/>
      <w:r w:rsidR="00737BD9" w:rsidRPr="00D01CCB">
        <w:rPr>
          <w:lang w:val="en-GB"/>
        </w:rPr>
        <w:t xml:space="preserve"> et al., 20</w:t>
      </w:r>
      <w:r w:rsidR="00E52A84" w:rsidRPr="00D01CCB">
        <w:rPr>
          <w:lang w:val="en-GB"/>
        </w:rPr>
        <w:t>09</w:t>
      </w:r>
      <w:r w:rsidR="00737BD9" w:rsidRPr="00D01CCB">
        <w:rPr>
          <w:lang w:val="en-GB"/>
        </w:rPr>
        <w:t xml:space="preserve">). </w:t>
      </w:r>
      <w:r>
        <w:rPr>
          <w:lang w:val="en-GB"/>
        </w:rPr>
        <w:t>Till some</w:t>
      </w:r>
      <w:r w:rsidR="00725AFE" w:rsidRPr="00D01CCB">
        <w:rPr>
          <w:lang w:val="en-GB"/>
        </w:rPr>
        <w:t xml:space="preserve"> years ago </w:t>
      </w:r>
      <w:r w:rsidR="00737BD9" w:rsidRPr="00D01CCB">
        <w:rPr>
          <w:lang w:val="en-GB"/>
        </w:rPr>
        <w:t>legumes were considered the poor man’s meat (</w:t>
      </w:r>
      <w:proofErr w:type="spellStart"/>
      <w:r w:rsidR="00737BD9" w:rsidRPr="00D01CCB">
        <w:rPr>
          <w:lang w:val="en-GB"/>
        </w:rPr>
        <w:t>Serdaro</w:t>
      </w:r>
      <w:r w:rsidR="00EC5E53" w:rsidRPr="00D01CCB">
        <w:rPr>
          <w:lang w:val="en-GB"/>
        </w:rPr>
        <w:t>ğ</w:t>
      </w:r>
      <w:r w:rsidR="00737BD9" w:rsidRPr="00D01CCB">
        <w:rPr>
          <w:lang w:val="en-GB"/>
        </w:rPr>
        <w:t>lu</w:t>
      </w:r>
      <w:proofErr w:type="spellEnd"/>
      <w:r w:rsidR="00737BD9" w:rsidRPr="00D01CCB">
        <w:rPr>
          <w:lang w:val="en-GB"/>
        </w:rPr>
        <w:t xml:space="preserve"> et al., 2005)</w:t>
      </w:r>
      <w:r w:rsidR="00725AFE" w:rsidRPr="00D01CCB">
        <w:rPr>
          <w:lang w:val="en-GB"/>
        </w:rPr>
        <w:t>, but recently they have been considerate</w:t>
      </w:r>
      <w:r w:rsidR="00737BD9" w:rsidRPr="00D01CCB">
        <w:rPr>
          <w:lang w:val="en-GB"/>
        </w:rPr>
        <w:t xml:space="preserve"> as </w:t>
      </w:r>
      <w:r w:rsidR="00725AFE" w:rsidRPr="00D01CCB">
        <w:rPr>
          <w:lang w:val="en-GB"/>
        </w:rPr>
        <w:t xml:space="preserve">a healthy </w:t>
      </w:r>
      <w:r w:rsidR="00737BD9" w:rsidRPr="00D01CCB">
        <w:rPr>
          <w:lang w:val="en-GB"/>
        </w:rPr>
        <w:t>alternative</w:t>
      </w:r>
      <w:r w:rsidR="00725AFE" w:rsidRPr="00D01CCB">
        <w:rPr>
          <w:lang w:val="en-GB"/>
        </w:rPr>
        <w:t>, instead of the meat,</w:t>
      </w:r>
      <w:r w:rsidR="00737BD9" w:rsidRPr="00D01CCB">
        <w:rPr>
          <w:lang w:val="en-GB"/>
        </w:rPr>
        <w:t xml:space="preserve"> in the developed countr</w:t>
      </w:r>
      <w:r w:rsidR="00725AFE" w:rsidRPr="00D01CCB">
        <w:rPr>
          <w:lang w:val="en-GB"/>
        </w:rPr>
        <w:t>ies</w:t>
      </w:r>
      <w:r w:rsidR="00737BD9" w:rsidRPr="00D01CCB">
        <w:rPr>
          <w:lang w:val="en-GB"/>
        </w:rPr>
        <w:t>.</w:t>
      </w:r>
    </w:p>
    <w:p w14:paraId="7193EDA4" w14:textId="2C6F4FA9" w:rsidR="00737BD9" w:rsidRPr="00D01CCB" w:rsidRDefault="00160FA3" w:rsidP="00737BD9">
      <w:pPr>
        <w:pStyle w:val="CETBodytext"/>
        <w:rPr>
          <w:lang w:val="en-GB"/>
        </w:rPr>
      </w:pPr>
      <w:r w:rsidRPr="00D01CCB">
        <w:rPr>
          <w:lang w:val="en-GB"/>
        </w:rPr>
        <w:t>T</w:t>
      </w:r>
      <w:r w:rsidR="002F7893" w:rsidRPr="00D01CCB">
        <w:rPr>
          <w:lang w:val="en-GB"/>
        </w:rPr>
        <w:t xml:space="preserve">he choice to move from meat products to alternative products is guided </w:t>
      </w:r>
      <w:r w:rsidR="00925235" w:rsidRPr="00D01CCB">
        <w:rPr>
          <w:lang w:val="en-GB"/>
        </w:rPr>
        <w:t xml:space="preserve">also </w:t>
      </w:r>
      <w:r w:rsidR="002F7893" w:rsidRPr="00D01CCB">
        <w:rPr>
          <w:lang w:val="en-GB"/>
        </w:rPr>
        <w:t>by environmental aspects</w:t>
      </w:r>
      <w:r w:rsidR="00737BD9" w:rsidRPr="00D01CCB">
        <w:rPr>
          <w:lang w:val="en-GB"/>
        </w:rPr>
        <w:t xml:space="preserve">. </w:t>
      </w:r>
      <w:r w:rsidR="00F97BFC" w:rsidRPr="00D01CCB">
        <w:rPr>
          <w:lang w:val="en-GB"/>
        </w:rPr>
        <w:t xml:space="preserve">Many studies have shown </w:t>
      </w:r>
      <w:r w:rsidR="00737BD9" w:rsidRPr="00D01CCB">
        <w:rPr>
          <w:lang w:val="en-GB"/>
        </w:rPr>
        <w:t xml:space="preserve">how meat production processes are directly linked to climate change (Peters et al., 2010; </w:t>
      </w:r>
      <w:proofErr w:type="spellStart"/>
      <w:r w:rsidR="00737BD9" w:rsidRPr="00D01CCB">
        <w:rPr>
          <w:lang w:val="en-GB"/>
        </w:rPr>
        <w:t>Röös</w:t>
      </w:r>
      <w:proofErr w:type="spellEnd"/>
      <w:r w:rsidR="00737BD9" w:rsidRPr="00D01CCB">
        <w:rPr>
          <w:lang w:val="en-GB"/>
        </w:rPr>
        <w:t xml:space="preserve"> et al., 2013). </w:t>
      </w:r>
      <w:r w:rsidR="001D4B2D" w:rsidRPr="00D01CCB">
        <w:rPr>
          <w:lang w:val="en-GB"/>
        </w:rPr>
        <w:t>However, even vegetable crops production processes have an environmental impact not negligible.</w:t>
      </w:r>
      <w:r w:rsidR="006A1781" w:rsidRPr="00D01CCB">
        <w:rPr>
          <w:lang w:val="en-GB"/>
        </w:rPr>
        <w:t xml:space="preserve"> T</w:t>
      </w:r>
      <w:r w:rsidR="001D4B2D" w:rsidRPr="00D01CCB">
        <w:rPr>
          <w:lang w:val="en-GB"/>
        </w:rPr>
        <w:t>he livestock request high intake of feeds and produce a high quantity of greenhouse gases (GHG)</w:t>
      </w:r>
      <w:r w:rsidR="006A1781" w:rsidRPr="00D01CCB">
        <w:rPr>
          <w:lang w:val="en-GB"/>
        </w:rPr>
        <w:t xml:space="preserve"> </w:t>
      </w:r>
      <w:r w:rsidRPr="00D01CCB">
        <w:rPr>
          <w:lang w:val="en-GB"/>
        </w:rPr>
        <w:t>but</w:t>
      </w:r>
      <w:r w:rsidR="00E83BF4" w:rsidRPr="00D01CCB">
        <w:rPr>
          <w:lang w:val="en-GB"/>
        </w:rPr>
        <w:t xml:space="preserve">, </w:t>
      </w:r>
      <w:r w:rsidRPr="00D01CCB">
        <w:rPr>
          <w:lang w:val="en-GB"/>
        </w:rPr>
        <w:t>at</w:t>
      </w:r>
      <w:r w:rsidR="00E83BF4" w:rsidRPr="00D01CCB">
        <w:rPr>
          <w:lang w:val="en-GB"/>
        </w:rPr>
        <w:t xml:space="preserve"> the same </w:t>
      </w:r>
      <w:r w:rsidR="008D30C3" w:rsidRPr="00D01CCB">
        <w:rPr>
          <w:lang w:val="en-GB"/>
        </w:rPr>
        <w:t>time, the</w:t>
      </w:r>
      <w:r w:rsidR="001D4B2D" w:rsidRPr="00D01CCB">
        <w:rPr>
          <w:lang w:val="en-GB"/>
        </w:rPr>
        <w:t xml:space="preserve"> legumes require a </w:t>
      </w:r>
      <w:r w:rsidR="00600FE1" w:rsidRPr="00D01CCB">
        <w:rPr>
          <w:lang w:val="en-GB"/>
        </w:rPr>
        <w:t>high-water</w:t>
      </w:r>
      <w:r w:rsidRPr="00D01CCB">
        <w:rPr>
          <w:lang w:val="en-GB"/>
        </w:rPr>
        <w:t xml:space="preserve"> usage</w:t>
      </w:r>
      <w:r w:rsidR="001D4B2D" w:rsidRPr="00D01CCB">
        <w:rPr>
          <w:lang w:val="en-GB"/>
        </w:rPr>
        <w:t xml:space="preserve"> and a large amount of land occupation due to farming activities</w:t>
      </w:r>
      <w:r w:rsidR="00E83BF4" w:rsidRPr="00D01CCB">
        <w:rPr>
          <w:lang w:val="en-GB"/>
        </w:rPr>
        <w:t xml:space="preserve">. </w:t>
      </w:r>
      <w:r w:rsidR="00202CD0" w:rsidRPr="00D01CCB">
        <w:rPr>
          <w:lang w:val="en-GB"/>
        </w:rPr>
        <w:t xml:space="preserve">Moreover, as </w:t>
      </w:r>
      <w:r w:rsidR="00202CD0" w:rsidRPr="00D01CCB">
        <w:rPr>
          <w:noProof/>
          <w:lang w:val="en-GB"/>
        </w:rPr>
        <w:t>meat</w:t>
      </w:r>
      <w:r w:rsidR="00202CD0" w:rsidRPr="00D01CCB">
        <w:rPr>
          <w:lang w:val="en-GB"/>
        </w:rPr>
        <w:t xml:space="preserve"> products, even </w:t>
      </w:r>
      <w:r w:rsidR="00202CD0" w:rsidRPr="00D01CCB">
        <w:rPr>
          <w:noProof/>
          <w:lang w:val="en-GB"/>
        </w:rPr>
        <w:t>legume-based</w:t>
      </w:r>
      <w:r w:rsidR="00202CD0" w:rsidRPr="00D01CCB">
        <w:rPr>
          <w:lang w:val="en-GB"/>
        </w:rPr>
        <w:t xml:space="preserve"> products require several productive steps (</w:t>
      </w:r>
      <w:proofErr w:type="spellStart"/>
      <w:r w:rsidR="00202CD0" w:rsidRPr="00D01CCB">
        <w:rPr>
          <w:lang w:val="en-GB"/>
        </w:rPr>
        <w:t>Sonesson</w:t>
      </w:r>
      <w:proofErr w:type="spellEnd"/>
      <w:r w:rsidR="00202CD0" w:rsidRPr="00D01CCB">
        <w:rPr>
          <w:lang w:val="en-GB"/>
        </w:rPr>
        <w:t xml:space="preserve"> et al., 2010).</w:t>
      </w:r>
      <w:r w:rsidRPr="00D01CCB">
        <w:rPr>
          <w:lang w:val="en-GB"/>
        </w:rPr>
        <w:t xml:space="preserve"> I</w:t>
      </w:r>
      <w:r w:rsidR="00737BD9" w:rsidRPr="00D01CCB">
        <w:rPr>
          <w:lang w:val="en-GB"/>
        </w:rPr>
        <w:t xml:space="preserve">n both the production chains </w:t>
      </w:r>
      <w:r w:rsidR="009271EA" w:rsidRPr="00D01CCB">
        <w:rPr>
          <w:lang w:val="en-GB"/>
        </w:rPr>
        <w:t xml:space="preserve">there </w:t>
      </w:r>
      <w:r w:rsidR="00737BD9" w:rsidRPr="00D01CCB">
        <w:rPr>
          <w:lang w:val="en-GB"/>
        </w:rPr>
        <w:t xml:space="preserve">are different processes that </w:t>
      </w:r>
      <w:r w:rsidRPr="00D01CCB">
        <w:rPr>
          <w:lang w:val="en-GB"/>
        </w:rPr>
        <w:t>have a crucial environmental impact</w:t>
      </w:r>
      <w:r w:rsidR="00737BD9" w:rsidRPr="00D01CCB">
        <w:rPr>
          <w:lang w:val="en-GB"/>
        </w:rPr>
        <w:t xml:space="preserve">. </w:t>
      </w:r>
      <w:r w:rsidRPr="00D01CCB">
        <w:rPr>
          <w:lang w:val="en-GB"/>
        </w:rPr>
        <w:t>Few works</w:t>
      </w:r>
      <w:r w:rsidR="0030639C" w:rsidRPr="00D01CCB">
        <w:rPr>
          <w:lang w:val="en-GB"/>
        </w:rPr>
        <w:t xml:space="preserve"> </w:t>
      </w:r>
      <w:r w:rsidRPr="00D01CCB">
        <w:rPr>
          <w:lang w:val="en-GB"/>
        </w:rPr>
        <w:t xml:space="preserve">are published in </w:t>
      </w:r>
      <w:r w:rsidR="00600FE1" w:rsidRPr="00D01CCB">
        <w:rPr>
          <w:lang w:val="en-GB"/>
        </w:rPr>
        <w:t xml:space="preserve">the </w:t>
      </w:r>
      <w:r w:rsidRPr="00D01CCB">
        <w:rPr>
          <w:noProof/>
          <w:lang w:val="en-GB"/>
        </w:rPr>
        <w:t>literature</w:t>
      </w:r>
      <w:r w:rsidRPr="00D01CCB">
        <w:rPr>
          <w:lang w:val="en-GB"/>
        </w:rPr>
        <w:t xml:space="preserve"> </w:t>
      </w:r>
      <w:r w:rsidR="0030639C" w:rsidRPr="00D01CCB">
        <w:rPr>
          <w:lang w:val="en-GB"/>
        </w:rPr>
        <w:t>regarding the comparison of</w:t>
      </w:r>
      <w:r w:rsidR="008D30C3" w:rsidRPr="00D01CCB">
        <w:rPr>
          <w:lang w:val="en-GB"/>
        </w:rPr>
        <w:t xml:space="preserve"> these</w:t>
      </w:r>
      <w:r w:rsidR="0030639C" w:rsidRPr="00D01CCB">
        <w:rPr>
          <w:lang w:val="en-GB"/>
        </w:rPr>
        <w:t xml:space="preserve"> two production chain</w:t>
      </w:r>
      <w:r w:rsidR="008D30C3" w:rsidRPr="00D01CCB">
        <w:rPr>
          <w:lang w:val="en-GB"/>
        </w:rPr>
        <w:t>s</w:t>
      </w:r>
      <w:r w:rsidRPr="00D01CCB">
        <w:rPr>
          <w:lang w:val="en-GB"/>
        </w:rPr>
        <w:t>,</w:t>
      </w:r>
      <w:r w:rsidR="0030639C" w:rsidRPr="00D01CCB">
        <w:rPr>
          <w:lang w:val="en-GB"/>
        </w:rPr>
        <w:t xml:space="preserve"> </w:t>
      </w:r>
      <w:r w:rsidR="0000235B" w:rsidRPr="00D01CCB">
        <w:rPr>
          <w:lang w:val="en-GB"/>
        </w:rPr>
        <w:t>and</w:t>
      </w:r>
      <w:r w:rsidR="0030639C" w:rsidRPr="00D01CCB">
        <w:rPr>
          <w:lang w:val="en-GB"/>
        </w:rPr>
        <w:t xml:space="preserve"> most of them are mainly focused on a general production chain.  </w:t>
      </w:r>
    </w:p>
    <w:p w14:paraId="531095ED" w14:textId="209A1AAA" w:rsidR="00737BD9" w:rsidRPr="00D01CCB" w:rsidRDefault="00160FA3" w:rsidP="00737BD9">
      <w:pPr>
        <w:pStyle w:val="CETBodytext"/>
        <w:rPr>
          <w:lang w:val="en-GB"/>
        </w:rPr>
      </w:pPr>
      <w:r w:rsidRPr="00D01CCB">
        <w:rPr>
          <w:lang w:val="en-GB"/>
        </w:rPr>
        <w:t>I</w:t>
      </w:r>
      <w:r w:rsidR="00441EC3" w:rsidRPr="00D01CCB">
        <w:rPr>
          <w:lang w:val="en-GB"/>
        </w:rPr>
        <w:t xml:space="preserve">n the last </w:t>
      </w:r>
      <w:r w:rsidR="00441EC3" w:rsidRPr="00D01CCB">
        <w:rPr>
          <w:noProof/>
          <w:lang w:val="en-GB"/>
        </w:rPr>
        <w:t>years</w:t>
      </w:r>
      <w:r w:rsidR="00600FE1" w:rsidRPr="00D01CCB">
        <w:rPr>
          <w:noProof/>
          <w:lang w:val="en-GB"/>
        </w:rPr>
        <w:t>,</w:t>
      </w:r>
      <w:r w:rsidR="00441EC3" w:rsidRPr="00D01CCB">
        <w:rPr>
          <w:lang w:val="en-GB"/>
        </w:rPr>
        <w:t xml:space="preserve"> different formulations of alternative products </w:t>
      </w:r>
      <w:r w:rsidRPr="00D01CCB">
        <w:rPr>
          <w:lang w:val="en-GB"/>
        </w:rPr>
        <w:t xml:space="preserve">become </w:t>
      </w:r>
      <w:r w:rsidR="00441EC3" w:rsidRPr="00D01CCB">
        <w:rPr>
          <w:lang w:val="en-GB"/>
        </w:rPr>
        <w:t xml:space="preserve">available </w:t>
      </w:r>
      <w:r w:rsidRPr="00D01CCB">
        <w:rPr>
          <w:lang w:val="en-GB"/>
        </w:rPr>
        <w:t>o</w:t>
      </w:r>
      <w:r w:rsidR="00441EC3" w:rsidRPr="00D01CCB">
        <w:rPr>
          <w:lang w:val="en-GB"/>
        </w:rPr>
        <w:t>n the market</w:t>
      </w:r>
      <w:r w:rsidRPr="00D01CCB">
        <w:rPr>
          <w:lang w:val="en-GB"/>
        </w:rPr>
        <w:t>. Therefore,</w:t>
      </w:r>
      <w:r w:rsidR="00441EC3" w:rsidRPr="00D01CCB">
        <w:rPr>
          <w:lang w:val="en-GB"/>
        </w:rPr>
        <w:t xml:space="preserve"> the </w:t>
      </w:r>
      <w:r w:rsidR="00635BC9" w:rsidRPr="00D01CCB">
        <w:rPr>
          <w:lang w:val="en-GB"/>
        </w:rPr>
        <w:t xml:space="preserve">aim </w:t>
      </w:r>
      <w:r w:rsidR="00441EC3" w:rsidRPr="00D01CCB">
        <w:rPr>
          <w:lang w:val="en-GB"/>
        </w:rPr>
        <w:t xml:space="preserve">of the work is to quantify the environmental </w:t>
      </w:r>
      <w:r w:rsidR="00635BC9" w:rsidRPr="00D01CCB">
        <w:rPr>
          <w:lang w:val="en-GB"/>
        </w:rPr>
        <w:t>impacts</w:t>
      </w:r>
      <w:r w:rsidR="00441EC3" w:rsidRPr="00D01CCB">
        <w:rPr>
          <w:lang w:val="en-GB"/>
        </w:rPr>
        <w:t xml:space="preserve"> related to the production of one </w:t>
      </w:r>
      <w:r w:rsidR="00635BC9" w:rsidRPr="00D01CCB">
        <w:rPr>
          <w:lang w:val="en-GB"/>
        </w:rPr>
        <w:t xml:space="preserve">burger, a </w:t>
      </w:r>
      <w:r w:rsidR="00441EC3" w:rsidRPr="00D01CCB">
        <w:rPr>
          <w:lang w:val="en-GB"/>
        </w:rPr>
        <w:t xml:space="preserve">worldwide </w:t>
      </w:r>
      <w:r w:rsidR="00635BC9" w:rsidRPr="00D01CCB">
        <w:rPr>
          <w:lang w:val="en-GB"/>
        </w:rPr>
        <w:t>highl</w:t>
      </w:r>
      <w:r w:rsidR="00441EC3" w:rsidRPr="00D01CCB">
        <w:rPr>
          <w:lang w:val="en-GB"/>
        </w:rPr>
        <w:t>y consumed product</w:t>
      </w:r>
      <w:r w:rsidR="00635BC9" w:rsidRPr="00D01CCB">
        <w:rPr>
          <w:lang w:val="en-GB"/>
        </w:rPr>
        <w:t xml:space="preserve">; two different </w:t>
      </w:r>
      <w:r w:rsidR="008374DC" w:rsidRPr="00D01CCB">
        <w:rPr>
          <w:lang w:val="en-GB"/>
        </w:rPr>
        <w:t>typologies</w:t>
      </w:r>
      <w:r w:rsidR="00635BC9" w:rsidRPr="00D01CCB">
        <w:rPr>
          <w:lang w:val="en-GB"/>
        </w:rPr>
        <w:t xml:space="preserve"> were considered: </w:t>
      </w:r>
      <w:r w:rsidR="00DD5904" w:rsidRPr="00D01CCB">
        <w:rPr>
          <w:lang w:val="en-GB"/>
        </w:rPr>
        <w:t>a</w:t>
      </w:r>
      <w:r w:rsidR="00441EC3" w:rsidRPr="00D01CCB">
        <w:rPr>
          <w:lang w:val="en-GB"/>
        </w:rPr>
        <w:t xml:space="preserve"> meat burger </w:t>
      </w:r>
      <w:r w:rsidR="00061C09" w:rsidRPr="00D01CCB">
        <w:rPr>
          <w:lang w:val="en-GB"/>
        </w:rPr>
        <w:t xml:space="preserve">(MB) </w:t>
      </w:r>
      <w:r w:rsidR="00441EC3" w:rsidRPr="00D01CCB">
        <w:rPr>
          <w:lang w:val="en-GB"/>
        </w:rPr>
        <w:t>and</w:t>
      </w:r>
      <w:r w:rsidR="00635BC9" w:rsidRPr="00D01CCB">
        <w:rPr>
          <w:lang w:val="en-GB"/>
        </w:rPr>
        <w:t xml:space="preserve"> </w:t>
      </w:r>
      <w:r w:rsidR="00DD5904" w:rsidRPr="00D01CCB">
        <w:rPr>
          <w:lang w:val="en-GB"/>
        </w:rPr>
        <w:t>a</w:t>
      </w:r>
      <w:r w:rsidR="00441EC3" w:rsidRPr="00D01CCB">
        <w:rPr>
          <w:lang w:val="en-GB"/>
        </w:rPr>
        <w:t xml:space="preserve"> legume-based burger</w:t>
      </w:r>
      <w:r w:rsidR="00061C09" w:rsidRPr="00D01CCB">
        <w:rPr>
          <w:lang w:val="en-GB"/>
        </w:rPr>
        <w:t xml:space="preserve"> (LBB)</w:t>
      </w:r>
      <w:r w:rsidR="00441EC3" w:rsidRPr="00D01CCB">
        <w:rPr>
          <w:lang w:val="en-GB"/>
        </w:rPr>
        <w:t xml:space="preserve">. To perform this comparison the </w:t>
      </w:r>
      <w:r w:rsidR="008D30C3" w:rsidRPr="00D01CCB">
        <w:rPr>
          <w:lang w:val="en-GB"/>
        </w:rPr>
        <w:t xml:space="preserve">Life Cycle Assessment (LCA) </w:t>
      </w:r>
      <w:r w:rsidR="00441EC3" w:rsidRPr="00D01CCB">
        <w:rPr>
          <w:lang w:val="en-GB"/>
        </w:rPr>
        <w:t xml:space="preserve">method </w:t>
      </w:r>
      <w:r w:rsidR="00635BC9" w:rsidRPr="00D01CCB">
        <w:rPr>
          <w:lang w:val="en-GB"/>
        </w:rPr>
        <w:t xml:space="preserve">has </w:t>
      </w:r>
      <w:r w:rsidR="008D30C3" w:rsidRPr="00D01CCB">
        <w:rPr>
          <w:lang w:val="en-GB"/>
        </w:rPr>
        <w:t>been applied</w:t>
      </w:r>
      <w:r w:rsidR="00185FBC" w:rsidRPr="00D01CCB">
        <w:rPr>
          <w:lang w:val="en-GB"/>
        </w:rPr>
        <w:t xml:space="preserve"> (ISO 14040:2006)</w:t>
      </w:r>
      <w:r w:rsidR="00635BC9" w:rsidRPr="00D01CCB">
        <w:rPr>
          <w:lang w:val="en-GB"/>
        </w:rPr>
        <w:t>.</w:t>
      </w:r>
      <w:r w:rsidR="00441EC3" w:rsidRPr="00D01CCB">
        <w:rPr>
          <w:lang w:val="en-GB"/>
        </w:rPr>
        <w:t xml:space="preserve"> </w:t>
      </w:r>
      <w:r w:rsidR="00185FBC" w:rsidRPr="00D01CCB">
        <w:rPr>
          <w:lang w:val="en-GB"/>
        </w:rPr>
        <w:t xml:space="preserve">The comparison between the impacts of the two case studies will be the starting point for the identification of the </w:t>
      </w:r>
      <w:r w:rsidR="00185FBC" w:rsidRPr="00D01CCB">
        <w:rPr>
          <w:noProof/>
          <w:lang w:val="en-GB"/>
        </w:rPr>
        <w:t>environmental</w:t>
      </w:r>
      <w:r w:rsidR="00185FBC" w:rsidRPr="00D01CCB">
        <w:rPr>
          <w:lang w:val="en-GB"/>
        </w:rPr>
        <w:t xml:space="preserve"> safer one.</w:t>
      </w:r>
    </w:p>
    <w:p w14:paraId="33F62172" w14:textId="10A4DEDA" w:rsidR="00737BD9" w:rsidRPr="00D01CCB" w:rsidRDefault="00737BD9" w:rsidP="008374DC">
      <w:pPr>
        <w:pStyle w:val="CETHeading1"/>
        <w:rPr>
          <w:lang w:val="en-GB"/>
        </w:rPr>
      </w:pPr>
      <w:r w:rsidRPr="00D01CCB">
        <w:rPr>
          <w:lang w:val="en-GB"/>
        </w:rPr>
        <w:t>Materials and methods</w:t>
      </w:r>
    </w:p>
    <w:p w14:paraId="046DDED8" w14:textId="61E758C6" w:rsidR="00737BD9" w:rsidRPr="00D01CCB" w:rsidRDefault="00737BD9" w:rsidP="00737BD9">
      <w:pPr>
        <w:pStyle w:val="CETheadingx"/>
        <w:rPr>
          <w:lang w:val="en-GB"/>
        </w:rPr>
      </w:pPr>
      <w:r w:rsidRPr="00D01CCB">
        <w:rPr>
          <w:lang w:val="en-GB"/>
        </w:rPr>
        <w:t xml:space="preserve"> </w:t>
      </w:r>
      <w:r w:rsidR="008E2A25" w:rsidRPr="00D01CCB">
        <w:rPr>
          <w:lang w:val="en-GB"/>
        </w:rPr>
        <w:t>S</w:t>
      </w:r>
      <w:r w:rsidR="003D005C" w:rsidRPr="00D01CCB">
        <w:rPr>
          <w:lang w:val="en-GB"/>
        </w:rPr>
        <w:t>ystem</w:t>
      </w:r>
      <w:r w:rsidR="008E2A25" w:rsidRPr="00D01CCB">
        <w:rPr>
          <w:lang w:val="en-GB"/>
        </w:rPr>
        <w:t xml:space="preserve"> description</w:t>
      </w:r>
      <w:r w:rsidR="007D3299" w:rsidRPr="00D01CCB">
        <w:rPr>
          <w:lang w:val="en-GB"/>
        </w:rPr>
        <w:t xml:space="preserve"> and definition of system boundaries</w:t>
      </w:r>
    </w:p>
    <w:p w14:paraId="441C8C93" w14:textId="2245B6DA" w:rsidR="00737BD9" w:rsidRPr="00D01CCB" w:rsidRDefault="00185FBC" w:rsidP="00737BD9">
      <w:pPr>
        <w:pStyle w:val="CETBodytext"/>
        <w:rPr>
          <w:lang w:val="en-GB"/>
        </w:rPr>
      </w:pPr>
      <w:r w:rsidRPr="00D01CCB">
        <w:rPr>
          <w:lang w:val="en-GB"/>
        </w:rPr>
        <w:t>The functional unit</w:t>
      </w:r>
      <w:r w:rsidR="00F562F8" w:rsidRPr="00D01CCB">
        <w:rPr>
          <w:lang w:val="en-GB"/>
        </w:rPr>
        <w:t xml:space="preserve"> (FU)</w:t>
      </w:r>
      <w:r w:rsidRPr="00D01CCB">
        <w:rPr>
          <w:lang w:val="en-GB"/>
        </w:rPr>
        <w:t xml:space="preserve"> was defined as 1 burger. </w:t>
      </w:r>
      <w:r w:rsidR="00F50DF5" w:rsidRPr="00D01CCB">
        <w:rPr>
          <w:lang w:val="en-GB"/>
        </w:rPr>
        <w:t>A standard</w:t>
      </w:r>
      <w:r w:rsidR="00737BD9" w:rsidRPr="00D01CCB">
        <w:rPr>
          <w:lang w:val="en-GB"/>
        </w:rPr>
        <w:t xml:space="preserve"> </w:t>
      </w:r>
      <w:r w:rsidR="005F35D4">
        <w:rPr>
          <w:lang w:val="en-GB"/>
        </w:rPr>
        <w:t>production</w:t>
      </w:r>
      <w:r w:rsidR="00737BD9" w:rsidRPr="00D01CCB">
        <w:rPr>
          <w:lang w:val="en-GB"/>
        </w:rPr>
        <w:t xml:space="preserve"> </w:t>
      </w:r>
      <w:r w:rsidR="006C3814" w:rsidRPr="00D01CCB">
        <w:rPr>
          <w:lang w:val="en-GB"/>
        </w:rPr>
        <w:t>process was</w:t>
      </w:r>
      <w:r w:rsidR="00737BD9" w:rsidRPr="00D01CCB">
        <w:rPr>
          <w:lang w:val="en-GB"/>
        </w:rPr>
        <w:t xml:space="preserve"> </w:t>
      </w:r>
      <w:r w:rsidR="006C3814" w:rsidRPr="00D01CCB">
        <w:rPr>
          <w:lang w:val="en-GB"/>
        </w:rPr>
        <w:t xml:space="preserve">considered with </w:t>
      </w:r>
      <w:r w:rsidR="00737BD9" w:rsidRPr="00D01CCB">
        <w:rPr>
          <w:noProof/>
          <w:lang w:val="en-GB"/>
        </w:rPr>
        <w:t>productivity</w:t>
      </w:r>
      <w:r w:rsidR="00737BD9" w:rsidRPr="00D01CCB">
        <w:rPr>
          <w:lang w:val="en-GB"/>
        </w:rPr>
        <w:t xml:space="preserve"> equal to 2</w:t>
      </w:r>
      <w:r w:rsidR="007D3299" w:rsidRPr="00D01CCB">
        <w:rPr>
          <w:lang w:val="en-GB"/>
        </w:rPr>
        <w:t>’</w:t>
      </w:r>
      <w:r w:rsidR="00737BD9" w:rsidRPr="00D01CCB">
        <w:rPr>
          <w:lang w:val="en-GB"/>
        </w:rPr>
        <w:t>400 burgers</w:t>
      </w:r>
      <w:r w:rsidR="006C3814" w:rsidRPr="00D01CCB">
        <w:rPr>
          <w:lang w:val="en-GB"/>
        </w:rPr>
        <w:t xml:space="preserve"> </w:t>
      </w:r>
      <w:r w:rsidR="00737BD9" w:rsidRPr="00D01CCB">
        <w:rPr>
          <w:lang w:val="en-GB"/>
        </w:rPr>
        <w:t>hour</w:t>
      </w:r>
      <w:r w:rsidR="006C3814" w:rsidRPr="00D01CCB">
        <w:rPr>
          <w:vertAlign w:val="superscript"/>
          <w:lang w:val="en-GB"/>
        </w:rPr>
        <w:t>-1</w:t>
      </w:r>
      <w:r w:rsidR="006C3814" w:rsidRPr="00D01CCB">
        <w:rPr>
          <w:lang w:val="en-GB"/>
        </w:rPr>
        <w:t xml:space="preserve">, for both the </w:t>
      </w:r>
      <w:r w:rsidR="009F6702">
        <w:rPr>
          <w:lang w:val="en-GB"/>
        </w:rPr>
        <w:t>analysed</w:t>
      </w:r>
      <w:r w:rsidR="006C3814" w:rsidRPr="00D01CCB">
        <w:rPr>
          <w:lang w:val="en-GB"/>
        </w:rPr>
        <w:t xml:space="preserve"> typologies</w:t>
      </w:r>
      <w:r w:rsidR="00737BD9" w:rsidRPr="00D01CCB">
        <w:rPr>
          <w:lang w:val="en-GB"/>
        </w:rPr>
        <w:t>.</w:t>
      </w:r>
      <w:r w:rsidR="006C3814" w:rsidRPr="00D01CCB">
        <w:rPr>
          <w:lang w:val="en-GB"/>
        </w:rPr>
        <w:t xml:space="preserve"> </w:t>
      </w:r>
      <w:r w:rsidR="009F6702">
        <w:rPr>
          <w:lang w:val="en-GB"/>
        </w:rPr>
        <w:t>I</w:t>
      </w:r>
      <w:r w:rsidR="006C3814" w:rsidRPr="00D01CCB">
        <w:rPr>
          <w:lang w:val="en-GB"/>
        </w:rPr>
        <w:t xml:space="preserve">t </w:t>
      </w:r>
      <w:r w:rsidR="00737BD9" w:rsidRPr="00D01CCB">
        <w:rPr>
          <w:lang w:val="en-GB"/>
        </w:rPr>
        <w:t xml:space="preserve">was </w:t>
      </w:r>
      <w:r w:rsidR="006C3814" w:rsidRPr="00D01CCB">
        <w:rPr>
          <w:lang w:val="en-GB"/>
        </w:rPr>
        <w:t xml:space="preserve">assumed </w:t>
      </w:r>
      <w:r w:rsidR="009F6702">
        <w:rPr>
          <w:lang w:val="en-GB"/>
        </w:rPr>
        <w:t>f</w:t>
      </w:r>
      <w:r w:rsidR="009F6702" w:rsidRPr="00D01CCB">
        <w:rPr>
          <w:lang w:val="en-GB"/>
        </w:rPr>
        <w:t xml:space="preserve">or the allocation of the machinery employed in the </w:t>
      </w:r>
      <w:r w:rsidR="009F6702" w:rsidRPr="00D01CCB">
        <w:rPr>
          <w:noProof/>
          <w:lang w:val="en-GB"/>
        </w:rPr>
        <w:t>process</w:t>
      </w:r>
      <w:r w:rsidR="009F6702" w:rsidRPr="00D01CCB">
        <w:rPr>
          <w:lang w:val="en-GB"/>
        </w:rPr>
        <w:t xml:space="preserve"> </w:t>
      </w:r>
      <w:r w:rsidR="00737BD9" w:rsidRPr="00D01CCB">
        <w:rPr>
          <w:lang w:val="en-GB"/>
        </w:rPr>
        <w:t>that the production sites work 365 days</w:t>
      </w:r>
      <w:r w:rsidR="006C3814" w:rsidRPr="00D01CCB">
        <w:rPr>
          <w:lang w:val="en-GB"/>
        </w:rPr>
        <w:t xml:space="preserve"> </w:t>
      </w:r>
      <w:r w:rsidR="00737BD9" w:rsidRPr="00D01CCB">
        <w:rPr>
          <w:lang w:val="en-GB"/>
        </w:rPr>
        <w:t>year</w:t>
      </w:r>
      <w:r w:rsidR="006C3814" w:rsidRPr="00D01CCB">
        <w:rPr>
          <w:vertAlign w:val="superscript"/>
          <w:lang w:val="en-GB"/>
        </w:rPr>
        <w:t>-1</w:t>
      </w:r>
      <w:r w:rsidR="00737BD9" w:rsidRPr="00D01CCB">
        <w:rPr>
          <w:lang w:val="en-GB"/>
        </w:rPr>
        <w:t xml:space="preserve"> and 24 hours</w:t>
      </w:r>
      <w:r w:rsidR="006C3814" w:rsidRPr="00D01CCB">
        <w:rPr>
          <w:lang w:val="en-GB"/>
        </w:rPr>
        <w:t xml:space="preserve"> </w:t>
      </w:r>
      <w:r w:rsidR="00737BD9" w:rsidRPr="00D01CCB">
        <w:rPr>
          <w:lang w:val="en-GB"/>
        </w:rPr>
        <w:t>day</w:t>
      </w:r>
      <w:r w:rsidR="006C3814" w:rsidRPr="00D01CCB">
        <w:rPr>
          <w:vertAlign w:val="superscript"/>
          <w:lang w:val="en-GB"/>
        </w:rPr>
        <w:t>-1</w:t>
      </w:r>
      <w:r w:rsidR="00737BD9" w:rsidRPr="00D01CCB">
        <w:rPr>
          <w:lang w:val="en-GB"/>
        </w:rPr>
        <w:t xml:space="preserve">. The </w:t>
      </w:r>
      <w:r w:rsidR="009F6702">
        <w:rPr>
          <w:lang w:val="en-GB"/>
        </w:rPr>
        <w:t>average</w:t>
      </w:r>
      <w:r w:rsidR="00737BD9" w:rsidRPr="00D01CCB">
        <w:rPr>
          <w:lang w:val="en-GB"/>
        </w:rPr>
        <w:t xml:space="preserve"> life</w:t>
      </w:r>
      <w:r w:rsidR="009F6702">
        <w:rPr>
          <w:lang w:val="en-GB"/>
        </w:rPr>
        <w:t>time</w:t>
      </w:r>
      <w:r w:rsidR="00737BD9" w:rsidRPr="00D01CCB">
        <w:rPr>
          <w:lang w:val="en-GB"/>
        </w:rPr>
        <w:t xml:space="preserve"> of all the machinery to produce one burger was </w:t>
      </w:r>
      <w:r w:rsidR="006C3814" w:rsidRPr="00D01CCB">
        <w:rPr>
          <w:lang w:val="en-GB"/>
        </w:rPr>
        <w:t>supposed</w:t>
      </w:r>
      <w:r w:rsidR="00600FE1" w:rsidRPr="00D01CCB">
        <w:rPr>
          <w:lang w:val="en-GB"/>
        </w:rPr>
        <w:t xml:space="preserve"> </w:t>
      </w:r>
      <w:r w:rsidR="00737BD9" w:rsidRPr="00D01CCB">
        <w:rPr>
          <w:noProof/>
          <w:lang w:val="en-GB"/>
        </w:rPr>
        <w:t>equal</w:t>
      </w:r>
      <w:r w:rsidR="00737BD9" w:rsidRPr="00D01CCB">
        <w:rPr>
          <w:lang w:val="en-GB"/>
        </w:rPr>
        <w:t xml:space="preserve"> to 10 years. </w:t>
      </w:r>
    </w:p>
    <w:p w14:paraId="1649BFB8" w14:textId="70F8FADB" w:rsidR="00737BD9" w:rsidRPr="00D01CCB" w:rsidRDefault="00737BD9" w:rsidP="00737BD9">
      <w:pPr>
        <w:pStyle w:val="CETBodytext"/>
        <w:rPr>
          <w:lang w:val="en-GB"/>
        </w:rPr>
      </w:pPr>
      <w:r w:rsidRPr="00D01CCB">
        <w:rPr>
          <w:lang w:val="en-GB"/>
        </w:rPr>
        <w:t xml:space="preserve">The </w:t>
      </w:r>
      <w:r w:rsidR="006C3814" w:rsidRPr="00D01CCB">
        <w:rPr>
          <w:lang w:val="en-GB"/>
        </w:rPr>
        <w:t xml:space="preserve">studied </w:t>
      </w:r>
      <w:r w:rsidRPr="00D01CCB">
        <w:rPr>
          <w:lang w:val="en-GB"/>
        </w:rPr>
        <w:t xml:space="preserve">chains </w:t>
      </w:r>
      <w:r w:rsidR="006C3814" w:rsidRPr="00D01CCB">
        <w:rPr>
          <w:lang w:val="en-GB"/>
        </w:rPr>
        <w:t>show</w:t>
      </w:r>
      <w:r w:rsidRPr="00D01CCB">
        <w:rPr>
          <w:lang w:val="en-GB"/>
        </w:rPr>
        <w:t xml:space="preserve"> three different phases:</w:t>
      </w:r>
      <w:r w:rsidR="006C3814" w:rsidRPr="00D01CCB">
        <w:rPr>
          <w:lang w:val="en-GB"/>
        </w:rPr>
        <w:t xml:space="preserve"> </w:t>
      </w:r>
    </w:p>
    <w:p w14:paraId="264CA0EE" w14:textId="678482D0" w:rsidR="00737BD9" w:rsidRPr="00D01CCB" w:rsidRDefault="00737BD9" w:rsidP="00737BD9">
      <w:pPr>
        <w:pStyle w:val="CETBodytext"/>
        <w:numPr>
          <w:ilvl w:val="0"/>
          <w:numId w:val="23"/>
        </w:numPr>
        <w:rPr>
          <w:lang w:val="en-GB"/>
        </w:rPr>
      </w:pPr>
      <w:r w:rsidRPr="00D01CCB">
        <w:rPr>
          <w:b/>
          <w:lang w:val="en-GB"/>
        </w:rPr>
        <w:t>The agricultural phase</w:t>
      </w:r>
      <w:r w:rsidRPr="00D01CCB">
        <w:rPr>
          <w:lang w:val="en-GB"/>
        </w:rPr>
        <w:t xml:space="preserve">: </w:t>
      </w:r>
      <w:r w:rsidR="003202ED" w:rsidRPr="00D01CCB">
        <w:rPr>
          <w:lang w:val="en-GB"/>
        </w:rPr>
        <w:t xml:space="preserve">for </w:t>
      </w:r>
      <w:r w:rsidRPr="00D01CCB">
        <w:rPr>
          <w:lang w:val="en-GB"/>
        </w:rPr>
        <w:t xml:space="preserve">the MB </w:t>
      </w:r>
      <w:r w:rsidR="003202ED" w:rsidRPr="00D01CCB">
        <w:rPr>
          <w:lang w:val="en-GB"/>
        </w:rPr>
        <w:t>the agricultural phase regards</w:t>
      </w:r>
      <w:r w:rsidRPr="00D01CCB">
        <w:rPr>
          <w:lang w:val="en-GB"/>
        </w:rPr>
        <w:t xml:space="preserve"> all the activities </w:t>
      </w:r>
      <w:r w:rsidR="003202ED" w:rsidRPr="00D01CCB">
        <w:rPr>
          <w:lang w:val="en-GB"/>
        </w:rPr>
        <w:t>related</w:t>
      </w:r>
      <w:r w:rsidRPr="00D01CCB">
        <w:rPr>
          <w:lang w:val="en-GB"/>
        </w:rPr>
        <w:t xml:space="preserve"> to </w:t>
      </w:r>
      <w:r w:rsidR="003202ED" w:rsidRPr="00D01CCB">
        <w:rPr>
          <w:lang w:val="en-GB"/>
        </w:rPr>
        <w:t xml:space="preserve">the production of food, the </w:t>
      </w:r>
      <w:r w:rsidRPr="00D01CCB">
        <w:rPr>
          <w:lang w:val="en-GB"/>
        </w:rPr>
        <w:t xml:space="preserve">guard and </w:t>
      </w:r>
      <w:r w:rsidR="003202ED" w:rsidRPr="00D01CCB">
        <w:rPr>
          <w:lang w:val="en-GB"/>
        </w:rPr>
        <w:t xml:space="preserve">the </w:t>
      </w:r>
      <w:r w:rsidRPr="00D01CCB">
        <w:rPr>
          <w:noProof/>
          <w:lang w:val="en-GB"/>
        </w:rPr>
        <w:t>grow</w:t>
      </w:r>
      <w:r w:rsidR="00600FE1" w:rsidRPr="00D01CCB">
        <w:rPr>
          <w:noProof/>
          <w:lang w:val="en-GB"/>
        </w:rPr>
        <w:t>th</w:t>
      </w:r>
      <w:r w:rsidRPr="00D01CCB">
        <w:rPr>
          <w:lang w:val="en-GB"/>
        </w:rPr>
        <w:t xml:space="preserve"> </w:t>
      </w:r>
      <w:r w:rsidR="003202ED" w:rsidRPr="00D01CCB">
        <w:rPr>
          <w:lang w:val="en-GB"/>
        </w:rPr>
        <w:t xml:space="preserve">of </w:t>
      </w:r>
      <w:r w:rsidRPr="00D01CCB">
        <w:rPr>
          <w:lang w:val="en-GB"/>
        </w:rPr>
        <w:t xml:space="preserve">the livestock. Regarding the LBB, it includes </w:t>
      </w:r>
      <w:r w:rsidRPr="00D01CCB">
        <w:rPr>
          <w:noProof/>
          <w:lang w:val="en-GB"/>
        </w:rPr>
        <w:t>farming</w:t>
      </w:r>
      <w:r w:rsidRPr="00D01CCB">
        <w:rPr>
          <w:lang w:val="en-GB"/>
        </w:rPr>
        <w:t xml:space="preserve"> </w:t>
      </w:r>
      <w:r w:rsidR="003202ED" w:rsidRPr="00D01CCB">
        <w:rPr>
          <w:lang w:val="en-GB"/>
        </w:rPr>
        <w:t xml:space="preserve">activities </w:t>
      </w:r>
      <w:r w:rsidRPr="00D01CCB">
        <w:rPr>
          <w:lang w:val="en-GB"/>
        </w:rPr>
        <w:t>to obtain the legumes</w:t>
      </w:r>
      <w:r w:rsidR="00C4581B">
        <w:rPr>
          <w:lang w:val="en-GB"/>
        </w:rPr>
        <w:t xml:space="preserve"> and the</w:t>
      </w:r>
      <w:r w:rsidRPr="00D01CCB">
        <w:rPr>
          <w:lang w:val="en-GB"/>
        </w:rPr>
        <w:t xml:space="preserve"> activities necessary to obtain the secondary ingredients of the LBB.</w:t>
      </w:r>
    </w:p>
    <w:p w14:paraId="64C68EF2" w14:textId="3528984F" w:rsidR="00737BD9" w:rsidRPr="00D01CCB" w:rsidRDefault="00737BD9" w:rsidP="00737BD9">
      <w:pPr>
        <w:pStyle w:val="CETBodytext"/>
        <w:numPr>
          <w:ilvl w:val="0"/>
          <w:numId w:val="23"/>
        </w:numPr>
        <w:rPr>
          <w:lang w:val="en-GB"/>
        </w:rPr>
      </w:pPr>
      <w:r w:rsidRPr="00D01CCB">
        <w:rPr>
          <w:b/>
          <w:lang w:val="en-GB"/>
        </w:rPr>
        <w:t>Transformation phase</w:t>
      </w:r>
      <w:r w:rsidRPr="00D01CCB">
        <w:rPr>
          <w:lang w:val="en-GB"/>
        </w:rPr>
        <w:t xml:space="preserve">: </w:t>
      </w:r>
      <w:r w:rsidR="003202ED" w:rsidRPr="00D01CCB">
        <w:rPr>
          <w:lang w:val="en-GB"/>
        </w:rPr>
        <w:t>this phase is related to</w:t>
      </w:r>
      <w:r w:rsidRPr="00D01CCB">
        <w:rPr>
          <w:lang w:val="en-GB"/>
        </w:rPr>
        <w:t xml:space="preserve"> all the activities </w:t>
      </w:r>
      <w:r w:rsidR="00D64369" w:rsidRPr="00D01CCB">
        <w:rPr>
          <w:lang w:val="en-GB"/>
        </w:rPr>
        <w:t xml:space="preserve">which are </w:t>
      </w:r>
      <w:r w:rsidRPr="00D01CCB">
        <w:rPr>
          <w:lang w:val="en-GB"/>
        </w:rPr>
        <w:t xml:space="preserve">necessary to transform the raw material into the final products. In the case of the MB, this represents the simplest transformation phase, it implies only the mixing and the forming procedures. Concerning the LBB, </w:t>
      </w:r>
      <w:r w:rsidR="003202ED" w:rsidRPr="00D01CCB">
        <w:rPr>
          <w:lang w:val="en-GB"/>
        </w:rPr>
        <w:t xml:space="preserve">it </w:t>
      </w:r>
      <w:r w:rsidRPr="00D01CCB">
        <w:rPr>
          <w:lang w:val="en-GB"/>
        </w:rPr>
        <w:t xml:space="preserve">requires more than one process due to the different ingredients and the complexity of the formulation. </w:t>
      </w:r>
    </w:p>
    <w:p w14:paraId="2632FA77" w14:textId="0A23566A" w:rsidR="008E2A25" w:rsidRPr="00D01CCB" w:rsidRDefault="00737BD9" w:rsidP="008E2A25">
      <w:pPr>
        <w:pStyle w:val="CETBodytext"/>
        <w:numPr>
          <w:ilvl w:val="0"/>
          <w:numId w:val="23"/>
        </w:numPr>
        <w:rPr>
          <w:lang w:val="en-GB"/>
        </w:rPr>
      </w:pPr>
      <w:r w:rsidRPr="00D01CCB">
        <w:rPr>
          <w:b/>
          <w:lang w:val="en-GB"/>
        </w:rPr>
        <w:t>Cooking phase</w:t>
      </w:r>
      <w:r w:rsidRPr="00D01CCB">
        <w:rPr>
          <w:lang w:val="en-GB"/>
        </w:rPr>
        <w:t>: it refers to th</w:t>
      </w:r>
      <w:r w:rsidR="00174F35">
        <w:rPr>
          <w:lang w:val="en-GB"/>
        </w:rPr>
        <w:t>e</w:t>
      </w:r>
      <w:r w:rsidRPr="00D01CCB">
        <w:rPr>
          <w:lang w:val="en-GB"/>
        </w:rPr>
        <w:t xml:space="preserve"> activity </w:t>
      </w:r>
      <w:r w:rsidR="00D64369" w:rsidRPr="00D01CCB">
        <w:rPr>
          <w:lang w:val="en-GB"/>
        </w:rPr>
        <w:t>requir</w:t>
      </w:r>
      <w:r w:rsidR="00174F35">
        <w:rPr>
          <w:lang w:val="en-GB"/>
        </w:rPr>
        <w:t>ing</w:t>
      </w:r>
      <w:r w:rsidR="00D64369" w:rsidRPr="00D01CCB">
        <w:rPr>
          <w:lang w:val="en-GB"/>
        </w:rPr>
        <w:t xml:space="preserve"> </w:t>
      </w:r>
      <w:r w:rsidRPr="00D01CCB">
        <w:rPr>
          <w:lang w:val="en-GB"/>
        </w:rPr>
        <w:t xml:space="preserve">energy </w:t>
      </w:r>
      <w:r w:rsidR="00174F35">
        <w:rPr>
          <w:lang w:val="en-GB"/>
        </w:rPr>
        <w:t>for the</w:t>
      </w:r>
      <w:r w:rsidRPr="00D01CCB">
        <w:rPr>
          <w:lang w:val="en-GB"/>
        </w:rPr>
        <w:t xml:space="preserve"> transform</w:t>
      </w:r>
      <w:r w:rsidR="00174F35">
        <w:rPr>
          <w:lang w:val="en-GB"/>
        </w:rPr>
        <w:t>ation of</w:t>
      </w:r>
      <w:r w:rsidRPr="00D01CCB">
        <w:rPr>
          <w:lang w:val="en-GB"/>
        </w:rPr>
        <w:t xml:space="preserve"> the finished product into edible </w:t>
      </w:r>
      <w:r w:rsidR="00174F35">
        <w:rPr>
          <w:lang w:val="en-GB"/>
        </w:rPr>
        <w:t>food</w:t>
      </w:r>
      <w:r w:rsidRPr="00D01CCB">
        <w:rPr>
          <w:lang w:val="en-GB"/>
        </w:rPr>
        <w:t xml:space="preserve">. </w:t>
      </w:r>
    </w:p>
    <w:p w14:paraId="429313D7" w14:textId="4B1BE805" w:rsidR="00737BD9" w:rsidRPr="00D01CCB" w:rsidRDefault="00737BD9" w:rsidP="00670157">
      <w:pPr>
        <w:pStyle w:val="CETBodytext"/>
        <w:spacing w:before="240"/>
        <w:rPr>
          <w:lang w:val="en-GB"/>
        </w:rPr>
      </w:pPr>
      <w:r w:rsidRPr="00D01CCB">
        <w:rPr>
          <w:lang w:val="en-GB"/>
        </w:rPr>
        <w:t xml:space="preserve">A </w:t>
      </w:r>
      <w:r w:rsidRPr="00D01CCB">
        <w:rPr>
          <w:i/>
          <w:lang w:val="en-GB"/>
        </w:rPr>
        <w:t>cradle-to-grave</w:t>
      </w:r>
      <w:r w:rsidRPr="00D01CCB">
        <w:rPr>
          <w:lang w:val="en-GB"/>
        </w:rPr>
        <w:t xml:space="preserve"> approach was applied</w:t>
      </w:r>
      <w:r w:rsidR="007D3299" w:rsidRPr="00D01CCB">
        <w:rPr>
          <w:lang w:val="en-GB"/>
        </w:rPr>
        <w:t>, considering</w:t>
      </w:r>
      <w:r w:rsidRPr="00D01CCB">
        <w:rPr>
          <w:lang w:val="en-GB"/>
        </w:rPr>
        <w:t xml:space="preserve"> all the activit</w:t>
      </w:r>
      <w:r w:rsidR="007D3299" w:rsidRPr="00D01CCB">
        <w:rPr>
          <w:lang w:val="en-GB"/>
        </w:rPr>
        <w:t>ies</w:t>
      </w:r>
      <w:r w:rsidRPr="00D01CCB">
        <w:rPr>
          <w:lang w:val="en-GB"/>
        </w:rPr>
        <w:t xml:space="preserve"> from the farm (livestock and legumes), through the production of the burgers</w:t>
      </w:r>
      <w:r w:rsidR="007D3299" w:rsidRPr="00D01CCB">
        <w:rPr>
          <w:lang w:val="en-GB"/>
        </w:rPr>
        <w:t>,</w:t>
      </w:r>
      <w:r w:rsidRPr="00D01CCB">
        <w:rPr>
          <w:lang w:val="en-GB"/>
        </w:rPr>
        <w:t xml:space="preserve"> till the cooking and consumption. In the whole production and consumption chain, no attention was paid to</w:t>
      </w:r>
      <w:r w:rsidR="00824A4A">
        <w:rPr>
          <w:lang w:val="en-GB"/>
        </w:rPr>
        <w:t xml:space="preserve"> (</w:t>
      </w:r>
      <w:proofErr w:type="spellStart"/>
      <w:r w:rsidR="00824A4A">
        <w:rPr>
          <w:lang w:val="en-GB"/>
        </w:rPr>
        <w:t>i</w:t>
      </w:r>
      <w:proofErr w:type="spellEnd"/>
      <w:r w:rsidR="00824A4A">
        <w:rPr>
          <w:lang w:val="en-GB"/>
        </w:rPr>
        <w:t>) t</w:t>
      </w:r>
      <w:r w:rsidRPr="00D01CCB">
        <w:rPr>
          <w:lang w:val="en-GB"/>
        </w:rPr>
        <w:t>he transport of intermediate products</w:t>
      </w:r>
      <w:r w:rsidR="00824A4A">
        <w:rPr>
          <w:lang w:val="en-GB"/>
        </w:rPr>
        <w:t>, (ii) t</w:t>
      </w:r>
      <w:r w:rsidRPr="00D01CCB">
        <w:rPr>
          <w:lang w:val="en-GB"/>
        </w:rPr>
        <w:t xml:space="preserve">he transport and </w:t>
      </w:r>
      <w:r w:rsidRPr="00D01CCB">
        <w:rPr>
          <w:noProof/>
          <w:lang w:val="en-GB"/>
        </w:rPr>
        <w:t>logistic</w:t>
      </w:r>
      <w:r w:rsidR="00600FE1" w:rsidRPr="00D01CCB">
        <w:rPr>
          <w:noProof/>
          <w:lang w:val="en-GB"/>
        </w:rPr>
        <w:t>s</w:t>
      </w:r>
      <w:r w:rsidRPr="00D01CCB">
        <w:rPr>
          <w:lang w:val="en-GB"/>
        </w:rPr>
        <w:t xml:space="preserve"> activities of the final product to the </w:t>
      </w:r>
      <w:r w:rsidR="003202ED" w:rsidRPr="00D01CCB">
        <w:rPr>
          <w:lang w:val="en-GB"/>
        </w:rPr>
        <w:t xml:space="preserve">mass </w:t>
      </w:r>
      <w:r w:rsidRPr="00D01CCB">
        <w:rPr>
          <w:lang w:val="en-GB"/>
        </w:rPr>
        <w:t>distribution channel and to the consumers</w:t>
      </w:r>
      <w:r w:rsidR="00824A4A">
        <w:rPr>
          <w:lang w:val="en-GB"/>
        </w:rPr>
        <w:t xml:space="preserve"> and (iii) t</w:t>
      </w:r>
      <w:r w:rsidRPr="00D01CCB">
        <w:rPr>
          <w:lang w:val="en-GB"/>
        </w:rPr>
        <w:t>he storage activities of the products.</w:t>
      </w:r>
      <w:r w:rsidR="00824A4A">
        <w:rPr>
          <w:lang w:val="en-GB"/>
        </w:rPr>
        <w:t xml:space="preserve"> </w:t>
      </w:r>
      <w:r w:rsidRPr="00D01CCB">
        <w:rPr>
          <w:lang w:val="en-GB"/>
        </w:rPr>
        <w:t xml:space="preserve">The decision to not include in the study these phases </w:t>
      </w:r>
      <w:r w:rsidR="003202ED" w:rsidRPr="00D01CCB">
        <w:rPr>
          <w:lang w:val="en-GB"/>
        </w:rPr>
        <w:t xml:space="preserve">is </w:t>
      </w:r>
      <w:r w:rsidRPr="00D01CCB">
        <w:rPr>
          <w:lang w:val="en-GB"/>
        </w:rPr>
        <w:t xml:space="preserve">supported </w:t>
      </w:r>
      <w:r w:rsidR="003202ED" w:rsidRPr="00D01CCB">
        <w:rPr>
          <w:lang w:val="en-GB"/>
        </w:rPr>
        <w:t xml:space="preserve">mainly </w:t>
      </w:r>
      <w:r w:rsidRPr="00D01CCB">
        <w:rPr>
          <w:lang w:val="en-GB"/>
        </w:rPr>
        <w:t xml:space="preserve">by the </w:t>
      </w:r>
      <w:r w:rsidR="003202ED" w:rsidRPr="00D01CCB">
        <w:rPr>
          <w:lang w:val="en-GB"/>
        </w:rPr>
        <w:t xml:space="preserve">full </w:t>
      </w:r>
      <w:r w:rsidRPr="00D01CCB">
        <w:rPr>
          <w:lang w:val="en-GB"/>
        </w:rPr>
        <w:t>comparability of the</w:t>
      </w:r>
      <w:r w:rsidR="003202ED" w:rsidRPr="00D01CCB">
        <w:rPr>
          <w:lang w:val="en-GB"/>
        </w:rPr>
        <w:t>se phases</w:t>
      </w:r>
      <w:r w:rsidRPr="00D01CCB">
        <w:rPr>
          <w:lang w:val="en-GB"/>
        </w:rPr>
        <w:t xml:space="preserve"> in the two different production chains, </w:t>
      </w:r>
      <w:r w:rsidR="003202ED" w:rsidRPr="00D01CCB">
        <w:rPr>
          <w:lang w:val="en-GB"/>
        </w:rPr>
        <w:t>result</w:t>
      </w:r>
      <w:r w:rsidR="00174F35">
        <w:rPr>
          <w:lang w:val="en-GB"/>
        </w:rPr>
        <w:t>ing</w:t>
      </w:r>
      <w:r w:rsidR="003202ED" w:rsidRPr="00D01CCB">
        <w:rPr>
          <w:lang w:val="en-GB"/>
        </w:rPr>
        <w:t xml:space="preserve"> in a negligible effect to th</w:t>
      </w:r>
      <w:r w:rsidR="00DF06DD" w:rsidRPr="00D01CCB">
        <w:rPr>
          <w:lang w:val="en-GB"/>
        </w:rPr>
        <w:t>is</w:t>
      </w:r>
      <w:r w:rsidR="003202ED" w:rsidRPr="00D01CCB">
        <w:rPr>
          <w:lang w:val="en-GB"/>
        </w:rPr>
        <w:t xml:space="preserve"> comparative study</w:t>
      </w:r>
      <w:r w:rsidRPr="00D01CCB">
        <w:rPr>
          <w:lang w:val="en-GB"/>
        </w:rPr>
        <w:t xml:space="preserve">. </w:t>
      </w:r>
    </w:p>
    <w:p w14:paraId="1F6CE5B1" w14:textId="7B5AD934" w:rsidR="00737BD9" w:rsidRPr="00D01CCB" w:rsidRDefault="008D30C3" w:rsidP="00737BD9">
      <w:pPr>
        <w:pStyle w:val="CETheadingx"/>
        <w:rPr>
          <w:lang w:val="en-GB"/>
        </w:rPr>
      </w:pPr>
      <w:r w:rsidRPr="00D01CCB">
        <w:rPr>
          <w:lang w:val="en-GB"/>
        </w:rPr>
        <w:t xml:space="preserve">Meat burger </w:t>
      </w:r>
      <w:r w:rsidR="00737BD9" w:rsidRPr="00D01CCB">
        <w:rPr>
          <w:lang w:val="en-GB"/>
        </w:rPr>
        <w:t>Life Cycle Inventory</w:t>
      </w:r>
      <w:r w:rsidRPr="00D01CCB">
        <w:rPr>
          <w:lang w:val="en-GB"/>
        </w:rPr>
        <w:t xml:space="preserve"> (LCI)</w:t>
      </w:r>
      <w:r w:rsidR="00737BD9" w:rsidRPr="00D01CCB">
        <w:rPr>
          <w:lang w:val="en-GB"/>
        </w:rPr>
        <w:t xml:space="preserve"> </w:t>
      </w:r>
    </w:p>
    <w:p w14:paraId="5DC6AD33" w14:textId="57F9CEED" w:rsidR="00670157" w:rsidRPr="00D01CCB" w:rsidRDefault="00737BD9" w:rsidP="00670157">
      <w:pPr>
        <w:pStyle w:val="CETBodytext"/>
        <w:rPr>
          <w:lang w:val="en-GB"/>
        </w:rPr>
      </w:pPr>
      <w:r w:rsidRPr="00D01CCB">
        <w:rPr>
          <w:lang w:val="en-GB"/>
        </w:rPr>
        <w:t>The production of one MB requires</w:t>
      </w:r>
      <w:r w:rsidR="0014185D" w:rsidRPr="00D01CCB">
        <w:rPr>
          <w:lang w:val="en-GB"/>
        </w:rPr>
        <w:t xml:space="preserve"> </w:t>
      </w:r>
      <w:r w:rsidRPr="00D01CCB">
        <w:rPr>
          <w:lang w:val="en-GB"/>
        </w:rPr>
        <w:t>100</w:t>
      </w:r>
      <w:r w:rsidR="00F54702" w:rsidRPr="00D01CCB">
        <w:rPr>
          <w:lang w:val="en-GB"/>
        </w:rPr>
        <w:t xml:space="preserve"> </w:t>
      </w:r>
      <w:r w:rsidRPr="00D01CCB">
        <w:rPr>
          <w:lang w:val="en-GB"/>
        </w:rPr>
        <w:t xml:space="preserve">g of raw meat. For the formulation of </w:t>
      </w:r>
      <w:r w:rsidR="0014185D" w:rsidRPr="00D01CCB">
        <w:rPr>
          <w:lang w:val="en-GB"/>
        </w:rPr>
        <w:t>one</w:t>
      </w:r>
      <w:r w:rsidRPr="00D01CCB">
        <w:rPr>
          <w:lang w:val="en-GB"/>
        </w:rPr>
        <w:t xml:space="preserve"> </w:t>
      </w:r>
      <w:r w:rsidR="003D243A" w:rsidRPr="00D01CCB">
        <w:rPr>
          <w:lang w:val="en-GB"/>
        </w:rPr>
        <w:t>MB</w:t>
      </w:r>
      <w:r w:rsidRPr="00D01CCB">
        <w:rPr>
          <w:lang w:val="en-GB"/>
        </w:rPr>
        <w:t xml:space="preserve">, no secondary ingredients were considered. For the meat input, secondary data were used </w:t>
      </w:r>
      <w:r w:rsidR="003D243A" w:rsidRPr="00D01CCB">
        <w:rPr>
          <w:lang w:val="en-GB"/>
        </w:rPr>
        <w:t>for impact calculation</w:t>
      </w:r>
      <w:r w:rsidRPr="00D01CCB">
        <w:rPr>
          <w:lang w:val="en-GB"/>
        </w:rPr>
        <w:t xml:space="preserve">. </w:t>
      </w:r>
      <w:r w:rsidR="003D243A" w:rsidRPr="00D01CCB">
        <w:rPr>
          <w:lang w:val="en-GB"/>
        </w:rPr>
        <w:t>The flowsheet of operations considers (</w:t>
      </w:r>
      <w:proofErr w:type="spellStart"/>
      <w:r w:rsidR="003D243A" w:rsidRPr="00D01CCB">
        <w:rPr>
          <w:lang w:val="en-GB"/>
        </w:rPr>
        <w:t>i</w:t>
      </w:r>
      <w:proofErr w:type="spellEnd"/>
      <w:r w:rsidR="003D243A" w:rsidRPr="00D01CCB">
        <w:rPr>
          <w:lang w:val="en-GB"/>
        </w:rPr>
        <w:t>)</w:t>
      </w:r>
      <w:r w:rsidR="005E3A35" w:rsidRPr="00D01CCB">
        <w:rPr>
          <w:lang w:val="en-GB"/>
        </w:rPr>
        <w:t xml:space="preserve"> a mixing phase</w:t>
      </w:r>
      <w:r w:rsidR="003D243A" w:rsidRPr="00D01CCB">
        <w:rPr>
          <w:lang w:val="en-GB"/>
        </w:rPr>
        <w:t xml:space="preserve"> of the</w:t>
      </w:r>
      <w:r w:rsidRPr="00D01CCB">
        <w:rPr>
          <w:lang w:val="en-GB"/>
        </w:rPr>
        <w:t xml:space="preserve"> meat</w:t>
      </w:r>
      <w:r w:rsidR="003D243A" w:rsidRPr="00D01CCB">
        <w:rPr>
          <w:lang w:val="en-GB"/>
        </w:rPr>
        <w:t>,</w:t>
      </w:r>
      <w:r w:rsidRPr="00D01CCB">
        <w:rPr>
          <w:lang w:val="en-GB"/>
        </w:rPr>
        <w:t xml:space="preserve"> </w:t>
      </w:r>
      <w:r w:rsidR="003D243A" w:rsidRPr="00D01CCB">
        <w:rPr>
          <w:lang w:val="en-GB"/>
        </w:rPr>
        <w:t>(ii)</w:t>
      </w:r>
      <w:r w:rsidRPr="00D01CCB">
        <w:rPr>
          <w:lang w:val="en-GB"/>
        </w:rPr>
        <w:t xml:space="preserve"> a shaping phase </w:t>
      </w:r>
      <w:r w:rsidR="00F562F8" w:rsidRPr="00D01CCB">
        <w:rPr>
          <w:lang w:val="en-GB"/>
        </w:rPr>
        <w:t xml:space="preserve">to create </w:t>
      </w:r>
      <w:r w:rsidRPr="00D01CCB">
        <w:rPr>
          <w:lang w:val="en-GB"/>
        </w:rPr>
        <w:t>the meat burger using the forming machine</w:t>
      </w:r>
      <w:r w:rsidR="00F562F8" w:rsidRPr="00D01CCB">
        <w:rPr>
          <w:lang w:val="en-GB"/>
        </w:rPr>
        <w:t xml:space="preserve"> and (iii) t</w:t>
      </w:r>
      <w:r w:rsidRPr="00D01CCB">
        <w:rPr>
          <w:lang w:val="en-GB"/>
        </w:rPr>
        <w:t>he packag</w:t>
      </w:r>
      <w:r w:rsidR="00F562F8" w:rsidRPr="00D01CCB">
        <w:rPr>
          <w:lang w:val="en-GB"/>
        </w:rPr>
        <w:t>ing</w:t>
      </w:r>
      <w:r w:rsidRPr="00D01CCB">
        <w:rPr>
          <w:lang w:val="en-GB"/>
        </w:rPr>
        <w:t xml:space="preserve"> </w:t>
      </w:r>
      <w:r w:rsidR="00F562F8" w:rsidRPr="00D01CCB">
        <w:rPr>
          <w:lang w:val="en-GB"/>
        </w:rPr>
        <w:t xml:space="preserve">using </w:t>
      </w:r>
      <w:r w:rsidRPr="00D01CCB">
        <w:rPr>
          <w:lang w:val="en-GB"/>
        </w:rPr>
        <w:t xml:space="preserve">a plastic film </w:t>
      </w:r>
      <w:r w:rsidR="00F562F8" w:rsidRPr="00D01CCB">
        <w:rPr>
          <w:lang w:val="en-GB"/>
        </w:rPr>
        <w:t xml:space="preserve">followed by </w:t>
      </w:r>
      <w:r w:rsidR="00F562F8" w:rsidRPr="00D01CCB">
        <w:rPr>
          <w:noProof/>
          <w:lang w:val="en-GB"/>
        </w:rPr>
        <w:t>refrigerated</w:t>
      </w:r>
      <w:r w:rsidR="00F562F8" w:rsidRPr="00D01CCB">
        <w:rPr>
          <w:lang w:val="en-GB"/>
        </w:rPr>
        <w:t xml:space="preserve"> storage</w:t>
      </w:r>
      <w:r w:rsidRPr="00D01CCB">
        <w:rPr>
          <w:lang w:val="en-GB"/>
        </w:rPr>
        <w:t xml:space="preserve"> before the selling. </w:t>
      </w:r>
      <w:r w:rsidR="00670157" w:rsidRPr="00D01CCB">
        <w:rPr>
          <w:lang w:val="en-GB"/>
        </w:rPr>
        <w:t xml:space="preserve">Finally, after the transformation, the domestic cooking phase requires the </w:t>
      </w:r>
      <w:r w:rsidR="00670157" w:rsidRPr="00D01CCB">
        <w:rPr>
          <w:noProof/>
          <w:lang w:val="en-GB"/>
        </w:rPr>
        <w:t>consumption</w:t>
      </w:r>
      <w:r w:rsidR="00670157" w:rsidRPr="00D01CCB">
        <w:rPr>
          <w:lang w:val="en-GB"/>
        </w:rPr>
        <w:t xml:space="preserve"> of natural gas. It was estimated that an average of 8 minutes is necessary for the cooking phase, therefore the natural gas consumption was quantified in 0.024 m</w:t>
      </w:r>
      <w:r w:rsidR="00670157" w:rsidRPr="00D01CCB">
        <w:rPr>
          <w:vertAlign w:val="superscript"/>
          <w:lang w:val="en-GB"/>
        </w:rPr>
        <w:t>3</w:t>
      </w:r>
      <w:r w:rsidR="00435F1B">
        <w:rPr>
          <w:lang w:val="en-GB"/>
        </w:rPr>
        <w:t xml:space="preserve"> </w:t>
      </w:r>
      <w:r w:rsidR="00670157" w:rsidRPr="00D01CCB">
        <w:rPr>
          <w:lang w:val="en-GB"/>
        </w:rPr>
        <w:t>FU</w:t>
      </w:r>
      <w:r w:rsidR="00435F1B" w:rsidRPr="0066017D">
        <w:rPr>
          <w:vertAlign w:val="superscript"/>
          <w:lang w:val="en-GB"/>
        </w:rPr>
        <w:t>-1</w:t>
      </w:r>
      <w:r w:rsidR="00670157" w:rsidRPr="00D01CCB">
        <w:rPr>
          <w:lang w:val="en-GB"/>
        </w:rPr>
        <w:t xml:space="preserve">. </w:t>
      </w:r>
      <w:r w:rsidR="00F562F8" w:rsidRPr="00D01CCB">
        <w:rPr>
          <w:lang w:val="en-GB"/>
        </w:rPr>
        <w:t xml:space="preserve">Table </w:t>
      </w:r>
      <w:r w:rsidRPr="00D01CCB">
        <w:rPr>
          <w:lang w:val="en-GB"/>
        </w:rPr>
        <w:t>1</w:t>
      </w:r>
      <w:r w:rsidR="00F562F8" w:rsidRPr="00D01CCB">
        <w:rPr>
          <w:lang w:val="en-GB"/>
        </w:rPr>
        <w:t xml:space="preserve"> rep</w:t>
      </w:r>
      <w:r w:rsidR="00435F1B">
        <w:rPr>
          <w:lang w:val="en-GB"/>
        </w:rPr>
        <w:t>orts</w:t>
      </w:r>
      <w:r w:rsidR="00F562F8" w:rsidRPr="00D01CCB">
        <w:rPr>
          <w:lang w:val="en-GB"/>
        </w:rPr>
        <w:t xml:space="preserve"> </w:t>
      </w:r>
      <w:r w:rsidRPr="00D01CCB">
        <w:rPr>
          <w:lang w:val="en-GB"/>
        </w:rPr>
        <w:t xml:space="preserve">the </w:t>
      </w:r>
      <w:r w:rsidR="00F562F8" w:rsidRPr="00D01CCB">
        <w:rPr>
          <w:lang w:val="en-GB"/>
        </w:rPr>
        <w:t>machine</w:t>
      </w:r>
      <w:r w:rsidR="00435F1B">
        <w:rPr>
          <w:lang w:val="en-GB"/>
        </w:rPr>
        <w:t>s</w:t>
      </w:r>
      <w:r w:rsidR="00F562F8" w:rsidRPr="00D01CCB">
        <w:rPr>
          <w:lang w:val="en-GB"/>
        </w:rPr>
        <w:t xml:space="preserve"> necessary for </w:t>
      </w:r>
      <w:r w:rsidR="00435F1B">
        <w:rPr>
          <w:lang w:val="en-GB"/>
        </w:rPr>
        <w:t xml:space="preserve">the </w:t>
      </w:r>
      <w:r w:rsidRPr="00D01CCB">
        <w:rPr>
          <w:lang w:val="en-GB"/>
        </w:rPr>
        <w:t>step</w:t>
      </w:r>
      <w:r w:rsidR="00435F1B">
        <w:rPr>
          <w:lang w:val="en-GB"/>
        </w:rPr>
        <w:t>s</w:t>
      </w:r>
      <w:r w:rsidR="00F562F8" w:rsidRPr="00D01CCB">
        <w:rPr>
          <w:lang w:val="en-GB"/>
        </w:rPr>
        <w:t xml:space="preserve"> of the chain. They</w:t>
      </w:r>
      <w:r w:rsidRPr="00D01CCB">
        <w:rPr>
          <w:lang w:val="en-GB"/>
        </w:rPr>
        <w:t xml:space="preserve"> were </w:t>
      </w:r>
      <w:r w:rsidR="00F562F8" w:rsidRPr="00D01CCB">
        <w:rPr>
          <w:lang w:val="en-GB"/>
        </w:rPr>
        <w:t>characterized</w:t>
      </w:r>
      <w:r w:rsidRPr="00D01CCB">
        <w:rPr>
          <w:lang w:val="en-GB"/>
        </w:rPr>
        <w:t xml:space="preserve"> in term of weight, </w:t>
      </w:r>
      <w:r w:rsidR="00600FE1" w:rsidRPr="00D01CCB">
        <w:rPr>
          <w:lang w:val="en-GB"/>
        </w:rPr>
        <w:t xml:space="preserve">the </w:t>
      </w:r>
      <w:r w:rsidRPr="00D01CCB">
        <w:rPr>
          <w:noProof/>
          <w:lang w:val="en-GB"/>
        </w:rPr>
        <w:t>material</w:t>
      </w:r>
      <w:r w:rsidRPr="00D01CCB">
        <w:rPr>
          <w:lang w:val="en-GB"/>
        </w:rPr>
        <w:t xml:space="preserve"> </w:t>
      </w:r>
      <w:r w:rsidR="00F562F8" w:rsidRPr="00D01CCB">
        <w:rPr>
          <w:lang w:val="en-GB"/>
        </w:rPr>
        <w:t xml:space="preserve">of </w:t>
      </w:r>
      <w:r w:rsidRPr="00D01CCB">
        <w:rPr>
          <w:lang w:val="en-GB"/>
        </w:rPr>
        <w:t>construction and power absorption,</w:t>
      </w:r>
      <w:r w:rsidR="00F562F8" w:rsidRPr="00D01CCB">
        <w:rPr>
          <w:lang w:val="en-GB"/>
        </w:rPr>
        <w:t xml:space="preserve"> and</w:t>
      </w:r>
      <w:r w:rsidRPr="00D01CCB">
        <w:rPr>
          <w:lang w:val="en-GB"/>
        </w:rPr>
        <w:t xml:space="preserve"> then allocated for one burger</w:t>
      </w:r>
      <w:r w:rsidR="00F562F8" w:rsidRPr="00D01CCB">
        <w:rPr>
          <w:lang w:val="en-GB"/>
        </w:rPr>
        <w:t xml:space="preserve"> (FU)</w:t>
      </w:r>
      <w:r w:rsidRPr="00D01CCB">
        <w:rPr>
          <w:lang w:val="en-GB"/>
        </w:rPr>
        <w:t xml:space="preserve">. </w:t>
      </w:r>
    </w:p>
    <w:p w14:paraId="2D301E18" w14:textId="77777777" w:rsidR="00824A4A" w:rsidRPr="00D01CCB" w:rsidRDefault="00824A4A" w:rsidP="00737BD9">
      <w:pPr>
        <w:pStyle w:val="CETBodytext"/>
        <w:rPr>
          <w:lang w:val="en-GB"/>
        </w:rPr>
      </w:pPr>
    </w:p>
    <w:p w14:paraId="403CB470" w14:textId="25843DE7" w:rsidR="00737BD9" w:rsidRPr="00D01CCB" w:rsidRDefault="009A5335" w:rsidP="002A4763">
      <w:pPr>
        <w:pStyle w:val="CETTabletitle"/>
      </w:pPr>
      <w:r w:rsidRPr="00D01CCB">
        <w:lastRenderedPageBreak/>
        <w:t xml:space="preserve">Table 1: </w:t>
      </w:r>
      <w:r w:rsidR="00600FE1" w:rsidRPr="00D01CCB">
        <w:t>Machine</w:t>
      </w:r>
      <w:r w:rsidR="00435F1B">
        <w:t>s</w:t>
      </w:r>
      <w:r w:rsidRPr="00D01CCB">
        <w:t xml:space="preserve"> required to obtain the MB and the relative subdivision for the</w:t>
      </w:r>
      <w:r w:rsidR="00F562F8" w:rsidRPr="00D01CCB">
        <w:t xml:space="preserve"> FU</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1559"/>
        <w:gridCol w:w="1276"/>
        <w:gridCol w:w="2551"/>
        <w:gridCol w:w="1276"/>
      </w:tblGrid>
      <w:tr w:rsidR="00C37FD7" w:rsidRPr="00D01CCB" w14:paraId="77879591" w14:textId="77777777" w:rsidTr="00C37FD7">
        <w:trPr>
          <w:trHeight w:val="283"/>
        </w:trPr>
        <w:tc>
          <w:tcPr>
            <w:tcW w:w="2127" w:type="dxa"/>
            <w:tcBorders>
              <w:top w:val="single" w:sz="12" w:space="0" w:color="008000"/>
              <w:bottom w:val="single" w:sz="6" w:space="0" w:color="008000"/>
            </w:tcBorders>
            <w:shd w:val="clear" w:color="auto" w:fill="FFFFFF"/>
            <w:vAlign w:val="center"/>
          </w:tcPr>
          <w:p w14:paraId="65A1102E" w14:textId="3A3C0922" w:rsidR="00C37FD7" w:rsidRPr="00D01CCB" w:rsidRDefault="00C37FD7" w:rsidP="002A4763">
            <w:pPr>
              <w:pStyle w:val="CETBodytext"/>
              <w:jc w:val="center"/>
              <w:rPr>
                <w:lang w:val="en-GB"/>
              </w:rPr>
            </w:pPr>
            <w:r w:rsidRPr="00D01CCB">
              <w:rPr>
                <w:lang w:val="en-GB"/>
              </w:rPr>
              <w:t>Machine</w:t>
            </w:r>
          </w:p>
        </w:tc>
        <w:tc>
          <w:tcPr>
            <w:tcW w:w="1559" w:type="dxa"/>
            <w:tcBorders>
              <w:top w:val="single" w:sz="12" w:space="0" w:color="008000"/>
              <w:bottom w:val="single" w:sz="6" w:space="0" w:color="008000"/>
            </w:tcBorders>
            <w:shd w:val="clear" w:color="auto" w:fill="FFFFFF"/>
            <w:vAlign w:val="center"/>
          </w:tcPr>
          <w:p w14:paraId="3484B82A" w14:textId="5AE8035B" w:rsidR="00C37FD7" w:rsidRPr="00D01CCB" w:rsidRDefault="00315313" w:rsidP="002A4763">
            <w:pPr>
              <w:pStyle w:val="CETBodytext"/>
              <w:jc w:val="center"/>
              <w:rPr>
                <w:lang w:val="en-GB"/>
              </w:rPr>
            </w:pPr>
            <w:r w:rsidRPr="00D01CCB">
              <w:rPr>
                <w:lang w:val="en-GB"/>
              </w:rPr>
              <w:t>W</w:t>
            </w:r>
            <w:r w:rsidR="00C37FD7" w:rsidRPr="00D01CCB">
              <w:rPr>
                <w:lang w:val="en-GB"/>
              </w:rPr>
              <w:t xml:space="preserve">eight </w:t>
            </w:r>
          </w:p>
          <w:p w14:paraId="6EF6AE04" w14:textId="618E8B59" w:rsidR="00C37FD7" w:rsidRPr="00D01CCB" w:rsidRDefault="00C37FD7" w:rsidP="002A4763">
            <w:pPr>
              <w:pStyle w:val="CETBodytext"/>
              <w:jc w:val="center"/>
              <w:rPr>
                <w:lang w:val="en-GB"/>
              </w:rPr>
            </w:pPr>
            <w:r w:rsidRPr="00D01CCB">
              <w:rPr>
                <w:lang w:val="en-GB"/>
              </w:rPr>
              <w:t>(kg)</w:t>
            </w:r>
          </w:p>
        </w:tc>
        <w:tc>
          <w:tcPr>
            <w:tcW w:w="1276" w:type="dxa"/>
            <w:tcBorders>
              <w:top w:val="single" w:sz="12" w:space="0" w:color="008000"/>
              <w:bottom w:val="single" w:sz="6" w:space="0" w:color="008000"/>
            </w:tcBorders>
            <w:shd w:val="clear" w:color="auto" w:fill="FFFFFF"/>
            <w:vAlign w:val="center"/>
          </w:tcPr>
          <w:p w14:paraId="087ED295" w14:textId="11D5A80E" w:rsidR="00C37FD7" w:rsidRPr="00D01CCB" w:rsidRDefault="00F562F8" w:rsidP="002A4763">
            <w:pPr>
              <w:pStyle w:val="CETBodytext"/>
              <w:jc w:val="center"/>
              <w:rPr>
                <w:lang w:val="en-GB"/>
              </w:rPr>
            </w:pPr>
            <w:r w:rsidRPr="00D01CCB">
              <w:rPr>
                <w:lang w:val="en-GB"/>
              </w:rPr>
              <w:t>P</w:t>
            </w:r>
            <w:r w:rsidR="00C37FD7" w:rsidRPr="00D01CCB">
              <w:rPr>
                <w:lang w:val="en-GB"/>
              </w:rPr>
              <w:t>ower (kW)</w:t>
            </w:r>
          </w:p>
        </w:tc>
        <w:tc>
          <w:tcPr>
            <w:tcW w:w="2551" w:type="dxa"/>
            <w:tcBorders>
              <w:top w:val="single" w:sz="12" w:space="0" w:color="008000"/>
              <w:bottom w:val="single" w:sz="6" w:space="0" w:color="008000"/>
            </w:tcBorders>
            <w:shd w:val="clear" w:color="auto" w:fill="FFFFFF"/>
            <w:vAlign w:val="center"/>
          </w:tcPr>
          <w:p w14:paraId="04614CD0" w14:textId="387B16C5" w:rsidR="00C37FD7" w:rsidRPr="00D01CCB" w:rsidRDefault="00315313" w:rsidP="002A4763">
            <w:pPr>
              <w:pStyle w:val="CETBodytext"/>
              <w:jc w:val="center"/>
              <w:rPr>
                <w:lang w:val="en-GB"/>
              </w:rPr>
            </w:pPr>
            <w:r w:rsidRPr="00D01CCB">
              <w:rPr>
                <w:lang w:val="en-GB"/>
              </w:rPr>
              <w:t>W</w:t>
            </w:r>
            <w:r w:rsidR="00C37FD7" w:rsidRPr="00D01CCB">
              <w:rPr>
                <w:lang w:val="en-GB"/>
              </w:rPr>
              <w:t xml:space="preserve">eight / </w:t>
            </w:r>
            <w:r w:rsidR="00F562F8" w:rsidRPr="00D01CCB">
              <w:rPr>
                <w:lang w:val="en-GB"/>
              </w:rPr>
              <w:t xml:space="preserve">FU </w:t>
            </w:r>
            <w:r w:rsidR="00C37FD7" w:rsidRPr="00D01CCB">
              <w:rPr>
                <w:lang w:val="en-GB"/>
              </w:rPr>
              <w:t>(</w:t>
            </w:r>
            <w:r w:rsidR="00F562F8" w:rsidRPr="00D01CCB">
              <w:rPr>
                <w:lang w:val="en-GB"/>
              </w:rPr>
              <w:t>10</w:t>
            </w:r>
            <w:r w:rsidR="00F562F8" w:rsidRPr="00D01CCB">
              <w:rPr>
                <w:vertAlign w:val="superscript"/>
                <w:lang w:val="en-GB"/>
              </w:rPr>
              <w:t xml:space="preserve">-4 </w:t>
            </w:r>
            <w:r w:rsidR="00C37FD7" w:rsidRPr="00D01CCB">
              <w:rPr>
                <w:lang w:val="en-GB"/>
              </w:rPr>
              <w:t xml:space="preserve">g) </w:t>
            </w:r>
          </w:p>
        </w:tc>
        <w:tc>
          <w:tcPr>
            <w:tcW w:w="1276" w:type="dxa"/>
            <w:tcBorders>
              <w:top w:val="single" w:sz="12" w:space="0" w:color="008000"/>
              <w:bottom w:val="single" w:sz="6" w:space="0" w:color="008000"/>
            </w:tcBorders>
            <w:shd w:val="clear" w:color="auto" w:fill="FFFFFF"/>
            <w:vAlign w:val="center"/>
          </w:tcPr>
          <w:p w14:paraId="66F14E77" w14:textId="6191FD96" w:rsidR="00C37FD7" w:rsidRPr="00D01CCB" w:rsidRDefault="00F562F8" w:rsidP="002A4763">
            <w:pPr>
              <w:pStyle w:val="CETBodytext"/>
              <w:jc w:val="center"/>
              <w:rPr>
                <w:lang w:val="en-GB"/>
              </w:rPr>
            </w:pPr>
            <w:r w:rsidRPr="00D01CCB">
              <w:rPr>
                <w:lang w:val="en-GB"/>
              </w:rPr>
              <w:t xml:space="preserve">Energy </w:t>
            </w:r>
            <w:r w:rsidR="00C37FD7" w:rsidRPr="00D01CCB">
              <w:rPr>
                <w:lang w:val="en-GB"/>
              </w:rPr>
              <w:t xml:space="preserve">/ </w:t>
            </w:r>
            <w:r w:rsidRPr="00D01CCB">
              <w:rPr>
                <w:lang w:val="en-GB"/>
              </w:rPr>
              <w:t>FU</w:t>
            </w:r>
          </w:p>
          <w:p w14:paraId="23CC8142" w14:textId="5E8FF7DD" w:rsidR="00C37FD7" w:rsidRPr="00D01CCB" w:rsidRDefault="0071155E" w:rsidP="002A4763">
            <w:pPr>
              <w:pStyle w:val="CETBodytext"/>
              <w:jc w:val="center"/>
              <w:rPr>
                <w:lang w:val="en-GB"/>
              </w:rPr>
            </w:pPr>
            <w:r w:rsidRPr="00D01CCB">
              <w:rPr>
                <w:lang w:val="en-GB"/>
              </w:rPr>
              <w:t>(</w:t>
            </w:r>
            <w:proofErr w:type="spellStart"/>
            <w:r w:rsidRPr="00D01CCB">
              <w:rPr>
                <w:lang w:val="en-GB"/>
              </w:rPr>
              <w:t>Wh</w:t>
            </w:r>
            <w:proofErr w:type="spellEnd"/>
            <w:r w:rsidRPr="00D01CCB">
              <w:rPr>
                <w:lang w:val="en-GB"/>
              </w:rPr>
              <w:t>)</w:t>
            </w:r>
          </w:p>
        </w:tc>
      </w:tr>
      <w:tr w:rsidR="00C37FD7" w:rsidRPr="00D01CCB" w14:paraId="5C0D16EF" w14:textId="77777777" w:rsidTr="00C37FD7">
        <w:trPr>
          <w:trHeight w:val="283"/>
        </w:trPr>
        <w:tc>
          <w:tcPr>
            <w:tcW w:w="2127" w:type="dxa"/>
            <w:shd w:val="clear" w:color="auto" w:fill="FFFFFF"/>
            <w:vAlign w:val="center"/>
          </w:tcPr>
          <w:p w14:paraId="3C4773A0" w14:textId="77777777" w:rsidR="00C37FD7" w:rsidRPr="00D01CCB" w:rsidRDefault="00C37FD7" w:rsidP="002A4763">
            <w:pPr>
              <w:pStyle w:val="CETBodytext"/>
              <w:jc w:val="center"/>
              <w:rPr>
                <w:lang w:val="en-GB"/>
              </w:rPr>
            </w:pPr>
            <w:r w:rsidRPr="00D01CCB">
              <w:rPr>
                <w:lang w:val="en-GB"/>
              </w:rPr>
              <w:t>Mixer</w:t>
            </w:r>
          </w:p>
        </w:tc>
        <w:tc>
          <w:tcPr>
            <w:tcW w:w="1559" w:type="dxa"/>
            <w:shd w:val="clear" w:color="auto" w:fill="FFFFFF"/>
            <w:vAlign w:val="center"/>
          </w:tcPr>
          <w:p w14:paraId="1C2B9B7E" w14:textId="77777777" w:rsidR="00C37FD7" w:rsidRPr="00D01CCB" w:rsidRDefault="00C37FD7" w:rsidP="002A4763">
            <w:pPr>
              <w:pStyle w:val="CETBodytext"/>
              <w:jc w:val="center"/>
              <w:rPr>
                <w:lang w:val="en-GB"/>
              </w:rPr>
            </w:pPr>
            <w:r w:rsidRPr="00D01CCB">
              <w:rPr>
                <w:lang w:val="en-GB"/>
              </w:rPr>
              <w:t>77</w:t>
            </w:r>
          </w:p>
        </w:tc>
        <w:tc>
          <w:tcPr>
            <w:tcW w:w="1276" w:type="dxa"/>
            <w:shd w:val="clear" w:color="auto" w:fill="FFFFFF"/>
            <w:vAlign w:val="center"/>
          </w:tcPr>
          <w:p w14:paraId="4FF8E67F" w14:textId="77777777" w:rsidR="00C37FD7" w:rsidRPr="00D01CCB" w:rsidRDefault="00C37FD7" w:rsidP="002A4763">
            <w:pPr>
              <w:pStyle w:val="CETBodytext"/>
              <w:jc w:val="center"/>
              <w:rPr>
                <w:lang w:val="en-GB"/>
              </w:rPr>
            </w:pPr>
            <w:r w:rsidRPr="00D01CCB">
              <w:rPr>
                <w:lang w:val="en-GB"/>
              </w:rPr>
              <w:t>0.45</w:t>
            </w:r>
          </w:p>
        </w:tc>
        <w:tc>
          <w:tcPr>
            <w:tcW w:w="2551" w:type="dxa"/>
            <w:shd w:val="clear" w:color="auto" w:fill="FFFFFF"/>
            <w:vAlign w:val="center"/>
          </w:tcPr>
          <w:p w14:paraId="1AAF790B" w14:textId="78DBB440" w:rsidR="00C37FD7" w:rsidRPr="00D01CCB" w:rsidRDefault="00C37FD7" w:rsidP="002A4763">
            <w:pPr>
              <w:pStyle w:val="CETBodytext"/>
              <w:jc w:val="center"/>
              <w:rPr>
                <w:lang w:val="en-GB"/>
              </w:rPr>
            </w:pPr>
            <w:r w:rsidRPr="00D01CCB">
              <w:rPr>
                <w:lang w:val="en-GB"/>
              </w:rPr>
              <w:t>1.8</w:t>
            </w:r>
          </w:p>
        </w:tc>
        <w:tc>
          <w:tcPr>
            <w:tcW w:w="1276" w:type="dxa"/>
            <w:shd w:val="clear" w:color="auto" w:fill="FFFFFF"/>
            <w:vAlign w:val="center"/>
          </w:tcPr>
          <w:p w14:paraId="58C36BD8" w14:textId="7CC102F2" w:rsidR="00C37FD7" w:rsidRPr="00D01CCB" w:rsidRDefault="00C37FD7" w:rsidP="002A4763">
            <w:pPr>
              <w:pStyle w:val="CETBodytext"/>
              <w:jc w:val="center"/>
              <w:rPr>
                <w:lang w:val="en-GB"/>
              </w:rPr>
            </w:pPr>
            <w:r w:rsidRPr="00D01CCB">
              <w:rPr>
                <w:lang w:val="en-GB"/>
              </w:rPr>
              <w:t>0.46</w:t>
            </w:r>
          </w:p>
        </w:tc>
      </w:tr>
      <w:tr w:rsidR="00C37FD7" w:rsidRPr="00D01CCB" w14:paraId="48661745" w14:textId="77777777" w:rsidTr="00C37FD7">
        <w:trPr>
          <w:trHeight w:val="283"/>
        </w:trPr>
        <w:tc>
          <w:tcPr>
            <w:tcW w:w="2127" w:type="dxa"/>
            <w:shd w:val="clear" w:color="auto" w:fill="FFFFFF"/>
            <w:vAlign w:val="center"/>
          </w:tcPr>
          <w:p w14:paraId="0DE21B74" w14:textId="77777777" w:rsidR="00C37FD7" w:rsidRPr="00D01CCB" w:rsidRDefault="00C37FD7" w:rsidP="002A4763">
            <w:pPr>
              <w:pStyle w:val="CETBodytext"/>
              <w:jc w:val="center"/>
              <w:rPr>
                <w:lang w:val="en-GB"/>
              </w:rPr>
            </w:pPr>
            <w:r w:rsidRPr="00D01CCB">
              <w:rPr>
                <w:lang w:val="en-GB"/>
              </w:rPr>
              <w:t>Forming machine</w:t>
            </w:r>
          </w:p>
        </w:tc>
        <w:tc>
          <w:tcPr>
            <w:tcW w:w="1559" w:type="dxa"/>
            <w:shd w:val="clear" w:color="auto" w:fill="FFFFFF"/>
            <w:vAlign w:val="center"/>
          </w:tcPr>
          <w:p w14:paraId="3643D721" w14:textId="77777777" w:rsidR="00C37FD7" w:rsidRPr="00D01CCB" w:rsidRDefault="00C37FD7" w:rsidP="002A4763">
            <w:pPr>
              <w:pStyle w:val="CETBodytext"/>
              <w:jc w:val="center"/>
              <w:rPr>
                <w:lang w:val="en-GB"/>
              </w:rPr>
            </w:pPr>
            <w:r w:rsidRPr="00D01CCB">
              <w:rPr>
                <w:lang w:val="en-GB"/>
              </w:rPr>
              <w:t>65</w:t>
            </w:r>
          </w:p>
        </w:tc>
        <w:tc>
          <w:tcPr>
            <w:tcW w:w="1276" w:type="dxa"/>
            <w:shd w:val="clear" w:color="auto" w:fill="FFFFFF"/>
            <w:vAlign w:val="center"/>
          </w:tcPr>
          <w:p w14:paraId="63A0EA59" w14:textId="77777777" w:rsidR="00C37FD7" w:rsidRPr="00D01CCB" w:rsidRDefault="00C37FD7" w:rsidP="002A4763">
            <w:pPr>
              <w:pStyle w:val="CETBodytext"/>
              <w:jc w:val="center"/>
              <w:rPr>
                <w:lang w:val="en-GB"/>
              </w:rPr>
            </w:pPr>
            <w:r w:rsidRPr="00D01CCB">
              <w:rPr>
                <w:lang w:val="en-GB"/>
              </w:rPr>
              <w:t>0.4</w:t>
            </w:r>
          </w:p>
        </w:tc>
        <w:tc>
          <w:tcPr>
            <w:tcW w:w="2551" w:type="dxa"/>
            <w:shd w:val="clear" w:color="auto" w:fill="FFFFFF"/>
            <w:vAlign w:val="center"/>
          </w:tcPr>
          <w:p w14:paraId="2F4B3E9C" w14:textId="0F4AB4D7" w:rsidR="00C37FD7" w:rsidRPr="00D01CCB" w:rsidRDefault="00C37FD7" w:rsidP="002A4763">
            <w:pPr>
              <w:pStyle w:val="CETBodytext"/>
              <w:jc w:val="center"/>
              <w:rPr>
                <w:lang w:val="en-GB"/>
              </w:rPr>
            </w:pPr>
            <w:r w:rsidRPr="00D01CCB">
              <w:rPr>
                <w:lang w:val="en-GB"/>
              </w:rPr>
              <w:t>0.5</w:t>
            </w:r>
          </w:p>
        </w:tc>
        <w:tc>
          <w:tcPr>
            <w:tcW w:w="1276" w:type="dxa"/>
            <w:shd w:val="clear" w:color="auto" w:fill="FFFFFF"/>
            <w:vAlign w:val="center"/>
          </w:tcPr>
          <w:p w14:paraId="74ADBE2F" w14:textId="0C272A5C" w:rsidR="00C37FD7" w:rsidRPr="00D01CCB" w:rsidRDefault="00C37FD7" w:rsidP="002A4763">
            <w:pPr>
              <w:pStyle w:val="CETBodytext"/>
              <w:jc w:val="center"/>
              <w:rPr>
                <w:lang w:val="en-GB"/>
              </w:rPr>
            </w:pPr>
            <w:r w:rsidRPr="00D01CCB">
              <w:rPr>
                <w:lang w:val="en-GB"/>
              </w:rPr>
              <w:t>3.58</w:t>
            </w:r>
          </w:p>
        </w:tc>
      </w:tr>
      <w:tr w:rsidR="00C37FD7" w:rsidRPr="00D01CCB" w14:paraId="3C1F4B3C" w14:textId="77777777" w:rsidTr="00C37FD7">
        <w:trPr>
          <w:trHeight w:val="283"/>
        </w:trPr>
        <w:tc>
          <w:tcPr>
            <w:tcW w:w="2127" w:type="dxa"/>
            <w:shd w:val="clear" w:color="auto" w:fill="FFFFFF"/>
            <w:vAlign w:val="center"/>
          </w:tcPr>
          <w:p w14:paraId="45B67FBE" w14:textId="77777777" w:rsidR="00C37FD7" w:rsidRPr="00D01CCB" w:rsidRDefault="00C37FD7" w:rsidP="002A4763">
            <w:pPr>
              <w:pStyle w:val="CETBodytext"/>
              <w:jc w:val="center"/>
              <w:rPr>
                <w:lang w:val="en-GB"/>
              </w:rPr>
            </w:pPr>
            <w:r w:rsidRPr="00D01CCB">
              <w:rPr>
                <w:lang w:val="en-GB"/>
              </w:rPr>
              <w:t>Packaging machine</w:t>
            </w:r>
          </w:p>
        </w:tc>
        <w:tc>
          <w:tcPr>
            <w:tcW w:w="1559" w:type="dxa"/>
            <w:shd w:val="clear" w:color="auto" w:fill="FFFFFF"/>
            <w:vAlign w:val="center"/>
          </w:tcPr>
          <w:p w14:paraId="054F841A" w14:textId="77777777" w:rsidR="00C37FD7" w:rsidRPr="00D01CCB" w:rsidRDefault="00C37FD7" w:rsidP="002A4763">
            <w:pPr>
              <w:pStyle w:val="CETBodytext"/>
              <w:jc w:val="center"/>
              <w:rPr>
                <w:lang w:val="en-GB"/>
              </w:rPr>
            </w:pPr>
            <w:r w:rsidRPr="00D01CCB">
              <w:rPr>
                <w:lang w:val="en-GB"/>
              </w:rPr>
              <w:t>1000</w:t>
            </w:r>
          </w:p>
        </w:tc>
        <w:tc>
          <w:tcPr>
            <w:tcW w:w="1276" w:type="dxa"/>
            <w:shd w:val="clear" w:color="auto" w:fill="FFFFFF"/>
            <w:vAlign w:val="center"/>
          </w:tcPr>
          <w:p w14:paraId="568B9862" w14:textId="77777777" w:rsidR="00C37FD7" w:rsidRPr="00D01CCB" w:rsidRDefault="00C37FD7" w:rsidP="002A4763">
            <w:pPr>
              <w:pStyle w:val="CETBodytext"/>
              <w:jc w:val="center"/>
              <w:rPr>
                <w:lang w:val="en-GB"/>
              </w:rPr>
            </w:pPr>
            <w:r w:rsidRPr="00D01CCB">
              <w:rPr>
                <w:lang w:val="en-GB"/>
              </w:rPr>
              <w:t>9.5</w:t>
            </w:r>
          </w:p>
        </w:tc>
        <w:tc>
          <w:tcPr>
            <w:tcW w:w="2551" w:type="dxa"/>
            <w:shd w:val="clear" w:color="auto" w:fill="FFFFFF"/>
            <w:vAlign w:val="center"/>
          </w:tcPr>
          <w:p w14:paraId="4461D79F" w14:textId="31890540" w:rsidR="00C37FD7" w:rsidRPr="00D01CCB" w:rsidRDefault="00C37FD7" w:rsidP="002A4763">
            <w:pPr>
              <w:pStyle w:val="CETBodytext"/>
              <w:jc w:val="center"/>
              <w:rPr>
                <w:lang w:val="en-GB"/>
              </w:rPr>
            </w:pPr>
            <w:r w:rsidRPr="00D01CCB">
              <w:rPr>
                <w:lang w:val="en-GB"/>
              </w:rPr>
              <w:t>2.3</w:t>
            </w:r>
          </w:p>
        </w:tc>
        <w:tc>
          <w:tcPr>
            <w:tcW w:w="1276" w:type="dxa"/>
            <w:shd w:val="clear" w:color="auto" w:fill="FFFFFF"/>
            <w:vAlign w:val="center"/>
          </w:tcPr>
          <w:p w14:paraId="7899B770" w14:textId="18A8EBC3" w:rsidR="00C37FD7" w:rsidRPr="00D01CCB" w:rsidRDefault="00C37FD7" w:rsidP="002A4763">
            <w:pPr>
              <w:pStyle w:val="CETBodytext"/>
              <w:jc w:val="center"/>
              <w:rPr>
                <w:lang w:val="en-GB"/>
              </w:rPr>
            </w:pPr>
            <w:r w:rsidRPr="00D01CCB">
              <w:rPr>
                <w:lang w:val="en-GB"/>
              </w:rPr>
              <w:t>0.31</w:t>
            </w:r>
          </w:p>
        </w:tc>
      </w:tr>
      <w:tr w:rsidR="00C37FD7" w:rsidRPr="00D01CCB" w14:paraId="1ED55DEF" w14:textId="77777777" w:rsidTr="00C37FD7">
        <w:trPr>
          <w:trHeight w:val="283"/>
        </w:trPr>
        <w:tc>
          <w:tcPr>
            <w:tcW w:w="2127" w:type="dxa"/>
            <w:shd w:val="clear" w:color="auto" w:fill="FFFFFF"/>
            <w:vAlign w:val="center"/>
          </w:tcPr>
          <w:p w14:paraId="7193980B" w14:textId="22D297F1" w:rsidR="00C37FD7" w:rsidRPr="00D01CCB" w:rsidRDefault="00F562F8" w:rsidP="002A4763">
            <w:pPr>
              <w:pStyle w:val="CETBodytext"/>
              <w:jc w:val="center"/>
              <w:rPr>
                <w:lang w:val="en-GB"/>
              </w:rPr>
            </w:pPr>
            <w:r w:rsidRPr="00D01CCB">
              <w:rPr>
                <w:lang w:val="en-GB"/>
              </w:rPr>
              <w:t>Refrigerator</w:t>
            </w:r>
          </w:p>
        </w:tc>
        <w:tc>
          <w:tcPr>
            <w:tcW w:w="1559" w:type="dxa"/>
            <w:shd w:val="clear" w:color="auto" w:fill="FFFFFF"/>
            <w:vAlign w:val="center"/>
          </w:tcPr>
          <w:p w14:paraId="463CCCD1" w14:textId="77777777" w:rsidR="00C37FD7" w:rsidRPr="00D01CCB" w:rsidRDefault="00C37FD7" w:rsidP="002A4763">
            <w:pPr>
              <w:pStyle w:val="CETBodytext"/>
              <w:jc w:val="center"/>
              <w:rPr>
                <w:lang w:val="en-GB"/>
              </w:rPr>
            </w:pPr>
            <w:r w:rsidRPr="00D01CCB">
              <w:rPr>
                <w:lang w:val="en-GB"/>
              </w:rPr>
              <w:t>89</w:t>
            </w:r>
          </w:p>
        </w:tc>
        <w:tc>
          <w:tcPr>
            <w:tcW w:w="1276" w:type="dxa"/>
            <w:shd w:val="clear" w:color="auto" w:fill="FFFFFF"/>
            <w:vAlign w:val="center"/>
          </w:tcPr>
          <w:p w14:paraId="258A3A48" w14:textId="77777777" w:rsidR="00C37FD7" w:rsidRPr="00D01CCB" w:rsidRDefault="00C37FD7" w:rsidP="002A4763">
            <w:pPr>
              <w:pStyle w:val="CETBodytext"/>
              <w:jc w:val="center"/>
              <w:rPr>
                <w:lang w:val="en-GB"/>
              </w:rPr>
            </w:pPr>
            <w:r w:rsidRPr="00D01CCB">
              <w:rPr>
                <w:lang w:val="en-GB"/>
              </w:rPr>
              <w:t>1.36</w:t>
            </w:r>
          </w:p>
        </w:tc>
        <w:tc>
          <w:tcPr>
            <w:tcW w:w="2551" w:type="dxa"/>
            <w:shd w:val="clear" w:color="auto" w:fill="FFFFFF"/>
            <w:vAlign w:val="center"/>
          </w:tcPr>
          <w:p w14:paraId="42EA9327" w14:textId="1178C1FF" w:rsidR="00C37FD7" w:rsidRPr="00D01CCB" w:rsidRDefault="00C37FD7" w:rsidP="002A4763">
            <w:pPr>
              <w:pStyle w:val="CETBodytext"/>
              <w:jc w:val="center"/>
              <w:rPr>
                <w:lang w:val="en-GB"/>
              </w:rPr>
            </w:pPr>
            <w:r w:rsidRPr="00D01CCB">
              <w:rPr>
                <w:lang w:val="en-GB"/>
              </w:rPr>
              <w:t>8.4</w:t>
            </w:r>
          </w:p>
        </w:tc>
        <w:tc>
          <w:tcPr>
            <w:tcW w:w="1276" w:type="dxa"/>
            <w:shd w:val="clear" w:color="auto" w:fill="FFFFFF"/>
            <w:vAlign w:val="center"/>
          </w:tcPr>
          <w:p w14:paraId="3C1C2572" w14:textId="4C69F2C8" w:rsidR="00C37FD7" w:rsidRPr="00D01CCB" w:rsidRDefault="00C37FD7" w:rsidP="002A4763">
            <w:pPr>
              <w:pStyle w:val="CETBodytext"/>
              <w:jc w:val="center"/>
              <w:rPr>
                <w:lang w:val="en-GB"/>
              </w:rPr>
            </w:pPr>
            <w:r w:rsidRPr="00D01CCB">
              <w:rPr>
                <w:lang w:val="en-GB"/>
              </w:rPr>
              <w:t>1.65</w:t>
            </w:r>
          </w:p>
        </w:tc>
      </w:tr>
    </w:tbl>
    <w:p w14:paraId="4E63AFA4" w14:textId="77777777" w:rsidR="00435F1B" w:rsidRDefault="00435F1B" w:rsidP="0066017D">
      <w:pPr>
        <w:pStyle w:val="CETheadingx"/>
        <w:numPr>
          <w:ilvl w:val="0"/>
          <w:numId w:val="0"/>
        </w:numPr>
        <w:rPr>
          <w:lang w:val="en-GB"/>
        </w:rPr>
      </w:pPr>
    </w:p>
    <w:p w14:paraId="4E654A4C" w14:textId="4FE63A9E" w:rsidR="00737BD9" w:rsidRPr="00D01CCB" w:rsidRDefault="008D30C3" w:rsidP="001B772A">
      <w:pPr>
        <w:pStyle w:val="CETheadingx"/>
        <w:rPr>
          <w:lang w:val="en-GB"/>
        </w:rPr>
      </w:pPr>
      <w:r w:rsidRPr="00D01CCB">
        <w:rPr>
          <w:lang w:val="en-GB"/>
        </w:rPr>
        <w:t xml:space="preserve">Legume-based burger </w:t>
      </w:r>
      <w:r w:rsidR="00737BD9" w:rsidRPr="00D01CCB">
        <w:rPr>
          <w:lang w:val="en-GB"/>
        </w:rPr>
        <w:t>Life Cycle Inventory</w:t>
      </w:r>
      <w:r w:rsidRPr="00D01CCB">
        <w:rPr>
          <w:lang w:val="en-GB"/>
        </w:rPr>
        <w:t xml:space="preserve"> (LCI)</w:t>
      </w:r>
      <w:r w:rsidR="00737BD9" w:rsidRPr="00D01CCB">
        <w:rPr>
          <w:lang w:val="en-GB"/>
        </w:rPr>
        <w:t xml:space="preserve"> </w:t>
      </w:r>
    </w:p>
    <w:p w14:paraId="13710368" w14:textId="7577516F" w:rsidR="00BC3F5F" w:rsidRPr="00D01CCB" w:rsidRDefault="00445824" w:rsidP="00445824">
      <w:pPr>
        <w:pStyle w:val="CETBodytext"/>
        <w:rPr>
          <w:lang w:val="en-GB"/>
        </w:rPr>
      </w:pPr>
      <w:r w:rsidRPr="00D01CCB">
        <w:rPr>
          <w:lang w:val="en-GB"/>
        </w:rPr>
        <w:t>T</w:t>
      </w:r>
      <w:r w:rsidR="00737BD9" w:rsidRPr="00D01CCB">
        <w:rPr>
          <w:lang w:val="en-GB"/>
        </w:rPr>
        <w:t xml:space="preserve">he formulation of </w:t>
      </w:r>
      <w:r w:rsidRPr="00D01CCB">
        <w:rPr>
          <w:lang w:val="en-GB"/>
        </w:rPr>
        <w:t>the LBB</w:t>
      </w:r>
      <w:r w:rsidR="00737BD9" w:rsidRPr="00D01CCB">
        <w:rPr>
          <w:lang w:val="en-GB"/>
        </w:rPr>
        <w:t xml:space="preserve"> </w:t>
      </w:r>
      <w:r w:rsidRPr="00D01CCB">
        <w:rPr>
          <w:lang w:val="en-GB"/>
        </w:rPr>
        <w:t xml:space="preserve">was </w:t>
      </w:r>
      <w:r w:rsidR="00737BD9" w:rsidRPr="00D01CCB">
        <w:rPr>
          <w:lang w:val="en-GB"/>
        </w:rPr>
        <w:t>obtained from</w:t>
      </w:r>
      <w:r w:rsidRPr="00D01CCB">
        <w:rPr>
          <w:lang w:val="en-GB"/>
        </w:rPr>
        <w:t xml:space="preserve"> </w:t>
      </w:r>
      <w:r w:rsidR="00600FE1" w:rsidRPr="00D01CCB">
        <w:rPr>
          <w:lang w:val="en-GB"/>
        </w:rPr>
        <w:t xml:space="preserve">the </w:t>
      </w:r>
      <w:r w:rsidRPr="00D01CCB">
        <w:rPr>
          <w:noProof/>
          <w:lang w:val="en-GB"/>
        </w:rPr>
        <w:t>literature</w:t>
      </w:r>
      <w:r w:rsidRPr="00D01CCB">
        <w:rPr>
          <w:lang w:val="en-GB"/>
        </w:rPr>
        <w:t xml:space="preserve"> (</w:t>
      </w:r>
      <w:proofErr w:type="spellStart"/>
      <w:r w:rsidR="00737BD9" w:rsidRPr="00D01CCB">
        <w:rPr>
          <w:lang w:val="en-GB"/>
        </w:rPr>
        <w:t>Summo</w:t>
      </w:r>
      <w:proofErr w:type="spellEnd"/>
      <w:r w:rsidR="00737BD9" w:rsidRPr="00D01CCB">
        <w:rPr>
          <w:lang w:val="en-GB"/>
        </w:rPr>
        <w:t xml:space="preserve"> et al.</w:t>
      </w:r>
      <w:r w:rsidRPr="00D01CCB">
        <w:rPr>
          <w:lang w:val="en-GB"/>
        </w:rPr>
        <w:t>,</w:t>
      </w:r>
      <w:r w:rsidR="00737BD9" w:rsidRPr="00D01CCB">
        <w:rPr>
          <w:lang w:val="en-GB"/>
        </w:rPr>
        <w:t xml:space="preserve"> 2016).</w:t>
      </w:r>
      <w:r w:rsidRPr="00D01CCB">
        <w:rPr>
          <w:lang w:val="en-GB"/>
        </w:rPr>
        <w:t xml:space="preserve"> </w:t>
      </w:r>
      <w:r w:rsidR="00737BD9" w:rsidRPr="00D01CCB">
        <w:rPr>
          <w:lang w:val="en-GB"/>
        </w:rPr>
        <w:t xml:space="preserve">The production of </w:t>
      </w:r>
      <w:r w:rsidR="009659A9" w:rsidRPr="00D01CCB">
        <w:rPr>
          <w:lang w:val="en-GB"/>
        </w:rPr>
        <w:t>one</w:t>
      </w:r>
      <w:r w:rsidR="00737BD9" w:rsidRPr="00D01CCB">
        <w:rPr>
          <w:lang w:val="en-GB"/>
        </w:rPr>
        <w:t xml:space="preserve"> LBB requires </w:t>
      </w:r>
      <w:r w:rsidR="009659A9" w:rsidRPr="00D01CCB">
        <w:rPr>
          <w:lang w:val="en-GB"/>
        </w:rPr>
        <w:t xml:space="preserve">several </w:t>
      </w:r>
      <w:r w:rsidR="00737BD9" w:rsidRPr="00D01CCB">
        <w:rPr>
          <w:lang w:val="en-GB"/>
        </w:rPr>
        <w:t>ingredients</w:t>
      </w:r>
      <w:r w:rsidR="009659A9" w:rsidRPr="00D01CCB">
        <w:rPr>
          <w:lang w:val="en-GB"/>
        </w:rPr>
        <w:t>:</w:t>
      </w:r>
    </w:p>
    <w:p w14:paraId="3207B188" w14:textId="5EB3E540" w:rsidR="00BC3F5F" w:rsidRPr="00D01CCB" w:rsidRDefault="00737BD9" w:rsidP="00BC3F5F">
      <w:pPr>
        <w:pStyle w:val="CETBodytext"/>
        <w:numPr>
          <w:ilvl w:val="0"/>
          <w:numId w:val="35"/>
        </w:numPr>
        <w:rPr>
          <w:lang w:val="en-GB"/>
        </w:rPr>
      </w:pPr>
      <w:r w:rsidRPr="00D01CCB">
        <w:rPr>
          <w:lang w:val="en-GB"/>
        </w:rPr>
        <w:t>24</w:t>
      </w:r>
      <w:r w:rsidR="00F54702" w:rsidRPr="00D01CCB">
        <w:rPr>
          <w:lang w:val="en-GB"/>
        </w:rPr>
        <w:t xml:space="preserve"> </w:t>
      </w:r>
      <w:r w:rsidRPr="00D01CCB">
        <w:rPr>
          <w:lang w:val="en-GB"/>
        </w:rPr>
        <w:t>g of lentils (</w:t>
      </w:r>
      <w:r w:rsidRPr="00D01CCB">
        <w:rPr>
          <w:i/>
          <w:lang w:val="en-GB"/>
        </w:rPr>
        <w:t xml:space="preserve">Lens </w:t>
      </w:r>
      <w:proofErr w:type="spellStart"/>
      <w:r w:rsidRPr="00D01CCB">
        <w:rPr>
          <w:i/>
          <w:lang w:val="en-GB"/>
        </w:rPr>
        <w:t>culinaris</w:t>
      </w:r>
      <w:proofErr w:type="spellEnd"/>
      <w:r w:rsidRPr="00D01CCB">
        <w:rPr>
          <w:i/>
          <w:lang w:val="en-GB"/>
        </w:rPr>
        <w:t xml:space="preserve"> L.</w:t>
      </w:r>
      <w:r w:rsidRPr="00D01CCB">
        <w:rPr>
          <w:lang w:val="en-GB"/>
        </w:rPr>
        <w:t>)</w:t>
      </w:r>
      <w:r w:rsidR="007C4193" w:rsidRPr="00D01CCB">
        <w:rPr>
          <w:lang w:val="en-GB"/>
        </w:rPr>
        <w:t>;</w:t>
      </w:r>
    </w:p>
    <w:p w14:paraId="61FBEA13" w14:textId="366EB75F" w:rsidR="00BC3F5F" w:rsidRPr="00D01CCB" w:rsidRDefault="00737BD9" w:rsidP="00BC3F5F">
      <w:pPr>
        <w:pStyle w:val="CETBodytext"/>
        <w:numPr>
          <w:ilvl w:val="0"/>
          <w:numId w:val="35"/>
        </w:numPr>
        <w:rPr>
          <w:lang w:val="en-GB"/>
        </w:rPr>
      </w:pPr>
      <w:r w:rsidRPr="00D01CCB">
        <w:rPr>
          <w:lang w:val="en-GB"/>
        </w:rPr>
        <w:t>12</w:t>
      </w:r>
      <w:r w:rsidR="00F54702" w:rsidRPr="00D01CCB">
        <w:rPr>
          <w:lang w:val="en-GB"/>
        </w:rPr>
        <w:t xml:space="preserve"> </w:t>
      </w:r>
      <w:r w:rsidRPr="00D01CCB">
        <w:rPr>
          <w:lang w:val="en-GB"/>
        </w:rPr>
        <w:t>g of peas (</w:t>
      </w:r>
      <w:r w:rsidRPr="00D01CCB">
        <w:rPr>
          <w:i/>
          <w:lang w:val="en-GB"/>
        </w:rPr>
        <w:t>Pisum sativum E.</w:t>
      </w:r>
      <w:r w:rsidRPr="00D01CCB">
        <w:rPr>
          <w:lang w:val="en-GB"/>
        </w:rPr>
        <w:t>)</w:t>
      </w:r>
      <w:r w:rsidR="007C4193" w:rsidRPr="00D01CCB">
        <w:rPr>
          <w:lang w:val="en-GB"/>
        </w:rPr>
        <w:t>;</w:t>
      </w:r>
      <w:r w:rsidRPr="00D01CCB">
        <w:rPr>
          <w:lang w:val="en-GB"/>
        </w:rPr>
        <w:t xml:space="preserve"> </w:t>
      </w:r>
    </w:p>
    <w:p w14:paraId="06F1EA73" w14:textId="507D84C3" w:rsidR="007C4193" w:rsidRPr="00D01CCB" w:rsidRDefault="00737BD9" w:rsidP="00BC3F5F">
      <w:pPr>
        <w:pStyle w:val="CETBodytext"/>
        <w:numPr>
          <w:ilvl w:val="0"/>
          <w:numId w:val="35"/>
        </w:numPr>
        <w:rPr>
          <w:lang w:val="en-GB"/>
        </w:rPr>
      </w:pPr>
      <w:r w:rsidRPr="00D01CCB">
        <w:rPr>
          <w:lang w:val="en-GB"/>
        </w:rPr>
        <w:t>24</w:t>
      </w:r>
      <w:r w:rsidR="00F54702" w:rsidRPr="00D01CCB">
        <w:rPr>
          <w:lang w:val="en-GB"/>
        </w:rPr>
        <w:t xml:space="preserve"> </w:t>
      </w:r>
      <w:r w:rsidRPr="00D01CCB">
        <w:rPr>
          <w:lang w:val="en-GB"/>
        </w:rPr>
        <w:t>g of beans (</w:t>
      </w:r>
      <w:r w:rsidRPr="00D01CCB">
        <w:rPr>
          <w:i/>
          <w:lang w:val="en-GB"/>
        </w:rPr>
        <w:t>Phaseolus vulgaris L.)</w:t>
      </w:r>
      <w:r w:rsidR="007C4193" w:rsidRPr="00D01CCB">
        <w:rPr>
          <w:i/>
          <w:lang w:val="en-GB"/>
        </w:rPr>
        <w:t>.</w:t>
      </w:r>
      <w:r w:rsidRPr="00D01CCB">
        <w:rPr>
          <w:i/>
          <w:lang w:val="en-GB"/>
        </w:rPr>
        <w:t xml:space="preserve"> </w:t>
      </w:r>
    </w:p>
    <w:p w14:paraId="79B89A35" w14:textId="09250CC1" w:rsidR="00737BD9" w:rsidRDefault="00EC1F38" w:rsidP="00737BD9">
      <w:pPr>
        <w:pStyle w:val="CETBodytext"/>
        <w:rPr>
          <w:lang w:val="en-GB"/>
        </w:rPr>
      </w:pPr>
      <w:r w:rsidRPr="00D01CCB">
        <w:rPr>
          <w:lang w:val="en-GB"/>
        </w:rPr>
        <w:t xml:space="preserve">Each ingredient is </w:t>
      </w:r>
      <w:r w:rsidR="00737BD9" w:rsidRPr="00D01CCB">
        <w:rPr>
          <w:lang w:val="en-GB"/>
        </w:rPr>
        <w:t>soaked in water at room temperature for 8 h</w:t>
      </w:r>
      <w:r w:rsidR="00445824" w:rsidRPr="00D01CCB">
        <w:rPr>
          <w:lang w:val="en-GB"/>
        </w:rPr>
        <w:t xml:space="preserve">, followed by </w:t>
      </w:r>
      <w:r w:rsidR="00737BD9" w:rsidRPr="00D01CCB">
        <w:rPr>
          <w:lang w:val="en-GB"/>
        </w:rPr>
        <w:t xml:space="preserve">a pressure cooking for 30 min </w:t>
      </w:r>
      <w:r w:rsidR="00125F5F" w:rsidRPr="00D01CCB">
        <w:rPr>
          <w:lang w:val="en-GB"/>
        </w:rPr>
        <w:t xml:space="preserve">and </w:t>
      </w:r>
      <w:r w:rsidR="00737BD9" w:rsidRPr="00D01CCB">
        <w:rPr>
          <w:lang w:val="en-GB"/>
        </w:rPr>
        <w:t xml:space="preserve">a mashing process. </w:t>
      </w:r>
      <w:r w:rsidR="00125F5F" w:rsidRPr="00D01CCB">
        <w:rPr>
          <w:lang w:val="en-GB"/>
        </w:rPr>
        <w:t xml:space="preserve">At the same time, </w:t>
      </w:r>
      <w:r w:rsidR="00737BD9" w:rsidRPr="00D01CCB">
        <w:rPr>
          <w:lang w:val="en-GB"/>
        </w:rPr>
        <w:t>20</w:t>
      </w:r>
      <w:r w:rsidR="004C1043" w:rsidRPr="00D01CCB">
        <w:rPr>
          <w:lang w:val="en-GB"/>
        </w:rPr>
        <w:t xml:space="preserve"> </w:t>
      </w:r>
      <w:r w:rsidR="00737BD9" w:rsidRPr="00D01CCB">
        <w:rPr>
          <w:lang w:val="en-GB"/>
        </w:rPr>
        <w:t>g of corn (</w:t>
      </w:r>
      <w:proofErr w:type="spellStart"/>
      <w:r w:rsidR="00737BD9" w:rsidRPr="00D01CCB">
        <w:rPr>
          <w:i/>
          <w:lang w:val="en-GB"/>
        </w:rPr>
        <w:t>Zea</w:t>
      </w:r>
      <w:proofErr w:type="spellEnd"/>
      <w:r w:rsidR="00737BD9" w:rsidRPr="00D01CCB">
        <w:rPr>
          <w:i/>
          <w:lang w:val="en-GB"/>
        </w:rPr>
        <w:t xml:space="preserve"> mays L.</w:t>
      </w:r>
      <w:r w:rsidR="00737BD9" w:rsidRPr="00D01CCB">
        <w:rPr>
          <w:lang w:val="en-GB"/>
        </w:rPr>
        <w:t xml:space="preserve">) </w:t>
      </w:r>
      <w:r w:rsidR="000252D9">
        <w:rPr>
          <w:lang w:val="en-GB"/>
        </w:rPr>
        <w:t>are</w:t>
      </w:r>
      <w:r w:rsidR="005A18AF" w:rsidRPr="00D01CCB">
        <w:rPr>
          <w:lang w:val="en-GB"/>
        </w:rPr>
        <w:t xml:space="preserve"> </w:t>
      </w:r>
      <w:r w:rsidR="00737BD9" w:rsidRPr="00D01CCB">
        <w:rPr>
          <w:lang w:val="en-GB"/>
        </w:rPr>
        <w:t xml:space="preserve">washed </w:t>
      </w:r>
      <w:r w:rsidR="00125F5F" w:rsidRPr="00D01CCB">
        <w:rPr>
          <w:lang w:val="en-GB"/>
        </w:rPr>
        <w:t xml:space="preserve">with </w:t>
      </w:r>
      <w:r w:rsidR="00737BD9" w:rsidRPr="00D01CCB">
        <w:rPr>
          <w:lang w:val="en-GB"/>
        </w:rPr>
        <w:t>water and 10</w:t>
      </w:r>
      <w:r w:rsidR="004C1043" w:rsidRPr="00D01CCB">
        <w:rPr>
          <w:lang w:val="en-GB"/>
        </w:rPr>
        <w:t xml:space="preserve"> </w:t>
      </w:r>
      <w:r w:rsidR="00737BD9" w:rsidRPr="00D01CCB">
        <w:rPr>
          <w:lang w:val="en-GB"/>
        </w:rPr>
        <w:t xml:space="preserve">g of fresh spinach, after washing, </w:t>
      </w:r>
      <w:r w:rsidR="00125F5F" w:rsidRPr="00D01CCB">
        <w:rPr>
          <w:lang w:val="en-GB"/>
        </w:rPr>
        <w:t>are</w:t>
      </w:r>
      <w:r w:rsidR="009B11BC" w:rsidRPr="00D01CCB">
        <w:rPr>
          <w:lang w:val="en-GB"/>
        </w:rPr>
        <w:t xml:space="preserve"> </w:t>
      </w:r>
      <w:r w:rsidR="00737BD9" w:rsidRPr="00D01CCB">
        <w:rPr>
          <w:lang w:val="en-GB"/>
        </w:rPr>
        <w:t xml:space="preserve">cooked at 100 </w:t>
      </w:r>
      <w:r w:rsidR="009579BC" w:rsidRPr="00D01CCB">
        <w:rPr>
          <w:lang w:val="en-GB"/>
        </w:rPr>
        <w:t>°</w:t>
      </w:r>
      <w:r w:rsidR="00737BD9" w:rsidRPr="00D01CCB">
        <w:rPr>
          <w:lang w:val="en-GB"/>
        </w:rPr>
        <w:t>C for 3 min. The legumes are mixed with corn and spinach,</w:t>
      </w:r>
      <w:r w:rsidR="00125F5F" w:rsidRPr="00D01CCB">
        <w:rPr>
          <w:lang w:val="en-GB"/>
        </w:rPr>
        <w:t xml:space="preserve"> and added to</w:t>
      </w:r>
      <w:r w:rsidR="00737BD9" w:rsidRPr="00D01CCB">
        <w:rPr>
          <w:lang w:val="en-GB"/>
        </w:rPr>
        <w:t xml:space="preserve"> 4</w:t>
      </w:r>
      <w:r w:rsidR="004C1043" w:rsidRPr="00D01CCB">
        <w:rPr>
          <w:lang w:val="en-GB"/>
        </w:rPr>
        <w:t xml:space="preserve"> </w:t>
      </w:r>
      <w:r w:rsidR="00737BD9" w:rsidRPr="00D01CCB">
        <w:rPr>
          <w:lang w:val="en-GB"/>
        </w:rPr>
        <w:t xml:space="preserve">g of egg white, </w:t>
      </w:r>
      <w:r w:rsidR="00125F5F" w:rsidRPr="00D01CCB">
        <w:rPr>
          <w:lang w:val="en-GB"/>
        </w:rPr>
        <w:t xml:space="preserve">to </w:t>
      </w:r>
      <w:r w:rsidR="00737BD9" w:rsidRPr="00D01CCB">
        <w:rPr>
          <w:lang w:val="en-GB"/>
        </w:rPr>
        <w:t>4</w:t>
      </w:r>
      <w:r w:rsidR="004933AC" w:rsidRPr="00D01CCB">
        <w:rPr>
          <w:lang w:val="en-GB"/>
        </w:rPr>
        <w:t xml:space="preserve"> </w:t>
      </w:r>
      <w:r w:rsidR="00737BD9" w:rsidRPr="00D01CCB">
        <w:rPr>
          <w:lang w:val="en-GB"/>
        </w:rPr>
        <w:t xml:space="preserve">g of cheese and </w:t>
      </w:r>
      <w:r w:rsidR="00125F5F" w:rsidRPr="00D01CCB">
        <w:rPr>
          <w:lang w:val="en-GB"/>
        </w:rPr>
        <w:t xml:space="preserve">to </w:t>
      </w:r>
      <w:r w:rsidR="00737BD9" w:rsidRPr="00D01CCB">
        <w:rPr>
          <w:lang w:val="en-GB"/>
        </w:rPr>
        <w:t>2</w:t>
      </w:r>
      <w:r w:rsidR="004933AC" w:rsidRPr="00D01CCB">
        <w:rPr>
          <w:lang w:val="en-GB"/>
        </w:rPr>
        <w:t xml:space="preserve"> </w:t>
      </w:r>
      <w:r w:rsidR="00737BD9" w:rsidRPr="00D01CCB">
        <w:rPr>
          <w:lang w:val="en-GB"/>
        </w:rPr>
        <w:t xml:space="preserve">g of extra virgin olive oil. </w:t>
      </w:r>
      <w:r w:rsidR="00467D95" w:rsidRPr="00D01CCB">
        <w:rPr>
          <w:lang w:val="en-GB"/>
        </w:rPr>
        <w:t xml:space="preserve">The </w:t>
      </w:r>
      <w:r w:rsidR="00737BD9" w:rsidRPr="00D01CCB">
        <w:rPr>
          <w:lang w:val="en-GB"/>
        </w:rPr>
        <w:t>mixing (5 mins at 60 rpm) and forming phase</w:t>
      </w:r>
      <w:r w:rsidR="00F3357C">
        <w:rPr>
          <w:lang w:val="en-GB"/>
        </w:rPr>
        <w:t>s</w:t>
      </w:r>
      <w:r w:rsidR="00737BD9" w:rsidRPr="00D01CCB">
        <w:rPr>
          <w:lang w:val="en-GB"/>
        </w:rPr>
        <w:t xml:space="preserve"> are performed after pre-cook</w:t>
      </w:r>
      <w:r w:rsidR="004C1043" w:rsidRPr="00D01CCB">
        <w:rPr>
          <w:lang w:val="en-GB"/>
        </w:rPr>
        <w:t>ing</w:t>
      </w:r>
      <w:r w:rsidR="00737BD9" w:rsidRPr="00D01CCB">
        <w:rPr>
          <w:lang w:val="en-GB"/>
        </w:rPr>
        <w:t xml:space="preserve"> at 130</w:t>
      </w:r>
      <w:r w:rsidR="009579BC" w:rsidRPr="00D01CCB">
        <w:rPr>
          <w:lang w:val="en-GB"/>
        </w:rPr>
        <w:t xml:space="preserve"> </w:t>
      </w:r>
      <w:r w:rsidR="00737BD9" w:rsidRPr="00D01CCB">
        <w:rPr>
          <w:lang w:val="en-GB"/>
        </w:rPr>
        <w:t>°C for 15 min in the oven. The pre-cooking phase is followed by a chilling phase at 4</w:t>
      </w:r>
      <w:r w:rsidR="009579BC" w:rsidRPr="00D01CCB">
        <w:rPr>
          <w:lang w:val="en-GB"/>
        </w:rPr>
        <w:t xml:space="preserve"> °</w:t>
      </w:r>
      <w:r w:rsidR="00737BD9" w:rsidRPr="00D01CCB">
        <w:rPr>
          <w:lang w:val="en-GB"/>
        </w:rPr>
        <w:t xml:space="preserve">C. </w:t>
      </w:r>
      <w:r w:rsidR="00F3357C">
        <w:rPr>
          <w:lang w:val="en-GB"/>
        </w:rPr>
        <w:t>T</w:t>
      </w:r>
      <w:r w:rsidR="00737BD9" w:rsidRPr="00D01CCB">
        <w:rPr>
          <w:lang w:val="en-GB"/>
        </w:rPr>
        <w:t xml:space="preserve">he burger is </w:t>
      </w:r>
      <w:r w:rsidR="00F3357C">
        <w:rPr>
          <w:lang w:val="en-GB"/>
        </w:rPr>
        <w:t xml:space="preserve">then </w:t>
      </w:r>
      <w:r w:rsidR="00737BD9" w:rsidRPr="00D01CCB">
        <w:rPr>
          <w:lang w:val="en-GB"/>
        </w:rPr>
        <w:t>rolled in breadcrumbs and baked again at 210</w:t>
      </w:r>
      <w:r w:rsidR="009579BC" w:rsidRPr="00D01CCB">
        <w:rPr>
          <w:lang w:val="en-GB"/>
        </w:rPr>
        <w:t xml:space="preserve"> °</w:t>
      </w:r>
      <w:r w:rsidR="00737BD9" w:rsidRPr="00D01CCB">
        <w:rPr>
          <w:lang w:val="en-GB"/>
        </w:rPr>
        <w:t xml:space="preserve">C for 15 min. </w:t>
      </w:r>
      <w:r w:rsidR="00125F5F" w:rsidRPr="00D01CCB">
        <w:rPr>
          <w:lang w:val="en-GB"/>
        </w:rPr>
        <w:t>Finally</w:t>
      </w:r>
      <w:r w:rsidR="0024169C" w:rsidRPr="00D01CCB">
        <w:rPr>
          <w:lang w:val="en-GB"/>
        </w:rPr>
        <w:t xml:space="preserve">, </w:t>
      </w:r>
      <w:r w:rsidR="00C71CF3" w:rsidRPr="00D01CCB">
        <w:rPr>
          <w:lang w:val="en-GB"/>
        </w:rPr>
        <w:t>the product</w:t>
      </w:r>
      <w:r w:rsidR="009A7200" w:rsidRPr="00D01CCB">
        <w:rPr>
          <w:lang w:val="en-GB"/>
        </w:rPr>
        <w:t xml:space="preserve"> </w:t>
      </w:r>
      <w:r w:rsidR="00CC69E3" w:rsidRPr="00D01CCB">
        <w:rPr>
          <w:lang w:val="en-GB"/>
        </w:rPr>
        <w:t>with</w:t>
      </w:r>
      <w:r w:rsidR="009A7200" w:rsidRPr="00D01CCB">
        <w:rPr>
          <w:lang w:val="en-GB"/>
        </w:rPr>
        <w:t xml:space="preserve"> a</w:t>
      </w:r>
      <w:r w:rsidR="009527ED" w:rsidRPr="00D01CCB">
        <w:rPr>
          <w:lang w:val="en-GB"/>
        </w:rPr>
        <w:t xml:space="preserve"> </w:t>
      </w:r>
      <w:r w:rsidR="009A7200" w:rsidRPr="00D01CCB">
        <w:rPr>
          <w:lang w:val="en-GB"/>
        </w:rPr>
        <w:t>w</w:t>
      </w:r>
      <w:r w:rsidR="00BA56E3" w:rsidRPr="00D01CCB">
        <w:rPr>
          <w:lang w:val="en-GB"/>
        </w:rPr>
        <w:t>e</w:t>
      </w:r>
      <w:r w:rsidR="009A7200" w:rsidRPr="00D01CCB">
        <w:rPr>
          <w:lang w:val="en-GB"/>
        </w:rPr>
        <w:t>ight</w:t>
      </w:r>
      <w:r w:rsidR="00BA56E3" w:rsidRPr="00D01CCB">
        <w:rPr>
          <w:lang w:val="en-GB"/>
        </w:rPr>
        <w:t xml:space="preserve"> of 100</w:t>
      </w:r>
      <w:r w:rsidR="004A04B1" w:rsidRPr="00D01CCB">
        <w:rPr>
          <w:lang w:val="en-GB"/>
        </w:rPr>
        <w:t xml:space="preserve"> </w:t>
      </w:r>
      <w:r w:rsidR="00BA56E3" w:rsidRPr="00D01CCB">
        <w:rPr>
          <w:lang w:val="en-GB"/>
        </w:rPr>
        <w:t xml:space="preserve">g </w:t>
      </w:r>
      <w:r w:rsidR="00C71CF3" w:rsidRPr="00D01CCB">
        <w:rPr>
          <w:lang w:val="en-GB"/>
        </w:rPr>
        <w:t xml:space="preserve">is packaged </w:t>
      </w:r>
      <w:r w:rsidR="00737BD9" w:rsidRPr="00D01CCB">
        <w:rPr>
          <w:lang w:val="en-GB"/>
        </w:rPr>
        <w:t xml:space="preserve">and </w:t>
      </w:r>
      <w:r w:rsidR="000668D8" w:rsidRPr="00D01CCB">
        <w:rPr>
          <w:lang w:val="en-GB"/>
        </w:rPr>
        <w:t>sent</w:t>
      </w:r>
      <w:r w:rsidR="00125F5F" w:rsidRPr="00D01CCB">
        <w:rPr>
          <w:lang w:val="en-GB"/>
        </w:rPr>
        <w:t xml:space="preserve"> to</w:t>
      </w:r>
      <w:r w:rsidR="000668D8" w:rsidRPr="00D01CCB">
        <w:rPr>
          <w:lang w:val="en-GB"/>
        </w:rPr>
        <w:t xml:space="preserve"> </w:t>
      </w:r>
      <w:r w:rsidR="00737BD9" w:rsidRPr="00D01CCB">
        <w:rPr>
          <w:lang w:val="en-GB"/>
        </w:rPr>
        <w:t xml:space="preserve">the </w:t>
      </w:r>
      <w:r w:rsidR="00125F5F" w:rsidRPr="00D01CCB">
        <w:rPr>
          <w:lang w:val="en-GB"/>
        </w:rPr>
        <w:t xml:space="preserve">mass </w:t>
      </w:r>
      <w:r w:rsidR="00737BD9" w:rsidRPr="00D01CCB">
        <w:rPr>
          <w:lang w:val="en-GB"/>
        </w:rPr>
        <w:t xml:space="preserve">distribution channel. </w:t>
      </w:r>
    </w:p>
    <w:p w14:paraId="3A00DFDC" w14:textId="64C41427" w:rsidR="00737BD9" w:rsidRPr="00D01CCB" w:rsidRDefault="00670157" w:rsidP="00737BD9">
      <w:pPr>
        <w:pStyle w:val="CETBodytext"/>
        <w:rPr>
          <w:lang w:val="en-GB"/>
        </w:rPr>
      </w:pPr>
      <w:r w:rsidRPr="00D01CCB">
        <w:rPr>
          <w:lang w:val="en-GB"/>
        </w:rPr>
        <w:t>For the final phase</w:t>
      </w:r>
      <w:r w:rsidR="00F3357C">
        <w:rPr>
          <w:lang w:val="en-GB"/>
        </w:rPr>
        <w:t xml:space="preserve"> of</w:t>
      </w:r>
      <w:r w:rsidRPr="00D01CCB">
        <w:rPr>
          <w:lang w:val="en-GB"/>
        </w:rPr>
        <w:t xml:space="preserve"> the domestic cooking</w:t>
      </w:r>
      <w:r w:rsidR="00F3357C">
        <w:rPr>
          <w:noProof/>
          <w:lang w:val="en-GB"/>
        </w:rPr>
        <w:t xml:space="preserve"> it</w:t>
      </w:r>
      <w:r w:rsidRPr="00D01CCB">
        <w:rPr>
          <w:lang w:val="en-GB"/>
        </w:rPr>
        <w:t xml:space="preserve"> was not considered the construction of the pan</w:t>
      </w:r>
      <w:r w:rsidR="00F3357C">
        <w:rPr>
          <w:lang w:val="en-GB"/>
        </w:rPr>
        <w:t>,</w:t>
      </w:r>
      <w:r w:rsidRPr="00D01CCB">
        <w:rPr>
          <w:lang w:val="en-GB"/>
        </w:rPr>
        <w:t xml:space="preserve"> but, considering the different cooking </w:t>
      </w:r>
      <w:r w:rsidR="00F3357C">
        <w:rPr>
          <w:lang w:val="en-GB"/>
        </w:rPr>
        <w:t xml:space="preserve">times </w:t>
      </w:r>
      <w:r w:rsidRPr="00D01CCB">
        <w:rPr>
          <w:lang w:val="en-GB"/>
        </w:rPr>
        <w:t>require</w:t>
      </w:r>
      <w:r w:rsidR="00F3357C">
        <w:rPr>
          <w:lang w:val="en-GB"/>
        </w:rPr>
        <w:t>d for</w:t>
      </w:r>
      <w:r w:rsidRPr="00D01CCB">
        <w:rPr>
          <w:lang w:val="en-GB"/>
        </w:rPr>
        <w:t xml:space="preserve"> the two products, for the legume-based burger was estimated a time equal to 3 minutes. In this phase, a quantity equal to 0.009 m</w:t>
      </w:r>
      <w:r w:rsidRPr="00D01CCB">
        <w:rPr>
          <w:vertAlign w:val="superscript"/>
          <w:lang w:val="en-GB"/>
        </w:rPr>
        <w:t>3</w:t>
      </w:r>
      <w:r w:rsidRPr="00D01CCB">
        <w:rPr>
          <w:lang w:val="en-GB"/>
        </w:rPr>
        <w:t xml:space="preserve"> of gas is required to cook the burger (</w:t>
      </w:r>
      <w:proofErr w:type="spellStart"/>
      <w:r w:rsidRPr="00D01CCB">
        <w:rPr>
          <w:lang w:val="en-GB"/>
        </w:rPr>
        <w:t>Senneson</w:t>
      </w:r>
      <w:proofErr w:type="spellEnd"/>
      <w:r w:rsidRPr="00D01CCB">
        <w:rPr>
          <w:lang w:val="en-GB"/>
        </w:rPr>
        <w:t xml:space="preserve"> et al., 2007).</w:t>
      </w:r>
      <w:r>
        <w:rPr>
          <w:lang w:val="en-GB"/>
        </w:rPr>
        <w:t xml:space="preserve"> </w:t>
      </w:r>
      <w:r w:rsidR="00737BD9" w:rsidRPr="00D01CCB">
        <w:rPr>
          <w:lang w:val="en-GB"/>
        </w:rPr>
        <w:t xml:space="preserve">For </w:t>
      </w:r>
      <w:r w:rsidR="00125F5F" w:rsidRPr="00D01CCB">
        <w:rPr>
          <w:lang w:val="en-GB"/>
        </w:rPr>
        <w:t>each</w:t>
      </w:r>
      <w:r w:rsidR="00737BD9" w:rsidRPr="00D01CCB">
        <w:rPr>
          <w:lang w:val="en-GB"/>
        </w:rPr>
        <w:t xml:space="preserve"> phase performed,</w:t>
      </w:r>
      <w:r w:rsidR="00125F5F" w:rsidRPr="00D01CCB">
        <w:rPr>
          <w:lang w:val="en-GB"/>
        </w:rPr>
        <w:t xml:space="preserve"> it</w:t>
      </w:r>
      <w:r w:rsidR="00737BD9" w:rsidRPr="00D01CCB">
        <w:rPr>
          <w:lang w:val="en-GB"/>
        </w:rPr>
        <w:t xml:space="preserve"> was </w:t>
      </w:r>
      <w:r w:rsidR="00737BD9" w:rsidRPr="00D01CCB">
        <w:rPr>
          <w:noProof/>
          <w:lang w:val="en-GB"/>
        </w:rPr>
        <w:t>defined</w:t>
      </w:r>
      <w:r w:rsidR="00600FE1" w:rsidRPr="00D01CCB">
        <w:rPr>
          <w:noProof/>
          <w:lang w:val="en-GB"/>
        </w:rPr>
        <w:t xml:space="preserve"> </w:t>
      </w:r>
      <w:r w:rsidR="00737BD9" w:rsidRPr="00D01CCB">
        <w:rPr>
          <w:lang w:val="en-GB"/>
        </w:rPr>
        <w:t xml:space="preserve">the </w:t>
      </w:r>
      <w:r w:rsidR="00F3357C">
        <w:rPr>
          <w:lang w:val="en-GB"/>
        </w:rPr>
        <w:t xml:space="preserve">machines </w:t>
      </w:r>
      <w:r w:rsidR="00737BD9" w:rsidRPr="00D01CCB">
        <w:rPr>
          <w:lang w:val="en-GB"/>
        </w:rPr>
        <w:t xml:space="preserve">weight and </w:t>
      </w:r>
      <w:r w:rsidR="00F3357C">
        <w:rPr>
          <w:lang w:val="en-GB"/>
        </w:rPr>
        <w:t xml:space="preserve">the </w:t>
      </w:r>
      <w:r w:rsidR="00C26E10">
        <w:rPr>
          <w:lang w:val="en-GB"/>
        </w:rPr>
        <w:t>composition of the machine</w:t>
      </w:r>
      <w:r w:rsidR="00F3357C">
        <w:rPr>
          <w:lang w:val="en-GB"/>
        </w:rPr>
        <w:t>,</w:t>
      </w:r>
      <w:r w:rsidR="00737BD9" w:rsidRPr="00D01CCB">
        <w:rPr>
          <w:lang w:val="en-GB"/>
        </w:rPr>
        <w:t xml:space="preserve"> and the relative energy consumptions</w:t>
      </w:r>
      <w:r w:rsidR="00125F5F" w:rsidRPr="00D01CCB">
        <w:rPr>
          <w:lang w:val="en-GB"/>
        </w:rPr>
        <w:t xml:space="preserve"> (Table 2)</w:t>
      </w:r>
      <w:r w:rsidR="00737BD9" w:rsidRPr="00D01CCB">
        <w:rPr>
          <w:lang w:val="en-GB"/>
        </w:rPr>
        <w:t xml:space="preserve">. </w:t>
      </w:r>
    </w:p>
    <w:p w14:paraId="2C8E3FAF" w14:textId="3431173D" w:rsidR="0059561B" w:rsidRPr="00D01CCB" w:rsidRDefault="0059561B" w:rsidP="0059561B">
      <w:pPr>
        <w:pStyle w:val="CETTabletitle"/>
      </w:pPr>
      <w:r w:rsidRPr="00D01CCB">
        <w:t xml:space="preserve">Table </w:t>
      </w:r>
      <w:r w:rsidR="00BE1DCB" w:rsidRPr="00D01CCB">
        <w:t>2</w:t>
      </w:r>
      <w:r w:rsidRPr="00D01CCB">
        <w:t xml:space="preserve">: </w:t>
      </w:r>
      <w:r w:rsidR="00600FE1" w:rsidRPr="00D01CCB">
        <w:t>M</w:t>
      </w:r>
      <w:r w:rsidRPr="00D01CCB">
        <w:rPr>
          <w:noProof/>
        </w:rPr>
        <w:t>achines</w:t>
      </w:r>
      <w:r w:rsidRPr="00D01CCB">
        <w:t xml:space="preserve"> required to obtain the </w:t>
      </w:r>
      <w:r w:rsidR="00125F5F" w:rsidRPr="00D01CCB">
        <w:t xml:space="preserve">LBB </w:t>
      </w:r>
      <w:r w:rsidRPr="00D01CCB">
        <w:t xml:space="preserve">and the relative subdivision for the </w:t>
      </w:r>
      <w:r w:rsidR="00125F5F" w:rsidRPr="00D01CCB">
        <w:t>FU</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1559"/>
        <w:gridCol w:w="1276"/>
        <w:gridCol w:w="2551"/>
        <w:gridCol w:w="1276"/>
      </w:tblGrid>
      <w:tr w:rsidR="00F93EB4" w:rsidRPr="00D01CCB" w14:paraId="20DBDF61" w14:textId="77777777" w:rsidTr="00C37FD7">
        <w:trPr>
          <w:trHeight w:val="283"/>
        </w:trPr>
        <w:tc>
          <w:tcPr>
            <w:tcW w:w="2127" w:type="dxa"/>
            <w:tcBorders>
              <w:top w:val="single" w:sz="12" w:space="0" w:color="008000"/>
              <w:bottom w:val="single" w:sz="6" w:space="0" w:color="008000"/>
            </w:tcBorders>
            <w:shd w:val="clear" w:color="auto" w:fill="FFFFFF"/>
            <w:vAlign w:val="center"/>
          </w:tcPr>
          <w:p w14:paraId="6F4B750A" w14:textId="5A554944" w:rsidR="00F93EB4" w:rsidRPr="00D01CCB" w:rsidRDefault="00F93EB4" w:rsidP="00163F1E">
            <w:pPr>
              <w:pStyle w:val="CETBodytext"/>
              <w:spacing w:line="240" w:lineRule="auto"/>
              <w:jc w:val="center"/>
              <w:rPr>
                <w:lang w:val="en-GB"/>
              </w:rPr>
            </w:pPr>
            <w:r w:rsidRPr="00D01CCB">
              <w:rPr>
                <w:lang w:val="en-GB"/>
              </w:rPr>
              <w:t>Machine</w:t>
            </w:r>
          </w:p>
        </w:tc>
        <w:tc>
          <w:tcPr>
            <w:tcW w:w="1559" w:type="dxa"/>
            <w:tcBorders>
              <w:top w:val="single" w:sz="12" w:space="0" w:color="008000"/>
              <w:bottom w:val="single" w:sz="6" w:space="0" w:color="008000"/>
            </w:tcBorders>
            <w:shd w:val="clear" w:color="auto" w:fill="FFFFFF"/>
            <w:vAlign w:val="center"/>
          </w:tcPr>
          <w:p w14:paraId="2E130742" w14:textId="3C062B07" w:rsidR="00F93EB4" w:rsidRPr="00D01CCB" w:rsidRDefault="00315313" w:rsidP="00163F1E">
            <w:pPr>
              <w:pStyle w:val="CETBodytext"/>
              <w:spacing w:line="240" w:lineRule="auto"/>
              <w:jc w:val="center"/>
              <w:rPr>
                <w:lang w:val="en-GB"/>
              </w:rPr>
            </w:pPr>
            <w:r w:rsidRPr="00D01CCB">
              <w:rPr>
                <w:lang w:val="en-GB"/>
              </w:rPr>
              <w:t>W</w:t>
            </w:r>
            <w:r w:rsidR="00F93EB4" w:rsidRPr="00D01CCB">
              <w:rPr>
                <w:lang w:val="en-GB"/>
              </w:rPr>
              <w:t xml:space="preserve">eight </w:t>
            </w:r>
          </w:p>
          <w:p w14:paraId="3CD602B5" w14:textId="1C7E230A" w:rsidR="00F93EB4" w:rsidRPr="00D01CCB" w:rsidRDefault="00F93EB4" w:rsidP="00163F1E">
            <w:pPr>
              <w:pStyle w:val="CETBodytext"/>
              <w:spacing w:line="240" w:lineRule="auto"/>
              <w:jc w:val="center"/>
              <w:rPr>
                <w:lang w:val="en-GB"/>
              </w:rPr>
            </w:pPr>
            <w:r w:rsidRPr="00D01CCB">
              <w:rPr>
                <w:lang w:val="en-GB"/>
              </w:rPr>
              <w:t>(kg)</w:t>
            </w:r>
          </w:p>
        </w:tc>
        <w:tc>
          <w:tcPr>
            <w:tcW w:w="1276" w:type="dxa"/>
            <w:tcBorders>
              <w:top w:val="single" w:sz="12" w:space="0" w:color="008000"/>
              <w:bottom w:val="single" w:sz="6" w:space="0" w:color="008000"/>
            </w:tcBorders>
            <w:shd w:val="clear" w:color="auto" w:fill="FFFFFF"/>
            <w:vAlign w:val="center"/>
          </w:tcPr>
          <w:p w14:paraId="7932C02D" w14:textId="3F95B84C" w:rsidR="00F93EB4" w:rsidRPr="00D01CCB" w:rsidRDefault="00315313" w:rsidP="00163F1E">
            <w:pPr>
              <w:pStyle w:val="CETBodytext"/>
              <w:spacing w:line="240" w:lineRule="auto"/>
              <w:jc w:val="center"/>
              <w:rPr>
                <w:lang w:val="en-GB"/>
              </w:rPr>
            </w:pPr>
            <w:r w:rsidRPr="00D01CCB">
              <w:rPr>
                <w:lang w:val="en-GB"/>
              </w:rPr>
              <w:t>P</w:t>
            </w:r>
            <w:r w:rsidR="00F93EB4" w:rsidRPr="00D01CCB">
              <w:rPr>
                <w:lang w:val="en-GB"/>
              </w:rPr>
              <w:t>ower (kW)</w:t>
            </w:r>
          </w:p>
        </w:tc>
        <w:tc>
          <w:tcPr>
            <w:tcW w:w="2551" w:type="dxa"/>
            <w:tcBorders>
              <w:top w:val="single" w:sz="12" w:space="0" w:color="008000"/>
              <w:bottom w:val="single" w:sz="6" w:space="0" w:color="008000"/>
            </w:tcBorders>
            <w:shd w:val="clear" w:color="auto" w:fill="FFFFFF"/>
            <w:vAlign w:val="center"/>
          </w:tcPr>
          <w:p w14:paraId="2B038A2A" w14:textId="3AC6D530" w:rsidR="00F93EB4" w:rsidRPr="00D01CCB" w:rsidRDefault="00315313" w:rsidP="00163F1E">
            <w:pPr>
              <w:pStyle w:val="CETBodytext"/>
              <w:spacing w:line="240" w:lineRule="auto"/>
              <w:jc w:val="center"/>
              <w:rPr>
                <w:vertAlign w:val="superscript"/>
                <w:lang w:val="en-GB"/>
              </w:rPr>
            </w:pPr>
            <w:r w:rsidRPr="00D01CCB">
              <w:rPr>
                <w:lang w:val="en-GB"/>
              </w:rPr>
              <w:t>W</w:t>
            </w:r>
            <w:r w:rsidR="00F93EB4" w:rsidRPr="00D01CCB">
              <w:rPr>
                <w:lang w:val="en-GB"/>
              </w:rPr>
              <w:t xml:space="preserve">eight / </w:t>
            </w:r>
            <w:r w:rsidRPr="00D01CCB">
              <w:rPr>
                <w:lang w:val="en-GB"/>
              </w:rPr>
              <w:t xml:space="preserve">FU </w:t>
            </w:r>
            <w:r w:rsidR="00F93EB4" w:rsidRPr="00D01CCB">
              <w:rPr>
                <w:lang w:val="en-GB"/>
              </w:rPr>
              <w:t>(</w:t>
            </w:r>
            <w:r w:rsidRPr="00D01CCB">
              <w:rPr>
                <w:lang w:val="en-GB"/>
              </w:rPr>
              <w:t>10</w:t>
            </w:r>
            <w:r w:rsidRPr="00D01CCB">
              <w:rPr>
                <w:vertAlign w:val="superscript"/>
                <w:lang w:val="en-GB"/>
              </w:rPr>
              <w:t xml:space="preserve">-4 </w:t>
            </w:r>
            <w:r w:rsidR="00F93EB4" w:rsidRPr="00D01CCB">
              <w:rPr>
                <w:lang w:val="en-GB"/>
              </w:rPr>
              <w:t xml:space="preserve">g) </w:t>
            </w:r>
          </w:p>
        </w:tc>
        <w:tc>
          <w:tcPr>
            <w:tcW w:w="1276" w:type="dxa"/>
            <w:tcBorders>
              <w:top w:val="single" w:sz="12" w:space="0" w:color="008000"/>
              <w:bottom w:val="single" w:sz="6" w:space="0" w:color="008000"/>
            </w:tcBorders>
            <w:shd w:val="clear" w:color="auto" w:fill="FFFFFF"/>
            <w:vAlign w:val="center"/>
          </w:tcPr>
          <w:p w14:paraId="1F1DA1EB" w14:textId="6DC236C1" w:rsidR="00F93EB4" w:rsidRPr="00D01CCB" w:rsidRDefault="00EC5E53" w:rsidP="00163F1E">
            <w:pPr>
              <w:pStyle w:val="CETBodytext"/>
              <w:spacing w:line="240" w:lineRule="auto"/>
              <w:jc w:val="center"/>
              <w:rPr>
                <w:lang w:val="en-GB"/>
              </w:rPr>
            </w:pPr>
            <w:r w:rsidRPr="00D01CCB">
              <w:rPr>
                <w:lang w:val="en-GB"/>
              </w:rPr>
              <w:t>Energy</w:t>
            </w:r>
            <w:r w:rsidR="00315313" w:rsidRPr="00D01CCB">
              <w:rPr>
                <w:lang w:val="en-GB"/>
              </w:rPr>
              <w:t xml:space="preserve"> </w:t>
            </w:r>
            <w:r w:rsidR="00F93EB4" w:rsidRPr="00D01CCB">
              <w:rPr>
                <w:lang w:val="en-GB"/>
              </w:rPr>
              <w:t xml:space="preserve">/ </w:t>
            </w:r>
            <w:r w:rsidRPr="00D01CCB">
              <w:rPr>
                <w:lang w:val="en-GB"/>
              </w:rPr>
              <w:t>FU</w:t>
            </w:r>
          </w:p>
          <w:p w14:paraId="41D84500" w14:textId="0A2057A6" w:rsidR="00F93EB4" w:rsidRPr="00D01CCB" w:rsidRDefault="00315313" w:rsidP="00163F1E">
            <w:pPr>
              <w:pStyle w:val="CETBodytext"/>
              <w:spacing w:line="240" w:lineRule="auto"/>
              <w:jc w:val="center"/>
              <w:rPr>
                <w:lang w:val="en-GB"/>
              </w:rPr>
            </w:pPr>
            <w:r w:rsidRPr="00D01CCB">
              <w:rPr>
                <w:lang w:val="en-GB"/>
              </w:rPr>
              <w:t>(</w:t>
            </w:r>
            <w:proofErr w:type="spellStart"/>
            <w:r w:rsidRPr="00D01CCB">
              <w:rPr>
                <w:lang w:val="en-GB"/>
              </w:rPr>
              <w:t>Wh</w:t>
            </w:r>
            <w:proofErr w:type="spellEnd"/>
            <w:r w:rsidRPr="00D01CCB">
              <w:rPr>
                <w:lang w:val="en-GB"/>
              </w:rPr>
              <w:t>)</w:t>
            </w:r>
          </w:p>
        </w:tc>
      </w:tr>
      <w:tr w:rsidR="00F93EB4" w:rsidRPr="00D01CCB" w14:paraId="1C63DBD1" w14:textId="77777777" w:rsidTr="00C37FD7">
        <w:trPr>
          <w:trHeight w:val="283"/>
        </w:trPr>
        <w:tc>
          <w:tcPr>
            <w:tcW w:w="2127" w:type="dxa"/>
            <w:shd w:val="clear" w:color="auto" w:fill="FFFFFF"/>
            <w:vAlign w:val="center"/>
          </w:tcPr>
          <w:p w14:paraId="0034616A" w14:textId="77777777" w:rsidR="00F93EB4" w:rsidRPr="00D01CCB" w:rsidRDefault="00F93EB4" w:rsidP="00163F1E">
            <w:pPr>
              <w:pStyle w:val="CETBodytext"/>
              <w:spacing w:line="240" w:lineRule="auto"/>
              <w:jc w:val="center"/>
              <w:rPr>
                <w:lang w:val="en-GB"/>
              </w:rPr>
            </w:pPr>
            <w:r w:rsidRPr="00D01CCB">
              <w:rPr>
                <w:lang w:val="en-GB"/>
              </w:rPr>
              <w:t>Containers</w:t>
            </w:r>
          </w:p>
        </w:tc>
        <w:tc>
          <w:tcPr>
            <w:tcW w:w="1559" w:type="dxa"/>
            <w:shd w:val="clear" w:color="auto" w:fill="FFFFFF"/>
            <w:vAlign w:val="center"/>
          </w:tcPr>
          <w:p w14:paraId="7489DAC6" w14:textId="77777777" w:rsidR="00F93EB4" w:rsidRPr="00D01CCB" w:rsidRDefault="00F93EB4" w:rsidP="00163F1E">
            <w:pPr>
              <w:pStyle w:val="CETBodytext"/>
              <w:spacing w:line="240" w:lineRule="auto"/>
              <w:jc w:val="center"/>
              <w:rPr>
                <w:lang w:val="en-GB"/>
              </w:rPr>
            </w:pPr>
            <w:r w:rsidRPr="00D01CCB">
              <w:rPr>
                <w:lang w:val="en-GB"/>
              </w:rPr>
              <w:t>14.3 x 8</w:t>
            </w:r>
          </w:p>
        </w:tc>
        <w:tc>
          <w:tcPr>
            <w:tcW w:w="1276" w:type="dxa"/>
            <w:shd w:val="clear" w:color="auto" w:fill="FFFFFF"/>
            <w:vAlign w:val="center"/>
          </w:tcPr>
          <w:p w14:paraId="679AD1C5" w14:textId="77777777" w:rsidR="00F93EB4" w:rsidRPr="00D01CCB" w:rsidRDefault="00F93EB4" w:rsidP="00163F1E">
            <w:pPr>
              <w:pStyle w:val="CETBodytext"/>
              <w:spacing w:line="240" w:lineRule="auto"/>
              <w:jc w:val="center"/>
              <w:rPr>
                <w:lang w:val="en-GB"/>
              </w:rPr>
            </w:pPr>
          </w:p>
        </w:tc>
        <w:tc>
          <w:tcPr>
            <w:tcW w:w="2551" w:type="dxa"/>
            <w:shd w:val="clear" w:color="auto" w:fill="auto"/>
            <w:vAlign w:val="center"/>
          </w:tcPr>
          <w:p w14:paraId="396E53C0" w14:textId="7B126850" w:rsidR="00F93EB4" w:rsidRPr="00D01CCB" w:rsidRDefault="00F93EB4" w:rsidP="00163F1E">
            <w:pPr>
              <w:pStyle w:val="CETBodytext"/>
              <w:spacing w:line="240" w:lineRule="auto"/>
              <w:jc w:val="center"/>
              <w:rPr>
                <w:lang w:val="en-GB"/>
              </w:rPr>
            </w:pPr>
            <w:r w:rsidRPr="00D01CCB">
              <w:rPr>
                <w:lang w:val="en-GB"/>
              </w:rPr>
              <w:t>0</w:t>
            </w:r>
            <w:r w:rsidR="001233B8" w:rsidRPr="00D01CCB">
              <w:rPr>
                <w:lang w:val="en-GB"/>
              </w:rPr>
              <w:t>.</w:t>
            </w:r>
            <w:r w:rsidRPr="00D01CCB">
              <w:rPr>
                <w:lang w:val="en-GB"/>
              </w:rPr>
              <w:t>7</w:t>
            </w:r>
          </w:p>
        </w:tc>
        <w:tc>
          <w:tcPr>
            <w:tcW w:w="1276" w:type="dxa"/>
            <w:shd w:val="clear" w:color="auto" w:fill="auto"/>
            <w:vAlign w:val="center"/>
          </w:tcPr>
          <w:p w14:paraId="588FB6C7" w14:textId="77777777" w:rsidR="00F93EB4" w:rsidRPr="00D01CCB" w:rsidRDefault="00F93EB4" w:rsidP="00163F1E">
            <w:pPr>
              <w:pStyle w:val="CETBodytext"/>
              <w:spacing w:line="240" w:lineRule="auto"/>
              <w:jc w:val="center"/>
              <w:rPr>
                <w:lang w:val="en-GB"/>
              </w:rPr>
            </w:pPr>
          </w:p>
        </w:tc>
      </w:tr>
      <w:tr w:rsidR="00F93EB4" w:rsidRPr="00D01CCB" w14:paraId="2EF3AA0C" w14:textId="77777777" w:rsidTr="00C37FD7">
        <w:trPr>
          <w:trHeight w:val="283"/>
        </w:trPr>
        <w:tc>
          <w:tcPr>
            <w:tcW w:w="2127" w:type="dxa"/>
            <w:shd w:val="clear" w:color="auto" w:fill="FFFFFF"/>
            <w:vAlign w:val="center"/>
          </w:tcPr>
          <w:p w14:paraId="6EB0F9C3" w14:textId="77777777" w:rsidR="00F93EB4" w:rsidRPr="00D01CCB" w:rsidRDefault="00F93EB4" w:rsidP="00163F1E">
            <w:pPr>
              <w:pStyle w:val="CETBodytext"/>
              <w:spacing w:line="240" w:lineRule="auto"/>
              <w:jc w:val="center"/>
              <w:rPr>
                <w:lang w:val="en-GB"/>
              </w:rPr>
            </w:pPr>
            <w:r w:rsidRPr="00D01CCB">
              <w:rPr>
                <w:lang w:val="en-GB"/>
              </w:rPr>
              <w:t>Cooker</w:t>
            </w:r>
          </w:p>
        </w:tc>
        <w:tc>
          <w:tcPr>
            <w:tcW w:w="1559" w:type="dxa"/>
            <w:shd w:val="clear" w:color="auto" w:fill="FFFFFF"/>
            <w:vAlign w:val="center"/>
          </w:tcPr>
          <w:p w14:paraId="166AAE1F" w14:textId="77777777" w:rsidR="00F93EB4" w:rsidRPr="00D01CCB" w:rsidRDefault="00F93EB4" w:rsidP="00163F1E">
            <w:pPr>
              <w:pStyle w:val="CETBodytext"/>
              <w:spacing w:line="240" w:lineRule="auto"/>
              <w:jc w:val="center"/>
              <w:rPr>
                <w:lang w:val="en-GB"/>
              </w:rPr>
            </w:pPr>
            <w:r w:rsidRPr="00D01CCB">
              <w:rPr>
                <w:lang w:val="en-GB"/>
              </w:rPr>
              <w:t>11 x 5</w:t>
            </w:r>
          </w:p>
        </w:tc>
        <w:tc>
          <w:tcPr>
            <w:tcW w:w="1276" w:type="dxa"/>
            <w:shd w:val="clear" w:color="auto" w:fill="FFFFFF"/>
            <w:vAlign w:val="center"/>
          </w:tcPr>
          <w:p w14:paraId="15A68D8B" w14:textId="77777777" w:rsidR="00F93EB4" w:rsidRPr="00D01CCB" w:rsidRDefault="00F93EB4" w:rsidP="00163F1E">
            <w:pPr>
              <w:pStyle w:val="CETBodytext"/>
              <w:spacing w:line="240" w:lineRule="auto"/>
              <w:jc w:val="center"/>
              <w:rPr>
                <w:lang w:val="en-GB"/>
              </w:rPr>
            </w:pPr>
            <w:r w:rsidRPr="00D01CCB">
              <w:rPr>
                <w:lang w:val="en-GB"/>
              </w:rPr>
              <w:t>1.5</w:t>
            </w:r>
          </w:p>
        </w:tc>
        <w:tc>
          <w:tcPr>
            <w:tcW w:w="2551" w:type="dxa"/>
            <w:shd w:val="clear" w:color="auto" w:fill="auto"/>
            <w:vAlign w:val="center"/>
          </w:tcPr>
          <w:p w14:paraId="3190BC67" w14:textId="64BE3458" w:rsidR="00F93EB4" w:rsidRPr="00D01CCB" w:rsidRDefault="00F93EB4" w:rsidP="00163F1E">
            <w:pPr>
              <w:pStyle w:val="CETBodytext"/>
              <w:spacing w:line="240" w:lineRule="auto"/>
              <w:jc w:val="center"/>
              <w:rPr>
                <w:lang w:val="en-GB"/>
              </w:rPr>
            </w:pPr>
            <w:r w:rsidRPr="00D01CCB">
              <w:rPr>
                <w:lang w:val="en-GB"/>
              </w:rPr>
              <w:t>0</w:t>
            </w:r>
            <w:r w:rsidR="001233B8" w:rsidRPr="00D01CCB">
              <w:rPr>
                <w:lang w:val="en-GB"/>
              </w:rPr>
              <w:t>.</w:t>
            </w:r>
            <w:r w:rsidRPr="00D01CCB">
              <w:rPr>
                <w:lang w:val="en-GB"/>
              </w:rPr>
              <w:t>5</w:t>
            </w:r>
          </w:p>
        </w:tc>
        <w:tc>
          <w:tcPr>
            <w:tcW w:w="1276" w:type="dxa"/>
            <w:shd w:val="clear" w:color="auto" w:fill="auto"/>
            <w:vAlign w:val="center"/>
          </w:tcPr>
          <w:p w14:paraId="18988A05" w14:textId="1A9CD16D" w:rsidR="00F93EB4" w:rsidRPr="00D01CCB" w:rsidRDefault="00F93EB4" w:rsidP="00163F1E">
            <w:pPr>
              <w:pStyle w:val="CETBodytext"/>
              <w:spacing w:line="240" w:lineRule="auto"/>
              <w:jc w:val="center"/>
              <w:rPr>
                <w:lang w:val="en-GB"/>
              </w:rPr>
            </w:pPr>
            <w:r w:rsidRPr="00D01CCB">
              <w:rPr>
                <w:lang w:val="en-GB"/>
              </w:rPr>
              <w:t>3</w:t>
            </w:r>
            <w:r w:rsidR="001233B8" w:rsidRPr="00D01CCB">
              <w:rPr>
                <w:lang w:val="en-GB"/>
              </w:rPr>
              <w:t>.</w:t>
            </w:r>
            <w:r w:rsidRPr="00D01CCB">
              <w:rPr>
                <w:lang w:val="en-GB"/>
              </w:rPr>
              <w:t>58</w:t>
            </w:r>
          </w:p>
        </w:tc>
      </w:tr>
      <w:tr w:rsidR="00F93EB4" w:rsidRPr="00D01CCB" w14:paraId="3F768D21" w14:textId="77777777" w:rsidTr="00C37FD7">
        <w:trPr>
          <w:trHeight w:val="283"/>
        </w:trPr>
        <w:tc>
          <w:tcPr>
            <w:tcW w:w="2127" w:type="dxa"/>
            <w:shd w:val="clear" w:color="auto" w:fill="FFFFFF"/>
            <w:vAlign w:val="center"/>
          </w:tcPr>
          <w:p w14:paraId="3472B77A" w14:textId="77777777" w:rsidR="00F93EB4" w:rsidRPr="00D01CCB" w:rsidRDefault="00F93EB4" w:rsidP="00163F1E">
            <w:pPr>
              <w:pStyle w:val="CETBodytext"/>
              <w:spacing w:line="240" w:lineRule="auto"/>
              <w:jc w:val="center"/>
              <w:rPr>
                <w:lang w:val="en-GB"/>
              </w:rPr>
            </w:pPr>
            <w:r w:rsidRPr="00D01CCB">
              <w:rPr>
                <w:lang w:val="en-GB"/>
              </w:rPr>
              <w:t>Mixer</w:t>
            </w:r>
          </w:p>
        </w:tc>
        <w:tc>
          <w:tcPr>
            <w:tcW w:w="1559" w:type="dxa"/>
            <w:shd w:val="clear" w:color="auto" w:fill="FFFFFF"/>
            <w:vAlign w:val="center"/>
          </w:tcPr>
          <w:p w14:paraId="2FF5863C" w14:textId="77777777" w:rsidR="00F93EB4" w:rsidRPr="00D01CCB" w:rsidRDefault="00F93EB4" w:rsidP="00163F1E">
            <w:pPr>
              <w:pStyle w:val="CETBodytext"/>
              <w:spacing w:line="240" w:lineRule="auto"/>
              <w:jc w:val="center"/>
              <w:rPr>
                <w:lang w:val="en-GB"/>
              </w:rPr>
            </w:pPr>
            <w:r w:rsidRPr="00D01CCB">
              <w:rPr>
                <w:lang w:val="en-GB"/>
              </w:rPr>
              <w:t>50</w:t>
            </w:r>
          </w:p>
        </w:tc>
        <w:tc>
          <w:tcPr>
            <w:tcW w:w="1276" w:type="dxa"/>
            <w:shd w:val="clear" w:color="auto" w:fill="FFFFFF"/>
            <w:vAlign w:val="center"/>
          </w:tcPr>
          <w:p w14:paraId="792B6723" w14:textId="77777777" w:rsidR="00F93EB4" w:rsidRPr="00D01CCB" w:rsidRDefault="00F93EB4" w:rsidP="00163F1E">
            <w:pPr>
              <w:pStyle w:val="CETBodytext"/>
              <w:spacing w:line="240" w:lineRule="auto"/>
              <w:jc w:val="center"/>
              <w:rPr>
                <w:lang w:val="en-GB"/>
              </w:rPr>
            </w:pPr>
            <w:r w:rsidRPr="00D01CCB">
              <w:rPr>
                <w:lang w:val="en-GB"/>
              </w:rPr>
              <w:t>0.75</w:t>
            </w:r>
          </w:p>
        </w:tc>
        <w:tc>
          <w:tcPr>
            <w:tcW w:w="2551" w:type="dxa"/>
            <w:shd w:val="clear" w:color="auto" w:fill="auto"/>
            <w:vAlign w:val="center"/>
          </w:tcPr>
          <w:p w14:paraId="1120A487" w14:textId="06461B6C" w:rsidR="00F93EB4" w:rsidRPr="00D01CCB" w:rsidRDefault="00F93EB4" w:rsidP="00163F1E">
            <w:pPr>
              <w:pStyle w:val="CETBodytext"/>
              <w:spacing w:line="240" w:lineRule="auto"/>
              <w:jc w:val="center"/>
              <w:rPr>
                <w:lang w:val="en-GB"/>
              </w:rPr>
            </w:pPr>
            <w:r w:rsidRPr="00D01CCB">
              <w:rPr>
                <w:lang w:val="en-GB"/>
              </w:rPr>
              <w:t>2</w:t>
            </w:r>
            <w:r w:rsidR="001233B8" w:rsidRPr="00D01CCB">
              <w:rPr>
                <w:lang w:val="en-GB"/>
              </w:rPr>
              <w:t>.</w:t>
            </w:r>
            <w:r w:rsidRPr="00D01CCB">
              <w:rPr>
                <w:lang w:val="en-GB"/>
              </w:rPr>
              <w:t>3</w:t>
            </w:r>
          </w:p>
        </w:tc>
        <w:tc>
          <w:tcPr>
            <w:tcW w:w="1276" w:type="dxa"/>
            <w:shd w:val="clear" w:color="auto" w:fill="auto"/>
            <w:vAlign w:val="center"/>
          </w:tcPr>
          <w:p w14:paraId="2C54776E" w14:textId="79B3D2A7" w:rsidR="00F93EB4" w:rsidRPr="00D01CCB" w:rsidRDefault="00F93EB4" w:rsidP="00163F1E">
            <w:pPr>
              <w:pStyle w:val="CETBodytext"/>
              <w:spacing w:line="240" w:lineRule="auto"/>
              <w:jc w:val="center"/>
              <w:rPr>
                <w:lang w:val="en-GB"/>
              </w:rPr>
            </w:pPr>
            <w:r w:rsidRPr="00D01CCB">
              <w:rPr>
                <w:lang w:val="en-GB"/>
              </w:rPr>
              <w:t>0</w:t>
            </w:r>
            <w:r w:rsidR="001233B8" w:rsidRPr="00D01CCB">
              <w:rPr>
                <w:lang w:val="en-GB"/>
              </w:rPr>
              <w:t>.</w:t>
            </w:r>
            <w:r w:rsidRPr="00D01CCB">
              <w:rPr>
                <w:lang w:val="en-GB"/>
              </w:rPr>
              <w:t>31</w:t>
            </w:r>
          </w:p>
        </w:tc>
      </w:tr>
      <w:tr w:rsidR="00F93EB4" w:rsidRPr="00D01CCB" w14:paraId="02D937FF" w14:textId="77777777" w:rsidTr="00C37FD7">
        <w:trPr>
          <w:trHeight w:val="283"/>
        </w:trPr>
        <w:tc>
          <w:tcPr>
            <w:tcW w:w="2127" w:type="dxa"/>
            <w:shd w:val="clear" w:color="auto" w:fill="FFFFFF"/>
            <w:vAlign w:val="center"/>
          </w:tcPr>
          <w:p w14:paraId="214C5231" w14:textId="77777777" w:rsidR="00F93EB4" w:rsidRPr="00D01CCB" w:rsidRDefault="00F93EB4" w:rsidP="00163F1E">
            <w:pPr>
              <w:pStyle w:val="CETBodytext"/>
              <w:spacing w:line="240" w:lineRule="auto"/>
              <w:jc w:val="center"/>
              <w:rPr>
                <w:lang w:val="en-GB"/>
              </w:rPr>
            </w:pPr>
            <w:r w:rsidRPr="00D01CCB">
              <w:rPr>
                <w:lang w:val="en-GB"/>
              </w:rPr>
              <w:t>Cooker</w:t>
            </w:r>
          </w:p>
        </w:tc>
        <w:tc>
          <w:tcPr>
            <w:tcW w:w="1559" w:type="dxa"/>
            <w:shd w:val="clear" w:color="auto" w:fill="FFFFFF"/>
            <w:vAlign w:val="center"/>
          </w:tcPr>
          <w:p w14:paraId="07F9DDAC" w14:textId="77777777" w:rsidR="00F93EB4" w:rsidRPr="00D01CCB" w:rsidRDefault="00F93EB4" w:rsidP="00163F1E">
            <w:pPr>
              <w:pStyle w:val="CETBodytext"/>
              <w:spacing w:line="240" w:lineRule="auto"/>
              <w:jc w:val="center"/>
              <w:rPr>
                <w:lang w:val="en-GB"/>
              </w:rPr>
            </w:pPr>
            <w:r w:rsidRPr="00D01CCB">
              <w:rPr>
                <w:lang w:val="en-GB"/>
              </w:rPr>
              <w:t>135</w:t>
            </w:r>
          </w:p>
        </w:tc>
        <w:tc>
          <w:tcPr>
            <w:tcW w:w="1276" w:type="dxa"/>
            <w:shd w:val="clear" w:color="auto" w:fill="FFFFFF"/>
            <w:vAlign w:val="center"/>
          </w:tcPr>
          <w:p w14:paraId="17B9C7FC" w14:textId="3D100C5D" w:rsidR="00F93EB4" w:rsidRPr="00D01CCB" w:rsidRDefault="00F93EB4" w:rsidP="00163F1E">
            <w:pPr>
              <w:pStyle w:val="CETBodytext"/>
              <w:spacing w:line="240" w:lineRule="auto"/>
              <w:jc w:val="center"/>
              <w:rPr>
                <w:lang w:val="en-GB"/>
              </w:rPr>
            </w:pPr>
            <w:r w:rsidRPr="00D01CCB">
              <w:rPr>
                <w:lang w:val="en-GB"/>
              </w:rPr>
              <w:t>16</w:t>
            </w:r>
            <w:r w:rsidR="00315313" w:rsidRPr="00D01CCB">
              <w:rPr>
                <w:lang w:val="en-GB"/>
              </w:rPr>
              <w:t>.0</w:t>
            </w:r>
          </w:p>
        </w:tc>
        <w:tc>
          <w:tcPr>
            <w:tcW w:w="2551" w:type="dxa"/>
            <w:shd w:val="clear" w:color="auto" w:fill="auto"/>
            <w:vAlign w:val="center"/>
          </w:tcPr>
          <w:p w14:paraId="4D39C060" w14:textId="08211592" w:rsidR="00F93EB4" w:rsidRPr="00D01CCB" w:rsidRDefault="00F93EB4" w:rsidP="00163F1E">
            <w:pPr>
              <w:pStyle w:val="CETBodytext"/>
              <w:spacing w:line="240" w:lineRule="auto"/>
              <w:jc w:val="center"/>
              <w:rPr>
                <w:lang w:val="en-GB"/>
              </w:rPr>
            </w:pPr>
            <w:r w:rsidRPr="00D01CCB">
              <w:rPr>
                <w:lang w:val="en-GB"/>
              </w:rPr>
              <w:t>6</w:t>
            </w:r>
            <w:r w:rsidR="001233B8" w:rsidRPr="00D01CCB">
              <w:rPr>
                <w:lang w:val="en-GB"/>
              </w:rPr>
              <w:t>.</w:t>
            </w:r>
            <w:r w:rsidRPr="00D01CCB">
              <w:rPr>
                <w:lang w:val="en-GB"/>
              </w:rPr>
              <w:t>4</w:t>
            </w:r>
          </w:p>
        </w:tc>
        <w:tc>
          <w:tcPr>
            <w:tcW w:w="1276" w:type="dxa"/>
            <w:shd w:val="clear" w:color="auto" w:fill="auto"/>
            <w:vAlign w:val="center"/>
          </w:tcPr>
          <w:p w14:paraId="3B95F4B3" w14:textId="38AB9F38" w:rsidR="00F93EB4" w:rsidRPr="00D01CCB" w:rsidRDefault="00F93EB4" w:rsidP="00163F1E">
            <w:pPr>
              <w:pStyle w:val="CETBodytext"/>
              <w:spacing w:line="240" w:lineRule="auto"/>
              <w:jc w:val="center"/>
              <w:rPr>
                <w:lang w:val="en-GB"/>
              </w:rPr>
            </w:pPr>
            <w:r w:rsidRPr="00D01CCB">
              <w:rPr>
                <w:lang w:val="en-GB"/>
              </w:rPr>
              <w:t>6</w:t>
            </w:r>
            <w:r w:rsidR="001233B8" w:rsidRPr="00D01CCB">
              <w:rPr>
                <w:lang w:val="en-GB"/>
              </w:rPr>
              <w:t>.</w:t>
            </w:r>
            <w:r w:rsidRPr="00D01CCB">
              <w:rPr>
                <w:lang w:val="en-GB"/>
              </w:rPr>
              <w:t>67</w:t>
            </w:r>
          </w:p>
        </w:tc>
      </w:tr>
      <w:tr w:rsidR="00F93EB4" w:rsidRPr="00D01CCB" w14:paraId="19D32936" w14:textId="77777777" w:rsidTr="00C37FD7">
        <w:trPr>
          <w:trHeight w:val="283"/>
        </w:trPr>
        <w:tc>
          <w:tcPr>
            <w:tcW w:w="2127" w:type="dxa"/>
            <w:shd w:val="clear" w:color="auto" w:fill="FFFFFF"/>
            <w:vAlign w:val="center"/>
          </w:tcPr>
          <w:p w14:paraId="2B799D7B" w14:textId="77777777" w:rsidR="00F93EB4" w:rsidRPr="00D01CCB" w:rsidRDefault="00F93EB4" w:rsidP="00163F1E">
            <w:pPr>
              <w:pStyle w:val="CETBodytext"/>
              <w:spacing w:line="240" w:lineRule="auto"/>
              <w:jc w:val="center"/>
              <w:rPr>
                <w:lang w:val="en-GB"/>
              </w:rPr>
            </w:pPr>
            <w:r w:rsidRPr="00D01CCB">
              <w:rPr>
                <w:lang w:val="en-GB"/>
              </w:rPr>
              <w:t>Washer</w:t>
            </w:r>
          </w:p>
        </w:tc>
        <w:tc>
          <w:tcPr>
            <w:tcW w:w="1559" w:type="dxa"/>
            <w:shd w:val="clear" w:color="auto" w:fill="FFFFFF"/>
            <w:vAlign w:val="center"/>
          </w:tcPr>
          <w:p w14:paraId="739B539E" w14:textId="77777777" w:rsidR="00F93EB4" w:rsidRPr="00D01CCB" w:rsidRDefault="00F93EB4" w:rsidP="00163F1E">
            <w:pPr>
              <w:pStyle w:val="CETBodytext"/>
              <w:spacing w:line="240" w:lineRule="auto"/>
              <w:jc w:val="center"/>
              <w:rPr>
                <w:lang w:val="en-GB"/>
              </w:rPr>
            </w:pPr>
            <w:r w:rsidRPr="00D01CCB">
              <w:rPr>
                <w:lang w:val="en-GB"/>
              </w:rPr>
              <w:t>50</w:t>
            </w:r>
          </w:p>
        </w:tc>
        <w:tc>
          <w:tcPr>
            <w:tcW w:w="1276" w:type="dxa"/>
            <w:shd w:val="clear" w:color="auto" w:fill="FFFFFF"/>
            <w:vAlign w:val="center"/>
          </w:tcPr>
          <w:p w14:paraId="28E3CFBB" w14:textId="77777777" w:rsidR="00F93EB4" w:rsidRPr="00D01CCB" w:rsidRDefault="00F93EB4" w:rsidP="00163F1E">
            <w:pPr>
              <w:pStyle w:val="CETBodytext"/>
              <w:spacing w:line="240" w:lineRule="auto"/>
              <w:jc w:val="center"/>
              <w:rPr>
                <w:lang w:val="en-GB"/>
              </w:rPr>
            </w:pPr>
            <w:r w:rsidRPr="00D01CCB">
              <w:rPr>
                <w:lang w:val="en-GB"/>
              </w:rPr>
              <w:t>0.37</w:t>
            </w:r>
          </w:p>
        </w:tc>
        <w:tc>
          <w:tcPr>
            <w:tcW w:w="2551" w:type="dxa"/>
            <w:shd w:val="clear" w:color="auto" w:fill="auto"/>
            <w:vAlign w:val="center"/>
          </w:tcPr>
          <w:p w14:paraId="46A5122C" w14:textId="6383E55C" w:rsidR="00F93EB4" w:rsidRPr="00D01CCB" w:rsidRDefault="00F93EB4" w:rsidP="00163F1E">
            <w:pPr>
              <w:pStyle w:val="CETBodytext"/>
              <w:spacing w:line="240" w:lineRule="auto"/>
              <w:jc w:val="center"/>
              <w:rPr>
                <w:lang w:val="en-GB"/>
              </w:rPr>
            </w:pPr>
            <w:r w:rsidRPr="00D01CCB">
              <w:rPr>
                <w:lang w:val="en-GB"/>
              </w:rPr>
              <w:t>2</w:t>
            </w:r>
            <w:r w:rsidR="001233B8" w:rsidRPr="00D01CCB">
              <w:rPr>
                <w:lang w:val="en-GB"/>
              </w:rPr>
              <w:t>.</w:t>
            </w:r>
            <w:r w:rsidRPr="00D01CCB">
              <w:rPr>
                <w:lang w:val="en-GB"/>
              </w:rPr>
              <w:t>4</w:t>
            </w:r>
          </w:p>
        </w:tc>
        <w:tc>
          <w:tcPr>
            <w:tcW w:w="1276" w:type="dxa"/>
            <w:shd w:val="clear" w:color="auto" w:fill="auto"/>
            <w:vAlign w:val="center"/>
          </w:tcPr>
          <w:p w14:paraId="45B708A3" w14:textId="019C77FA" w:rsidR="00F93EB4" w:rsidRPr="00D01CCB" w:rsidRDefault="00F93EB4" w:rsidP="00163F1E">
            <w:pPr>
              <w:pStyle w:val="CETBodytext"/>
              <w:spacing w:line="240" w:lineRule="auto"/>
              <w:jc w:val="center"/>
              <w:rPr>
                <w:lang w:val="en-GB"/>
              </w:rPr>
            </w:pPr>
            <w:r w:rsidRPr="00D01CCB">
              <w:rPr>
                <w:lang w:val="en-GB"/>
              </w:rPr>
              <w:t>0</w:t>
            </w:r>
            <w:r w:rsidR="001233B8" w:rsidRPr="00D01CCB">
              <w:rPr>
                <w:lang w:val="en-GB"/>
              </w:rPr>
              <w:t>.</w:t>
            </w:r>
            <w:r w:rsidRPr="00D01CCB">
              <w:rPr>
                <w:lang w:val="en-GB"/>
              </w:rPr>
              <w:t>15</w:t>
            </w:r>
          </w:p>
        </w:tc>
      </w:tr>
      <w:tr w:rsidR="00F93EB4" w:rsidRPr="00D01CCB" w14:paraId="0A01AB8E" w14:textId="77777777" w:rsidTr="00C37FD7">
        <w:trPr>
          <w:trHeight w:val="283"/>
        </w:trPr>
        <w:tc>
          <w:tcPr>
            <w:tcW w:w="2127" w:type="dxa"/>
            <w:shd w:val="clear" w:color="auto" w:fill="FFFFFF"/>
            <w:vAlign w:val="center"/>
          </w:tcPr>
          <w:p w14:paraId="4E5F9165" w14:textId="77777777" w:rsidR="00F93EB4" w:rsidRPr="00D01CCB" w:rsidRDefault="00F93EB4" w:rsidP="00163F1E">
            <w:pPr>
              <w:pStyle w:val="CETBodytext"/>
              <w:spacing w:line="240" w:lineRule="auto"/>
              <w:jc w:val="center"/>
              <w:rPr>
                <w:lang w:val="en-GB"/>
              </w:rPr>
            </w:pPr>
            <w:r w:rsidRPr="00D01CCB">
              <w:rPr>
                <w:lang w:val="en-GB"/>
              </w:rPr>
              <w:t>Cooker</w:t>
            </w:r>
          </w:p>
        </w:tc>
        <w:tc>
          <w:tcPr>
            <w:tcW w:w="1559" w:type="dxa"/>
            <w:shd w:val="clear" w:color="auto" w:fill="FFFFFF"/>
            <w:vAlign w:val="center"/>
          </w:tcPr>
          <w:p w14:paraId="4359A70F" w14:textId="77777777" w:rsidR="00F93EB4" w:rsidRPr="00D01CCB" w:rsidRDefault="00F93EB4" w:rsidP="00163F1E">
            <w:pPr>
              <w:pStyle w:val="CETBodytext"/>
              <w:spacing w:line="240" w:lineRule="auto"/>
              <w:jc w:val="center"/>
              <w:rPr>
                <w:lang w:val="en-GB"/>
              </w:rPr>
            </w:pPr>
            <w:r w:rsidRPr="00D01CCB">
              <w:rPr>
                <w:lang w:val="en-GB"/>
              </w:rPr>
              <w:t>120</w:t>
            </w:r>
          </w:p>
        </w:tc>
        <w:tc>
          <w:tcPr>
            <w:tcW w:w="1276" w:type="dxa"/>
            <w:shd w:val="clear" w:color="auto" w:fill="FFFFFF"/>
            <w:vAlign w:val="center"/>
          </w:tcPr>
          <w:p w14:paraId="616ABC58" w14:textId="2D33B0E6" w:rsidR="00F93EB4" w:rsidRPr="00D01CCB" w:rsidRDefault="00F93EB4" w:rsidP="00163F1E">
            <w:pPr>
              <w:pStyle w:val="CETBodytext"/>
              <w:spacing w:line="240" w:lineRule="auto"/>
              <w:jc w:val="center"/>
              <w:rPr>
                <w:lang w:val="en-GB"/>
              </w:rPr>
            </w:pPr>
            <w:r w:rsidRPr="00D01CCB">
              <w:rPr>
                <w:lang w:val="en-GB"/>
              </w:rPr>
              <w:t>9</w:t>
            </w:r>
            <w:r w:rsidR="00315313" w:rsidRPr="00D01CCB">
              <w:rPr>
                <w:lang w:val="en-GB"/>
              </w:rPr>
              <w:t>.0</w:t>
            </w:r>
          </w:p>
        </w:tc>
        <w:tc>
          <w:tcPr>
            <w:tcW w:w="2551" w:type="dxa"/>
            <w:shd w:val="clear" w:color="auto" w:fill="auto"/>
            <w:vAlign w:val="center"/>
          </w:tcPr>
          <w:p w14:paraId="56C86A43" w14:textId="5AD5BC2E" w:rsidR="00F93EB4" w:rsidRPr="00D01CCB" w:rsidRDefault="00F93EB4" w:rsidP="00163F1E">
            <w:pPr>
              <w:pStyle w:val="CETBodytext"/>
              <w:spacing w:line="240" w:lineRule="auto"/>
              <w:jc w:val="center"/>
              <w:rPr>
                <w:lang w:val="en-GB"/>
              </w:rPr>
            </w:pPr>
            <w:r w:rsidRPr="00D01CCB">
              <w:rPr>
                <w:lang w:val="en-GB"/>
              </w:rPr>
              <w:t>5</w:t>
            </w:r>
            <w:r w:rsidR="001233B8" w:rsidRPr="00D01CCB">
              <w:rPr>
                <w:lang w:val="en-GB"/>
              </w:rPr>
              <w:t>.</w:t>
            </w:r>
            <w:r w:rsidRPr="00D01CCB">
              <w:rPr>
                <w:lang w:val="en-GB"/>
              </w:rPr>
              <w:t>7</w:t>
            </w:r>
          </w:p>
        </w:tc>
        <w:tc>
          <w:tcPr>
            <w:tcW w:w="1276" w:type="dxa"/>
            <w:shd w:val="clear" w:color="auto" w:fill="auto"/>
            <w:vAlign w:val="center"/>
          </w:tcPr>
          <w:p w14:paraId="61A17490" w14:textId="28510389" w:rsidR="00F93EB4" w:rsidRPr="00D01CCB" w:rsidRDefault="00F93EB4" w:rsidP="00163F1E">
            <w:pPr>
              <w:pStyle w:val="CETBodytext"/>
              <w:spacing w:line="240" w:lineRule="auto"/>
              <w:jc w:val="center"/>
              <w:rPr>
                <w:lang w:val="en-GB"/>
              </w:rPr>
            </w:pPr>
            <w:r w:rsidRPr="00D01CCB">
              <w:rPr>
                <w:lang w:val="en-GB"/>
              </w:rPr>
              <w:t>3</w:t>
            </w:r>
            <w:r w:rsidR="001233B8" w:rsidRPr="00D01CCB">
              <w:rPr>
                <w:lang w:val="en-GB"/>
              </w:rPr>
              <w:t>.</w:t>
            </w:r>
            <w:r w:rsidRPr="00D01CCB">
              <w:rPr>
                <w:lang w:val="en-GB"/>
              </w:rPr>
              <w:t>75</w:t>
            </w:r>
          </w:p>
        </w:tc>
      </w:tr>
      <w:tr w:rsidR="00F93EB4" w:rsidRPr="00D01CCB" w14:paraId="606D3089" w14:textId="77777777" w:rsidTr="00C37FD7">
        <w:trPr>
          <w:trHeight w:val="283"/>
        </w:trPr>
        <w:tc>
          <w:tcPr>
            <w:tcW w:w="2127" w:type="dxa"/>
            <w:shd w:val="clear" w:color="auto" w:fill="FFFFFF"/>
            <w:vAlign w:val="center"/>
          </w:tcPr>
          <w:p w14:paraId="2F4E516E" w14:textId="77777777" w:rsidR="00F93EB4" w:rsidRPr="00D01CCB" w:rsidRDefault="00F93EB4" w:rsidP="00163F1E">
            <w:pPr>
              <w:pStyle w:val="CETBodytext"/>
              <w:spacing w:line="240" w:lineRule="auto"/>
              <w:jc w:val="center"/>
              <w:rPr>
                <w:lang w:val="en-GB"/>
              </w:rPr>
            </w:pPr>
            <w:r w:rsidRPr="00D01CCB">
              <w:rPr>
                <w:lang w:val="en-GB"/>
              </w:rPr>
              <w:t>Mixer</w:t>
            </w:r>
          </w:p>
        </w:tc>
        <w:tc>
          <w:tcPr>
            <w:tcW w:w="1559" w:type="dxa"/>
            <w:shd w:val="clear" w:color="auto" w:fill="FFFFFF"/>
            <w:vAlign w:val="center"/>
          </w:tcPr>
          <w:p w14:paraId="6A96C319" w14:textId="77777777" w:rsidR="00F93EB4" w:rsidRPr="00D01CCB" w:rsidRDefault="00F93EB4" w:rsidP="00163F1E">
            <w:pPr>
              <w:pStyle w:val="CETBodytext"/>
              <w:spacing w:line="240" w:lineRule="auto"/>
              <w:jc w:val="center"/>
              <w:rPr>
                <w:lang w:val="en-GB"/>
              </w:rPr>
            </w:pPr>
            <w:r w:rsidRPr="00D01CCB">
              <w:rPr>
                <w:lang w:val="en-GB"/>
              </w:rPr>
              <w:t>45</w:t>
            </w:r>
          </w:p>
        </w:tc>
        <w:tc>
          <w:tcPr>
            <w:tcW w:w="1276" w:type="dxa"/>
            <w:shd w:val="clear" w:color="auto" w:fill="FFFFFF"/>
            <w:vAlign w:val="center"/>
          </w:tcPr>
          <w:p w14:paraId="34C783A1" w14:textId="77777777" w:rsidR="00F93EB4" w:rsidRPr="00D01CCB" w:rsidRDefault="00F93EB4" w:rsidP="00163F1E">
            <w:pPr>
              <w:pStyle w:val="CETBodytext"/>
              <w:spacing w:line="240" w:lineRule="auto"/>
              <w:jc w:val="center"/>
              <w:rPr>
                <w:lang w:val="en-GB"/>
              </w:rPr>
            </w:pPr>
            <w:r w:rsidRPr="00D01CCB">
              <w:rPr>
                <w:lang w:val="en-GB"/>
              </w:rPr>
              <w:t>0.55</w:t>
            </w:r>
          </w:p>
        </w:tc>
        <w:tc>
          <w:tcPr>
            <w:tcW w:w="2551" w:type="dxa"/>
            <w:shd w:val="clear" w:color="auto" w:fill="auto"/>
            <w:vAlign w:val="center"/>
          </w:tcPr>
          <w:p w14:paraId="65118064" w14:textId="7D584CCC" w:rsidR="00F93EB4" w:rsidRPr="00D01CCB" w:rsidRDefault="00F93EB4" w:rsidP="00163F1E">
            <w:pPr>
              <w:pStyle w:val="CETBodytext"/>
              <w:spacing w:line="240" w:lineRule="auto"/>
              <w:jc w:val="center"/>
              <w:rPr>
                <w:lang w:val="en-GB"/>
              </w:rPr>
            </w:pPr>
            <w:r w:rsidRPr="00D01CCB">
              <w:rPr>
                <w:lang w:val="en-GB"/>
              </w:rPr>
              <w:t>2</w:t>
            </w:r>
            <w:r w:rsidR="001233B8" w:rsidRPr="00D01CCB">
              <w:rPr>
                <w:lang w:val="en-GB"/>
              </w:rPr>
              <w:t>.</w:t>
            </w:r>
            <w:r w:rsidRPr="00D01CCB">
              <w:rPr>
                <w:lang w:val="en-GB"/>
              </w:rPr>
              <w:t>1</w:t>
            </w:r>
          </w:p>
        </w:tc>
        <w:tc>
          <w:tcPr>
            <w:tcW w:w="1276" w:type="dxa"/>
            <w:shd w:val="clear" w:color="auto" w:fill="auto"/>
            <w:vAlign w:val="center"/>
          </w:tcPr>
          <w:p w14:paraId="6B77726A" w14:textId="5983BB75" w:rsidR="00F93EB4" w:rsidRPr="00D01CCB" w:rsidRDefault="00F93EB4" w:rsidP="00163F1E">
            <w:pPr>
              <w:pStyle w:val="CETBodytext"/>
              <w:spacing w:line="240" w:lineRule="auto"/>
              <w:jc w:val="center"/>
              <w:rPr>
                <w:lang w:val="en-GB"/>
              </w:rPr>
            </w:pPr>
            <w:r w:rsidRPr="00D01CCB">
              <w:rPr>
                <w:lang w:val="en-GB"/>
              </w:rPr>
              <w:t>0</w:t>
            </w:r>
            <w:r w:rsidR="001233B8" w:rsidRPr="00D01CCB">
              <w:rPr>
                <w:lang w:val="en-GB"/>
              </w:rPr>
              <w:t>.</w:t>
            </w:r>
            <w:r w:rsidRPr="00D01CCB">
              <w:rPr>
                <w:lang w:val="en-GB"/>
              </w:rPr>
              <w:t>23</w:t>
            </w:r>
          </w:p>
        </w:tc>
      </w:tr>
      <w:tr w:rsidR="00F93EB4" w:rsidRPr="00D01CCB" w14:paraId="3AA2678E" w14:textId="77777777" w:rsidTr="00C37FD7">
        <w:trPr>
          <w:trHeight w:val="60"/>
        </w:trPr>
        <w:tc>
          <w:tcPr>
            <w:tcW w:w="2127" w:type="dxa"/>
            <w:shd w:val="clear" w:color="auto" w:fill="FFFFFF"/>
            <w:vAlign w:val="center"/>
          </w:tcPr>
          <w:p w14:paraId="0FA97EC2" w14:textId="77777777" w:rsidR="00F93EB4" w:rsidRPr="00D01CCB" w:rsidRDefault="00F93EB4" w:rsidP="00163F1E">
            <w:pPr>
              <w:pStyle w:val="CETBodytext"/>
              <w:spacing w:line="240" w:lineRule="auto"/>
              <w:jc w:val="center"/>
              <w:rPr>
                <w:lang w:val="en-GB"/>
              </w:rPr>
            </w:pPr>
            <w:r w:rsidRPr="00D01CCB">
              <w:rPr>
                <w:lang w:val="en-GB"/>
              </w:rPr>
              <w:t>Forming machine</w:t>
            </w:r>
          </w:p>
        </w:tc>
        <w:tc>
          <w:tcPr>
            <w:tcW w:w="1559" w:type="dxa"/>
            <w:shd w:val="clear" w:color="auto" w:fill="FFFFFF"/>
            <w:vAlign w:val="center"/>
          </w:tcPr>
          <w:p w14:paraId="747088CD" w14:textId="77777777" w:rsidR="00F93EB4" w:rsidRPr="00D01CCB" w:rsidRDefault="00F93EB4" w:rsidP="00163F1E">
            <w:pPr>
              <w:pStyle w:val="CETBodytext"/>
              <w:spacing w:line="240" w:lineRule="auto"/>
              <w:jc w:val="center"/>
              <w:rPr>
                <w:lang w:val="en-GB"/>
              </w:rPr>
            </w:pPr>
            <w:r w:rsidRPr="00D01CCB">
              <w:rPr>
                <w:lang w:val="en-GB"/>
              </w:rPr>
              <w:t>65</w:t>
            </w:r>
          </w:p>
        </w:tc>
        <w:tc>
          <w:tcPr>
            <w:tcW w:w="1276" w:type="dxa"/>
            <w:shd w:val="clear" w:color="auto" w:fill="FFFFFF"/>
            <w:vAlign w:val="center"/>
          </w:tcPr>
          <w:p w14:paraId="1C3D26BF" w14:textId="77777777" w:rsidR="00F93EB4" w:rsidRPr="00D01CCB" w:rsidRDefault="00F93EB4" w:rsidP="00163F1E">
            <w:pPr>
              <w:pStyle w:val="CETBodytext"/>
              <w:spacing w:line="240" w:lineRule="auto"/>
              <w:jc w:val="center"/>
              <w:rPr>
                <w:lang w:val="en-GB"/>
              </w:rPr>
            </w:pPr>
            <w:r w:rsidRPr="00D01CCB">
              <w:rPr>
                <w:lang w:val="en-GB"/>
              </w:rPr>
              <w:t>0.4</w:t>
            </w:r>
          </w:p>
        </w:tc>
        <w:tc>
          <w:tcPr>
            <w:tcW w:w="2551" w:type="dxa"/>
            <w:shd w:val="clear" w:color="auto" w:fill="auto"/>
            <w:vAlign w:val="center"/>
          </w:tcPr>
          <w:p w14:paraId="7104340B" w14:textId="67E05B06" w:rsidR="00F93EB4" w:rsidRPr="00D01CCB" w:rsidRDefault="00F93EB4" w:rsidP="00163F1E">
            <w:pPr>
              <w:pStyle w:val="CETBodytext"/>
              <w:spacing w:line="240" w:lineRule="auto"/>
              <w:jc w:val="center"/>
              <w:rPr>
                <w:lang w:val="en-GB"/>
              </w:rPr>
            </w:pPr>
            <w:r w:rsidRPr="00D01CCB">
              <w:rPr>
                <w:lang w:val="en-GB"/>
              </w:rPr>
              <w:t>3</w:t>
            </w:r>
            <w:r w:rsidR="001233B8" w:rsidRPr="00D01CCB">
              <w:rPr>
                <w:lang w:val="en-GB"/>
              </w:rPr>
              <w:t>.</w:t>
            </w:r>
            <w:r w:rsidRPr="00D01CCB">
              <w:rPr>
                <w:lang w:val="en-GB"/>
              </w:rPr>
              <w:t>1</w:t>
            </w:r>
          </w:p>
        </w:tc>
        <w:tc>
          <w:tcPr>
            <w:tcW w:w="1276" w:type="dxa"/>
            <w:shd w:val="clear" w:color="auto" w:fill="auto"/>
            <w:vAlign w:val="center"/>
          </w:tcPr>
          <w:p w14:paraId="494D6ED9" w14:textId="7A88A5C8" w:rsidR="00F93EB4" w:rsidRPr="00D01CCB" w:rsidRDefault="00F93EB4" w:rsidP="00163F1E">
            <w:pPr>
              <w:pStyle w:val="CETBodytext"/>
              <w:spacing w:line="240" w:lineRule="auto"/>
              <w:jc w:val="center"/>
              <w:rPr>
                <w:lang w:val="en-GB"/>
              </w:rPr>
            </w:pPr>
            <w:r w:rsidRPr="00D01CCB">
              <w:rPr>
                <w:lang w:val="en-GB"/>
              </w:rPr>
              <w:t>0</w:t>
            </w:r>
            <w:r w:rsidR="001233B8" w:rsidRPr="00D01CCB">
              <w:rPr>
                <w:lang w:val="en-GB"/>
              </w:rPr>
              <w:t>.</w:t>
            </w:r>
            <w:r w:rsidRPr="00D01CCB">
              <w:rPr>
                <w:lang w:val="en-GB"/>
              </w:rPr>
              <w:t>17</w:t>
            </w:r>
          </w:p>
        </w:tc>
      </w:tr>
      <w:tr w:rsidR="00F93EB4" w:rsidRPr="00D01CCB" w14:paraId="06D06C24" w14:textId="77777777" w:rsidTr="00C37FD7">
        <w:trPr>
          <w:trHeight w:val="283"/>
        </w:trPr>
        <w:tc>
          <w:tcPr>
            <w:tcW w:w="2127" w:type="dxa"/>
            <w:shd w:val="clear" w:color="auto" w:fill="FFFFFF"/>
            <w:vAlign w:val="center"/>
          </w:tcPr>
          <w:p w14:paraId="4D70405E" w14:textId="77777777" w:rsidR="00F93EB4" w:rsidRPr="00D01CCB" w:rsidRDefault="00F93EB4" w:rsidP="00163F1E">
            <w:pPr>
              <w:pStyle w:val="CETBodytext"/>
              <w:spacing w:line="240" w:lineRule="auto"/>
              <w:jc w:val="center"/>
              <w:rPr>
                <w:lang w:val="en-GB"/>
              </w:rPr>
            </w:pPr>
            <w:r w:rsidRPr="00D01CCB">
              <w:rPr>
                <w:lang w:val="en-GB"/>
              </w:rPr>
              <w:t>Oven</w:t>
            </w:r>
          </w:p>
        </w:tc>
        <w:tc>
          <w:tcPr>
            <w:tcW w:w="1559" w:type="dxa"/>
            <w:shd w:val="clear" w:color="auto" w:fill="FFFFFF"/>
            <w:vAlign w:val="center"/>
          </w:tcPr>
          <w:p w14:paraId="6662360E" w14:textId="77777777" w:rsidR="00F93EB4" w:rsidRPr="00D01CCB" w:rsidRDefault="00F93EB4" w:rsidP="00163F1E">
            <w:pPr>
              <w:pStyle w:val="CETBodytext"/>
              <w:spacing w:line="240" w:lineRule="auto"/>
              <w:jc w:val="center"/>
              <w:rPr>
                <w:lang w:val="en-GB"/>
              </w:rPr>
            </w:pPr>
            <w:r w:rsidRPr="00D01CCB">
              <w:rPr>
                <w:lang w:val="en-GB"/>
              </w:rPr>
              <w:t>79.5</w:t>
            </w:r>
          </w:p>
        </w:tc>
        <w:tc>
          <w:tcPr>
            <w:tcW w:w="1276" w:type="dxa"/>
            <w:shd w:val="clear" w:color="auto" w:fill="FFFFFF"/>
            <w:vAlign w:val="center"/>
          </w:tcPr>
          <w:p w14:paraId="60C0A41B" w14:textId="77777777" w:rsidR="00F93EB4" w:rsidRPr="00D01CCB" w:rsidRDefault="00F93EB4" w:rsidP="00163F1E">
            <w:pPr>
              <w:pStyle w:val="CETBodytext"/>
              <w:spacing w:line="240" w:lineRule="auto"/>
              <w:jc w:val="center"/>
              <w:rPr>
                <w:lang w:val="en-GB"/>
              </w:rPr>
            </w:pPr>
            <w:r w:rsidRPr="00D01CCB">
              <w:rPr>
                <w:lang w:val="en-GB"/>
              </w:rPr>
              <w:t>4.5</w:t>
            </w:r>
          </w:p>
        </w:tc>
        <w:tc>
          <w:tcPr>
            <w:tcW w:w="2551" w:type="dxa"/>
            <w:shd w:val="clear" w:color="auto" w:fill="auto"/>
            <w:vAlign w:val="center"/>
          </w:tcPr>
          <w:p w14:paraId="596484A9" w14:textId="3554CBE0" w:rsidR="00F93EB4" w:rsidRPr="00D01CCB" w:rsidRDefault="00F93EB4" w:rsidP="00163F1E">
            <w:pPr>
              <w:pStyle w:val="CETBodytext"/>
              <w:spacing w:line="240" w:lineRule="auto"/>
              <w:jc w:val="center"/>
              <w:rPr>
                <w:lang w:val="en-GB"/>
              </w:rPr>
            </w:pPr>
            <w:r w:rsidRPr="00D01CCB">
              <w:rPr>
                <w:lang w:val="en-GB"/>
              </w:rPr>
              <w:t>2</w:t>
            </w:r>
            <w:r w:rsidR="001233B8" w:rsidRPr="00D01CCB">
              <w:rPr>
                <w:lang w:val="en-GB"/>
              </w:rPr>
              <w:t>.</w:t>
            </w:r>
            <w:r w:rsidRPr="00D01CCB">
              <w:rPr>
                <w:lang w:val="en-GB"/>
              </w:rPr>
              <w:t>9</w:t>
            </w:r>
          </w:p>
        </w:tc>
        <w:tc>
          <w:tcPr>
            <w:tcW w:w="1276" w:type="dxa"/>
            <w:shd w:val="clear" w:color="auto" w:fill="auto"/>
            <w:vAlign w:val="center"/>
          </w:tcPr>
          <w:p w14:paraId="004233F8" w14:textId="408F4422" w:rsidR="00F93EB4" w:rsidRPr="00D01CCB" w:rsidRDefault="00F93EB4" w:rsidP="00163F1E">
            <w:pPr>
              <w:pStyle w:val="CETBodytext"/>
              <w:spacing w:line="240" w:lineRule="auto"/>
              <w:jc w:val="center"/>
              <w:rPr>
                <w:lang w:val="en-GB"/>
              </w:rPr>
            </w:pPr>
            <w:r w:rsidRPr="00D01CCB">
              <w:rPr>
                <w:lang w:val="en-GB"/>
              </w:rPr>
              <w:t>1</w:t>
            </w:r>
            <w:r w:rsidR="001233B8" w:rsidRPr="00D01CCB">
              <w:rPr>
                <w:lang w:val="en-GB"/>
              </w:rPr>
              <w:t>.</w:t>
            </w:r>
            <w:r w:rsidRPr="00D01CCB">
              <w:rPr>
                <w:lang w:val="en-GB"/>
              </w:rPr>
              <w:t>87</w:t>
            </w:r>
          </w:p>
        </w:tc>
      </w:tr>
      <w:tr w:rsidR="00F93EB4" w:rsidRPr="00D01CCB" w14:paraId="744FA450" w14:textId="77777777" w:rsidTr="00C37FD7">
        <w:trPr>
          <w:trHeight w:val="283"/>
        </w:trPr>
        <w:tc>
          <w:tcPr>
            <w:tcW w:w="2127" w:type="dxa"/>
            <w:shd w:val="clear" w:color="auto" w:fill="FFFFFF"/>
            <w:vAlign w:val="center"/>
          </w:tcPr>
          <w:p w14:paraId="6E6922D7" w14:textId="77777777" w:rsidR="00F93EB4" w:rsidRPr="00D01CCB" w:rsidRDefault="00F93EB4" w:rsidP="00163F1E">
            <w:pPr>
              <w:pStyle w:val="CETBodytext"/>
              <w:spacing w:line="240" w:lineRule="auto"/>
              <w:jc w:val="center"/>
              <w:rPr>
                <w:lang w:val="en-GB"/>
              </w:rPr>
            </w:pPr>
            <w:r w:rsidRPr="00D01CCB">
              <w:rPr>
                <w:lang w:val="en-GB"/>
              </w:rPr>
              <w:t>Temperature blast chiller</w:t>
            </w:r>
          </w:p>
        </w:tc>
        <w:tc>
          <w:tcPr>
            <w:tcW w:w="1559" w:type="dxa"/>
            <w:shd w:val="clear" w:color="auto" w:fill="FFFFFF"/>
            <w:vAlign w:val="center"/>
          </w:tcPr>
          <w:p w14:paraId="526A721E" w14:textId="77777777" w:rsidR="00F93EB4" w:rsidRPr="00D01CCB" w:rsidRDefault="00F93EB4" w:rsidP="00163F1E">
            <w:pPr>
              <w:pStyle w:val="CETBodytext"/>
              <w:spacing w:line="240" w:lineRule="auto"/>
              <w:jc w:val="center"/>
              <w:rPr>
                <w:lang w:val="en-GB"/>
              </w:rPr>
            </w:pPr>
            <w:r w:rsidRPr="00D01CCB">
              <w:rPr>
                <w:lang w:val="en-GB"/>
              </w:rPr>
              <w:t>1311</w:t>
            </w:r>
          </w:p>
        </w:tc>
        <w:tc>
          <w:tcPr>
            <w:tcW w:w="1276" w:type="dxa"/>
            <w:shd w:val="clear" w:color="auto" w:fill="FFFFFF"/>
            <w:vAlign w:val="center"/>
          </w:tcPr>
          <w:p w14:paraId="58A8BDF1" w14:textId="15CF2E69" w:rsidR="00F93EB4" w:rsidRPr="00D01CCB" w:rsidRDefault="00F93EB4" w:rsidP="00163F1E">
            <w:pPr>
              <w:pStyle w:val="CETBodytext"/>
              <w:spacing w:line="240" w:lineRule="auto"/>
              <w:jc w:val="center"/>
              <w:rPr>
                <w:lang w:val="en-GB"/>
              </w:rPr>
            </w:pPr>
            <w:r w:rsidRPr="00D01CCB">
              <w:rPr>
                <w:lang w:val="en-GB"/>
              </w:rPr>
              <w:t>3.</w:t>
            </w:r>
            <w:r w:rsidR="00315313" w:rsidRPr="00D01CCB">
              <w:rPr>
                <w:lang w:val="en-GB"/>
              </w:rPr>
              <w:t>8</w:t>
            </w:r>
          </w:p>
        </w:tc>
        <w:tc>
          <w:tcPr>
            <w:tcW w:w="2551" w:type="dxa"/>
            <w:shd w:val="clear" w:color="auto" w:fill="auto"/>
            <w:vAlign w:val="center"/>
          </w:tcPr>
          <w:p w14:paraId="5C8BA69C" w14:textId="3F8780AF" w:rsidR="00F93EB4" w:rsidRPr="00D01CCB" w:rsidRDefault="00F93EB4" w:rsidP="00163F1E">
            <w:pPr>
              <w:pStyle w:val="CETBodytext"/>
              <w:spacing w:line="240" w:lineRule="auto"/>
              <w:jc w:val="center"/>
              <w:rPr>
                <w:lang w:val="en-GB"/>
              </w:rPr>
            </w:pPr>
            <w:r w:rsidRPr="00D01CCB">
              <w:rPr>
                <w:lang w:val="en-GB"/>
              </w:rPr>
              <w:t>62</w:t>
            </w:r>
            <w:r w:rsidR="001233B8" w:rsidRPr="00D01CCB">
              <w:rPr>
                <w:lang w:val="en-GB"/>
              </w:rPr>
              <w:t>.</w:t>
            </w:r>
            <w:r w:rsidRPr="00D01CCB">
              <w:rPr>
                <w:lang w:val="en-GB"/>
              </w:rPr>
              <w:t>3</w:t>
            </w:r>
          </w:p>
        </w:tc>
        <w:tc>
          <w:tcPr>
            <w:tcW w:w="1276" w:type="dxa"/>
            <w:shd w:val="clear" w:color="auto" w:fill="auto"/>
            <w:vAlign w:val="center"/>
          </w:tcPr>
          <w:p w14:paraId="74838343" w14:textId="3ADCDBAF" w:rsidR="00F93EB4" w:rsidRPr="00D01CCB" w:rsidRDefault="00F93EB4" w:rsidP="00163F1E">
            <w:pPr>
              <w:pStyle w:val="CETBodytext"/>
              <w:spacing w:line="240" w:lineRule="auto"/>
              <w:jc w:val="center"/>
              <w:rPr>
                <w:lang w:val="en-GB"/>
              </w:rPr>
            </w:pPr>
            <w:r w:rsidRPr="00D01CCB">
              <w:rPr>
                <w:lang w:val="en-GB"/>
              </w:rPr>
              <w:t>1</w:t>
            </w:r>
            <w:r w:rsidR="001233B8" w:rsidRPr="00D01CCB">
              <w:rPr>
                <w:lang w:val="en-GB"/>
              </w:rPr>
              <w:t>.</w:t>
            </w:r>
            <w:r w:rsidRPr="00D01CCB">
              <w:rPr>
                <w:lang w:val="en-GB"/>
              </w:rPr>
              <w:t>58</w:t>
            </w:r>
          </w:p>
        </w:tc>
      </w:tr>
      <w:tr w:rsidR="00F93EB4" w:rsidRPr="00D01CCB" w14:paraId="0FC314C4" w14:textId="77777777" w:rsidTr="00C37FD7">
        <w:trPr>
          <w:trHeight w:val="283"/>
        </w:trPr>
        <w:tc>
          <w:tcPr>
            <w:tcW w:w="2127" w:type="dxa"/>
            <w:shd w:val="clear" w:color="auto" w:fill="FFFFFF"/>
            <w:vAlign w:val="center"/>
          </w:tcPr>
          <w:p w14:paraId="2080500B" w14:textId="77777777" w:rsidR="00F93EB4" w:rsidRPr="00D01CCB" w:rsidRDefault="00F93EB4" w:rsidP="00163F1E">
            <w:pPr>
              <w:pStyle w:val="CETBodytext"/>
              <w:spacing w:line="240" w:lineRule="auto"/>
              <w:jc w:val="center"/>
              <w:rPr>
                <w:lang w:val="en-GB"/>
              </w:rPr>
            </w:pPr>
            <w:r w:rsidRPr="00D01CCB">
              <w:rPr>
                <w:lang w:val="en-GB"/>
              </w:rPr>
              <w:t>Breading</w:t>
            </w:r>
          </w:p>
        </w:tc>
        <w:tc>
          <w:tcPr>
            <w:tcW w:w="1559" w:type="dxa"/>
            <w:shd w:val="clear" w:color="auto" w:fill="FFFFFF"/>
            <w:vAlign w:val="center"/>
          </w:tcPr>
          <w:p w14:paraId="758B72AF" w14:textId="77777777" w:rsidR="00F93EB4" w:rsidRPr="00D01CCB" w:rsidRDefault="00F93EB4" w:rsidP="00163F1E">
            <w:pPr>
              <w:pStyle w:val="CETBodytext"/>
              <w:spacing w:line="240" w:lineRule="auto"/>
              <w:jc w:val="center"/>
              <w:rPr>
                <w:lang w:val="en-GB"/>
              </w:rPr>
            </w:pPr>
            <w:r w:rsidRPr="00D01CCB">
              <w:rPr>
                <w:lang w:val="en-GB"/>
              </w:rPr>
              <w:t>44.7</w:t>
            </w:r>
          </w:p>
        </w:tc>
        <w:tc>
          <w:tcPr>
            <w:tcW w:w="1276" w:type="dxa"/>
            <w:shd w:val="clear" w:color="auto" w:fill="FFFFFF"/>
            <w:vAlign w:val="center"/>
          </w:tcPr>
          <w:p w14:paraId="01BBA8BA" w14:textId="483420F9" w:rsidR="00F93EB4" w:rsidRPr="00D01CCB" w:rsidRDefault="00F93EB4" w:rsidP="00163F1E">
            <w:pPr>
              <w:pStyle w:val="CETBodytext"/>
              <w:spacing w:line="240" w:lineRule="auto"/>
              <w:jc w:val="center"/>
              <w:rPr>
                <w:lang w:val="en-GB"/>
              </w:rPr>
            </w:pPr>
            <w:r w:rsidRPr="00D01CCB">
              <w:rPr>
                <w:lang w:val="en-GB"/>
              </w:rPr>
              <w:t>0.</w:t>
            </w:r>
            <w:r w:rsidR="00315313" w:rsidRPr="00D01CCB">
              <w:rPr>
                <w:lang w:val="en-GB"/>
              </w:rPr>
              <w:t>2</w:t>
            </w:r>
          </w:p>
        </w:tc>
        <w:tc>
          <w:tcPr>
            <w:tcW w:w="2551" w:type="dxa"/>
            <w:shd w:val="clear" w:color="auto" w:fill="auto"/>
            <w:vAlign w:val="center"/>
          </w:tcPr>
          <w:p w14:paraId="17449282" w14:textId="23E7B153" w:rsidR="00F93EB4" w:rsidRPr="00D01CCB" w:rsidRDefault="00F93EB4" w:rsidP="00163F1E">
            <w:pPr>
              <w:pStyle w:val="CETBodytext"/>
              <w:spacing w:line="240" w:lineRule="auto"/>
              <w:jc w:val="center"/>
              <w:rPr>
                <w:lang w:val="en-GB"/>
              </w:rPr>
            </w:pPr>
            <w:r w:rsidRPr="00D01CCB">
              <w:rPr>
                <w:lang w:val="en-GB"/>
              </w:rPr>
              <w:t>2</w:t>
            </w:r>
            <w:r w:rsidR="001233B8" w:rsidRPr="00D01CCB">
              <w:rPr>
                <w:lang w:val="en-GB"/>
              </w:rPr>
              <w:t>.</w:t>
            </w:r>
            <w:r w:rsidRPr="00D01CCB">
              <w:rPr>
                <w:lang w:val="en-GB"/>
              </w:rPr>
              <w:t>1</w:t>
            </w:r>
          </w:p>
        </w:tc>
        <w:tc>
          <w:tcPr>
            <w:tcW w:w="1276" w:type="dxa"/>
            <w:shd w:val="clear" w:color="auto" w:fill="auto"/>
            <w:vAlign w:val="center"/>
          </w:tcPr>
          <w:p w14:paraId="3CB53BC7" w14:textId="5EE1541D" w:rsidR="00F93EB4" w:rsidRPr="00D01CCB" w:rsidRDefault="00F93EB4" w:rsidP="00163F1E">
            <w:pPr>
              <w:pStyle w:val="CETBodytext"/>
              <w:spacing w:line="240" w:lineRule="auto"/>
              <w:jc w:val="center"/>
              <w:rPr>
                <w:lang w:val="en-GB"/>
              </w:rPr>
            </w:pPr>
            <w:r w:rsidRPr="00D01CCB">
              <w:rPr>
                <w:lang w:val="en-GB"/>
              </w:rPr>
              <w:t>0</w:t>
            </w:r>
            <w:r w:rsidR="001233B8" w:rsidRPr="00D01CCB">
              <w:rPr>
                <w:lang w:val="en-GB"/>
              </w:rPr>
              <w:t>.</w:t>
            </w:r>
            <w:r w:rsidRPr="00D01CCB">
              <w:rPr>
                <w:lang w:val="en-GB"/>
              </w:rPr>
              <w:t>07</w:t>
            </w:r>
          </w:p>
        </w:tc>
      </w:tr>
      <w:tr w:rsidR="00F93EB4" w:rsidRPr="00D01CCB" w14:paraId="4DAC2E62" w14:textId="77777777" w:rsidTr="00C37FD7">
        <w:trPr>
          <w:trHeight w:val="283"/>
        </w:trPr>
        <w:tc>
          <w:tcPr>
            <w:tcW w:w="2127" w:type="dxa"/>
            <w:shd w:val="clear" w:color="auto" w:fill="FFFFFF"/>
            <w:vAlign w:val="center"/>
          </w:tcPr>
          <w:p w14:paraId="0C09CBDE" w14:textId="77777777" w:rsidR="00F93EB4" w:rsidRPr="00D01CCB" w:rsidRDefault="00F93EB4" w:rsidP="00163F1E">
            <w:pPr>
              <w:pStyle w:val="CETBodytext"/>
              <w:spacing w:line="240" w:lineRule="auto"/>
              <w:jc w:val="center"/>
              <w:rPr>
                <w:lang w:val="en-GB"/>
              </w:rPr>
            </w:pPr>
            <w:r w:rsidRPr="00D01CCB">
              <w:rPr>
                <w:lang w:val="en-GB"/>
              </w:rPr>
              <w:t>Packaging machine</w:t>
            </w:r>
          </w:p>
        </w:tc>
        <w:tc>
          <w:tcPr>
            <w:tcW w:w="1559" w:type="dxa"/>
            <w:shd w:val="clear" w:color="auto" w:fill="FFFFFF"/>
            <w:vAlign w:val="center"/>
          </w:tcPr>
          <w:p w14:paraId="6EDEB207" w14:textId="77777777" w:rsidR="00F93EB4" w:rsidRPr="00D01CCB" w:rsidRDefault="00F93EB4" w:rsidP="00163F1E">
            <w:pPr>
              <w:pStyle w:val="CETBodytext"/>
              <w:spacing w:line="240" w:lineRule="auto"/>
              <w:jc w:val="center"/>
              <w:rPr>
                <w:lang w:val="en-GB"/>
              </w:rPr>
            </w:pPr>
            <w:r w:rsidRPr="00D01CCB">
              <w:rPr>
                <w:lang w:val="en-GB"/>
              </w:rPr>
              <w:t>1000</w:t>
            </w:r>
          </w:p>
        </w:tc>
        <w:tc>
          <w:tcPr>
            <w:tcW w:w="1276" w:type="dxa"/>
            <w:shd w:val="clear" w:color="auto" w:fill="FFFFFF"/>
            <w:vAlign w:val="center"/>
          </w:tcPr>
          <w:p w14:paraId="7060A117" w14:textId="77777777" w:rsidR="00F93EB4" w:rsidRPr="00D01CCB" w:rsidRDefault="00F93EB4" w:rsidP="00163F1E">
            <w:pPr>
              <w:pStyle w:val="CETBodytext"/>
              <w:spacing w:line="240" w:lineRule="auto"/>
              <w:jc w:val="center"/>
              <w:rPr>
                <w:lang w:val="en-GB"/>
              </w:rPr>
            </w:pPr>
            <w:r w:rsidRPr="00D01CCB">
              <w:rPr>
                <w:lang w:val="en-GB"/>
              </w:rPr>
              <w:t>9.5</w:t>
            </w:r>
          </w:p>
        </w:tc>
        <w:tc>
          <w:tcPr>
            <w:tcW w:w="2551" w:type="dxa"/>
            <w:shd w:val="clear" w:color="auto" w:fill="auto"/>
            <w:vAlign w:val="center"/>
          </w:tcPr>
          <w:p w14:paraId="4610D495" w14:textId="44FA2A4A" w:rsidR="00F93EB4" w:rsidRPr="00D01CCB" w:rsidRDefault="00F93EB4" w:rsidP="00163F1E">
            <w:pPr>
              <w:pStyle w:val="CETBodytext"/>
              <w:spacing w:line="240" w:lineRule="auto"/>
              <w:jc w:val="center"/>
              <w:rPr>
                <w:lang w:val="en-GB"/>
              </w:rPr>
            </w:pPr>
            <w:r w:rsidRPr="00D01CCB">
              <w:rPr>
                <w:lang w:val="en-GB"/>
              </w:rPr>
              <w:t>47</w:t>
            </w:r>
            <w:r w:rsidR="001233B8" w:rsidRPr="00D01CCB">
              <w:rPr>
                <w:lang w:val="en-GB"/>
              </w:rPr>
              <w:t>.</w:t>
            </w:r>
            <w:r w:rsidRPr="00D01CCB">
              <w:rPr>
                <w:lang w:val="en-GB"/>
              </w:rPr>
              <w:t>6</w:t>
            </w:r>
          </w:p>
        </w:tc>
        <w:tc>
          <w:tcPr>
            <w:tcW w:w="1276" w:type="dxa"/>
            <w:shd w:val="clear" w:color="auto" w:fill="auto"/>
            <w:vAlign w:val="center"/>
          </w:tcPr>
          <w:p w14:paraId="0EB84142" w14:textId="1B74A573" w:rsidR="00F93EB4" w:rsidRPr="00D01CCB" w:rsidRDefault="00F93EB4" w:rsidP="00163F1E">
            <w:pPr>
              <w:pStyle w:val="CETBodytext"/>
              <w:spacing w:line="240" w:lineRule="auto"/>
              <w:jc w:val="center"/>
              <w:rPr>
                <w:lang w:val="en-GB"/>
              </w:rPr>
            </w:pPr>
            <w:r w:rsidRPr="00D01CCB">
              <w:rPr>
                <w:lang w:val="en-GB"/>
              </w:rPr>
              <w:t>3</w:t>
            </w:r>
            <w:r w:rsidR="001233B8" w:rsidRPr="00D01CCB">
              <w:rPr>
                <w:lang w:val="en-GB"/>
              </w:rPr>
              <w:t>.</w:t>
            </w:r>
            <w:r w:rsidRPr="00D01CCB">
              <w:rPr>
                <w:lang w:val="en-GB"/>
              </w:rPr>
              <w:t>96</w:t>
            </w:r>
          </w:p>
        </w:tc>
      </w:tr>
      <w:tr w:rsidR="00F93EB4" w:rsidRPr="00D01CCB" w14:paraId="6E96E06D" w14:textId="77777777" w:rsidTr="00C37FD7">
        <w:trPr>
          <w:trHeight w:val="283"/>
        </w:trPr>
        <w:tc>
          <w:tcPr>
            <w:tcW w:w="2127" w:type="dxa"/>
            <w:shd w:val="clear" w:color="auto" w:fill="FFFFFF"/>
            <w:vAlign w:val="center"/>
          </w:tcPr>
          <w:p w14:paraId="7707DECE" w14:textId="77777777" w:rsidR="00F93EB4" w:rsidRPr="00D01CCB" w:rsidRDefault="00F93EB4" w:rsidP="00163F1E">
            <w:pPr>
              <w:pStyle w:val="CETBodytext"/>
              <w:spacing w:line="240" w:lineRule="auto"/>
              <w:jc w:val="center"/>
              <w:rPr>
                <w:lang w:val="en-GB"/>
              </w:rPr>
            </w:pPr>
            <w:r w:rsidRPr="00D01CCB">
              <w:rPr>
                <w:lang w:val="en-GB"/>
              </w:rPr>
              <w:t>Fridge</w:t>
            </w:r>
          </w:p>
        </w:tc>
        <w:tc>
          <w:tcPr>
            <w:tcW w:w="1559" w:type="dxa"/>
            <w:shd w:val="clear" w:color="auto" w:fill="FFFFFF"/>
            <w:vAlign w:val="center"/>
          </w:tcPr>
          <w:p w14:paraId="03FB8172" w14:textId="77777777" w:rsidR="00F93EB4" w:rsidRPr="00D01CCB" w:rsidRDefault="00F93EB4" w:rsidP="00163F1E">
            <w:pPr>
              <w:pStyle w:val="CETBodytext"/>
              <w:spacing w:line="240" w:lineRule="auto"/>
              <w:jc w:val="center"/>
              <w:rPr>
                <w:lang w:val="en-GB"/>
              </w:rPr>
            </w:pPr>
            <w:r w:rsidRPr="00D01CCB">
              <w:rPr>
                <w:lang w:val="en-GB"/>
              </w:rPr>
              <w:t>89</w:t>
            </w:r>
          </w:p>
        </w:tc>
        <w:tc>
          <w:tcPr>
            <w:tcW w:w="1276" w:type="dxa"/>
            <w:shd w:val="clear" w:color="auto" w:fill="FFFFFF"/>
            <w:vAlign w:val="center"/>
          </w:tcPr>
          <w:p w14:paraId="62A1A896" w14:textId="12E1DE74" w:rsidR="00F93EB4" w:rsidRPr="00D01CCB" w:rsidRDefault="00F93EB4" w:rsidP="00163F1E">
            <w:pPr>
              <w:pStyle w:val="CETBodytext"/>
              <w:spacing w:line="240" w:lineRule="auto"/>
              <w:jc w:val="center"/>
              <w:rPr>
                <w:lang w:val="en-GB"/>
              </w:rPr>
            </w:pPr>
            <w:r w:rsidRPr="00D01CCB">
              <w:rPr>
                <w:lang w:val="en-GB"/>
              </w:rPr>
              <w:t>1.</w:t>
            </w:r>
            <w:r w:rsidR="00315313" w:rsidRPr="00D01CCB">
              <w:rPr>
                <w:lang w:val="en-GB"/>
              </w:rPr>
              <w:t>4</w:t>
            </w:r>
          </w:p>
        </w:tc>
        <w:tc>
          <w:tcPr>
            <w:tcW w:w="2551" w:type="dxa"/>
            <w:shd w:val="clear" w:color="auto" w:fill="auto"/>
            <w:vAlign w:val="center"/>
          </w:tcPr>
          <w:p w14:paraId="6ECD68D7" w14:textId="7E1FD47D" w:rsidR="00F93EB4" w:rsidRPr="00D01CCB" w:rsidRDefault="00F93EB4" w:rsidP="00163F1E">
            <w:pPr>
              <w:pStyle w:val="CETBodytext"/>
              <w:spacing w:line="240" w:lineRule="auto"/>
              <w:jc w:val="center"/>
              <w:rPr>
                <w:lang w:val="en-GB"/>
              </w:rPr>
            </w:pPr>
            <w:r w:rsidRPr="00D01CCB">
              <w:rPr>
                <w:lang w:val="en-GB"/>
              </w:rPr>
              <w:t>8</w:t>
            </w:r>
            <w:r w:rsidR="001233B8" w:rsidRPr="00D01CCB">
              <w:rPr>
                <w:lang w:val="en-GB"/>
              </w:rPr>
              <w:t>.</w:t>
            </w:r>
            <w:r w:rsidRPr="00D01CCB">
              <w:rPr>
                <w:lang w:val="en-GB"/>
              </w:rPr>
              <w:t>4</w:t>
            </w:r>
          </w:p>
        </w:tc>
        <w:tc>
          <w:tcPr>
            <w:tcW w:w="1276" w:type="dxa"/>
            <w:shd w:val="clear" w:color="auto" w:fill="auto"/>
            <w:vAlign w:val="center"/>
          </w:tcPr>
          <w:p w14:paraId="593C04F4" w14:textId="2127965E" w:rsidR="00F93EB4" w:rsidRPr="00D01CCB" w:rsidRDefault="00F93EB4" w:rsidP="00163F1E">
            <w:pPr>
              <w:pStyle w:val="CETBodytext"/>
              <w:spacing w:line="240" w:lineRule="auto"/>
              <w:jc w:val="center"/>
              <w:rPr>
                <w:lang w:val="en-GB"/>
              </w:rPr>
            </w:pPr>
            <w:r w:rsidRPr="00D01CCB">
              <w:rPr>
                <w:lang w:val="en-GB"/>
              </w:rPr>
              <w:t>1</w:t>
            </w:r>
            <w:r w:rsidR="001233B8" w:rsidRPr="00D01CCB">
              <w:rPr>
                <w:lang w:val="en-GB"/>
              </w:rPr>
              <w:t>.</w:t>
            </w:r>
            <w:r w:rsidRPr="00D01CCB">
              <w:rPr>
                <w:lang w:val="en-GB"/>
              </w:rPr>
              <w:t>65</w:t>
            </w:r>
          </w:p>
        </w:tc>
      </w:tr>
    </w:tbl>
    <w:p w14:paraId="2475CB9B" w14:textId="5E75D5C7" w:rsidR="00737BD9" w:rsidRPr="00D01CCB" w:rsidRDefault="00B052AC" w:rsidP="00737BD9">
      <w:pPr>
        <w:pStyle w:val="CETHeadingxx"/>
        <w:rPr>
          <w:lang w:val="en-GB"/>
        </w:rPr>
      </w:pPr>
      <w:r w:rsidRPr="00D01CCB">
        <w:rPr>
          <w:lang w:val="en-GB"/>
        </w:rPr>
        <w:t>Alternative scenario</w:t>
      </w:r>
    </w:p>
    <w:p w14:paraId="5610D146" w14:textId="38BABDEF" w:rsidR="00737BD9" w:rsidRPr="00D01CCB" w:rsidRDefault="00737BD9" w:rsidP="00737BD9">
      <w:pPr>
        <w:pStyle w:val="CETBodytext"/>
        <w:rPr>
          <w:lang w:val="en-GB"/>
        </w:rPr>
      </w:pPr>
      <w:r w:rsidRPr="00D01CCB">
        <w:rPr>
          <w:lang w:val="en-GB"/>
        </w:rPr>
        <w:t xml:space="preserve">In addition, a variation in the </w:t>
      </w:r>
      <w:r w:rsidR="00B052AC" w:rsidRPr="00D01CCB">
        <w:rPr>
          <w:lang w:val="en-GB"/>
        </w:rPr>
        <w:t>FU</w:t>
      </w:r>
      <w:r w:rsidRPr="00D01CCB">
        <w:rPr>
          <w:lang w:val="en-GB"/>
        </w:rPr>
        <w:t xml:space="preserve"> was </w:t>
      </w:r>
      <w:r w:rsidR="00F3357C">
        <w:rPr>
          <w:lang w:val="en-GB"/>
        </w:rPr>
        <w:t>considered</w:t>
      </w:r>
      <w:r w:rsidRPr="00D01CCB">
        <w:rPr>
          <w:lang w:val="en-GB"/>
        </w:rPr>
        <w:t xml:space="preserve">. The </w:t>
      </w:r>
      <w:r w:rsidR="00D04AEC">
        <w:rPr>
          <w:lang w:val="en-GB"/>
        </w:rPr>
        <w:t>conventional</w:t>
      </w:r>
      <w:r w:rsidRPr="00D01CCB">
        <w:rPr>
          <w:lang w:val="en-GB"/>
        </w:rPr>
        <w:t xml:space="preserve"> mass</w:t>
      </w:r>
      <w:r w:rsidR="00B052AC" w:rsidRPr="00D01CCB">
        <w:rPr>
          <w:lang w:val="en-GB"/>
        </w:rPr>
        <w:t>-based</w:t>
      </w:r>
      <w:r w:rsidRPr="00D01CCB">
        <w:rPr>
          <w:lang w:val="en-GB"/>
        </w:rPr>
        <w:t xml:space="preserve"> </w:t>
      </w:r>
      <w:r w:rsidR="00B052AC" w:rsidRPr="00D01CCB">
        <w:rPr>
          <w:lang w:val="en-GB"/>
        </w:rPr>
        <w:t>FU</w:t>
      </w:r>
      <w:r w:rsidRPr="00D01CCB">
        <w:rPr>
          <w:lang w:val="en-GB"/>
        </w:rPr>
        <w:t xml:space="preserve"> (1 burger </w:t>
      </w:r>
      <w:r w:rsidR="00B052AC" w:rsidRPr="00D01CCB">
        <w:rPr>
          <w:lang w:val="en-GB"/>
        </w:rPr>
        <w:t xml:space="preserve">equal to </w:t>
      </w:r>
      <w:r w:rsidRPr="00D01CCB">
        <w:rPr>
          <w:lang w:val="en-GB"/>
        </w:rPr>
        <w:t>100</w:t>
      </w:r>
      <w:r w:rsidR="00A968C9" w:rsidRPr="00D01CCB">
        <w:rPr>
          <w:lang w:val="en-GB"/>
        </w:rPr>
        <w:t xml:space="preserve"> </w:t>
      </w:r>
      <w:r w:rsidRPr="00D01CCB">
        <w:rPr>
          <w:lang w:val="en-GB"/>
        </w:rPr>
        <w:t>g</w:t>
      </w:r>
      <w:r w:rsidR="00A968C9" w:rsidRPr="00D01CCB">
        <w:rPr>
          <w:lang w:val="en-GB"/>
        </w:rPr>
        <w:t xml:space="preserve"> of product</w:t>
      </w:r>
      <w:r w:rsidRPr="00D01CCB">
        <w:rPr>
          <w:lang w:val="en-GB"/>
        </w:rPr>
        <w:t xml:space="preserve">) has been changed </w:t>
      </w:r>
      <w:r w:rsidR="00B052AC" w:rsidRPr="00D01CCB">
        <w:rPr>
          <w:lang w:val="en-GB"/>
        </w:rPr>
        <w:t xml:space="preserve">in an alternative scenario </w:t>
      </w:r>
      <w:r w:rsidRPr="00D01CCB">
        <w:rPr>
          <w:lang w:val="en-GB"/>
        </w:rPr>
        <w:t>into a nutritional</w:t>
      </w:r>
      <w:r w:rsidR="00B052AC" w:rsidRPr="00D01CCB">
        <w:rPr>
          <w:lang w:val="en-GB"/>
        </w:rPr>
        <w:t>-based</w:t>
      </w:r>
      <w:r w:rsidRPr="00D01CCB">
        <w:rPr>
          <w:lang w:val="en-GB"/>
        </w:rPr>
        <w:t xml:space="preserve"> </w:t>
      </w:r>
      <w:r w:rsidR="00B052AC" w:rsidRPr="00D01CCB">
        <w:rPr>
          <w:lang w:val="en-GB"/>
        </w:rPr>
        <w:t>FU,</w:t>
      </w:r>
      <w:r w:rsidRPr="00D01CCB">
        <w:rPr>
          <w:lang w:val="en-GB"/>
        </w:rPr>
        <w:t xml:space="preserve"> </w:t>
      </w:r>
      <w:r w:rsidR="00B052AC" w:rsidRPr="00D01CCB">
        <w:rPr>
          <w:lang w:val="en-GB"/>
        </w:rPr>
        <w:t>i</w:t>
      </w:r>
      <w:r w:rsidRPr="00D01CCB">
        <w:rPr>
          <w:lang w:val="en-GB"/>
        </w:rPr>
        <w:t xml:space="preserve">dentifying </w:t>
      </w:r>
      <w:r w:rsidR="00B052AC" w:rsidRPr="00D01CCB">
        <w:rPr>
          <w:lang w:val="en-GB"/>
        </w:rPr>
        <w:t xml:space="preserve">it </w:t>
      </w:r>
      <w:r w:rsidRPr="00D01CCB">
        <w:rPr>
          <w:lang w:val="en-GB"/>
        </w:rPr>
        <w:t>as 15</w:t>
      </w:r>
      <w:r w:rsidR="00A968C9" w:rsidRPr="00D01CCB">
        <w:rPr>
          <w:lang w:val="en-GB"/>
        </w:rPr>
        <w:t xml:space="preserve"> </w:t>
      </w:r>
      <w:r w:rsidRPr="00D01CCB">
        <w:rPr>
          <w:lang w:val="en-GB"/>
        </w:rPr>
        <w:t>g of protein</w:t>
      </w:r>
      <w:r w:rsidR="00A968C9" w:rsidRPr="00D01CCB">
        <w:rPr>
          <w:lang w:val="en-GB"/>
        </w:rPr>
        <w:t>s</w:t>
      </w:r>
      <w:r w:rsidRPr="00D01CCB">
        <w:rPr>
          <w:lang w:val="en-GB"/>
        </w:rPr>
        <w:t xml:space="preserve">, </w:t>
      </w:r>
      <w:r w:rsidR="00D04AEC">
        <w:rPr>
          <w:lang w:val="en-GB"/>
        </w:rPr>
        <w:t xml:space="preserve">corresponding to </w:t>
      </w:r>
      <w:r w:rsidRPr="00D01CCB">
        <w:rPr>
          <w:lang w:val="en-GB"/>
        </w:rPr>
        <w:t>the</w:t>
      </w:r>
      <w:r w:rsidR="00D04AEC">
        <w:rPr>
          <w:lang w:val="en-GB"/>
        </w:rPr>
        <w:t xml:space="preserve"> average</w:t>
      </w:r>
      <w:r w:rsidRPr="00D01CCB">
        <w:rPr>
          <w:lang w:val="en-GB"/>
        </w:rPr>
        <w:t xml:space="preserve"> quantity of protein</w:t>
      </w:r>
      <w:r w:rsidR="00A968C9" w:rsidRPr="00D01CCB">
        <w:rPr>
          <w:lang w:val="en-GB"/>
        </w:rPr>
        <w:t>s</w:t>
      </w:r>
      <w:r w:rsidRPr="00D01CCB">
        <w:rPr>
          <w:lang w:val="en-GB"/>
        </w:rPr>
        <w:t xml:space="preserve"> </w:t>
      </w:r>
      <w:r w:rsidRPr="00D01CCB">
        <w:rPr>
          <w:noProof/>
          <w:lang w:val="en-GB"/>
        </w:rPr>
        <w:t>cont</w:t>
      </w:r>
      <w:r w:rsidR="00600FE1" w:rsidRPr="00D01CCB">
        <w:rPr>
          <w:noProof/>
          <w:lang w:val="en-GB"/>
        </w:rPr>
        <w:t>ained</w:t>
      </w:r>
      <w:r w:rsidRPr="00D01CCB">
        <w:rPr>
          <w:lang w:val="en-GB"/>
        </w:rPr>
        <w:t xml:space="preserve"> in the meat burger. No assumption related to the </w:t>
      </w:r>
      <w:r w:rsidR="00B052AC" w:rsidRPr="00D01CCB">
        <w:rPr>
          <w:lang w:val="en-GB"/>
        </w:rPr>
        <w:t xml:space="preserve">quality of the </w:t>
      </w:r>
      <w:r w:rsidRPr="00D01CCB">
        <w:rPr>
          <w:lang w:val="en-GB"/>
        </w:rPr>
        <w:t xml:space="preserve">protein in the two products </w:t>
      </w:r>
      <w:r w:rsidR="00B052AC" w:rsidRPr="00D01CCB">
        <w:rPr>
          <w:lang w:val="en-GB"/>
        </w:rPr>
        <w:t>was envisaged</w:t>
      </w:r>
      <w:r w:rsidRPr="00D01CCB">
        <w:rPr>
          <w:lang w:val="en-GB"/>
        </w:rPr>
        <w:t xml:space="preserve">. </w:t>
      </w:r>
    </w:p>
    <w:p w14:paraId="5E394DB5" w14:textId="3F4C07F6" w:rsidR="00737BD9" w:rsidRPr="00D01CCB" w:rsidRDefault="00737BD9" w:rsidP="001C180C">
      <w:pPr>
        <w:pStyle w:val="CETHeadingxx"/>
        <w:rPr>
          <w:lang w:val="en-GB"/>
        </w:rPr>
      </w:pPr>
      <w:r w:rsidRPr="00D01CCB">
        <w:rPr>
          <w:lang w:val="en-GB"/>
        </w:rPr>
        <w:t>Life Cycle Impact Assessment</w:t>
      </w:r>
    </w:p>
    <w:p w14:paraId="27553646" w14:textId="600899DF" w:rsidR="00737BD9" w:rsidRPr="00D01CCB" w:rsidRDefault="00737BD9" w:rsidP="00737BD9">
      <w:pPr>
        <w:pStyle w:val="CETBodytext"/>
        <w:rPr>
          <w:lang w:val="en-GB"/>
        </w:rPr>
      </w:pPr>
      <w:r w:rsidRPr="00D01CCB">
        <w:rPr>
          <w:lang w:val="en-GB"/>
        </w:rPr>
        <w:t>According to Jolliet et al. (2003), the Impact 2002+ method was applied, and the following impact categories were considered:</w:t>
      </w:r>
      <w:r w:rsidR="00283E17" w:rsidRPr="00D01CCB">
        <w:rPr>
          <w:lang w:val="en-GB"/>
        </w:rPr>
        <w:t xml:space="preserve"> </w:t>
      </w:r>
      <w:r w:rsidRPr="00D01CCB">
        <w:rPr>
          <w:lang w:val="en-GB"/>
        </w:rPr>
        <w:t>Carcinogens “CARC” (kg C</w:t>
      </w:r>
      <w:r w:rsidRPr="00D01CCB">
        <w:rPr>
          <w:vertAlign w:val="subscript"/>
          <w:lang w:val="en-GB"/>
        </w:rPr>
        <w:t>2</w:t>
      </w:r>
      <w:r w:rsidRPr="00D01CCB">
        <w:rPr>
          <w:lang w:val="en-GB"/>
        </w:rPr>
        <w:t>H</w:t>
      </w:r>
      <w:r w:rsidRPr="00D01CCB">
        <w:rPr>
          <w:vertAlign w:val="subscript"/>
          <w:lang w:val="en-GB"/>
        </w:rPr>
        <w:t>3</w:t>
      </w:r>
      <w:r w:rsidRPr="00D01CCB">
        <w:rPr>
          <w:lang w:val="en-GB"/>
        </w:rPr>
        <w:t xml:space="preserve">Cl </w:t>
      </w:r>
      <w:proofErr w:type="spellStart"/>
      <w:r w:rsidRPr="00D01CCB">
        <w:rPr>
          <w:lang w:val="en-GB"/>
        </w:rPr>
        <w:t>eq</w:t>
      </w:r>
      <w:proofErr w:type="spellEnd"/>
      <w:r w:rsidRPr="00D01CCB">
        <w:rPr>
          <w:lang w:val="en-GB"/>
        </w:rPr>
        <w:t xml:space="preserve">); </w:t>
      </w:r>
      <w:r w:rsidR="00B052AC" w:rsidRPr="00D01CCB">
        <w:rPr>
          <w:lang w:val="en-GB"/>
        </w:rPr>
        <w:t>n</w:t>
      </w:r>
      <w:r w:rsidRPr="00D01CCB">
        <w:rPr>
          <w:lang w:val="en-GB"/>
        </w:rPr>
        <w:t>on-carcinogens “N-CARC” (kg C</w:t>
      </w:r>
      <w:r w:rsidRPr="00D01CCB">
        <w:rPr>
          <w:vertAlign w:val="subscript"/>
          <w:lang w:val="en-GB"/>
        </w:rPr>
        <w:t>2</w:t>
      </w:r>
      <w:r w:rsidRPr="00D01CCB">
        <w:rPr>
          <w:lang w:val="en-GB"/>
        </w:rPr>
        <w:t>H</w:t>
      </w:r>
      <w:r w:rsidRPr="00D01CCB">
        <w:rPr>
          <w:vertAlign w:val="subscript"/>
          <w:lang w:val="en-GB"/>
        </w:rPr>
        <w:t>3</w:t>
      </w:r>
      <w:r w:rsidRPr="00D01CCB">
        <w:rPr>
          <w:lang w:val="en-GB"/>
        </w:rPr>
        <w:t xml:space="preserve">Cl </w:t>
      </w:r>
      <w:proofErr w:type="spellStart"/>
      <w:r w:rsidRPr="00D01CCB">
        <w:rPr>
          <w:lang w:val="en-GB"/>
        </w:rPr>
        <w:t>eq</w:t>
      </w:r>
      <w:proofErr w:type="spellEnd"/>
      <w:r w:rsidRPr="00D01CCB">
        <w:rPr>
          <w:lang w:val="en-GB"/>
        </w:rPr>
        <w:t xml:space="preserve">); </w:t>
      </w:r>
      <w:r w:rsidR="00B052AC" w:rsidRPr="00D01CCB">
        <w:rPr>
          <w:lang w:val="en-GB"/>
        </w:rPr>
        <w:t>r</w:t>
      </w:r>
      <w:r w:rsidRPr="00D01CCB">
        <w:rPr>
          <w:lang w:val="en-GB"/>
        </w:rPr>
        <w:t xml:space="preserve">espiratory </w:t>
      </w:r>
      <w:r w:rsidRPr="00D01CCB">
        <w:rPr>
          <w:lang w:val="en-GB"/>
        </w:rPr>
        <w:lastRenderedPageBreak/>
        <w:t xml:space="preserve">inorganics “R-IN” (kg PM2.5 </w:t>
      </w:r>
      <w:proofErr w:type="spellStart"/>
      <w:r w:rsidRPr="00D01CCB">
        <w:rPr>
          <w:lang w:val="en-GB"/>
        </w:rPr>
        <w:t>eq</w:t>
      </w:r>
      <w:proofErr w:type="spellEnd"/>
      <w:r w:rsidRPr="00D01CCB">
        <w:rPr>
          <w:lang w:val="en-GB"/>
        </w:rPr>
        <w:t xml:space="preserve">); </w:t>
      </w:r>
      <w:r w:rsidR="00B052AC" w:rsidRPr="00D01CCB">
        <w:rPr>
          <w:lang w:val="en-GB"/>
        </w:rPr>
        <w:t>i</w:t>
      </w:r>
      <w:r w:rsidRPr="00D01CCB">
        <w:rPr>
          <w:lang w:val="en-GB"/>
        </w:rPr>
        <w:t>onizing radiation “I-RAD” (</w:t>
      </w:r>
      <w:proofErr w:type="spellStart"/>
      <w:r w:rsidRPr="00D01CCB">
        <w:rPr>
          <w:lang w:val="en-GB"/>
        </w:rPr>
        <w:t>Bq</w:t>
      </w:r>
      <w:proofErr w:type="spellEnd"/>
      <w:r w:rsidRPr="00D01CCB">
        <w:rPr>
          <w:lang w:val="en-GB"/>
        </w:rPr>
        <w:t xml:space="preserve"> C-14 </w:t>
      </w:r>
      <w:proofErr w:type="spellStart"/>
      <w:r w:rsidRPr="00D01CCB">
        <w:rPr>
          <w:lang w:val="en-GB"/>
        </w:rPr>
        <w:t>eq</w:t>
      </w:r>
      <w:proofErr w:type="spellEnd"/>
      <w:r w:rsidRPr="00D01CCB">
        <w:rPr>
          <w:lang w:val="en-GB"/>
        </w:rPr>
        <w:t xml:space="preserve">); </w:t>
      </w:r>
      <w:r w:rsidR="00B052AC" w:rsidRPr="00D01CCB">
        <w:rPr>
          <w:lang w:val="en-GB"/>
        </w:rPr>
        <w:t>o</w:t>
      </w:r>
      <w:r w:rsidRPr="00D01CCB">
        <w:rPr>
          <w:lang w:val="en-GB"/>
        </w:rPr>
        <w:t xml:space="preserve">zone layer depletion “OLD” (kg CFC-11 </w:t>
      </w:r>
      <w:proofErr w:type="spellStart"/>
      <w:r w:rsidRPr="00D01CCB">
        <w:rPr>
          <w:lang w:val="en-GB"/>
        </w:rPr>
        <w:t>eq</w:t>
      </w:r>
      <w:proofErr w:type="spellEnd"/>
      <w:r w:rsidRPr="00D01CCB">
        <w:rPr>
          <w:lang w:val="en-GB"/>
        </w:rPr>
        <w:t xml:space="preserve">); </w:t>
      </w:r>
      <w:r w:rsidR="00B052AC" w:rsidRPr="00D01CCB">
        <w:rPr>
          <w:lang w:val="en-GB"/>
        </w:rPr>
        <w:t>r</w:t>
      </w:r>
      <w:r w:rsidRPr="00D01CCB">
        <w:rPr>
          <w:lang w:val="en-GB"/>
        </w:rPr>
        <w:t>espiratory organics “R-ORG” (kg C</w:t>
      </w:r>
      <w:r w:rsidRPr="00D01CCB">
        <w:rPr>
          <w:vertAlign w:val="subscript"/>
          <w:lang w:val="en-GB"/>
        </w:rPr>
        <w:t>2</w:t>
      </w:r>
      <w:r w:rsidRPr="00D01CCB">
        <w:rPr>
          <w:lang w:val="en-GB"/>
        </w:rPr>
        <w:t>H</w:t>
      </w:r>
      <w:r w:rsidRPr="00D01CCB">
        <w:rPr>
          <w:vertAlign w:val="subscript"/>
          <w:lang w:val="en-GB"/>
        </w:rPr>
        <w:t>4</w:t>
      </w:r>
      <w:r w:rsidRPr="00D01CCB">
        <w:rPr>
          <w:lang w:val="en-GB"/>
        </w:rPr>
        <w:t xml:space="preserve"> </w:t>
      </w:r>
      <w:proofErr w:type="spellStart"/>
      <w:r w:rsidRPr="00D01CCB">
        <w:rPr>
          <w:lang w:val="en-GB"/>
        </w:rPr>
        <w:t>eq</w:t>
      </w:r>
      <w:proofErr w:type="spellEnd"/>
      <w:r w:rsidRPr="00D01CCB">
        <w:rPr>
          <w:lang w:val="en-GB"/>
        </w:rPr>
        <w:t xml:space="preserve">); </w:t>
      </w:r>
      <w:r w:rsidR="00B052AC" w:rsidRPr="00D01CCB">
        <w:rPr>
          <w:lang w:val="en-GB"/>
        </w:rPr>
        <w:t>t</w:t>
      </w:r>
      <w:r w:rsidRPr="00D01CCB">
        <w:rPr>
          <w:lang w:val="en-GB"/>
        </w:rPr>
        <w:t xml:space="preserve">errestrial ecotoxicity: “T-ETX” (kg TEG soil); </w:t>
      </w:r>
      <w:r w:rsidR="00B052AC" w:rsidRPr="00D01CCB">
        <w:rPr>
          <w:lang w:val="en-GB"/>
        </w:rPr>
        <w:t>t</w:t>
      </w:r>
      <w:r w:rsidRPr="00D01CCB">
        <w:rPr>
          <w:lang w:val="en-GB"/>
        </w:rPr>
        <w:t>errestrial acid/</w:t>
      </w:r>
      <w:proofErr w:type="spellStart"/>
      <w:r w:rsidRPr="00D01CCB">
        <w:rPr>
          <w:lang w:val="en-GB"/>
        </w:rPr>
        <w:t>nutri</w:t>
      </w:r>
      <w:proofErr w:type="spellEnd"/>
      <w:r w:rsidRPr="00D01CCB">
        <w:rPr>
          <w:lang w:val="en-GB"/>
        </w:rPr>
        <w:t xml:space="preserve"> “T-ACID” (kg SO</w:t>
      </w:r>
      <w:r w:rsidRPr="00D01CCB">
        <w:rPr>
          <w:vertAlign w:val="subscript"/>
          <w:lang w:val="en-GB"/>
        </w:rPr>
        <w:t>2</w:t>
      </w:r>
      <w:r w:rsidRPr="00D01CCB">
        <w:rPr>
          <w:lang w:val="en-GB"/>
        </w:rPr>
        <w:t xml:space="preserve"> </w:t>
      </w:r>
      <w:proofErr w:type="spellStart"/>
      <w:r w:rsidRPr="00D01CCB">
        <w:rPr>
          <w:lang w:val="en-GB"/>
        </w:rPr>
        <w:t>eq</w:t>
      </w:r>
      <w:proofErr w:type="spellEnd"/>
      <w:r w:rsidRPr="00D01CCB">
        <w:rPr>
          <w:lang w:val="en-GB"/>
        </w:rPr>
        <w:t xml:space="preserve">); </w:t>
      </w:r>
      <w:r w:rsidR="00B052AC" w:rsidRPr="00D01CCB">
        <w:rPr>
          <w:lang w:val="en-GB"/>
        </w:rPr>
        <w:t>l</w:t>
      </w:r>
      <w:r w:rsidRPr="00D01CCB">
        <w:rPr>
          <w:lang w:val="en-GB"/>
        </w:rPr>
        <w:t>and occupation “LO” (m</w:t>
      </w:r>
      <w:r w:rsidRPr="00D01CCB">
        <w:rPr>
          <w:vertAlign w:val="superscript"/>
          <w:lang w:val="en-GB"/>
        </w:rPr>
        <w:t>2</w:t>
      </w:r>
      <w:r w:rsidRPr="00D01CCB">
        <w:rPr>
          <w:lang w:val="en-GB"/>
        </w:rPr>
        <w:t xml:space="preserve">org.arable); </w:t>
      </w:r>
      <w:r w:rsidR="00B052AC" w:rsidRPr="00D01CCB">
        <w:rPr>
          <w:lang w:val="en-GB"/>
        </w:rPr>
        <w:t>g</w:t>
      </w:r>
      <w:r w:rsidRPr="00D01CCB">
        <w:rPr>
          <w:lang w:val="en-GB"/>
        </w:rPr>
        <w:t>lobal warming “GW” (kg CO</w:t>
      </w:r>
      <w:r w:rsidRPr="00D01CCB">
        <w:rPr>
          <w:vertAlign w:val="subscript"/>
          <w:lang w:val="en-GB"/>
        </w:rPr>
        <w:t>2</w:t>
      </w:r>
      <w:r w:rsidRPr="00D01CCB">
        <w:rPr>
          <w:lang w:val="en-GB"/>
        </w:rPr>
        <w:t xml:space="preserve"> </w:t>
      </w:r>
      <w:proofErr w:type="spellStart"/>
      <w:r w:rsidRPr="00D01CCB">
        <w:rPr>
          <w:lang w:val="en-GB"/>
        </w:rPr>
        <w:t>eq</w:t>
      </w:r>
      <w:proofErr w:type="spellEnd"/>
      <w:r w:rsidRPr="00D01CCB">
        <w:rPr>
          <w:lang w:val="en-GB"/>
        </w:rPr>
        <w:t xml:space="preserve">); </w:t>
      </w:r>
      <w:r w:rsidR="00B052AC" w:rsidRPr="00D01CCB">
        <w:rPr>
          <w:lang w:val="en-GB"/>
        </w:rPr>
        <w:t>n</w:t>
      </w:r>
      <w:r w:rsidRPr="00D01CCB">
        <w:rPr>
          <w:lang w:val="en-GB"/>
        </w:rPr>
        <w:t xml:space="preserve">on-renewable energy “NR-EN” (MJ primary); </w:t>
      </w:r>
      <w:r w:rsidR="00B052AC" w:rsidRPr="00D01CCB">
        <w:rPr>
          <w:lang w:val="en-GB"/>
        </w:rPr>
        <w:t>m</w:t>
      </w:r>
      <w:r w:rsidRPr="00D01CCB">
        <w:rPr>
          <w:lang w:val="en-GB"/>
        </w:rPr>
        <w:t>ineral extraction “ME” (MJ surplus).</w:t>
      </w:r>
    </w:p>
    <w:p w14:paraId="7707E101" w14:textId="6F155516" w:rsidR="00BE63D6" w:rsidRPr="00D01CCB" w:rsidRDefault="00737BD9" w:rsidP="00737BD9">
      <w:pPr>
        <w:pStyle w:val="CETBodytext"/>
        <w:rPr>
          <w:lang w:val="en-GB"/>
        </w:rPr>
      </w:pPr>
      <w:r w:rsidRPr="00D01CCB">
        <w:rPr>
          <w:lang w:val="en-GB"/>
        </w:rPr>
        <w:t xml:space="preserve">LCA software </w:t>
      </w:r>
      <w:proofErr w:type="spellStart"/>
      <w:r w:rsidRPr="00D01CCB">
        <w:rPr>
          <w:lang w:val="en-GB"/>
        </w:rPr>
        <w:t>SimaPro</w:t>
      </w:r>
      <w:proofErr w:type="spellEnd"/>
      <w:r w:rsidRPr="00D01CCB">
        <w:rPr>
          <w:lang w:val="en-GB"/>
        </w:rPr>
        <w:t xml:space="preserve"> 8.5 was used to </w:t>
      </w:r>
      <w:r w:rsidR="00D04AEC">
        <w:rPr>
          <w:lang w:val="en-GB"/>
        </w:rPr>
        <w:t>perform</w:t>
      </w:r>
      <w:r w:rsidRPr="00D01CCB">
        <w:rPr>
          <w:lang w:val="en-GB"/>
        </w:rPr>
        <w:t xml:space="preserve"> the Life Cycle Assessment. </w:t>
      </w:r>
    </w:p>
    <w:p w14:paraId="7DD6CE85" w14:textId="77777777" w:rsidR="00737BD9" w:rsidRPr="00D01CCB" w:rsidRDefault="00737BD9" w:rsidP="00737BD9">
      <w:pPr>
        <w:pStyle w:val="CETHeading1"/>
        <w:rPr>
          <w:lang w:val="en-GB"/>
        </w:rPr>
      </w:pPr>
      <w:r w:rsidRPr="00D01CCB">
        <w:rPr>
          <w:lang w:val="en-GB"/>
        </w:rPr>
        <w:t>Results and discussion</w:t>
      </w:r>
    </w:p>
    <w:p w14:paraId="6EF25671" w14:textId="19CA261D" w:rsidR="00737BD9" w:rsidRPr="00D01CCB" w:rsidRDefault="00600FE1" w:rsidP="00737BD9">
      <w:pPr>
        <w:pStyle w:val="CETBodytext"/>
        <w:rPr>
          <w:i/>
          <w:lang w:val="en-GB"/>
        </w:rPr>
      </w:pPr>
      <w:r w:rsidRPr="00D01CCB">
        <w:rPr>
          <w:noProof/>
          <w:lang w:val="en-GB"/>
        </w:rPr>
        <w:t>F</w:t>
      </w:r>
      <w:r w:rsidR="00C43D6E" w:rsidRPr="00D01CCB">
        <w:rPr>
          <w:noProof/>
          <w:lang w:val="en-GB"/>
        </w:rPr>
        <w:t>igure</w:t>
      </w:r>
      <w:r w:rsidR="00C43D6E" w:rsidRPr="00D01CCB">
        <w:rPr>
          <w:lang w:val="en-GB"/>
        </w:rPr>
        <w:t xml:space="preserve"> 1 </w:t>
      </w:r>
      <w:r w:rsidR="00C43D6E" w:rsidRPr="00D01CCB">
        <w:rPr>
          <w:noProof/>
          <w:lang w:val="en-GB"/>
        </w:rPr>
        <w:t>represent</w:t>
      </w:r>
      <w:r w:rsidRPr="00D01CCB">
        <w:rPr>
          <w:noProof/>
          <w:lang w:val="en-GB"/>
        </w:rPr>
        <w:t>s</w:t>
      </w:r>
      <w:r w:rsidR="00C43D6E" w:rsidRPr="00D01CCB">
        <w:rPr>
          <w:lang w:val="en-GB"/>
        </w:rPr>
        <w:t xml:space="preserve"> the environmental impact related to the life cycle of </w:t>
      </w:r>
      <w:r w:rsidR="003B1991">
        <w:rPr>
          <w:noProof/>
          <w:lang w:val="en-GB"/>
        </w:rPr>
        <w:t>1</w:t>
      </w:r>
      <w:r w:rsidR="00C43D6E" w:rsidRPr="00D01CCB">
        <w:rPr>
          <w:noProof/>
          <w:lang w:val="en-GB"/>
        </w:rPr>
        <w:t xml:space="preserve"> MB</w:t>
      </w:r>
      <w:r w:rsidR="00C43D6E" w:rsidRPr="00D01CCB">
        <w:rPr>
          <w:lang w:val="en-GB"/>
        </w:rPr>
        <w:t xml:space="preserve"> (a) and of </w:t>
      </w:r>
      <w:r w:rsidR="003B1991">
        <w:rPr>
          <w:noProof/>
          <w:lang w:val="en-GB"/>
        </w:rPr>
        <w:t>1</w:t>
      </w:r>
      <w:r w:rsidR="00C43D6E" w:rsidRPr="00D01CCB">
        <w:rPr>
          <w:noProof/>
          <w:lang w:val="en-GB"/>
        </w:rPr>
        <w:t xml:space="preserve"> LBB</w:t>
      </w:r>
      <w:r w:rsidR="00C43D6E" w:rsidRPr="00D01CCB">
        <w:rPr>
          <w:lang w:val="en-GB"/>
        </w:rPr>
        <w:t xml:space="preserve"> (b). For each impact category, the percentage subdivision allows</w:t>
      </w:r>
      <w:r w:rsidR="00605B9D">
        <w:rPr>
          <w:lang w:val="en-GB"/>
        </w:rPr>
        <w:t xml:space="preserve"> </w:t>
      </w:r>
      <w:r w:rsidR="00C26E10">
        <w:rPr>
          <w:lang w:val="en-GB"/>
        </w:rPr>
        <w:t>identifying</w:t>
      </w:r>
      <w:r w:rsidR="00C43D6E" w:rsidRPr="00D01CCB">
        <w:rPr>
          <w:lang w:val="en-GB"/>
        </w:rPr>
        <w:t xml:space="preserve"> the hotspots related to the production chain. </w:t>
      </w:r>
    </w:p>
    <w:p w14:paraId="12ABA0E9" w14:textId="4B08B90E" w:rsidR="00F54702" w:rsidRPr="00D01CCB" w:rsidRDefault="00F54702" w:rsidP="00737BD9">
      <w:pPr>
        <w:pStyle w:val="CETBodytext"/>
        <w:rPr>
          <w:lang w:val="en-GB"/>
        </w:rPr>
      </w:pPr>
      <w:r w:rsidRPr="00D01CCB">
        <w:rPr>
          <w:noProof/>
          <w:lang w:val="en-GB"/>
        </w:rPr>
        <w:drawing>
          <wp:inline distT="0" distB="0" distL="0" distR="0" wp14:anchorId="28B01EEF" wp14:editId="720F0067">
            <wp:extent cx="5561330" cy="1983709"/>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t immagine 1.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0291" cy="1994039"/>
                    </a:xfrm>
                    <a:prstGeom prst="rect">
                      <a:avLst/>
                    </a:prstGeom>
                  </pic:spPr>
                </pic:pic>
              </a:graphicData>
            </a:graphic>
          </wp:inline>
        </w:drawing>
      </w:r>
    </w:p>
    <w:p w14:paraId="4957B347" w14:textId="33FE2A8E" w:rsidR="00270200" w:rsidRPr="00D01CCB" w:rsidRDefault="00542D73" w:rsidP="00737BD9">
      <w:pPr>
        <w:pStyle w:val="CETBodytext"/>
        <w:rPr>
          <w:i/>
          <w:lang w:val="en-GB"/>
        </w:rPr>
      </w:pPr>
      <w:r w:rsidRPr="00D01CCB">
        <w:rPr>
          <w:lang w:val="en-GB"/>
        </w:rPr>
        <w:t xml:space="preserve">Figure </w:t>
      </w:r>
      <w:r w:rsidR="0059561B" w:rsidRPr="00D01CCB">
        <w:rPr>
          <w:lang w:val="en-GB"/>
        </w:rPr>
        <w:t xml:space="preserve">1: </w:t>
      </w:r>
      <w:bookmarkStart w:id="0" w:name="_Hlk535676216"/>
      <w:r w:rsidR="00270200" w:rsidRPr="00D01CCB">
        <w:rPr>
          <w:i/>
          <w:lang w:val="en-GB"/>
        </w:rPr>
        <w:t xml:space="preserve">Percentage subdivision of the factors related to the production of one </w:t>
      </w:r>
      <w:bookmarkEnd w:id="0"/>
      <w:r w:rsidR="00270200" w:rsidRPr="00D01CCB">
        <w:rPr>
          <w:i/>
          <w:lang w:val="en-GB"/>
        </w:rPr>
        <w:t>MB (a) and one LBB (b)</w:t>
      </w:r>
    </w:p>
    <w:p w14:paraId="165F067F" w14:textId="3B62F8B7" w:rsidR="00737BD9" w:rsidRPr="00D01CCB" w:rsidRDefault="00737BD9" w:rsidP="00600FE1">
      <w:pPr>
        <w:pStyle w:val="CETBodytext"/>
        <w:spacing w:before="240"/>
        <w:rPr>
          <w:lang w:val="en-GB"/>
        </w:rPr>
      </w:pPr>
      <w:r w:rsidRPr="00D01CCB">
        <w:rPr>
          <w:lang w:val="en-GB"/>
        </w:rPr>
        <w:t>For most of the impact categories expressed from</w:t>
      </w:r>
      <w:r w:rsidR="00605B9D">
        <w:rPr>
          <w:lang w:val="en-GB"/>
        </w:rPr>
        <w:t xml:space="preserve"> the</w:t>
      </w:r>
      <w:r w:rsidRPr="00D01CCB">
        <w:rPr>
          <w:lang w:val="en-GB"/>
        </w:rPr>
        <w:t xml:space="preserve"> </w:t>
      </w:r>
      <w:r w:rsidR="00605B9D" w:rsidRPr="00D01CCB">
        <w:rPr>
          <w:lang w:val="en-GB"/>
        </w:rPr>
        <w:t xml:space="preserve">method </w:t>
      </w:r>
      <w:r w:rsidRPr="00D01CCB">
        <w:rPr>
          <w:lang w:val="en-GB"/>
        </w:rPr>
        <w:t xml:space="preserve">Impact 2002+, the </w:t>
      </w:r>
      <w:r w:rsidR="00C43D6E" w:rsidRPr="00D01CCB">
        <w:rPr>
          <w:lang w:val="en-GB"/>
        </w:rPr>
        <w:t xml:space="preserve">main </w:t>
      </w:r>
      <w:r w:rsidRPr="00D01CCB">
        <w:rPr>
          <w:lang w:val="en-GB"/>
        </w:rPr>
        <w:t xml:space="preserve">hotspot identified </w:t>
      </w:r>
      <w:r w:rsidR="00C43D6E" w:rsidRPr="00D01CCB">
        <w:rPr>
          <w:lang w:val="en-GB"/>
        </w:rPr>
        <w:t>is</w:t>
      </w:r>
      <w:r w:rsidRPr="00D01CCB">
        <w:rPr>
          <w:lang w:val="en-GB"/>
        </w:rPr>
        <w:t xml:space="preserve"> related to the farm phase</w:t>
      </w:r>
      <w:r w:rsidR="00F943CA" w:rsidRPr="00D01CCB">
        <w:rPr>
          <w:lang w:val="en-GB"/>
        </w:rPr>
        <w:t xml:space="preserve"> </w:t>
      </w:r>
      <w:r w:rsidR="00C43D6E" w:rsidRPr="00D01CCB">
        <w:rPr>
          <w:lang w:val="en-GB"/>
        </w:rPr>
        <w:t xml:space="preserve">for </w:t>
      </w:r>
      <w:r w:rsidR="00F943CA" w:rsidRPr="00D01CCB">
        <w:rPr>
          <w:lang w:val="en-GB"/>
        </w:rPr>
        <w:t xml:space="preserve">both </w:t>
      </w:r>
      <w:r w:rsidRPr="00D01CCB">
        <w:rPr>
          <w:lang w:val="en-GB"/>
        </w:rPr>
        <w:t>MB and LBB. This</w:t>
      </w:r>
      <w:r w:rsidR="00074502">
        <w:rPr>
          <w:lang w:val="en-GB"/>
        </w:rPr>
        <w:t xml:space="preserve"> high level of responsibilities is</w:t>
      </w:r>
      <w:r w:rsidRPr="00D01CCB">
        <w:rPr>
          <w:lang w:val="en-GB"/>
        </w:rPr>
        <w:t xml:space="preserve"> due to the agricultural procedures</w:t>
      </w:r>
      <w:r w:rsidR="000860C0" w:rsidRPr="00D01CCB">
        <w:rPr>
          <w:lang w:val="en-GB"/>
        </w:rPr>
        <w:t xml:space="preserve"> </w:t>
      </w:r>
      <w:r w:rsidR="00074502">
        <w:rPr>
          <w:lang w:val="en-GB"/>
        </w:rPr>
        <w:t xml:space="preserve">necessary </w:t>
      </w:r>
      <w:r w:rsidR="000860C0" w:rsidRPr="00D01CCB">
        <w:rPr>
          <w:lang w:val="en-GB"/>
        </w:rPr>
        <w:t>to produc</w:t>
      </w:r>
      <w:r w:rsidR="00074502">
        <w:rPr>
          <w:lang w:val="en-GB"/>
        </w:rPr>
        <w:t>e</w:t>
      </w:r>
      <w:r w:rsidR="000860C0" w:rsidRPr="00D01CCB">
        <w:rPr>
          <w:lang w:val="en-GB"/>
        </w:rPr>
        <w:t xml:space="preserve"> </w:t>
      </w:r>
      <w:r w:rsidR="00074502">
        <w:rPr>
          <w:lang w:val="en-GB"/>
        </w:rPr>
        <w:t>the</w:t>
      </w:r>
      <w:r w:rsidR="000860C0" w:rsidRPr="00D01CCB">
        <w:rPr>
          <w:lang w:val="en-GB"/>
        </w:rPr>
        <w:t xml:space="preserve"> raw </w:t>
      </w:r>
      <w:r w:rsidR="00074502">
        <w:rPr>
          <w:lang w:val="en-GB"/>
        </w:rPr>
        <w:t>materials</w:t>
      </w:r>
      <w:r w:rsidR="00337C75" w:rsidRPr="00D01CCB">
        <w:rPr>
          <w:lang w:val="en-GB"/>
        </w:rPr>
        <w:t>.</w:t>
      </w:r>
      <w:r w:rsidRPr="00D01CCB">
        <w:rPr>
          <w:lang w:val="en-GB"/>
        </w:rPr>
        <w:t xml:space="preserve"> </w:t>
      </w:r>
      <w:r w:rsidR="00337C75" w:rsidRPr="00D01CCB">
        <w:rPr>
          <w:lang w:val="en-GB"/>
        </w:rPr>
        <w:t>R</w:t>
      </w:r>
      <w:r w:rsidRPr="00D01CCB">
        <w:rPr>
          <w:lang w:val="en-GB"/>
        </w:rPr>
        <w:t>egarding the MB,</w:t>
      </w:r>
      <w:r w:rsidR="00074502">
        <w:rPr>
          <w:lang w:val="en-GB"/>
        </w:rPr>
        <w:t xml:space="preserve"> these percentages </w:t>
      </w:r>
      <w:r w:rsidR="00605B9D">
        <w:rPr>
          <w:lang w:val="en-GB"/>
        </w:rPr>
        <w:t>derived from</w:t>
      </w:r>
      <w:r w:rsidRPr="00D01CCB">
        <w:rPr>
          <w:lang w:val="en-GB"/>
        </w:rPr>
        <w:t xml:space="preserve"> the activities to obtain grass, oat, maize for the livestock or, regarding the LBB, </w:t>
      </w:r>
      <w:r w:rsidR="00074502">
        <w:rPr>
          <w:lang w:val="en-GB"/>
        </w:rPr>
        <w:t>f</w:t>
      </w:r>
      <w:r w:rsidR="00605B9D">
        <w:rPr>
          <w:lang w:val="en-GB"/>
        </w:rPr>
        <w:t>rom</w:t>
      </w:r>
      <w:r w:rsidR="00074502">
        <w:rPr>
          <w:lang w:val="en-GB"/>
        </w:rPr>
        <w:t xml:space="preserve"> </w:t>
      </w:r>
      <w:r w:rsidRPr="00D01CCB">
        <w:rPr>
          <w:lang w:val="en-GB"/>
        </w:rPr>
        <w:t xml:space="preserve">the practices to </w:t>
      </w:r>
      <w:r w:rsidR="00337C75" w:rsidRPr="00D01CCB">
        <w:rPr>
          <w:lang w:val="en-GB"/>
        </w:rPr>
        <w:t xml:space="preserve">produce </w:t>
      </w:r>
      <w:r w:rsidRPr="00D01CCB">
        <w:rPr>
          <w:lang w:val="en-GB"/>
        </w:rPr>
        <w:t>legumes, maize or peas</w:t>
      </w:r>
      <w:r w:rsidR="00086AEE">
        <w:rPr>
          <w:lang w:val="en-GB"/>
        </w:rPr>
        <w:t>.</w:t>
      </w:r>
      <w:r w:rsidR="00074502">
        <w:rPr>
          <w:lang w:val="en-GB"/>
        </w:rPr>
        <w:t xml:space="preserve"> </w:t>
      </w:r>
      <w:r w:rsidR="00086AEE">
        <w:rPr>
          <w:lang w:val="en-GB"/>
        </w:rPr>
        <w:t>Agricultural and farming phases</w:t>
      </w:r>
      <w:r w:rsidRPr="00D01CCB">
        <w:rPr>
          <w:lang w:val="en-GB"/>
        </w:rPr>
        <w:t xml:space="preserve"> require different activities and land occupation that </w:t>
      </w:r>
      <w:r w:rsidR="00086AEE">
        <w:rPr>
          <w:lang w:val="en-GB"/>
        </w:rPr>
        <w:t>let</w:t>
      </w:r>
      <w:r w:rsidR="00C43D6E" w:rsidRPr="00D01CCB">
        <w:rPr>
          <w:lang w:val="en-GB"/>
        </w:rPr>
        <w:t xml:space="preserve"> </w:t>
      </w:r>
      <w:r w:rsidRPr="00D01CCB">
        <w:rPr>
          <w:lang w:val="en-GB"/>
        </w:rPr>
        <w:t xml:space="preserve">the values </w:t>
      </w:r>
      <w:r w:rsidR="00C43D6E" w:rsidRPr="00D01CCB">
        <w:rPr>
          <w:lang w:val="en-GB"/>
        </w:rPr>
        <w:t>of these impact categories</w:t>
      </w:r>
      <w:r w:rsidR="00086AEE">
        <w:rPr>
          <w:lang w:val="en-GB"/>
        </w:rPr>
        <w:t xml:space="preserve"> rise</w:t>
      </w:r>
      <w:r w:rsidRPr="00D01CCB">
        <w:rPr>
          <w:lang w:val="en-GB"/>
        </w:rPr>
        <w:t xml:space="preserve">. </w:t>
      </w:r>
      <w:r w:rsidR="00086AEE">
        <w:rPr>
          <w:lang w:val="en-GB"/>
        </w:rPr>
        <w:t xml:space="preserve">Therefore, </w:t>
      </w:r>
      <w:r w:rsidRPr="00D01CCB">
        <w:rPr>
          <w:lang w:val="en-GB"/>
        </w:rPr>
        <w:t xml:space="preserve">the </w:t>
      </w:r>
      <w:r w:rsidR="00086AEE">
        <w:rPr>
          <w:lang w:val="en-GB"/>
        </w:rPr>
        <w:t>incidence of the “raw materials”</w:t>
      </w:r>
      <w:r w:rsidRPr="00D01CCB">
        <w:rPr>
          <w:lang w:val="en-GB"/>
        </w:rPr>
        <w:t xml:space="preserve"> </w:t>
      </w:r>
      <w:r w:rsidR="000860C0" w:rsidRPr="00D01CCB">
        <w:rPr>
          <w:lang w:val="en-GB"/>
        </w:rPr>
        <w:t>reach</w:t>
      </w:r>
      <w:r w:rsidR="00086AEE">
        <w:rPr>
          <w:lang w:val="en-GB"/>
        </w:rPr>
        <w:t>es</w:t>
      </w:r>
      <w:r w:rsidR="000860C0" w:rsidRPr="00D01CCB">
        <w:rPr>
          <w:lang w:val="en-GB"/>
        </w:rPr>
        <w:t xml:space="preserve"> </w:t>
      </w:r>
      <w:r w:rsidR="00074502">
        <w:rPr>
          <w:noProof/>
          <w:lang w:val="en-GB"/>
        </w:rPr>
        <w:t>more than 80%</w:t>
      </w:r>
      <w:r w:rsidRPr="00D01CCB">
        <w:rPr>
          <w:lang w:val="en-GB"/>
        </w:rPr>
        <w:t xml:space="preserve"> in most of the impact categories. </w:t>
      </w:r>
    </w:p>
    <w:p w14:paraId="56890602" w14:textId="320D7481" w:rsidR="00737BD9" w:rsidRPr="00D01CCB" w:rsidRDefault="00086AEE" w:rsidP="00737BD9">
      <w:pPr>
        <w:pStyle w:val="CETBodytext"/>
        <w:rPr>
          <w:lang w:val="en-GB"/>
        </w:rPr>
      </w:pPr>
      <w:r>
        <w:rPr>
          <w:lang w:val="en-GB"/>
        </w:rPr>
        <w:t>T</w:t>
      </w:r>
      <w:r w:rsidR="00737BD9" w:rsidRPr="00D01CCB">
        <w:rPr>
          <w:lang w:val="en-GB"/>
        </w:rPr>
        <w:t>he cooking phase</w:t>
      </w:r>
      <w:r>
        <w:rPr>
          <w:lang w:val="en-GB"/>
        </w:rPr>
        <w:t xml:space="preserve"> represents t</w:t>
      </w:r>
      <w:r w:rsidRPr="00D01CCB">
        <w:rPr>
          <w:lang w:val="en-GB"/>
        </w:rPr>
        <w:t>he second hotspot in both the production chains</w:t>
      </w:r>
      <w:r w:rsidR="00737BD9" w:rsidRPr="00D01CCB">
        <w:rPr>
          <w:lang w:val="en-GB"/>
        </w:rPr>
        <w:t xml:space="preserve">. The incidence of this phase, </w:t>
      </w:r>
      <w:r w:rsidR="00C43D6E" w:rsidRPr="00D01CCB">
        <w:rPr>
          <w:lang w:val="en-GB"/>
        </w:rPr>
        <w:t>especially</w:t>
      </w:r>
      <w:r w:rsidR="00737BD9" w:rsidRPr="00D01CCB">
        <w:rPr>
          <w:lang w:val="en-GB"/>
        </w:rPr>
        <w:t xml:space="preserve"> for some of the impact categories </w:t>
      </w:r>
      <w:r>
        <w:rPr>
          <w:lang w:val="en-GB"/>
        </w:rPr>
        <w:t>as for</w:t>
      </w:r>
      <w:r w:rsidR="00737BD9" w:rsidRPr="00D01CCB">
        <w:rPr>
          <w:lang w:val="en-GB"/>
        </w:rPr>
        <w:t xml:space="preserve"> </w:t>
      </w:r>
      <w:r w:rsidR="00542D73" w:rsidRPr="00D01CCB">
        <w:rPr>
          <w:lang w:val="en-GB"/>
        </w:rPr>
        <w:t xml:space="preserve">R-IN </w:t>
      </w:r>
      <w:r w:rsidR="00737BD9" w:rsidRPr="00D01CCB">
        <w:rPr>
          <w:lang w:val="en-GB"/>
        </w:rPr>
        <w:t>(37</w:t>
      </w:r>
      <w:r w:rsidR="00063486" w:rsidRPr="00D01CCB">
        <w:rPr>
          <w:lang w:val="en-GB"/>
        </w:rPr>
        <w:t xml:space="preserve"> </w:t>
      </w:r>
      <w:r w:rsidR="00737BD9" w:rsidRPr="00D01CCB">
        <w:rPr>
          <w:lang w:val="en-GB"/>
        </w:rPr>
        <w:t>%</w:t>
      </w:r>
      <w:r w:rsidR="00F579F6" w:rsidRPr="00D01CCB">
        <w:rPr>
          <w:lang w:val="en-GB"/>
        </w:rPr>
        <w:t xml:space="preserve"> </w:t>
      </w:r>
      <w:r w:rsidR="00737BD9" w:rsidRPr="00D01CCB">
        <w:rPr>
          <w:lang w:val="en-GB"/>
        </w:rPr>
        <w:t>MB; 9</w:t>
      </w:r>
      <w:r w:rsidR="00063486" w:rsidRPr="00D01CCB">
        <w:rPr>
          <w:lang w:val="en-GB"/>
        </w:rPr>
        <w:t xml:space="preserve"> </w:t>
      </w:r>
      <w:r w:rsidR="00737BD9" w:rsidRPr="00D01CCB">
        <w:rPr>
          <w:lang w:val="en-GB"/>
        </w:rPr>
        <w:t>%</w:t>
      </w:r>
      <w:r w:rsidR="00F579F6" w:rsidRPr="00D01CCB">
        <w:rPr>
          <w:lang w:val="en-GB"/>
        </w:rPr>
        <w:t xml:space="preserve"> </w:t>
      </w:r>
      <w:r w:rsidR="00737BD9" w:rsidRPr="00D01CCB">
        <w:rPr>
          <w:lang w:val="en-GB"/>
        </w:rPr>
        <w:t xml:space="preserve">LBB), </w:t>
      </w:r>
      <w:r w:rsidR="00542D73" w:rsidRPr="00D01CCB">
        <w:rPr>
          <w:lang w:val="en-GB"/>
        </w:rPr>
        <w:t>OLD</w:t>
      </w:r>
      <w:r w:rsidR="00737BD9" w:rsidRPr="00D01CCB">
        <w:rPr>
          <w:lang w:val="en-GB"/>
        </w:rPr>
        <w:t xml:space="preserve"> (17</w:t>
      </w:r>
      <w:r w:rsidR="00063486" w:rsidRPr="00D01CCB">
        <w:rPr>
          <w:lang w:val="en-GB"/>
        </w:rPr>
        <w:t xml:space="preserve"> </w:t>
      </w:r>
      <w:r w:rsidR="00737BD9" w:rsidRPr="00D01CCB">
        <w:rPr>
          <w:lang w:val="en-GB"/>
        </w:rPr>
        <w:t>%</w:t>
      </w:r>
      <w:r w:rsidR="00F579F6" w:rsidRPr="00D01CCB">
        <w:rPr>
          <w:lang w:val="en-GB"/>
        </w:rPr>
        <w:t xml:space="preserve"> </w:t>
      </w:r>
      <w:r w:rsidR="00737BD9" w:rsidRPr="00D01CCB">
        <w:rPr>
          <w:lang w:val="en-GB"/>
        </w:rPr>
        <w:t>MB; 3</w:t>
      </w:r>
      <w:r w:rsidR="00063486" w:rsidRPr="00D01CCB">
        <w:rPr>
          <w:lang w:val="en-GB"/>
        </w:rPr>
        <w:t xml:space="preserve"> </w:t>
      </w:r>
      <w:r w:rsidR="00737BD9" w:rsidRPr="00D01CCB">
        <w:rPr>
          <w:lang w:val="en-GB"/>
        </w:rPr>
        <w:t>%</w:t>
      </w:r>
      <w:r w:rsidR="00F579F6" w:rsidRPr="00D01CCB">
        <w:rPr>
          <w:lang w:val="en-GB"/>
        </w:rPr>
        <w:t xml:space="preserve"> </w:t>
      </w:r>
      <w:r w:rsidR="00737BD9" w:rsidRPr="00D01CCB">
        <w:rPr>
          <w:lang w:val="en-GB"/>
        </w:rPr>
        <w:t xml:space="preserve">LBB), </w:t>
      </w:r>
      <w:r w:rsidR="00542D73" w:rsidRPr="00D01CCB">
        <w:rPr>
          <w:lang w:val="en-GB"/>
        </w:rPr>
        <w:t>R-ORG</w:t>
      </w:r>
      <w:r w:rsidR="00737BD9" w:rsidRPr="00D01CCB">
        <w:rPr>
          <w:lang w:val="en-GB"/>
        </w:rPr>
        <w:t xml:space="preserve"> (34</w:t>
      </w:r>
      <w:r w:rsidR="00063486" w:rsidRPr="00D01CCB">
        <w:rPr>
          <w:lang w:val="en-GB"/>
        </w:rPr>
        <w:t xml:space="preserve"> </w:t>
      </w:r>
      <w:r w:rsidR="00737BD9" w:rsidRPr="00D01CCB">
        <w:rPr>
          <w:lang w:val="en-GB"/>
        </w:rPr>
        <w:t>%</w:t>
      </w:r>
      <w:r w:rsidR="00F579F6" w:rsidRPr="00D01CCB">
        <w:rPr>
          <w:lang w:val="en-GB"/>
        </w:rPr>
        <w:t xml:space="preserve"> </w:t>
      </w:r>
      <w:r w:rsidR="00737BD9" w:rsidRPr="00D01CCB">
        <w:rPr>
          <w:lang w:val="en-GB"/>
        </w:rPr>
        <w:t>MB; 30</w:t>
      </w:r>
      <w:r w:rsidR="00063486" w:rsidRPr="00D01CCB">
        <w:rPr>
          <w:lang w:val="en-GB"/>
        </w:rPr>
        <w:t xml:space="preserve"> </w:t>
      </w:r>
      <w:r w:rsidR="00737BD9" w:rsidRPr="00D01CCB">
        <w:rPr>
          <w:lang w:val="en-GB"/>
        </w:rPr>
        <w:t>%</w:t>
      </w:r>
      <w:r w:rsidR="00F579F6" w:rsidRPr="00D01CCB">
        <w:rPr>
          <w:lang w:val="en-GB"/>
        </w:rPr>
        <w:t xml:space="preserve"> </w:t>
      </w:r>
      <w:r w:rsidR="00737BD9" w:rsidRPr="00D01CCB">
        <w:rPr>
          <w:lang w:val="en-GB"/>
        </w:rPr>
        <w:t xml:space="preserve">LBB) and </w:t>
      </w:r>
      <w:r w:rsidR="00542D73" w:rsidRPr="00D01CCB">
        <w:rPr>
          <w:lang w:val="en-GB"/>
        </w:rPr>
        <w:t>NR-EN</w:t>
      </w:r>
      <w:r w:rsidR="00737BD9" w:rsidRPr="00D01CCB">
        <w:rPr>
          <w:lang w:val="en-GB"/>
        </w:rPr>
        <w:t xml:space="preserve"> (66</w:t>
      </w:r>
      <w:r w:rsidR="00063486" w:rsidRPr="00D01CCB">
        <w:rPr>
          <w:lang w:val="en-GB"/>
        </w:rPr>
        <w:t xml:space="preserve"> </w:t>
      </w:r>
      <w:r w:rsidR="00737BD9" w:rsidRPr="00D01CCB">
        <w:rPr>
          <w:lang w:val="en-GB"/>
        </w:rPr>
        <w:t>%</w:t>
      </w:r>
      <w:r w:rsidR="00F579F6" w:rsidRPr="00D01CCB">
        <w:rPr>
          <w:lang w:val="en-GB"/>
        </w:rPr>
        <w:t xml:space="preserve"> </w:t>
      </w:r>
      <w:r w:rsidR="00737BD9" w:rsidRPr="00D01CCB">
        <w:rPr>
          <w:lang w:val="en-GB"/>
        </w:rPr>
        <w:t>MB; 57</w:t>
      </w:r>
      <w:r w:rsidR="00063486" w:rsidRPr="00D01CCB">
        <w:rPr>
          <w:lang w:val="en-GB"/>
        </w:rPr>
        <w:t xml:space="preserve"> </w:t>
      </w:r>
      <w:r w:rsidR="00737BD9" w:rsidRPr="00D01CCB">
        <w:rPr>
          <w:lang w:val="en-GB"/>
        </w:rPr>
        <w:t>%</w:t>
      </w:r>
      <w:r w:rsidR="00F579F6" w:rsidRPr="00D01CCB">
        <w:rPr>
          <w:lang w:val="en-GB"/>
        </w:rPr>
        <w:t xml:space="preserve"> </w:t>
      </w:r>
      <w:r w:rsidR="00737BD9" w:rsidRPr="00D01CCB">
        <w:rPr>
          <w:lang w:val="en-GB"/>
        </w:rPr>
        <w:t>LBB)</w:t>
      </w:r>
      <w:r w:rsidR="00C43D6E" w:rsidRPr="00D01CCB">
        <w:rPr>
          <w:lang w:val="en-GB"/>
        </w:rPr>
        <w:t>,</w:t>
      </w:r>
      <w:r w:rsidR="00737BD9" w:rsidRPr="00D01CCB">
        <w:rPr>
          <w:lang w:val="en-GB"/>
        </w:rPr>
        <w:t xml:space="preserve"> </w:t>
      </w:r>
      <w:r w:rsidR="00C43D6E" w:rsidRPr="00D01CCB">
        <w:rPr>
          <w:lang w:val="en-GB"/>
        </w:rPr>
        <w:t xml:space="preserve">is </w:t>
      </w:r>
      <w:r>
        <w:rPr>
          <w:lang w:val="en-GB"/>
        </w:rPr>
        <w:t>directly</w:t>
      </w:r>
      <w:r w:rsidR="00737BD9" w:rsidRPr="00D01CCB">
        <w:rPr>
          <w:lang w:val="en-GB"/>
        </w:rPr>
        <w:t xml:space="preserve"> linked to</w:t>
      </w:r>
      <w:r>
        <w:rPr>
          <w:lang w:val="en-GB"/>
        </w:rPr>
        <w:t xml:space="preserve"> the </w:t>
      </w:r>
      <w:r w:rsidR="00737BD9" w:rsidRPr="00D01CCB">
        <w:rPr>
          <w:lang w:val="en-GB"/>
        </w:rPr>
        <w:t xml:space="preserve">gas methane production and </w:t>
      </w:r>
      <w:r w:rsidR="00074502">
        <w:rPr>
          <w:lang w:val="en-GB"/>
        </w:rPr>
        <w:t xml:space="preserve">to its </w:t>
      </w:r>
      <w:r w:rsidR="00737BD9" w:rsidRPr="00D01CCB">
        <w:rPr>
          <w:lang w:val="en-GB"/>
        </w:rPr>
        <w:t>consumption. The differences that can be registered between the two products are strictly correlated to the cooking time</w:t>
      </w:r>
      <w:r w:rsidR="000860C0" w:rsidRPr="00D01CCB">
        <w:rPr>
          <w:lang w:val="en-GB"/>
        </w:rPr>
        <w:t>.</w:t>
      </w:r>
      <w:r w:rsidR="00737BD9" w:rsidRPr="00D01CCB">
        <w:rPr>
          <w:lang w:val="en-GB"/>
        </w:rPr>
        <w:t xml:space="preserve"> </w:t>
      </w:r>
      <w:r w:rsidR="00B83588">
        <w:rPr>
          <w:lang w:val="en-GB"/>
        </w:rPr>
        <w:t xml:space="preserve">For the MB were assumed 8 minutes while for the LBB only 3 minutes, the </w:t>
      </w:r>
      <w:r w:rsidR="00737BD9" w:rsidRPr="00D01CCB">
        <w:rPr>
          <w:lang w:val="en-GB"/>
        </w:rPr>
        <w:t>LBB is pre-cooked</w:t>
      </w:r>
      <w:r w:rsidR="00074502">
        <w:rPr>
          <w:lang w:val="en-GB"/>
        </w:rPr>
        <w:t xml:space="preserve"> in the oven</w:t>
      </w:r>
      <w:r w:rsidR="00737BD9" w:rsidRPr="00D01CCB">
        <w:rPr>
          <w:lang w:val="en-GB"/>
        </w:rPr>
        <w:t xml:space="preserve"> </w:t>
      </w:r>
      <w:r w:rsidR="00074502">
        <w:rPr>
          <w:lang w:val="en-GB"/>
        </w:rPr>
        <w:t>during the production phase</w:t>
      </w:r>
      <w:r w:rsidR="00737BD9" w:rsidRPr="00D01CCB">
        <w:rPr>
          <w:lang w:val="en-GB"/>
        </w:rPr>
        <w:t xml:space="preserve">, </w:t>
      </w:r>
      <w:r w:rsidR="00E75FBD">
        <w:rPr>
          <w:lang w:val="en-GB"/>
        </w:rPr>
        <w:t xml:space="preserve">therefore </w:t>
      </w:r>
      <w:r w:rsidR="00737BD9" w:rsidRPr="00D01CCB">
        <w:rPr>
          <w:lang w:val="en-GB"/>
        </w:rPr>
        <w:t xml:space="preserve">it does not require </w:t>
      </w:r>
      <w:r w:rsidR="00B83588">
        <w:rPr>
          <w:lang w:val="en-GB"/>
        </w:rPr>
        <w:t>real cooking as</w:t>
      </w:r>
      <w:r w:rsidR="00737BD9" w:rsidRPr="00D01CCB">
        <w:rPr>
          <w:lang w:val="en-GB"/>
        </w:rPr>
        <w:t xml:space="preserve"> the MB</w:t>
      </w:r>
      <w:r w:rsidR="00B83588">
        <w:rPr>
          <w:lang w:val="en-GB"/>
        </w:rPr>
        <w:t>.</w:t>
      </w:r>
      <w:r w:rsidR="00737BD9" w:rsidRPr="00D01CCB">
        <w:rPr>
          <w:lang w:val="en-GB"/>
        </w:rPr>
        <w:t xml:space="preserve"> </w:t>
      </w:r>
      <w:r w:rsidR="00E75FBD">
        <w:rPr>
          <w:lang w:val="en-GB"/>
        </w:rPr>
        <w:t>For this reason, regarding</w:t>
      </w:r>
      <w:r w:rsidR="00B83588">
        <w:rPr>
          <w:lang w:val="en-GB"/>
        </w:rPr>
        <w:t xml:space="preserve"> the LBB</w:t>
      </w:r>
      <w:r w:rsidR="00600FE1" w:rsidRPr="00D01CCB">
        <w:rPr>
          <w:lang w:val="en-GB"/>
        </w:rPr>
        <w:t>,</w:t>
      </w:r>
      <w:r w:rsidR="00737BD9" w:rsidRPr="00D01CCB">
        <w:rPr>
          <w:lang w:val="en-GB"/>
        </w:rPr>
        <w:t xml:space="preserve"> methane gas has a lower incidence.</w:t>
      </w:r>
    </w:p>
    <w:p w14:paraId="71B38943" w14:textId="035A0DBA" w:rsidR="00415891" w:rsidRPr="00D01CCB" w:rsidRDefault="00B83588" w:rsidP="00EB6FC7">
      <w:pPr>
        <w:pStyle w:val="CETBodytext"/>
        <w:rPr>
          <w:lang w:val="en-GB"/>
        </w:rPr>
      </w:pPr>
      <w:r>
        <w:rPr>
          <w:lang w:val="en-GB"/>
        </w:rPr>
        <w:t xml:space="preserve">What really differs </w:t>
      </w:r>
      <w:r w:rsidR="00C43D6E" w:rsidRPr="00D01CCB">
        <w:rPr>
          <w:lang w:val="en-GB"/>
        </w:rPr>
        <w:t>between t</w:t>
      </w:r>
      <w:r w:rsidR="00737BD9" w:rsidRPr="00D01CCB">
        <w:rPr>
          <w:lang w:val="en-GB"/>
        </w:rPr>
        <w:t xml:space="preserve">he two </w:t>
      </w:r>
      <w:r>
        <w:rPr>
          <w:lang w:val="en-GB"/>
        </w:rPr>
        <w:t>products life</w:t>
      </w:r>
      <w:r w:rsidR="00B87AA9">
        <w:rPr>
          <w:lang w:val="en-GB"/>
        </w:rPr>
        <w:t>-</w:t>
      </w:r>
      <w:r>
        <w:rPr>
          <w:lang w:val="en-GB"/>
        </w:rPr>
        <w:t xml:space="preserve">cycle </w:t>
      </w:r>
      <w:r w:rsidR="00737BD9" w:rsidRPr="00D01CCB">
        <w:rPr>
          <w:lang w:val="en-GB"/>
        </w:rPr>
        <w:t>is the transformation phase</w:t>
      </w:r>
      <w:r w:rsidR="00C43D6E" w:rsidRPr="00D01CCB">
        <w:rPr>
          <w:lang w:val="en-GB"/>
        </w:rPr>
        <w:t>.</w:t>
      </w:r>
      <w:r w:rsidR="00737BD9" w:rsidRPr="00D01CCB">
        <w:rPr>
          <w:lang w:val="en-GB"/>
        </w:rPr>
        <w:t xml:space="preserve"> </w:t>
      </w:r>
      <w:r w:rsidR="00C43D6E" w:rsidRPr="00D01CCB">
        <w:rPr>
          <w:lang w:val="en-GB"/>
        </w:rPr>
        <w:t>T</w:t>
      </w:r>
      <w:r w:rsidR="00737BD9" w:rsidRPr="00D01CCB">
        <w:rPr>
          <w:lang w:val="en-GB"/>
        </w:rPr>
        <w:t xml:space="preserve">he </w:t>
      </w:r>
      <w:r>
        <w:rPr>
          <w:lang w:val="en-GB"/>
        </w:rPr>
        <w:t xml:space="preserve">MB needs a </w:t>
      </w:r>
      <w:r w:rsidR="00737BD9" w:rsidRPr="00D01CCB">
        <w:rPr>
          <w:lang w:val="en-GB"/>
        </w:rPr>
        <w:t>simpl</w:t>
      </w:r>
      <w:r>
        <w:rPr>
          <w:lang w:val="en-GB"/>
        </w:rPr>
        <w:t xml:space="preserve">e operation to transform the meat into the MB, due to this the </w:t>
      </w:r>
      <w:r w:rsidR="00737BD9" w:rsidRPr="00D01CCB">
        <w:rPr>
          <w:lang w:val="en-GB"/>
        </w:rPr>
        <w:t>machin</w:t>
      </w:r>
      <w:r>
        <w:rPr>
          <w:lang w:val="en-GB"/>
        </w:rPr>
        <w:t>es</w:t>
      </w:r>
      <w:r w:rsidR="00737BD9" w:rsidRPr="00D01CCB">
        <w:rPr>
          <w:lang w:val="en-GB"/>
        </w:rPr>
        <w:t xml:space="preserve"> and </w:t>
      </w:r>
      <w:r>
        <w:rPr>
          <w:lang w:val="en-GB"/>
        </w:rPr>
        <w:t xml:space="preserve">the relative </w:t>
      </w:r>
      <w:r w:rsidR="00737BD9" w:rsidRPr="00D01CCB">
        <w:rPr>
          <w:lang w:val="en-GB"/>
        </w:rPr>
        <w:t xml:space="preserve">energy </w:t>
      </w:r>
      <w:r>
        <w:rPr>
          <w:lang w:val="en-GB"/>
        </w:rPr>
        <w:t>demand show</w:t>
      </w:r>
      <w:r w:rsidR="00B87AA9">
        <w:rPr>
          <w:lang w:val="en-GB"/>
        </w:rPr>
        <w:t xml:space="preserve"> low percentages</w:t>
      </w:r>
      <w:r w:rsidR="000860C0" w:rsidRPr="00D01CCB">
        <w:rPr>
          <w:lang w:val="en-GB"/>
        </w:rPr>
        <w:t>.</w:t>
      </w:r>
      <w:r w:rsidR="00737BD9" w:rsidRPr="00D01CCB">
        <w:rPr>
          <w:lang w:val="en-GB"/>
        </w:rPr>
        <w:t xml:space="preserve"> </w:t>
      </w:r>
      <w:r w:rsidR="000860C0" w:rsidRPr="00D01CCB">
        <w:rPr>
          <w:lang w:val="en-GB"/>
        </w:rPr>
        <w:t>T</w:t>
      </w:r>
      <w:r w:rsidR="00737BD9" w:rsidRPr="00D01CCB">
        <w:rPr>
          <w:lang w:val="en-GB"/>
        </w:rPr>
        <w:t>he same consideration</w:t>
      </w:r>
      <w:r w:rsidR="00B87AA9">
        <w:rPr>
          <w:lang w:val="en-GB"/>
        </w:rPr>
        <w:t>s</w:t>
      </w:r>
      <w:r w:rsidR="00737BD9" w:rsidRPr="00D01CCB">
        <w:rPr>
          <w:lang w:val="en-GB"/>
        </w:rPr>
        <w:t xml:space="preserve"> cannot be done </w:t>
      </w:r>
      <w:r w:rsidR="00B87AA9">
        <w:rPr>
          <w:lang w:val="en-GB"/>
        </w:rPr>
        <w:t xml:space="preserve">for </w:t>
      </w:r>
      <w:r w:rsidR="00074502">
        <w:rPr>
          <w:lang w:val="en-GB"/>
        </w:rPr>
        <w:t xml:space="preserve">the </w:t>
      </w:r>
      <w:r w:rsidR="00737BD9" w:rsidRPr="00D01CCB">
        <w:rPr>
          <w:lang w:val="en-GB"/>
        </w:rPr>
        <w:t>LBB. The</w:t>
      </w:r>
      <w:r w:rsidR="00B87AA9">
        <w:rPr>
          <w:lang w:val="en-GB"/>
        </w:rPr>
        <w:t xml:space="preserve"> technical</w:t>
      </w:r>
      <w:r w:rsidR="00737BD9" w:rsidRPr="00D01CCB">
        <w:rPr>
          <w:lang w:val="en-GB"/>
        </w:rPr>
        <w:t xml:space="preserve"> difficult</w:t>
      </w:r>
      <w:r w:rsidR="00B87AA9">
        <w:rPr>
          <w:lang w:val="en-GB"/>
        </w:rPr>
        <w:t>ies</w:t>
      </w:r>
      <w:r w:rsidR="00737BD9" w:rsidRPr="00D01CCB">
        <w:rPr>
          <w:lang w:val="en-GB"/>
        </w:rPr>
        <w:t xml:space="preserve"> to obtain</w:t>
      </w:r>
      <w:r w:rsidR="00B87AA9">
        <w:rPr>
          <w:lang w:val="en-GB"/>
        </w:rPr>
        <w:t xml:space="preserve"> </w:t>
      </w:r>
      <w:r w:rsidR="00737BD9" w:rsidRPr="00D01CCB">
        <w:rPr>
          <w:lang w:val="en-GB"/>
        </w:rPr>
        <w:t xml:space="preserve">LBB </w:t>
      </w:r>
      <w:r w:rsidR="00C43D6E" w:rsidRPr="00D01CCB">
        <w:rPr>
          <w:lang w:val="en-GB"/>
        </w:rPr>
        <w:t>mixture</w:t>
      </w:r>
      <w:r w:rsidR="00B87AA9">
        <w:rPr>
          <w:lang w:val="en-GB"/>
        </w:rPr>
        <w:t xml:space="preserve"> and structure</w:t>
      </w:r>
      <w:r w:rsidR="00BD5BFB">
        <w:rPr>
          <w:lang w:val="en-GB"/>
        </w:rPr>
        <w:t>,</w:t>
      </w:r>
      <w:r w:rsidR="00074502">
        <w:rPr>
          <w:lang w:val="en-GB"/>
        </w:rPr>
        <w:t xml:space="preserve"> in comparison </w:t>
      </w:r>
      <w:r w:rsidR="00DE147F">
        <w:rPr>
          <w:lang w:val="en-GB"/>
        </w:rPr>
        <w:t xml:space="preserve">to </w:t>
      </w:r>
      <w:r w:rsidR="00074502">
        <w:rPr>
          <w:lang w:val="en-GB"/>
        </w:rPr>
        <w:t xml:space="preserve">the MB, </w:t>
      </w:r>
      <w:r w:rsidR="00B87AA9">
        <w:rPr>
          <w:lang w:val="en-GB"/>
        </w:rPr>
        <w:t>are</w:t>
      </w:r>
      <w:r w:rsidR="00DE147F">
        <w:rPr>
          <w:lang w:val="en-GB"/>
        </w:rPr>
        <w:t xml:space="preserve"> mainly</w:t>
      </w:r>
      <w:r w:rsidR="00B87AA9">
        <w:rPr>
          <w:lang w:val="en-GB"/>
        </w:rPr>
        <w:t xml:space="preserve"> </w:t>
      </w:r>
      <w:r w:rsidR="00737BD9" w:rsidRPr="00D01CCB">
        <w:rPr>
          <w:lang w:val="en-GB"/>
        </w:rPr>
        <w:t xml:space="preserve">due to </w:t>
      </w:r>
      <w:r w:rsidR="00B87AA9">
        <w:rPr>
          <w:lang w:val="en-GB"/>
        </w:rPr>
        <w:t>the</w:t>
      </w:r>
      <w:r w:rsidR="000860C0" w:rsidRPr="00D01CCB">
        <w:rPr>
          <w:lang w:val="en-GB"/>
        </w:rPr>
        <w:t xml:space="preserve"> higher </w:t>
      </w:r>
      <w:r w:rsidR="00737BD9" w:rsidRPr="00D01CCB">
        <w:rPr>
          <w:lang w:val="en-GB"/>
        </w:rPr>
        <w:t>number of ingredients</w:t>
      </w:r>
      <w:r w:rsidR="00AA541B" w:rsidRPr="00D01CCB">
        <w:rPr>
          <w:lang w:val="en-GB"/>
        </w:rPr>
        <w:t>.</w:t>
      </w:r>
      <w:r w:rsidR="00737BD9" w:rsidRPr="00D01CCB">
        <w:rPr>
          <w:lang w:val="en-GB"/>
        </w:rPr>
        <w:t xml:space="preserve"> </w:t>
      </w:r>
      <w:r w:rsidR="00AA541B" w:rsidRPr="00D01CCB">
        <w:rPr>
          <w:lang w:val="en-GB"/>
        </w:rPr>
        <w:t>Th</w:t>
      </w:r>
      <w:r w:rsidR="00737BD9" w:rsidRPr="00D01CCB">
        <w:rPr>
          <w:lang w:val="en-GB"/>
        </w:rPr>
        <w:t xml:space="preserve">e complexity of the flowsheet for the different steps of the transformation phase </w:t>
      </w:r>
      <w:r w:rsidR="00737BD9" w:rsidRPr="00D01CCB">
        <w:rPr>
          <w:noProof/>
          <w:lang w:val="en-GB"/>
        </w:rPr>
        <w:t>justif</w:t>
      </w:r>
      <w:r w:rsidR="00600FE1" w:rsidRPr="00D01CCB">
        <w:rPr>
          <w:noProof/>
          <w:lang w:val="en-GB"/>
        </w:rPr>
        <w:t>ies</w:t>
      </w:r>
      <w:r w:rsidR="00737BD9" w:rsidRPr="00D01CCB">
        <w:rPr>
          <w:lang w:val="en-GB"/>
        </w:rPr>
        <w:t xml:space="preserve"> the number of </w:t>
      </w:r>
      <w:r w:rsidR="00DE147F" w:rsidRPr="00D01CCB">
        <w:rPr>
          <w:noProof/>
          <w:lang w:val="en-GB"/>
        </w:rPr>
        <w:t>machin</w:t>
      </w:r>
      <w:r w:rsidR="00DE147F">
        <w:rPr>
          <w:noProof/>
          <w:lang w:val="en-GB"/>
        </w:rPr>
        <w:t>es</w:t>
      </w:r>
      <w:r w:rsidR="002F71A2">
        <w:rPr>
          <w:noProof/>
          <w:lang w:val="en-GB"/>
        </w:rPr>
        <w:t xml:space="preserve">. </w:t>
      </w:r>
      <w:r w:rsidR="004B2F33" w:rsidRPr="00D01CCB">
        <w:rPr>
          <w:lang w:val="en-GB"/>
        </w:rPr>
        <w:t>T</w:t>
      </w:r>
      <w:r w:rsidR="00737BD9" w:rsidRPr="00D01CCB">
        <w:rPr>
          <w:lang w:val="en-GB"/>
        </w:rPr>
        <w:t xml:space="preserve">he </w:t>
      </w:r>
      <w:r w:rsidR="00BE1DCB" w:rsidRPr="00D01CCB">
        <w:rPr>
          <w:lang w:val="en-GB"/>
        </w:rPr>
        <w:t>percentages relat</w:t>
      </w:r>
      <w:r w:rsidR="004B2F33" w:rsidRPr="00D01CCB">
        <w:rPr>
          <w:lang w:val="en-GB"/>
        </w:rPr>
        <w:t>ed</w:t>
      </w:r>
      <w:r w:rsidR="00BE1DCB" w:rsidRPr="00D01CCB">
        <w:rPr>
          <w:lang w:val="en-GB"/>
        </w:rPr>
        <w:t xml:space="preserve"> to</w:t>
      </w:r>
      <w:r w:rsidR="00737BD9" w:rsidRPr="00D01CCB">
        <w:rPr>
          <w:lang w:val="en-GB"/>
        </w:rPr>
        <w:t xml:space="preserve"> machinery and</w:t>
      </w:r>
      <w:r w:rsidR="00074502">
        <w:rPr>
          <w:lang w:val="en-GB"/>
        </w:rPr>
        <w:t xml:space="preserve"> relative e</w:t>
      </w:r>
      <w:r w:rsidR="00737BD9" w:rsidRPr="00D01CCB">
        <w:rPr>
          <w:lang w:val="en-GB"/>
        </w:rPr>
        <w:t>nergy</w:t>
      </w:r>
      <w:r w:rsidR="00BD5BFB">
        <w:rPr>
          <w:lang w:val="en-GB"/>
        </w:rPr>
        <w:t xml:space="preserve"> required for the LBB</w:t>
      </w:r>
      <w:r w:rsidR="00737BD9" w:rsidRPr="00D01CCB">
        <w:rPr>
          <w:lang w:val="en-GB"/>
        </w:rPr>
        <w:t xml:space="preserve"> </w:t>
      </w:r>
      <w:r w:rsidR="00BD5BFB">
        <w:rPr>
          <w:lang w:val="en-GB"/>
        </w:rPr>
        <w:t>(</w:t>
      </w:r>
      <w:r w:rsidR="00542D73" w:rsidRPr="00D01CCB">
        <w:rPr>
          <w:lang w:val="en-GB"/>
        </w:rPr>
        <w:t>figure</w:t>
      </w:r>
      <w:r w:rsidR="00737BD9" w:rsidRPr="00D01CCB">
        <w:rPr>
          <w:lang w:val="en-GB"/>
        </w:rPr>
        <w:t xml:space="preserve"> 1b</w:t>
      </w:r>
      <w:r w:rsidR="00542D73" w:rsidRPr="00D01CCB">
        <w:rPr>
          <w:lang w:val="en-GB"/>
        </w:rPr>
        <w:t>)</w:t>
      </w:r>
      <w:r w:rsidR="00737BD9" w:rsidRPr="00D01CCB">
        <w:rPr>
          <w:lang w:val="en-GB"/>
        </w:rPr>
        <w:t xml:space="preserve"> </w:t>
      </w:r>
      <w:r w:rsidR="00074502">
        <w:rPr>
          <w:lang w:val="en-GB"/>
        </w:rPr>
        <w:t>show higher values</w:t>
      </w:r>
      <w:r w:rsidR="00BD5BFB">
        <w:rPr>
          <w:lang w:val="en-GB"/>
        </w:rPr>
        <w:t xml:space="preserve"> respect to the MB</w:t>
      </w:r>
      <w:r w:rsidR="00074502">
        <w:rPr>
          <w:lang w:val="en-GB"/>
        </w:rPr>
        <w:t xml:space="preserve"> </w:t>
      </w:r>
      <w:r w:rsidR="00BD5BFB">
        <w:rPr>
          <w:lang w:val="en-GB"/>
        </w:rPr>
        <w:t>(figure 1</w:t>
      </w:r>
      <w:r w:rsidR="00737BD9" w:rsidRPr="00D01CCB">
        <w:rPr>
          <w:lang w:val="en-GB"/>
        </w:rPr>
        <w:t>a</w:t>
      </w:r>
      <w:r w:rsidR="00BE1DCB" w:rsidRPr="00D01CCB">
        <w:rPr>
          <w:lang w:val="en-GB"/>
        </w:rPr>
        <w:t>)</w:t>
      </w:r>
      <w:r w:rsidR="00737BD9" w:rsidRPr="00D01CCB">
        <w:rPr>
          <w:lang w:val="en-GB"/>
        </w:rPr>
        <w:t>.</w:t>
      </w:r>
      <w:r w:rsidR="002F71A2">
        <w:rPr>
          <w:lang w:val="en-GB"/>
        </w:rPr>
        <w:t xml:space="preserve"> This gap in the transformation phase is highlighted in</w:t>
      </w:r>
      <w:r w:rsidR="00086AEE">
        <w:rPr>
          <w:lang w:val="en-GB"/>
        </w:rPr>
        <w:t xml:space="preserve"> the ME impact category</w:t>
      </w:r>
      <w:r w:rsidR="002F71A2">
        <w:rPr>
          <w:lang w:val="en-GB"/>
        </w:rPr>
        <w:t xml:space="preserve">, where </w:t>
      </w:r>
      <w:r w:rsidR="00086AEE">
        <w:rPr>
          <w:lang w:val="en-GB"/>
        </w:rPr>
        <w:t>t</w:t>
      </w:r>
      <w:r w:rsidR="00BD5BFB">
        <w:rPr>
          <w:lang w:val="en-GB"/>
        </w:rPr>
        <w:t xml:space="preserve">he </w:t>
      </w:r>
      <w:r w:rsidR="005B2819" w:rsidRPr="00D01CCB">
        <w:rPr>
          <w:lang w:val="en-GB"/>
        </w:rPr>
        <w:t xml:space="preserve">MB </w:t>
      </w:r>
      <w:r w:rsidR="00BD5BFB">
        <w:rPr>
          <w:lang w:val="en-GB"/>
        </w:rPr>
        <w:t>“machinery” and “energy” voices have</w:t>
      </w:r>
      <w:r w:rsidR="004B2F33" w:rsidRPr="00D01CCB">
        <w:rPr>
          <w:lang w:val="en-GB"/>
        </w:rPr>
        <w:t xml:space="preserve"> </w:t>
      </w:r>
      <w:r w:rsidR="005B2819" w:rsidRPr="00D01CCB">
        <w:rPr>
          <w:lang w:val="en-GB"/>
        </w:rPr>
        <w:t>a</w:t>
      </w:r>
      <w:r w:rsidR="004B2F33" w:rsidRPr="00D01CCB">
        <w:rPr>
          <w:lang w:val="en-GB"/>
        </w:rPr>
        <w:t>n</w:t>
      </w:r>
      <w:r w:rsidR="005B2819" w:rsidRPr="00D01CCB">
        <w:rPr>
          <w:lang w:val="en-GB"/>
        </w:rPr>
        <w:t xml:space="preserve"> impact </w:t>
      </w:r>
      <w:r w:rsidR="00BD5BFB">
        <w:rPr>
          <w:lang w:val="en-GB"/>
        </w:rPr>
        <w:t>incidence equal to 23</w:t>
      </w:r>
      <w:r w:rsidR="005B2819" w:rsidRPr="00D01CCB">
        <w:rPr>
          <w:lang w:val="en-GB"/>
        </w:rPr>
        <w:t>%</w:t>
      </w:r>
      <w:r w:rsidR="00BD5BFB">
        <w:rPr>
          <w:lang w:val="en-GB"/>
        </w:rPr>
        <w:t xml:space="preserve"> (14</w:t>
      </w:r>
      <w:r w:rsidR="00086AEE">
        <w:rPr>
          <w:lang w:val="en-GB"/>
        </w:rPr>
        <w:t>%</w:t>
      </w:r>
      <w:r w:rsidR="00BD5BFB">
        <w:rPr>
          <w:lang w:val="en-GB"/>
        </w:rPr>
        <w:t xml:space="preserve"> and 9</w:t>
      </w:r>
      <w:r w:rsidR="00086AEE">
        <w:rPr>
          <w:lang w:val="en-GB"/>
        </w:rPr>
        <w:t>%</w:t>
      </w:r>
      <w:r w:rsidR="00BD5BFB">
        <w:rPr>
          <w:lang w:val="en-GB"/>
        </w:rPr>
        <w:t xml:space="preserve"> </w:t>
      </w:r>
      <w:r w:rsidR="00DE147F">
        <w:rPr>
          <w:lang w:val="en-GB"/>
        </w:rPr>
        <w:t>respectively</w:t>
      </w:r>
      <w:r w:rsidR="00BD5BFB">
        <w:rPr>
          <w:lang w:val="en-GB"/>
        </w:rPr>
        <w:t>)</w:t>
      </w:r>
      <w:r w:rsidR="005B2819" w:rsidRPr="00D01CCB">
        <w:rPr>
          <w:lang w:val="en-GB"/>
        </w:rPr>
        <w:t xml:space="preserve">, while the LBB </w:t>
      </w:r>
      <w:r w:rsidR="00BD5BFB">
        <w:rPr>
          <w:lang w:val="en-GB"/>
        </w:rPr>
        <w:t>reach</w:t>
      </w:r>
      <w:r w:rsidR="00086AEE">
        <w:rPr>
          <w:lang w:val="en-GB"/>
        </w:rPr>
        <w:t>es</w:t>
      </w:r>
      <w:r w:rsidR="00BD5BFB">
        <w:rPr>
          <w:lang w:val="en-GB"/>
        </w:rPr>
        <w:t xml:space="preserve"> 78% (</w:t>
      </w:r>
      <w:r w:rsidR="005B2819" w:rsidRPr="00D01CCB">
        <w:rPr>
          <w:lang w:val="en-GB"/>
        </w:rPr>
        <w:t>31%</w:t>
      </w:r>
      <w:r w:rsidR="00BD5BFB">
        <w:rPr>
          <w:lang w:val="en-GB"/>
        </w:rPr>
        <w:t xml:space="preserve"> and 46% respectively)</w:t>
      </w:r>
      <w:r w:rsidR="00086AEE">
        <w:rPr>
          <w:lang w:val="en-GB"/>
        </w:rPr>
        <w:t xml:space="preserve">. </w:t>
      </w:r>
    </w:p>
    <w:p w14:paraId="7B2EA6B4" w14:textId="293858CD" w:rsidR="00737BD9" w:rsidRPr="00D01CCB" w:rsidRDefault="00737BD9" w:rsidP="00415891">
      <w:pPr>
        <w:pStyle w:val="CETheadingx"/>
        <w:rPr>
          <w:lang w:val="en-GB"/>
        </w:rPr>
      </w:pPr>
      <w:r w:rsidRPr="00D01CCB">
        <w:rPr>
          <w:lang w:val="en-GB"/>
        </w:rPr>
        <w:t xml:space="preserve">Comparison of the two systems </w:t>
      </w:r>
    </w:p>
    <w:p w14:paraId="47BE3084" w14:textId="22B53D28" w:rsidR="00737BD9" w:rsidRDefault="00BE1DCB" w:rsidP="00737BD9">
      <w:pPr>
        <w:pStyle w:val="CETBodytext"/>
        <w:rPr>
          <w:lang w:val="en-GB"/>
        </w:rPr>
      </w:pPr>
      <w:r w:rsidRPr="00D01CCB">
        <w:rPr>
          <w:lang w:val="en-GB"/>
        </w:rPr>
        <w:t xml:space="preserve">From the results reported in </w:t>
      </w:r>
      <w:r w:rsidR="008419B8" w:rsidRPr="00D01CCB">
        <w:rPr>
          <w:lang w:val="en-GB"/>
        </w:rPr>
        <w:t>F</w:t>
      </w:r>
      <w:r w:rsidRPr="00D01CCB">
        <w:rPr>
          <w:lang w:val="en-GB"/>
        </w:rPr>
        <w:t xml:space="preserve">igure 1, </w:t>
      </w:r>
      <w:r w:rsidR="00C1423C" w:rsidRPr="00D01CCB">
        <w:rPr>
          <w:lang w:val="en-GB"/>
        </w:rPr>
        <w:t xml:space="preserve">data were </w:t>
      </w:r>
      <w:r w:rsidRPr="00D01CCB">
        <w:rPr>
          <w:lang w:val="en-GB"/>
        </w:rPr>
        <w:t>weighted</w:t>
      </w:r>
      <w:r w:rsidR="00C1423C" w:rsidRPr="00D01CCB">
        <w:rPr>
          <w:lang w:val="en-GB"/>
        </w:rPr>
        <w:t xml:space="preserve"> to</w:t>
      </w:r>
      <w:r w:rsidR="005B2819" w:rsidRPr="00D01CCB">
        <w:rPr>
          <w:lang w:val="en-GB"/>
        </w:rPr>
        <w:t xml:space="preserve"> </w:t>
      </w:r>
      <w:r w:rsidR="00737BD9" w:rsidRPr="00D01CCB">
        <w:rPr>
          <w:lang w:val="en-GB"/>
        </w:rPr>
        <w:t>identif</w:t>
      </w:r>
      <w:r w:rsidR="005B2819" w:rsidRPr="00D01CCB">
        <w:rPr>
          <w:lang w:val="en-GB"/>
        </w:rPr>
        <w:t>y</w:t>
      </w:r>
      <w:r w:rsidR="00737BD9" w:rsidRPr="00D01CCB">
        <w:rPr>
          <w:lang w:val="en-GB"/>
        </w:rPr>
        <w:t xml:space="preserve"> the magnitude of the different impact categories</w:t>
      </w:r>
      <w:r w:rsidR="002F71A2">
        <w:rPr>
          <w:lang w:val="en-GB"/>
        </w:rPr>
        <w:t xml:space="preserve">. For both the productions analysed, the most relevant impact categories were identified and reported in </w:t>
      </w:r>
      <w:r w:rsidR="008419B8" w:rsidRPr="00D01CCB">
        <w:rPr>
          <w:lang w:val="en-GB"/>
        </w:rPr>
        <w:t>T</w:t>
      </w:r>
      <w:r w:rsidR="00737BD9" w:rsidRPr="00D01CCB">
        <w:rPr>
          <w:lang w:val="en-GB"/>
        </w:rPr>
        <w:t xml:space="preserve">able 3: </w:t>
      </w:r>
      <w:r w:rsidRPr="00D01CCB">
        <w:rPr>
          <w:lang w:val="en-GB"/>
        </w:rPr>
        <w:t>N-CARC</w:t>
      </w:r>
      <w:r w:rsidR="00737BD9" w:rsidRPr="00D01CCB">
        <w:rPr>
          <w:lang w:val="en-GB"/>
        </w:rPr>
        <w:t xml:space="preserve">, </w:t>
      </w:r>
      <w:r w:rsidRPr="00D01CCB">
        <w:rPr>
          <w:lang w:val="en-GB"/>
        </w:rPr>
        <w:t>R-IN</w:t>
      </w:r>
      <w:r w:rsidR="00737BD9" w:rsidRPr="00D01CCB">
        <w:rPr>
          <w:lang w:val="en-GB"/>
        </w:rPr>
        <w:t xml:space="preserve">, </w:t>
      </w:r>
      <w:r w:rsidRPr="00D01CCB">
        <w:rPr>
          <w:lang w:val="en-GB"/>
        </w:rPr>
        <w:t>T-ETX</w:t>
      </w:r>
      <w:r w:rsidR="00737BD9" w:rsidRPr="00D01CCB">
        <w:rPr>
          <w:lang w:val="en-GB"/>
        </w:rPr>
        <w:t xml:space="preserve">, </w:t>
      </w:r>
      <w:r w:rsidRPr="00D01CCB">
        <w:rPr>
          <w:lang w:val="en-GB"/>
        </w:rPr>
        <w:t>LO</w:t>
      </w:r>
      <w:r w:rsidR="00737BD9" w:rsidRPr="00D01CCB">
        <w:rPr>
          <w:lang w:val="en-GB"/>
        </w:rPr>
        <w:t xml:space="preserve">, </w:t>
      </w:r>
      <w:r w:rsidRPr="00D01CCB">
        <w:rPr>
          <w:lang w:val="en-GB"/>
        </w:rPr>
        <w:t xml:space="preserve">GW </w:t>
      </w:r>
      <w:r w:rsidR="00737BD9" w:rsidRPr="00D01CCB">
        <w:rPr>
          <w:lang w:val="en-GB"/>
        </w:rPr>
        <w:t xml:space="preserve">and </w:t>
      </w:r>
      <w:r w:rsidRPr="00D01CCB">
        <w:rPr>
          <w:lang w:val="en-GB"/>
        </w:rPr>
        <w:t>NR-EN</w:t>
      </w:r>
      <w:r w:rsidR="00737BD9" w:rsidRPr="00D01CCB">
        <w:rPr>
          <w:lang w:val="en-GB"/>
        </w:rPr>
        <w:t>.</w:t>
      </w:r>
      <w:r w:rsidR="00BE651F">
        <w:rPr>
          <w:lang w:val="en-GB"/>
        </w:rPr>
        <w:t xml:space="preserve"> The gap between the two productions </w:t>
      </w:r>
      <w:r w:rsidR="00C26E10">
        <w:rPr>
          <w:lang w:val="en-GB"/>
        </w:rPr>
        <w:t>is</w:t>
      </w:r>
      <w:r w:rsidR="00BE651F">
        <w:rPr>
          <w:lang w:val="en-GB"/>
        </w:rPr>
        <w:t xml:space="preserve"> explained with a ratio level which quantif</w:t>
      </w:r>
      <w:r w:rsidR="00C26E10">
        <w:rPr>
          <w:lang w:val="en-GB"/>
        </w:rPr>
        <w:t>ies</w:t>
      </w:r>
      <w:r w:rsidR="00BE651F">
        <w:rPr>
          <w:lang w:val="en-GB"/>
        </w:rPr>
        <w:t xml:space="preserve"> how much the MB is more damaging respect to the LBB.</w:t>
      </w:r>
    </w:p>
    <w:p w14:paraId="428674ED" w14:textId="5DF30401" w:rsidR="00AA571A" w:rsidRPr="00D01CCB" w:rsidRDefault="00AA571A" w:rsidP="00737BD9">
      <w:pPr>
        <w:pStyle w:val="CETBodytext"/>
        <w:rPr>
          <w:lang w:val="en-GB"/>
        </w:rPr>
      </w:pPr>
      <w:r>
        <w:rPr>
          <w:lang w:val="en-GB"/>
        </w:rPr>
        <w:t>All the ratio levels show values higher than 2, considering the</w:t>
      </w:r>
      <w:r w:rsidRPr="00D01CCB">
        <w:rPr>
          <w:lang w:val="en-GB"/>
        </w:rPr>
        <w:t xml:space="preserve"> </w:t>
      </w:r>
      <w:r>
        <w:rPr>
          <w:lang w:val="en-GB"/>
        </w:rPr>
        <w:t>terrestrial ecotoxicity “</w:t>
      </w:r>
      <w:r w:rsidRPr="00D01CCB">
        <w:rPr>
          <w:lang w:val="en-GB"/>
        </w:rPr>
        <w:t>T-ETX</w:t>
      </w:r>
      <w:r>
        <w:rPr>
          <w:lang w:val="en-GB"/>
        </w:rPr>
        <w:t xml:space="preserve">” it reports a </w:t>
      </w:r>
      <w:r w:rsidRPr="00D01CCB">
        <w:rPr>
          <w:lang w:val="en-GB"/>
        </w:rPr>
        <w:t xml:space="preserve">ratio </w:t>
      </w:r>
      <w:r>
        <w:rPr>
          <w:lang w:val="en-GB"/>
        </w:rPr>
        <w:t xml:space="preserve">value </w:t>
      </w:r>
      <w:r w:rsidRPr="00D01CCB">
        <w:rPr>
          <w:lang w:val="en-GB"/>
        </w:rPr>
        <w:t>equal to 3.64,</w:t>
      </w:r>
      <w:r>
        <w:rPr>
          <w:lang w:val="en-GB"/>
        </w:rPr>
        <w:t xml:space="preserve"> with</w:t>
      </w:r>
      <w:r w:rsidRPr="00D01CCB">
        <w:rPr>
          <w:lang w:val="en-GB"/>
        </w:rPr>
        <w:t xml:space="preserve"> the MB produc</w:t>
      </w:r>
      <w:r>
        <w:rPr>
          <w:lang w:val="en-GB"/>
        </w:rPr>
        <w:t>tion which releases</w:t>
      </w:r>
      <w:r w:rsidRPr="00D01CCB">
        <w:rPr>
          <w:lang w:val="en-GB"/>
        </w:rPr>
        <w:t xml:space="preserve"> 572.53 kg of </w:t>
      </w:r>
      <w:proofErr w:type="spellStart"/>
      <w:r w:rsidRPr="002F71A2">
        <w:rPr>
          <w:lang w:val="en-GB"/>
        </w:rPr>
        <w:t>triethylene</w:t>
      </w:r>
      <w:proofErr w:type="spellEnd"/>
      <w:r w:rsidRPr="002F71A2">
        <w:rPr>
          <w:lang w:val="en-GB"/>
        </w:rPr>
        <w:t xml:space="preserve"> glycol</w:t>
      </w:r>
      <w:r>
        <w:rPr>
          <w:lang w:val="en-GB"/>
        </w:rPr>
        <w:t xml:space="preserve"> (TEG)</w:t>
      </w:r>
      <w:r w:rsidRPr="00D01CCB">
        <w:rPr>
          <w:lang w:val="en-GB"/>
        </w:rPr>
        <w:t xml:space="preserve"> </w:t>
      </w:r>
      <w:r>
        <w:rPr>
          <w:lang w:val="en-GB"/>
        </w:rPr>
        <w:t xml:space="preserve">in the soil </w:t>
      </w:r>
      <w:r w:rsidRPr="00D01CCB">
        <w:rPr>
          <w:lang w:val="en-GB"/>
        </w:rPr>
        <w:t>while the LBB</w:t>
      </w:r>
      <w:r>
        <w:rPr>
          <w:lang w:val="en-GB"/>
        </w:rPr>
        <w:t xml:space="preserve"> </w:t>
      </w:r>
      <w:r w:rsidRPr="00D01CCB">
        <w:rPr>
          <w:lang w:val="en-GB"/>
        </w:rPr>
        <w:t>157.43 kg</w:t>
      </w:r>
      <w:r>
        <w:rPr>
          <w:lang w:val="en-GB"/>
        </w:rPr>
        <w:t xml:space="preserve">, these values are directly caused by the farming and agricultural phases. Focussing the attention on </w:t>
      </w:r>
      <w:r w:rsidRPr="00D01CCB">
        <w:rPr>
          <w:lang w:val="en-GB"/>
        </w:rPr>
        <w:t>the</w:t>
      </w:r>
      <w:r>
        <w:rPr>
          <w:lang w:val="en-GB"/>
        </w:rPr>
        <w:t xml:space="preserve"> global warming (GW) impact category, the production of 1 LBB release 0.47 kg of CO</w:t>
      </w:r>
      <w:r w:rsidRPr="00145D0A">
        <w:rPr>
          <w:vertAlign w:val="subscript"/>
          <w:lang w:val="en-GB"/>
        </w:rPr>
        <w:t>2</w:t>
      </w:r>
      <w:r>
        <w:rPr>
          <w:lang w:val="en-GB"/>
        </w:rPr>
        <w:t xml:space="preserve"> while to </w:t>
      </w:r>
      <w:r>
        <w:rPr>
          <w:lang w:val="en-GB"/>
        </w:rPr>
        <w:lastRenderedPageBreak/>
        <w:t>produce 1 MB are produced 1.04 kg of CO</w:t>
      </w:r>
      <w:r w:rsidRPr="00145D0A">
        <w:rPr>
          <w:vertAlign w:val="subscript"/>
          <w:lang w:val="en-GB"/>
        </w:rPr>
        <w:t>2</w:t>
      </w:r>
      <w:r>
        <w:rPr>
          <w:lang w:val="en-GB"/>
        </w:rPr>
        <w:t xml:space="preserve">, also in this case the agricultural phase, as showed in figure 1, majorly justifies </w:t>
      </w:r>
      <w:r w:rsidR="00DE147F">
        <w:rPr>
          <w:lang w:val="en-GB"/>
        </w:rPr>
        <w:t xml:space="preserve">the difference in the </w:t>
      </w:r>
      <w:r>
        <w:rPr>
          <w:lang w:val="en-GB"/>
        </w:rPr>
        <w:t>CO</w:t>
      </w:r>
      <w:r w:rsidRPr="00145D0A">
        <w:rPr>
          <w:vertAlign w:val="subscript"/>
          <w:lang w:val="en-GB"/>
        </w:rPr>
        <w:t>2</w:t>
      </w:r>
      <w:r>
        <w:rPr>
          <w:lang w:val="en-GB"/>
        </w:rPr>
        <w:t xml:space="preserve"> released.</w:t>
      </w:r>
    </w:p>
    <w:p w14:paraId="415C8B58" w14:textId="4EED9146" w:rsidR="0059561B" w:rsidRPr="00D01CCB" w:rsidRDefault="0059561B" w:rsidP="0059561B">
      <w:pPr>
        <w:pStyle w:val="CETTabletitle"/>
      </w:pPr>
      <w:r w:rsidRPr="00D01CCB">
        <w:t xml:space="preserve">Table </w:t>
      </w:r>
      <w:r w:rsidR="00BE1DCB" w:rsidRPr="00D01CCB">
        <w:t>3</w:t>
      </w:r>
      <w:r w:rsidRPr="00D01CCB">
        <w:t xml:space="preserve">: </w:t>
      </w:r>
      <w:r w:rsidR="00BE1DCB" w:rsidRPr="00D01CCB">
        <w:t xml:space="preserve">Comparison of the environmental impact of one MB and one LBB </w:t>
      </w:r>
      <w:r w:rsidR="00DE147F">
        <w:t>among</w:t>
      </w:r>
      <w:r w:rsidR="00DE147F" w:rsidRPr="00D01CCB">
        <w:t xml:space="preserve"> </w:t>
      </w:r>
      <w:r w:rsidR="00BE1DCB" w:rsidRPr="00D01CCB">
        <w:t xml:space="preserve">the most relevant impact categories. </w:t>
      </w:r>
      <w:r w:rsidR="00F93EB4" w:rsidRPr="00D01CCB">
        <w:t>The</w:t>
      </w:r>
      <w:r w:rsidR="00BE1DCB" w:rsidRPr="00D01CCB">
        <w:t xml:space="preserve"> last column </w:t>
      </w:r>
      <w:r w:rsidR="00F93EB4" w:rsidRPr="00D01CCB">
        <w:t>shows</w:t>
      </w:r>
      <w:r w:rsidR="00BE1DCB" w:rsidRPr="00D01CCB">
        <w:t xml:space="preserve"> a ratio value, </w:t>
      </w:r>
      <w:r w:rsidR="00882CCD" w:rsidRPr="00D01CCB">
        <w:t>which shows</w:t>
      </w:r>
      <w:r w:rsidR="00BE1DCB" w:rsidRPr="00D01CCB">
        <w:t xml:space="preserve"> how many LBB </w:t>
      </w:r>
      <w:r w:rsidR="00882CCD" w:rsidRPr="00D01CCB">
        <w:t xml:space="preserve">should </w:t>
      </w:r>
      <w:r w:rsidR="00BE1DCB" w:rsidRPr="00D01CCB">
        <w:t xml:space="preserve">be produced to obtain the same impact </w:t>
      </w:r>
      <w:r w:rsidR="008B7C89" w:rsidRPr="00D01CCB">
        <w:rPr>
          <w:noProof/>
        </w:rPr>
        <w:t>as</w:t>
      </w:r>
      <w:r w:rsidR="00BE1DCB" w:rsidRPr="00D01CCB">
        <w:t xml:space="preserve"> </w:t>
      </w:r>
      <w:r w:rsidR="00F93EB4" w:rsidRPr="00D01CCB">
        <w:t>one</w:t>
      </w:r>
      <w:r w:rsidR="00BE1DCB" w:rsidRPr="00D01CCB">
        <w:t xml:space="preserve"> MB</w:t>
      </w:r>
      <w:r w:rsidR="00F93EB4" w:rsidRPr="00D01CCB">
        <w:t>.</w:t>
      </w:r>
    </w:p>
    <w:tbl>
      <w:tblPr>
        <w:tblW w:w="638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36"/>
        <w:gridCol w:w="1181"/>
        <w:gridCol w:w="1181"/>
        <w:gridCol w:w="1182"/>
      </w:tblGrid>
      <w:tr w:rsidR="00C41ED0" w:rsidRPr="00D01CCB" w14:paraId="41FC6D44" w14:textId="77777777" w:rsidTr="008D30C3">
        <w:trPr>
          <w:trHeight w:val="283"/>
        </w:trPr>
        <w:tc>
          <w:tcPr>
            <w:tcW w:w="2836" w:type="dxa"/>
            <w:tcBorders>
              <w:top w:val="single" w:sz="12" w:space="0" w:color="008000"/>
              <w:bottom w:val="single" w:sz="6" w:space="0" w:color="008000"/>
            </w:tcBorders>
            <w:shd w:val="clear" w:color="auto" w:fill="FFFFFF"/>
            <w:vAlign w:val="center"/>
          </w:tcPr>
          <w:p w14:paraId="320034E9" w14:textId="5BD4C21E" w:rsidR="00C41ED0" w:rsidRPr="00D01CCB" w:rsidRDefault="00C41ED0" w:rsidP="00C41ED0">
            <w:pPr>
              <w:pStyle w:val="CETBodytext"/>
              <w:jc w:val="center"/>
              <w:rPr>
                <w:lang w:val="en-GB"/>
              </w:rPr>
            </w:pPr>
            <w:r w:rsidRPr="00D01CCB">
              <w:rPr>
                <w:lang w:val="en-GB"/>
              </w:rPr>
              <w:t>Impact category</w:t>
            </w:r>
          </w:p>
        </w:tc>
        <w:tc>
          <w:tcPr>
            <w:tcW w:w="1181" w:type="dxa"/>
            <w:tcBorders>
              <w:top w:val="single" w:sz="12" w:space="0" w:color="008000"/>
              <w:bottom w:val="single" w:sz="6" w:space="0" w:color="008000"/>
            </w:tcBorders>
            <w:shd w:val="clear" w:color="auto" w:fill="FFFFFF"/>
            <w:vAlign w:val="center"/>
          </w:tcPr>
          <w:p w14:paraId="4CFA996C" w14:textId="77777777" w:rsidR="00C41ED0" w:rsidRPr="00D01CCB" w:rsidRDefault="00C41ED0" w:rsidP="00E44784">
            <w:pPr>
              <w:pStyle w:val="CETBodytext"/>
              <w:jc w:val="center"/>
              <w:rPr>
                <w:lang w:val="en-GB"/>
              </w:rPr>
            </w:pPr>
            <w:r w:rsidRPr="00D01CCB">
              <w:rPr>
                <w:lang w:val="en-GB"/>
              </w:rPr>
              <w:t>1 MB</w:t>
            </w:r>
          </w:p>
        </w:tc>
        <w:tc>
          <w:tcPr>
            <w:tcW w:w="1181" w:type="dxa"/>
            <w:tcBorders>
              <w:top w:val="single" w:sz="12" w:space="0" w:color="008000"/>
              <w:bottom w:val="single" w:sz="6" w:space="0" w:color="008000"/>
            </w:tcBorders>
            <w:shd w:val="clear" w:color="auto" w:fill="FFFFFF"/>
            <w:vAlign w:val="center"/>
          </w:tcPr>
          <w:p w14:paraId="44DCA8B7" w14:textId="77777777" w:rsidR="00C41ED0" w:rsidRPr="00D01CCB" w:rsidRDefault="00C41ED0" w:rsidP="00E44784">
            <w:pPr>
              <w:pStyle w:val="CETBodytext"/>
              <w:jc w:val="center"/>
              <w:rPr>
                <w:lang w:val="en-GB"/>
              </w:rPr>
            </w:pPr>
            <w:r w:rsidRPr="00D01CCB">
              <w:rPr>
                <w:lang w:val="en-GB"/>
              </w:rPr>
              <w:t>1 LBB</w:t>
            </w:r>
          </w:p>
        </w:tc>
        <w:tc>
          <w:tcPr>
            <w:tcW w:w="1182" w:type="dxa"/>
            <w:tcBorders>
              <w:top w:val="single" w:sz="12" w:space="0" w:color="008000"/>
              <w:bottom w:val="single" w:sz="6" w:space="0" w:color="008000"/>
            </w:tcBorders>
            <w:shd w:val="clear" w:color="auto" w:fill="FFFFFF"/>
            <w:vAlign w:val="center"/>
          </w:tcPr>
          <w:p w14:paraId="60413E35" w14:textId="77777777" w:rsidR="00C41ED0" w:rsidRPr="00D01CCB" w:rsidRDefault="00C41ED0" w:rsidP="00E44784">
            <w:pPr>
              <w:pStyle w:val="CETBodytext"/>
              <w:jc w:val="center"/>
              <w:rPr>
                <w:lang w:val="en-GB"/>
              </w:rPr>
            </w:pPr>
            <w:r w:rsidRPr="00D01CCB">
              <w:rPr>
                <w:lang w:val="en-GB"/>
              </w:rPr>
              <w:t>Ratio</w:t>
            </w:r>
          </w:p>
        </w:tc>
      </w:tr>
      <w:tr w:rsidR="008B34CA" w:rsidRPr="00D01CCB" w14:paraId="43AF3776" w14:textId="77777777" w:rsidTr="008D30C3">
        <w:trPr>
          <w:trHeight w:val="283"/>
        </w:trPr>
        <w:tc>
          <w:tcPr>
            <w:tcW w:w="2836" w:type="dxa"/>
            <w:shd w:val="clear" w:color="auto" w:fill="FFFFFF"/>
            <w:vAlign w:val="center"/>
          </w:tcPr>
          <w:p w14:paraId="0E535D50" w14:textId="24894E30" w:rsidR="008B34CA" w:rsidRPr="00D01CCB" w:rsidRDefault="00C41ED0" w:rsidP="00C41ED0">
            <w:pPr>
              <w:pStyle w:val="CETBodytext"/>
              <w:jc w:val="center"/>
              <w:rPr>
                <w:lang w:val="en-GB"/>
              </w:rPr>
            </w:pPr>
            <w:r w:rsidRPr="00D01CCB">
              <w:rPr>
                <w:lang w:val="en-GB"/>
              </w:rPr>
              <w:t xml:space="preserve">N-CARC </w:t>
            </w:r>
            <w:r w:rsidR="008B34CA" w:rsidRPr="00D01CCB">
              <w:rPr>
                <w:lang w:val="en-GB"/>
              </w:rPr>
              <w:t>(kg C</w:t>
            </w:r>
            <w:r w:rsidR="008B34CA" w:rsidRPr="00D01CCB">
              <w:rPr>
                <w:vertAlign w:val="subscript"/>
                <w:lang w:val="en-GB"/>
              </w:rPr>
              <w:t>2</w:t>
            </w:r>
            <w:r w:rsidR="008B34CA" w:rsidRPr="00D01CCB">
              <w:rPr>
                <w:lang w:val="en-GB"/>
              </w:rPr>
              <w:t>H</w:t>
            </w:r>
            <w:r w:rsidR="008B34CA" w:rsidRPr="00D01CCB">
              <w:rPr>
                <w:vertAlign w:val="subscript"/>
                <w:lang w:val="en-GB"/>
              </w:rPr>
              <w:t>3</w:t>
            </w:r>
            <w:r w:rsidR="008B34CA" w:rsidRPr="00D01CCB">
              <w:rPr>
                <w:lang w:val="en-GB"/>
              </w:rPr>
              <w:t xml:space="preserve">Cl </w:t>
            </w:r>
            <w:proofErr w:type="spellStart"/>
            <w:r w:rsidR="008B34CA" w:rsidRPr="00D01CCB">
              <w:rPr>
                <w:lang w:val="en-GB"/>
              </w:rPr>
              <w:t>eq</w:t>
            </w:r>
            <w:proofErr w:type="spellEnd"/>
            <w:r w:rsidR="008B34CA" w:rsidRPr="00D01CCB">
              <w:rPr>
                <w:lang w:val="en-GB"/>
              </w:rPr>
              <w:t>)</w:t>
            </w:r>
          </w:p>
        </w:tc>
        <w:tc>
          <w:tcPr>
            <w:tcW w:w="1181" w:type="dxa"/>
            <w:shd w:val="clear" w:color="auto" w:fill="FFFFFF"/>
            <w:vAlign w:val="center"/>
          </w:tcPr>
          <w:p w14:paraId="2F2F7E09" w14:textId="28003803" w:rsidR="008B34CA" w:rsidRPr="00D01CCB" w:rsidRDefault="008B34CA" w:rsidP="00E44784">
            <w:pPr>
              <w:pStyle w:val="CETBodytext"/>
              <w:jc w:val="center"/>
              <w:rPr>
                <w:lang w:val="en-GB"/>
              </w:rPr>
            </w:pPr>
            <w:r w:rsidRPr="00D01CCB">
              <w:rPr>
                <w:lang w:val="en-GB"/>
              </w:rPr>
              <w:t>0.16</w:t>
            </w:r>
          </w:p>
        </w:tc>
        <w:tc>
          <w:tcPr>
            <w:tcW w:w="1181" w:type="dxa"/>
            <w:shd w:val="clear" w:color="auto" w:fill="FFFFFF"/>
            <w:vAlign w:val="center"/>
          </w:tcPr>
          <w:p w14:paraId="4C02ED0B" w14:textId="35328694" w:rsidR="008B34CA" w:rsidRPr="00D01CCB" w:rsidRDefault="008B34CA" w:rsidP="00E44784">
            <w:pPr>
              <w:pStyle w:val="CETBodytext"/>
              <w:jc w:val="center"/>
              <w:rPr>
                <w:lang w:val="en-GB"/>
              </w:rPr>
            </w:pPr>
            <w:r w:rsidRPr="00D01CCB">
              <w:rPr>
                <w:lang w:val="en-GB"/>
              </w:rPr>
              <w:t>0.05</w:t>
            </w:r>
          </w:p>
        </w:tc>
        <w:tc>
          <w:tcPr>
            <w:tcW w:w="1182" w:type="dxa"/>
            <w:shd w:val="clear" w:color="auto" w:fill="FFFFFF"/>
            <w:vAlign w:val="center"/>
          </w:tcPr>
          <w:p w14:paraId="274CADAB" w14:textId="77777777" w:rsidR="008B34CA" w:rsidRPr="00D01CCB" w:rsidRDefault="008B34CA" w:rsidP="00E44784">
            <w:pPr>
              <w:pStyle w:val="CETBodytext"/>
              <w:jc w:val="center"/>
              <w:rPr>
                <w:lang w:val="en-GB"/>
              </w:rPr>
            </w:pPr>
            <w:r w:rsidRPr="00D01CCB">
              <w:rPr>
                <w:lang w:val="en-GB"/>
              </w:rPr>
              <w:t>3.08</w:t>
            </w:r>
          </w:p>
        </w:tc>
      </w:tr>
      <w:tr w:rsidR="008B34CA" w:rsidRPr="00D01CCB" w14:paraId="4772FECE" w14:textId="77777777" w:rsidTr="008D30C3">
        <w:trPr>
          <w:trHeight w:val="283"/>
        </w:trPr>
        <w:tc>
          <w:tcPr>
            <w:tcW w:w="2836" w:type="dxa"/>
            <w:shd w:val="clear" w:color="auto" w:fill="FFFFFF"/>
            <w:vAlign w:val="center"/>
          </w:tcPr>
          <w:p w14:paraId="4FC50FFD" w14:textId="6AE25948" w:rsidR="008B34CA" w:rsidRPr="00D01CCB" w:rsidRDefault="008B34CA" w:rsidP="00C41ED0">
            <w:pPr>
              <w:pStyle w:val="CETBodytext"/>
              <w:jc w:val="center"/>
              <w:rPr>
                <w:lang w:val="en-GB"/>
              </w:rPr>
            </w:pPr>
            <w:r w:rsidRPr="00D01CCB">
              <w:rPr>
                <w:lang w:val="en-GB"/>
              </w:rPr>
              <w:t>R</w:t>
            </w:r>
            <w:r w:rsidR="00C41ED0" w:rsidRPr="00D01CCB">
              <w:rPr>
                <w:lang w:val="en-GB"/>
              </w:rPr>
              <w:t xml:space="preserve">-IN </w:t>
            </w:r>
            <w:r w:rsidRPr="00D01CCB">
              <w:rPr>
                <w:lang w:val="en-GB"/>
              </w:rPr>
              <w:t xml:space="preserve">(kg PM2.5 </w:t>
            </w:r>
            <w:proofErr w:type="spellStart"/>
            <w:r w:rsidRPr="00D01CCB">
              <w:rPr>
                <w:lang w:val="en-GB"/>
              </w:rPr>
              <w:t>eq</w:t>
            </w:r>
            <w:proofErr w:type="spellEnd"/>
            <w:r w:rsidRPr="00D01CCB">
              <w:rPr>
                <w:lang w:val="en-GB"/>
              </w:rPr>
              <w:t>)</w:t>
            </w:r>
          </w:p>
        </w:tc>
        <w:tc>
          <w:tcPr>
            <w:tcW w:w="1181" w:type="dxa"/>
            <w:shd w:val="clear" w:color="auto" w:fill="FFFFFF"/>
            <w:vAlign w:val="center"/>
          </w:tcPr>
          <w:p w14:paraId="5603431C" w14:textId="315A2B86" w:rsidR="008B34CA" w:rsidRPr="00D01CCB" w:rsidRDefault="008B34CA" w:rsidP="00E44784">
            <w:pPr>
              <w:pStyle w:val="CETBodytext"/>
              <w:jc w:val="center"/>
              <w:rPr>
                <w:lang w:val="en-GB"/>
              </w:rPr>
            </w:pPr>
            <w:r w:rsidRPr="00D01CCB">
              <w:rPr>
                <w:lang w:val="en-GB"/>
              </w:rPr>
              <w:t>0.002</w:t>
            </w:r>
          </w:p>
        </w:tc>
        <w:tc>
          <w:tcPr>
            <w:tcW w:w="1181" w:type="dxa"/>
            <w:shd w:val="clear" w:color="auto" w:fill="FFFFFF"/>
            <w:vAlign w:val="center"/>
          </w:tcPr>
          <w:p w14:paraId="56328015" w14:textId="7D50F53C" w:rsidR="008B34CA" w:rsidRPr="00D01CCB" w:rsidRDefault="008B34CA" w:rsidP="00E44784">
            <w:pPr>
              <w:pStyle w:val="CETBodytext"/>
              <w:jc w:val="center"/>
              <w:rPr>
                <w:lang w:val="en-GB"/>
              </w:rPr>
            </w:pPr>
            <w:r w:rsidRPr="00D01CCB">
              <w:rPr>
                <w:lang w:val="en-GB"/>
              </w:rPr>
              <w:t>0.0004</w:t>
            </w:r>
          </w:p>
        </w:tc>
        <w:tc>
          <w:tcPr>
            <w:tcW w:w="1182" w:type="dxa"/>
            <w:shd w:val="clear" w:color="auto" w:fill="FFFFFF"/>
            <w:vAlign w:val="center"/>
          </w:tcPr>
          <w:p w14:paraId="6A688995" w14:textId="77777777" w:rsidR="008B34CA" w:rsidRPr="00D01CCB" w:rsidRDefault="008B34CA" w:rsidP="00E44784">
            <w:pPr>
              <w:pStyle w:val="CETBodytext"/>
              <w:jc w:val="center"/>
              <w:rPr>
                <w:lang w:val="en-GB"/>
              </w:rPr>
            </w:pPr>
            <w:r w:rsidRPr="00D01CCB">
              <w:rPr>
                <w:lang w:val="en-GB"/>
              </w:rPr>
              <w:t>4.32</w:t>
            </w:r>
          </w:p>
        </w:tc>
      </w:tr>
      <w:tr w:rsidR="008B34CA" w:rsidRPr="00D01CCB" w14:paraId="2BE467E6" w14:textId="77777777" w:rsidTr="008D30C3">
        <w:trPr>
          <w:trHeight w:val="283"/>
        </w:trPr>
        <w:tc>
          <w:tcPr>
            <w:tcW w:w="2836" w:type="dxa"/>
            <w:shd w:val="clear" w:color="auto" w:fill="FFFFFF"/>
            <w:vAlign w:val="center"/>
          </w:tcPr>
          <w:p w14:paraId="74BF3A7A" w14:textId="57093F2D" w:rsidR="008B34CA" w:rsidRPr="00D01CCB" w:rsidRDefault="00C41ED0" w:rsidP="00C41ED0">
            <w:pPr>
              <w:pStyle w:val="CETBodytext"/>
              <w:jc w:val="center"/>
              <w:rPr>
                <w:lang w:val="en-GB"/>
              </w:rPr>
            </w:pPr>
            <w:r w:rsidRPr="00D01CCB">
              <w:rPr>
                <w:lang w:val="en-GB"/>
              </w:rPr>
              <w:t xml:space="preserve">T-ETX </w:t>
            </w:r>
            <w:r w:rsidR="008B34CA" w:rsidRPr="00D01CCB">
              <w:rPr>
                <w:lang w:val="en-GB"/>
              </w:rPr>
              <w:t>(kg TEG soil)</w:t>
            </w:r>
          </w:p>
        </w:tc>
        <w:tc>
          <w:tcPr>
            <w:tcW w:w="1181" w:type="dxa"/>
            <w:shd w:val="clear" w:color="auto" w:fill="FFFFFF"/>
            <w:vAlign w:val="center"/>
          </w:tcPr>
          <w:p w14:paraId="67335F9E" w14:textId="67A5C7E0" w:rsidR="008B34CA" w:rsidRPr="00D01CCB" w:rsidRDefault="008B34CA" w:rsidP="00E44784">
            <w:pPr>
              <w:pStyle w:val="CETBodytext"/>
              <w:jc w:val="center"/>
              <w:rPr>
                <w:lang w:val="en-GB"/>
              </w:rPr>
            </w:pPr>
            <w:r w:rsidRPr="00D01CCB">
              <w:rPr>
                <w:lang w:val="en-GB"/>
              </w:rPr>
              <w:t>572.53</w:t>
            </w:r>
          </w:p>
        </w:tc>
        <w:tc>
          <w:tcPr>
            <w:tcW w:w="1181" w:type="dxa"/>
            <w:shd w:val="clear" w:color="auto" w:fill="FFFFFF"/>
            <w:vAlign w:val="center"/>
          </w:tcPr>
          <w:p w14:paraId="38E80FA2" w14:textId="3EA5652B" w:rsidR="008B34CA" w:rsidRPr="00D01CCB" w:rsidRDefault="008B34CA" w:rsidP="00E44784">
            <w:pPr>
              <w:pStyle w:val="CETBodytext"/>
              <w:jc w:val="center"/>
              <w:rPr>
                <w:lang w:val="en-GB"/>
              </w:rPr>
            </w:pPr>
            <w:r w:rsidRPr="00D01CCB">
              <w:rPr>
                <w:lang w:val="en-GB"/>
              </w:rPr>
              <w:t>157.43</w:t>
            </w:r>
          </w:p>
        </w:tc>
        <w:tc>
          <w:tcPr>
            <w:tcW w:w="1182" w:type="dxa"/>
            <w:shd w:val="clear" w:color="auto" w:fill="FFFFFF"/>
            <w:vAlign w:val="center"/>
          </w:tcPr>
          <w:p w14:paraId="39AC8E85" w14:textId="77777777" w:rsidR="008B34CA" w:rsidRPr="00D01CCB" w:rsidRDefault="008B34CA" w:rsidP="00E44784">
            <w:pPr>
              <w:pStyle w:val="CETBodytext"/>
              <w:jc w:val="center"/>
              <w:rPr>
                <w:lang w:val="en-GB"/>
              </w:rPr>
            </w:pPr>
            <w:r w:rsidRPr="00D01CCB">
              <w:rPr>
                <w:lang w:val="en-GB"/>
              </w:rPr>
              <w:t>3.64</w:t>
            </w:r>
          </w:p>
        </w:tc>
      </w:tr>
      <w:tr w:rsidR="008B34CA" w:rsidRPr="00D01CCB" w14:paraId="109D3644" w14:textId="77777777" w:rsidTr="008D30C3">
        <w:trPr>
          <w:trHeight w:val="283"/>
        </w:trPr>
        <w:tc>
          <w:tcPr>
            <w:tcW w:w="2836" w:type="dxa"/>
            <w:shd w:val="clear" w:color="auto" w:fill="FFFFFF"/>
            <w:vAlign w:val="center"/>
          </w:tcPr>
          <w:p w14:paraId="42EB0CD1" w14:textId="5638DC21" w:rsidR="008B34CA" w:rsidRPr="00D01CCB" w:rsidRDefault="00C41ED0" w:rsidP="00C41ED0">
            <w:pPr>
              <w:pStyle w:val="CETBodytext"/>
              <w:jc w:val="center"/>
              <w:rPr>
                <w:lang w:val="en-GB"/>
              </w:rPr>
            </w:pPr>
            <w:r w:rsidRPr="00D01CCB">
              <w:rPr>
                <w:lang w:val="en-GB"/>
              </w:rPr>
              <w:t xml:space="preserve">LO </w:t>
            </w:r>
            <w:r w:rsidR="008B34CA" w:rsidRPr="00D01CCB">
              <w:rPr>
                <w:lang w:val="en-GB"/>
              </w:rPr>
              <w:t>(m</w:t>
            </w:r>
            <w:r w:rsidR="008B34CA" w:rsidRPr="00D01CCB">
              <w:rPr>
                <w:vertAlign w:val="superscript"/>
                <w:lang w:val="en-GB"/>
              </w:rPr>
              <w:t>2</w:t>
            </w:r>
            <w:r w:rsidR="008B34CA" w:rsidRPr="00D01CCB">
              <w:rPr>
                <w:lang w:val="en-GB"/>
              </w:rPr>
              <w:t>org.arable)</w:t>
            </w:r>
          </w:p>
        </w:tc>
        <w:tc>
          <w:tcPr>
            <w:tcW w:w="1181" w:type="dxa"/>
            <w:shd w:val="clear" w:color="auto" w:fill="FFFFFF"/>
            <w:vAlign w:val="center"/>
          </w:tcPr>
          <w:p w14:paraId="4E578345" w14:textId="1DBDBE15" w:rsidR="008B34CA" w:rsidRPr="00D01CCB" w:rsidRDefault="008B34CA" w:rsidP="00E44784">
            <w:pPr>
              <w:pStyle w:val="CETBodytext"/>
              <w:jc w:val="center"/>
              <w:rPr>
                <w:lang w:val="en-GB"/>
              </w:rPr>
            </w:pPr>
            <w:r w:rsidRPr="00D01CCB">
              <w:rPr>
                <w:lang w:val="en-GB"/>
              </w:rPr>
              <w:t>2.70</w:t>
            </w:r>
          </w:p>
        </w:tc>
        <w:tc>
          <w:tcPr>
            <w:tcW w:w="1181" w:type="dxa"/>
            <w:shd w:val="clear" w:color="auto" w:fill="FFFFFF"/>
            <w:vAlign w:val="center"/>
          </w:tcPr>
          <w:p w14:paraId="0E53C3A3" w14:textId="03BE5FB3" w:rsidR="008B34CA" w:rsidRPr="00D01CCB" w:rsidRDefault="008B34CA" w:rsidP="00E44784">
            <w:pPr>
              <w:pStyle w:val="CETBodytext"/>
              <w:jc w:val="center"/>
              <w:rPr>
                <w:lang w:val="en-GB"/>
              </w:rPr>
            </w:pPr>
            <w:r w:rsidRPr="00D01CCB">
              <w:rPr>
                <w:lang w:val="en-GB"/>
              </w:rPr>
              <w:t>0.69</w:t>
            </w:r>
          </w:p>
        </w:tc>
        <w:tc>
          <w:tcPr>
            <w:tcW w:w="1182" w:type="dxa"/>
            <w:shd w:val="clear" w:color="auto" w:fill="FFFFFF"/>
            <w:vAlign w:val="center"/>
          </w:tcPr>
          <w:p w14:paraId="3E850853" w14:textId="77777777" w:rsidR="008B34CA" w:rsidRPr="00D01CCB" w:rsidRDefault="008B34CA" w:rsidP="00E44784">
            <w:pPr>
              <w:pStyle w:val="CETBodytext"/>
              <w:jc w:val="center"/>
              <w:rPr>
                <w:lang w:val="en-GB"/>
              </w:rPr>
            </w:pPr>
            <w:r w:rsidRPr="00D01CCB">
              <w:rPr>
                <w:lang w:val="en-GB"/>
              </w:rPr>
              <w:t>3.90</w:t>
            </w:r>
          </w:p>
        </w:tc>
      </w:tr>
      <w:tr w:rsidR="008B34CA" w:rsidRPr="00D01CCB" w14:paraId="2A04B878" w14:textId="77777777" w:rsidTr="008D30C3">
        <w:trPr>
          <w:trHeight w:val="283"/>
        </w:trPr>
        <w:tc>
          <w:tcPr>
            <w:tcW w:w="2836" w:type="dxa"/>
            <w:shd w:val="clear" w:color="auto" w:fill="FFFFFF"/>
            <w:vAlign w:val="center"/>
          </w:tcPr>
          <w:p w14:paraId="50A58145" w14:textId="53075686" w:rsidR="008B34CA" w:rsidRPr="00D01CCB" w:rsidRDefault="00C41ED0" w:rsidP="00C41ED0">
            <w:pPr>
              <w:pStyle w:val="CETBodytext"/>
              <w:jc w:val="center"/>
              <w:rPr>
                <w:lang w:val="en-GB"/>
              </w:rPr>
            </w:pPr>
            <w:r w:rsidRPr="00D01CCB">
              <w:rPr>
                <w:lang w:val="en-GB"/>
              </w:rPr>
              <w:t xml:space="preserve">GW </w:t>
            </w:r>
            <w:r w:rsidR="008B34CA" w:rsidRPr="00D01CCB">
              <w:rPr>
                <w:lang w:val="en-GB"/>
              </w:rPr>
              <w:t>(kg CO</w:t>
            </w:r>
            <w:r w:rsidR="008B34CA" w:rsidRPr="00D01CCB">
              <w:rPr>
                <w:vertAlign w:val="subscript"/>
                <w:lang w:val="en-GB"/>
              </w:rPr>
              <w:t>2</w:t>
            </w:r>
            <w:r w:rsidR="008B34CA" w:rsidRPr="00D01CCB">
              <w:rPr>
                <w:lang w:val="en-GB"/>
              </w:rPr>
              <w:t xml:space="preserve"> </w:t>
            </w:r>
            <w:proofErr w:type="spellStart"/>
            <w:r w:rsidR="008B34CA" w:rsidRPr="00D01CCB">
              <w:rPr>
                <w:lang w:val="en-GB"/>
              </w:rPr>
              <w:t>eq</w:t>
            </w:r>
            <w:proofErr w:type="spellEnd"/>
            <w:r w:rsidR="008B34CA" w:rsidRPr="00D01CCB">
              <w:rPr>
                <w:lang w:val="en-GB"/>
              </w:rPr>
              <w:t>)</w:t>
            </w:r>
          </w:p>
        </w:tc>
        <w:tc>
          <w:tcPr>
            <w:tcW w:w="1181" w:type="dxa"/>
            <w:shd w:val="clear" w:color="auto" w:fill="FFFFFF"/>
            <w:vAlign w:val="center"/>
          </w:tcPr>
          <w:p w14:paraId="785D04D6" w14:textId="0EB136EA" w:rsidR="008B34CA" w:rsidRPr="00D01CCB" w:rsidRDefault="008B34CA" w:rsidP="00E44784">
            <w:pPr>
              <w:pStyle w:val="CETBodytext"/>
              <w:jc w:val="center"/>
              <w:rPr>
                <w:lang w:val="en-GB"/>
              </w:rPr>
            </w:pPr>
            <w:r w:rsidRPr="00D01CCB">
              <w:rPr>
                <w:lang w:val="en-GB"/>
              </w:rPr>
              <w:t>1.04</w:t>
            </w:r>
          </w:p>
        </w:tc>
        <w:tc>
          <w:tcPr>
            <w:tcW w:w="1181" w:type="dxa"/>
            <w:shd w:val="clear" w:color="auto" w:fill="FFFFFF"/>
            <w:vAlign w:val="center"/>
          </w:tcPr>
          <w:p w14:paraId="238F7E9B" w14:textId="7909AD97" w:rsidR="008B34CA" w:rsidRPr="00D01CCB" w:rsidRDefault="008B34CA" w:rsidP="00E44784">
            <w:pPr>
              <w:pStyle w:val="CETBodytext"/>
              <w:jc w:val="center"/>
              <w:rPr>
                <w:lang w:val="en-GB"/>
              </w:rPr>
            </w:pPr>
            <w:r w:rsidRPr="00D01CCB">
              <w:rPr>
                <w:lang w:val="en-GB"/>
              </w:rPr>
              <w:t>0.47</w:t>
            </w:r>
          </w:p>
        </w:tc>
        <w:tc>
          <w:tcPr>
            <w:tcW w:w="1182" w:type="dxa"/>
            <w:shd w:val="clear" w:color="auto" w:fill="FFFFFF"/>
            <w:vAlign w:val="center"/>
          </w:tcPr>
          <w:p w14:paraId="52F8B355" w14:textId="77777777" w:rsidR="008B34CA" w:rsidRPr="00D01CCB" w:rsidRDefault="008B34CA" w:rsidP="00E44784">
            <w:pPr>
              <w:pStyle w:val="CETBodytext"/>
              <w:jc w:val="center"/>
              <w:rPr>
                <w:lang w:val="en-GB"/>
              </w:rPr>
            </w:pPr>
            <w:r w:rsidRPr="00D01CCB">
              <w:rPr>
                <w:lang w:val="en-GB"/>
              </w:rPr>
              <w:t>2.19</w:t>
            </w:r>
          </w:p>
        </w:tc>
      </w:tr>
      <w:tr w:rsidR="008B34CA" w:rsidRPr="00D01CCB" w14:paraId="39D90B0C" w14:textId="77777777" w:rsidTr="008D30C3">
        <w:trPr>
          <w:trHeight w:val="283"/>
        </w:trPr>
        <w:tc>
          <w:tcPr>
            <w:tcW w:w="2836" w:type="dxa"/>
            <w:shd w:val="clear" w:color="auto" w:fill="FFFFFF"/>
            <w:vAlign w:val="center"/>
          </w:tcPr>
          <w:p w14:paraId="7B8FE894" w14:textId="7DBCA614" w:rsidR="008B34CA" w:rsidRPr="00D01CCB" w:rsidRDefault="00C41ED0" w:rsidP="00C41ED0">
            <w:pPr>
              <w:pStyle w:val="CETBodytext"/>
              <w:jc w:val="center"/>
              <w:rPr>
                <w:lang w:val="en-GB"/>
              </w:rPr>
            </w:pPr>
            <w:r w:rsidRPr="00D01CCB">
              <w:rPr>
                <w:lang w:val="en-GB"/>
              </w:rPr>
              <w:t xml:space="preserve">NR-EN </w:t>
            </w:r>
            <w:r w:rsidR="008B34CA" w:rsidRPr="00D01CCB">
              <w:rPr>
                <w:lang w:val="en-GB"/>
              </w:rPr>
              <w:t>(MJ primary)</w:t>
            </w:r>
          </w:p>
        </w:tc>
        <w:tc>
          <w:tcPr>
            <w:tcW w:w="1181" w:type="dxa"/>
            <w:shd w:val="clear" w:color="auto" w:fill="FFFFFF"/>
            <w:vAlign w:val="center"/>
          </w:tcPr>
          <w:p w14:paraId="5ADA70A6" w14:textId="7FF2894F" w:rsidR="008B34CA" w:rsidRPr="00D01CCB" w:rsidRDefault="008B34CA" w:rsidP="00E44784">
            <w:pPr>
              <w:pStyle w:val="CETBodytext"/>
              <w:jc w:val="center"/>
              <w:rPr>
                <w:lang w:val="en-GB"/>
              </w:rPr>
            </w:pPr>
            <w:r w:rsidRPr="00D01CCB">
              <w:rPr>
                <w:lang w:val="en-GB"/>
              </w:rPr>
              <w:t>16.75</w:t>
            </w:r>
          </w:p>
        </w:tc>
        <w:tc>
          <w:tcPr>
            <w:tcW w:w="1181" w:type="dxa"/>
            <w:shd w:val="clear" w:color="auto" w:fill="FFFFFF"/>
            <w:vAlign w:val="center"/>
          </w:tcPr>
          <w:p w14:paraId="092065F4" w14:textId="0355774A" w:rsidR="008B34CA" w:rsidRPr="00D01CCB" w:rsidRDefault="008B34CA" w:rsidP="00E44784">
            <w:pPr>
              <w:pStyle w:val="CETBodytext"/>
              <w:jc w:val="center"/>
              <w:rPr>
                <w:lang w:val="en-GB"/>
              </w:rPr>
            </w:pPr>
            <w:r w:rsidRPr="00D01CCB">
              <w:rPr>
                <w:lang w:val="en-GB"/>
              </w:rPr>
              <w:t>4.70</w:t>
            </w:r>
          </w:p>
        </w:tc>
        <w:tc>
          <w:tcPr>
            <w:tcW w:w="1182" w:type="dxa"/>
            <w:shd w:val="clear" w:color="auto" w:fill="FFFFFF"/>
            <w:vAlign w:val="center"/>
          </w:tcPr>
          <w:p w14:paraId="3AF3E65B" w14:textId="77777777" w:rsidR="008B34CA" w:rsidRPr="00D01CCB" w:rsidRDefault="008B34CA" w:rsidP="00E44784">
            <w:pPr>
              <w:pStyle w:val="CETBodytext"/>
              <w:jc w:val="center"/>
              <w:rPr>
                <w:lang w:val="en-GB"/>
              </w:rPr>
            </w:pPr>
            <w:r w:rsidRPr="00D01CCB">
              <w:rPr>
                <w:lang w:val="en-GB"/>
              </w:rPr>
              <w:t>3.56</w:t>
            </w:r>
          </w:p>
        </w:tc>
      </w:tr>
    </w:tbl>
    <w:p w14:paraId="04F10507" w14:textId="42A14C51" w:rsidR="00E1159E" w:rsidRDefault="002F71A2" w:rsidP="006E76BC">
      <w:pPr>
        <w:pStyle w:val="CETBodytext"/>
        <w:spacing w:before="240"/>
        <w:rPr>
          <w:lang w:val="en-GB"/>
        </w:rPr>
      </w:pPr>
      <w:r w:rsidRPr="00D01CCB">
        <w:rPr>
          <w:lang w:val="en-GB"/>
        </w:rPr>
        <w:t>Therefore,</w:t>
      </w:r>
      <w:r w:rsidR="00EF4629">
        <w:rPr>
          <w:lang w:val="en-GB"/>
        </w:rPr>
        <w:t xml:space="preserve"> considering all the impact categories reported in table 3, </w:t>
      </w:r>
      <w:r w:rsidR="00DE147F">
        <w:rPr>
          <w:lang w:val="en-GB"/>
        </w:rPr>
        <w:t xml:space="preserve">it </w:t>
      </w:r>
      <w:r w:rsidRPr="00D01CCB">
        <w:rPr>
          <w:lang w:val="en-GB"/>
        </w:rPr>
        <w:t>is evident</w:t>
      </w:r>
      <w:r w:rsidR="00EF4629">
        <w:rPr>
          <w:lang w:val="en-GB"/>
        </w:rPr>
        <w:t xml:space="preserve"> how </w:t>
      </w:r>
      <w:r w:rsidRPr="00D01CCB">
        <w:rPr>
          <w:lang w:val="en-GB"/>
        </w:rPr>
        <w:t>the LBB has</w:t>
      </w:r>
      <w:r w:rsidR="00EF4629">
        <w:rPr>
          <w:lang w:val="en-GB"/>
        </w:rPr>
        <w:t xml:space="preserve"> </w:t>
      </w:r>
      <w:r w:rsidR="00C26E10">
        <w:rPr>
          <w:lang w:val="en-GB"/>
        </w:rPr>
        <w:t>a</w:t>
      </w:r>
      <w:r w:rsidRPr="00D01CCB">
        <w:rPr>
          <w:lang w:val="en-GB"/>
        </w:rPr>
        <w:t xml:space="preserve"> lower </w:t>
      </w:r>
      <w:r w:rsidRPr="00D01CCB">
        <w:rPr>
          <w:noProof/>
          <w:lang w:val="en-GB"/>
        </w:rPr>
        <w:t>impact</w:t>
      </w:r>
      <w:r w:rsidRPr="00D01CCB">
        <w:rPr>
          <w:lang w:val="en-GB"/>
        </w:rPr>
        <w:t xml:space="preserve"> </w:t>
      </w:r>
      <w:r w:rsidR="00DE147F">
        <w:rPr>
          <w:lang w:val="en-GB"/>
        </w:rPr>
        <w:t>compared</w:t>
      </w:r>
      <w:r w:rsidR="00DE147F" w:rsidRPr="00D01CCB">
        <w:rPr>
          <w:lang w:val="en-GB"/>
        </w:rPr>
        <w:t xml:space="preserve"> </w:t>
      </w:r>
      <w:r w:rsidR="00EF4629">
        <w:rPr>
          <w:lang w:val="en-GB"/>
        </w:rPr>
        <w:t xml:space="preserve">to the </w:t>
      </w:r>
      <w:r w:rsidRPr="00D01CCB">
        <w:rPr>
          <w:lang w:val="en-GB"/>
        </w:rPr>
        <w:t xml:space="preserve">MB. </w:t>
      </w:r>
      <w:r w:rsidR="00737BD9" w:rsidRPr="00D01CCB">
        <w:rPr>
          <w:lang w:val="en-GB"/>
        </w:rPr>
        <w:t>These gap</w:t>
      </w:r>
      <w:r w:rsidR="00922D14">
        <w:rPr>
          <w:lang w:val="en-GB"/>
        </w:rPr>
        <w:t xml:space="preserve"> </w:t>
      </w:r>
      <w:r w:rsidR="00737BD9" w:rsidRPr="00D01CCB">
        <w:rPr>
          <w:lang w:val="en-GB"/>
        </w:rPr>
        <w:t xml:space="preserve">between the </w:t>
      </w:r>
      <w:r w:rsidR="00237A3F">
        <w:rPr>
          <w:lang w:val="en-GB"/>
        </w:rPr>
        <w:t xml:space="preserve">MB and the LBB </w:t>
      </w:r>
      <w:r w:rsidR="00882CCD" w:rsidRPr="00D01CCB">
        <w:rPr>
          <w:noProof/>
          <w:lang w:val="en-GB"/>
        </w:rPr>
        <w:t>is</w:t>
      </w:r>
      <w:r w:rsidR="00237A3F">
        <w:rPr>
          <w:noProof/>
          <w:lang w:val="en-GB"/>
        </w:rPr>
        <w:t xml:space="preserve"> ma</w:t>
      </w:r>
      <w:r w:rsidR="00DE147F">
        <w:rPr>
          <w:noProof/>
          <w:lang w:val="en-GB"/>
        </w:rPr>
        <w:t>inly</w:t>
      </w:r>
      <w:r w:rsidR="00882CCD" w:rsidRPr="00D01CCB">
        <w:rPr>
          <w:lang w:val="en-GB"/>
        </w:rPr>
        <w:t xml:space="preserve"> attributable to</w:t>
      </w:r>
      <w:r w:rsidR="00737BD9" w:rsidRPr="00D01CCB">
        <w:rPr>
          <w:lang w:val="en-GB"/>
        </w:rPr>
        <w:t xml:space="preserve"> two </w:t>
      </w:r>
      <w:r w:rsidR="00571575">
        <w:rPr>
          <w:lang w:val="en-GB"/>
        </w:rPr>
        <w:t>processes</w:t>
      </w:r>
      <w:r w:rsidR="00237A3F">
        <w:rPr>
          <w:lang w:val="en-GB"/>
        </w:rPr>
        <w:t xml:space="preserve"> along the production chain</w:t>
      </w:r>
      <w:r w:rsidR="00922D14">
        <w:rPr>
          <w:lang w:val="en-GB"/>
        </w:rPr>
        <w:t>s</w:t>
      </w:r>
      <w:r w:rsidR="00237A3F">
        <w:rPr>
          <w:lang w:val="en-GB"/>
        </w:rPr>
        <w:t>: the farming phase and the transformation phase</w:t>
      </w:r>
      <w:r w:rsidR="00922D14">
        <w:rPr>
          <w:lang w:val="en-GB"/>
        </w:rPr>
        <w:t xml:space="preserve"> (figure 1)</w:t>
      </w:r>
      <w:r w:rsidR="00237A3F">
        <w:rPr>
          <w:lang w:val="en-GB"/>
        </w:rPr>
        <w:t>. Regarding the farming phase, the M</w:t>
      </w:r>
      <w:r w:rsidR="00737BD9" w:rsidRPr="00D01CCB">
        <w:rPr>
          <w:lang w:val="en-GB"/>
        </w:rPr>
        <w:t xml:space="preserve">B </w:t>
      </w:r>
      <w:r w:rsidR="00882CCD" w:rsidRPr="00D01CCB">
        <w:rPr>
          <w:lang w:val="en-GB"/>
        </w:rPr>
        <w:t xml:space="preserve">production </w:t>
      </w:r>
      <w:r w:rsidR="00737BD9" w:rsidRPr="00D01CCB">
        <w:rPr>
          <w:lang w:val="en-GB"/>
        </w:rPr>
        <w:t xml:space="preserve">requires </w:t>
      </w:r>
      <w:r w:rsidR="00882CCD" w:rsidRPr="00D01CCB">
        <w:rPr>
          <w:lang w:val="en-GB"/>
        </w:rPr>
        <w:t>many</w:t>
      </w:r>
      <w:r w:rsidR="00737BD9" w:rsidRPr="00D01CCB">
        <w:rPr>
          <w:lang w:val="en-GB"/>
        </w:rPr>
        <w:t xml:space="preserve"> activities </w:t>
      </w:r>
      <w:r w:rsidR="00237A3F">
        <w:rPr>
          <w:lang w:val="en-GB"/>
        </w:rPr>
        <w:t>as</w:t>
      </w:r>
      <w:r w:rsidR="00882CCD" w:rsidRPr="00D01CCB">
        <w:rPr>
          <w:lang w:val="en-GB"/>
        </w:rPr>
        <w:t xml:space="preserve"> </w:t>
      </w:r>
      <w:r w:rsidR="00737BD9" w:rsidRPr="00D01CCB">
        <w:rPr>
          <w:lang w:val="en-GB"/>
        </w:rPr>
        <w:t xml:space="preserve">feed </w:t>
      </w:r>
      <w:r w:rsidR="00571575">
        <w:rPr>
          <w:lang w:val="en-GB"/>
        </w:rPr>
        <w:t>cultivation</w:t>
      </w:r>
      <w:r w:rsidR="00922D14">
        <w:rPr>
          <w:lang w:val="en-GB"/>
        </w:rPr>
        <w:t>, transformation</w:t>
      </w:r>
      <w:r w:rsidR="00571575">
        <w:rPr>
          <w:lang w:val="en-GB"/>
        </w:rPr>
        <w:t xml:space="preserve"> and livestock breeding</w:t>
      </w:r>
      <w:r w:rsidR="00322F5B" w:rsidRPr="00D01CCB">
        <w:rPr>
          <w:lang w:val="en-GB"/>
        </w:rPr>
        <w:t>.</w:t>
      </w:r>
      <w:r w:rsidR="00571575">
        <w:rPr>
          <w:lang w:val="en-GB"/>
        </w:rPr>
        <w:t xml:space="preserve"> In the case of the </w:t>
      </w:r>
      <w:r w:rsidR="00737BD9" w:rsidRPr="00D01CCB">
        <w:rPr>
          <w:lang w:val="en-GB"/>
        </w:rPr>
        <w:t>LBB</w:t>
      </w:r>
      <w:r w:rsidR="00571575">
        <w:rPr>
          <w:lang w:val="en-GB"/>
        </w:rPr>
        <w:t>, the farming phase</w:t>
      </w:r>
      <w:r w:rsidR="00922D14">
        <w:rPr>
          <w:lang w:val="en-GB"/>
        </w:rPr>
        <w:t xml:space="preserve"> refers to all the activities </w:t>
      </w:r>
      <w:r w:rsidR="00922D14" w:rsidRPr="00D01CCB">
        <w:rPr>
          <w:lang w:val="en-GB"/>
        </w:rPr>
        <w:t>linked to the cultivation and harvesting</w:t>
      </w:r>
      <w:r w:rsidR="00922D14">
        <w:rPr>
          <w:lang w:val="en-GB"/>
        </w:rPr>
        <w:t xml:space="preserve"> of the legumes and</w:t>
      </w:r>
      <w:r w:rsidR="00571575">
        <w:rPr>
          <w:lang w:val="en-GB"/>
        </w:rPr>
        <w:t xml:space="preserve"> includes</w:t>
      </w:r>
      <w:r w:rsidR="00E1159E">
        <w:rPr>
          <w:lang w:val="en-GB"/>
        </w:rPr>
        <w:t xml:space="preserve"> also</w:t>
      </w:r>
      <w:r w:rsidR="00571575">
        <w:rPr>
          <w:lang w:val="en-GB"/>
        </w:rPr>
        <w:t xml:space="preserve"> all the activities necessary to obtain the secondary ingredients as </w:t>
      </w:r>
      <w:r w:rsidR="00A30A8F" w:rsidRPr="00D01CCB">
        <w:rPr>
          <w:lang w:val="en-GB"/>
        </w:rPr>
        <w:t xml:space="preserve">egg and cheese, </w:t>
      </w:r>
      <w:r w:rsidR="00922D14">
        <w:rPr>
          <w:lang w:val="en-GB"/>
        </w:rPr>
        <w:t xml:space="preserve">which </w:t>
      </w:r>
      <w:r w:rsidR="00A30A8F" w:rsidRPr="00D01CCB">
        <w:rPr>
          <w:lang w:val="en-GB"/>
        </w:rPr>
        <w:t>represent 8% of the finished product</w:t>
      </w:r>
      <w:r w:rsidR="00737BD9" w:rsidRPr="00D01CCB">
        <w:rPr>
          <w:lang w:val="en-GB"/>
        </w:rPr>
        <w:t xml:space="preserve">. </w:t>
      </w:r>
      <w:r w:rsidR="00DE147F">
        <w:rPr>
          <w:lang w:val="en-GB"/>
        </w:rPr>
        <w:t xml:space="preserve">As </w:t>
      </w:r>
      <w:r w:rsidR="00D73E0C">
        <w:rPr>
          <w:lang w:val="en-GB"/>
        </w:rPr>
        <w:t>for the MB also for the LBB</w:t>
      </w:r>
      <w:r w:rsidR="00C26E10">
        <w:rPr>
          <w:lang w:val="en-GB"/>
        </w:rPr>
        <w:t>,</w:t>
      </w:r>
      <w:r w:rsidR="00D73E0C">
        <w:rPr>
          <w:lang w:val="en-GB"/>
        </w:rPr>
        <w:t xml:space="preserve"> the level of impact is for most of the impact categories linked to this phase. Otherwise, regarding the LBB, the number of </w:t>
      </w:r>
      <w:r w:rsidR="0016424E">
        <w:rPr>
          <w:lang w:val="en-GB"/>
        </w:rPr>
        <w:t>machines</w:t>
      </w:r>
      <w:r w:rsidR="00D73E0C">
        <w:rPr>
          <w:lang w:val="en-GB"/>
        </w:rPr>
        <w:t xml:space="preserve"> and </w:t>
      </w:r>
      <w:r w:rsidR="00E1159E">
        <w:rPr>
          <w:lang w:val="en-GB"/>
        </w:rPr>
        <w:t>their</w:t>
      </w:r>
      <w:r w:rsidR="00D73E0C">
        <w:rPr>
          <w:lang w:val="en-GB"/>
        </w:rPr>
        <w:t xml:space="preserve"> energy consumption let the </w:t>
      </w:r>
      <w:r w:rsidR="00A30A8F" w:rsidRPr="00D01CCB">
        <w:rPr>
          <w:lang w:val="en-GB"/>
        </w:rPr>
        <w:t xml:space="preserve">transformation phase shows </w:t>
      </w:r>
      <w:r w:rsidR="00C26E10">
        <w:rPr>
          <w:lang w:val="en-GB"/>
        </w:rPr>
        <w:t xml:space="preserve">a </w:t>
      </w:r>
      <w:r w:rsidR="00D73E0C">
        <w:rPr>
          <w:lang w:val="en-GB"/>
        </w:rPr>
        <w:t xml:space="preserve">higher </w:t>
      </w:r>
      <w:r w:rsidR="00A30A8F" w:rsidRPr="00D01CCB">
        <w:rPr>
          <w:lang w:val="en-GB"/>
        </w:rPr>
        <w:t>level of incidence</w:t>
      </w:r>
      <w:r w:rsidR="00D73E0C">
        <w:rPr>
          <w:lang w:val="en-GB"/>
        </w:rPr>
        <w:t xml:space="preserve"> respect to the MB</w:t>
      </w:r>
      <w:r w:rsidR="00A30A8F" w:rsidRPr="00D01CCB">
        <w:rPr>
          <w:lang w:val="en-GB"/>
        </w:rPr>
        <w:t>.</w:t>
      </w:r>
      <w:r w:rsidR="00E1159E">
        <w:rPr>
          <w:lang w:val="en-GB"/>
        </w:rPr>
        <w:t xml:space="preserve"> </w:t>
      </w:r>
    </w:p>
    <w:p w14:paraId="014E5B7E" w14:textId="1CCEB9E2" w:rsidR="00D73E0C" w:rsidRDefault="00A56FBA" w:rsidP="00737BD9">
      <w:pPr>
        <w:pStyle w:val="CETBodytext"/>
        <w:rPr>
          <w:lang w:val="en-GB"/>
        </w:rPr>
      </w:pPr>
      <w:r w:rsidRPr="00A56FBA">
        <w:rPr>
          <w:lang w:val="en-GB"/>
        </w:rPr>
        <w:t xml:space="preserve">Although the life cycle impact assessment of the two products has </w:t>
      </w:r>
      <w:r>
        <w:rPr>
          <w:lang w:val="en-GB"/>
        </w:rPr>
        <w:t>identified</w:t>
      </w:r>
      <w:r w:rsidRPr="00A56FBA">
        <w:rPr>
          <w:lang w:val="en-GB"/>
        </w:rPr>
        <w:t xml:space="preserve"> different hotspots, the high level of incidence resulting from the agricultural phase of 1 MB, compared to the</w:t>
      </w:r>
      <w:r>
        <w:rPr>
          <w:lang w:val="en-GB"/>
        </w:rPr>
        <w:t xml:space="preserve"> incidence of</w:t>
      </w:r>
      <w:r w:rsidRPr="00A56FBA">
        <w:rPr>
          <w:lang w:val="en-GB"/>
        </w:rPr>
        <w:t xml:space="preserve"> 1 LBB</w:t>
      </w:r>
      <w:r>
        <w:rPr>
          <w:lang w:val="en-GB"/>
        </w:rPr>
        <w:t xml:space="preserve"> </w:t>
      </w:r>
      <w:r w:rsidRPr="00A56FBA">
        <w:rPr>
          <w:lang w:val="en-GB"/>
        </w:rPr>
        <w:t xml:space="preserve">production phase, </w:t>
      </w:r>
      <w:r w:rsidR="0016424E">
        <w:rPr>
          <w:lang w:val="en-GB"/>
        </w:rPr>
        <w:t xml:space="preserve">results in </w:t>
      </w:r>
      <w:r w:rsidRPr="00A56FBA">
        <w:rPr>
          <w:lang w:val="en-GB"/>
        </w:rPr>
        <w:t xml:space="preserve">a greater environmental impact </w:t>
      </w:r>
      <w:r w:rsidR="0016424E">
        <w:rPr>
          <w:lang w:val="en-GB"/>
        </w:rPr>
        <w:t xml:space="preserve">to produce 1 </w:t>
      </w:r>
      <w:r w:rsidR="0016424E" w:rsidRPr="00A56FBA">
        <w:rPr>
          <w:lang w:val="en-GB"/>
        </w:rPr>
        <w:t xml:space="preserve">MB </w:t>
      </w:r>
      <w:r w:rsidR="0016424E">
        <w:rPr>
          <w:lang w:val="en-GB"/>
        </w:rPr>
        <w:t>compared</w:t>
      </w:r>
      <w:r>
        <w:rPr>
          <w:lang w:val="en-GB"/>
        </w:rPr>
        <w:t xml:space="preserve"> to</w:t>
      </w:r>
      <w:r w:rsidRPr="00A56FBA">
        <w:rPr>
          <w:lang w:val="en-GB"/>
        </w:rPr>
        <w:t xml:space="preserve"> 1 LBB</w:t>
      </w:r>
      <w:r>
        <w:rPr>
          <w:lang w:val="en-GB"/>
        </w:rPr>
        <w:t>.</w:t>
      </w:r>
      <w:r w:rsidR="00D73E0C">
        <w:rPr>
          <w:lang w:val="en-GB"/>
        </w:rPr>
        <w:t xml:space="preserve"> </w:t>
      </w:r>
    </w:p>
    <w:p w14:paraId="6F144CCB" w14:textId="1BA8A6B2" w:rsidR="00737BD9" w:rsidRPr="00D01CCB" w:rsidRDefault="00056EF9" w:rsidP="00737BD9">
      <w:pPr>
        <w:pStyle w:val="CETheadingx"/>
        <w:rPr>
          <w:lang w:val="en-GB"/>
        </w:rPr>
      </w:pPr>
      <w:r w:rsidRPr="00D01CCB">
        <w:rPr>
          <w:lang w:val="en-GB"/>
        </w:rPr>
        <w:t>Alternative s</w:t>
      </w:r>
      <w:r w:rsidR="00737BD9" w:rsidRPr="00D01CCB">
        <w:rPr>
          <w:lang w:val="en-GB"/>
        </w:rPr>
        <w:t>cenario</w:t>
      </w:r>
    </w:p>
    <w:p w14:paraId="78D30686" w14:textId="70EA9B89" w:rsidR="00737BD9" w:rsidRPr="00D01CCB" w:rsidRDefault="00221C2C" w:rsidP="00737BD9">
      <w:pPr>
        <w:pStyle w:val="CETBodytext"/>
        <w:rPr>
          <w:lang w:val="en-GB"/>
        </w:rPr>
      </w:pPr>
      <w:r w:rsidRPr="00D01CCB">
        <w:rPr>
          <w:lang w:val="en-GB"/>
        </w:rPr>
        <w:t xml:space="preserve">A new </w:t>
      </w:r>
      <w:r w:rsidR="00056EF9" w:rsidRPr="00D01CCB">
        <w:rPr>
          <w:lang w:val="en-GB"/>
        </w:rPr>
        <w:t>FU</w:t>
      </w:r>
      <w:r w:rsidRPr="00D01CCB">
        <w:rPr>
          <w:lang w:val="en-GB"/>
        </w:rPr>
        <w:t xml:space="preserve"> of 15 g of proteins was considered</w:t>
      </w:r>
      <w:r w:rsidR="00F14B86" w:rsidRPr="00D01CCB">
        <w:rPr>
          <w:lang w:val="en-GB"/>
        </w:rPr>
        <w:t xml:space="preserve">. </w:t>
      </w:r>
      <w:r w:rsidR="00056EF9" w:rsidRPr="00D01CCB">
        <w:rPr>
          <w:lang w:val="en-GB"/>
        </w:rPr>
        <w:t>T</w:t>
      </w:r>
      <w:r w:rsidR="00737BD9" w:rsidRPr="00D01CCB">
        <w:rPr>
          <w:lang w:val="en-GB"/>
        </w:rPr>
        <w:t>able 4 report</w:t>
      </w:r>
      <w:r w:rsidR="00056EF9" w:rsidRPr="00D01CCB">
        <w:rPr>
          <w:lang w:val="en-GB"/>
        </w:rPr>
        <w:t>s</w:t>
      </w:r>
      <w:r w:rsidR="00737BD9" w:rsidRPr="00D01CCB">
        <w:rPr>
          <w:lang w:val="en-GB"/>
        </w:rPr>
        <w:t xml:space="preserve"> the </w:t>
      </w:r>
      <w:r w:rsidRPr="00D01CCB">
        <w:rPr>
          <w:lang w:val="en-GB"/>
        </w:rPr>
        <w:t>most relevant impact categories</w:t>
      </w:r>
      <w:r w:rsidR="00A56FBA">
        <w:rPr>
          <w:lang w:val="en-GB"/>
        </w:rPr>
        <w:t xml:space="preserve"> </w:t>
      </w:r>
      <w:r w:rsidR="00A56FBA" w:rsidRPr="00D01CCB">
        <w:rPr>
          <w:lang w:val="en-GB"/>
        </w:rPr>
        <w:t>(T-ETX, GW</w:t>
      </w:r>
      <w:r w:rsidR="00A56FBA" w:rsidRPr="00D01CCB" w:rsidDel="00F6039E">
        <w:rPr>
          <w:lang w:val="en-GB"/>
        </w:rPr>
        <w:t xml:space="preserve"> </w:t>
      </w:r>
      <w:r w:rsidR="00A56FBA" w:rsidRPr="00D01CCB">
        <w:rPr>
          <w:lang w:val="en-GB"/>
        </w:rPr>
        <w:t>and NR-EN)</w:t>
      </w:r>
      <w:r w:rsidR="00734DA5" w:rsidRPr="00D01CCB">
        <w:rPr>
          <w:lang w:val="en-GB"/>
        </w:rPr>
        <w:t>.</w:t>
      </w:r>
      <w:r w:rsidR="00737BD9" w:rsidRPr="00D01CCB">
        <w:rPr>
          <w:lang w:val="en-GB"/>
        </w:rPr>
        <w:t xml:space="preserve"> </w:t>
      </w:r>
      <w:r w:rsidR="00734DA5" w:rsidRPr="00D01CCB">
        <w:rPr>
          <w:lang w:val="en-GB"/>
        </w:rPr>
        <w:t>T</w:t>
      </w:r>
      <w:r w:rsidR="00737BD9" w:rsidRPr="00D01CCB">
        <w:rPr>
          <w:lang w:val="en-GB"/>
        </w:rPr>
        <w:t xml:space="preserve">he decision to present </w:t>
      </w:r>
      <w:r w:rsidR="00056EF9" w:rsidRPr="00D01CCB">
        <w:rPr>
          <w:lang w:val="en-GB"/>
        </w:rPr>
        <w:t xml:space="preserve">only </w:t>
      </w:r>
      <w:r w:rsidR="00737BD9" w:rsidRPr="00D01CCB">
        <w:rPr>
          <w:lang w:val="en-GB"/>
        </w:rPr>
        <w:t xml:space="preserve">these impact categories </w:t>
      </w:r>
      <w:r w:rsidR="00056EF9" w:rsidRPr="00D01CCB">
        <w:rPr>
          <w:lang w:val="en-GB"/>
        </w:rPr>
        <w:t xml:space="preserve">is </w:t>
      </w:r>
      <w:r w:rsidR="00A56FBA">
        <w:rPr>
          <w:lang w:val="en-GB"/>
        </w:rPr>
        <w:t>enforced by</w:t>
      </w:r>
      <w:r w:rsidR="00056EF9" w:rsidRPr="00D01CCB">
        <w:rPr>
          <w:lang w:val="en-GB"/>
        </w:rPr>
        <w:t xml:space="preserve"> the</w:t>
      </w:r>
      <w:r w:rsidR="00734DA5" w:rsidRPr="00D01CCB">
        <w:rPr>
          <w:lang w:val="en-GB"/>
        </w:rPr>
        <w:t xml:space="preserve"> </w:t>
      </w:r>
      <w:r w:rsidR="00737BD9" w:rsidRPr="00D01CCB">
        <w:rPr>
          <w:lang w:val="en-GB"/>
        </w:rPr>
        <w:t>higher magnitude</w:t>
      </w:r>
      <w:r w:rsidR="00056EF9" w:rsidRPr="00D01CCB">
        <w:rPr>
          <w:lang w:val="en-GB"/>
        </w:rPr>
        <w:t xml:space="preserve"> compared to other</w:t>
      </w:r>
      <w:r w:rsidR="00A56FBA">
        <w:rPr>
          <w:lang w:val="en-GB"/>
        </w:rPr>
        <w:t>s and</w:t>
      </w:r>
      <w:r w:rsidR="004D46EC">
        <w:rPr>
          <w:lang w:val="en-GB"/>
        </w:rPr>
        <w:t xml:space="preserve"> </w:t>
      </w:r>
      <w:r w:rsidR="008A735E">
        <w:rPr>
          <w:lang w:val="en-GB"/>
        </w:rPr>
        <w:t xml:space="preserve">by </w:t>
      </w:r>
      <w:r w:rsidR="004D46EC">
        <w:rPr>
          <w:lang w:val="en-GB"/>
        </w:rPr>
        <w:t xml:space="preserve">the </w:t>
      </w:r>
      <w:r w:rsidR="00A56FBA" w:rsidRPr="00A56FBA">
        <w:rPr>
          <w:lang w:val="en-GB"/>
        </w:rPr>
        <w:t>better</w:t>
      </w:r>
      <w:r w:rsidR="004D46EC">
        <w:rPr>
          <w:lang w:val="en-GB"/>
        </w:rPr>
        <w:t xml:space="preserve"> capacity to</w:t>
      </w:r>
      <w:r w:rsidR="00A56FBA" w:rsidRPr="00A56FBA">
        <w:rPr>
          <w:lang w:val="en-GB"/>
        </w:rPr>
        <w:t xml:space="preserve"> describe the environmental impact </w:t>
      </w:r>
      <w:r w:rsidR="00A56FBA">
        <w:rPr>
          <w:lang w:val="en-GB"/>
        </w:rPr>
        <w:t>trend</w:t>
      </w:r>
      <w:r w:rsidR="004D46EC">
        <w:rPr>
          <w:lang w:val="en-GB"/>
        </w:rPr>
        <w:t>s</w:t>
      </w:r>
      <w:r w:rsidR="00A56FBA">
        <w:rPr>
          <w:lang w:val="en-GB"/>
        </w:rPr>
        <w:t xml:space="preserve"> of the two products</w:t>
      </w:r>
      <w:r w:rsidR="00737BD9" w:rsidRPr="00D01CCB">
        <w:rPr>
          <w:lang w:val="en-GB"/>
        </w:rPr>
        <w:t xml:space="preserve">. </w:t>
      </w:r>
      <w:r w:rsidR="00BE651F" w:rsidRPr="00D01CCB">
        <w:rPr>
          <w:lang w:val="en-GB"/>
        </w:rPr>
        <w:t>The variations</w:t>
      </w:r>
      <w:r w:rsidR="00BE651F">
        <w:rPr>
          <w:lang w:val="en-GB"/>
        </w:rPr>
        <w:t xml:space="preserve"> of the impacts</w:t>
      </w:r>
      <w:r w:rsidR="00BE651F" w:rsidRPr="00D01CCB">
        <w:rPr>
          <w:lang w:val="en-GB"/>
        </w:rPr>
        <w:t xml:space="preserve"> are related</w:t>
      </w:r>
      <w:r w:rsidR="00BE651F">
        <w:rPr>
          <w:lang w:val="en-GB"/>
        </w:rPr>
        <w:t xml:space="preserve"> only</w:t>
      </w:r>
      <w:r w:rsidR="00BE651F" w:rsidRPr="00D01CCB">
        <w:rPr>
          <w:lang w:val="en-GB"/>
        </w:rPr>
        <w:t xml:space="preserve"> to the LBB, </w:t>
      </w:r>
      <w:r w:rsidR="00BE651F">
        <w:rPr>
          <w:lang w:val="en-GB"/>
        </w:rPr>
        <w:t>the 1</w:t>
      </w:r>
      <w:r w:rsidR="00BE651F" w:rsidRPr="00D01CCB">
        <w:rPr>
          <w:lang w:val="en-GB"/>
        </w:rPr>
        <w:t>5 g of protein</w:t>
      </w:r>
      <w:r w:rsidR="00BE651F">
        <w:rPr>
          <w:lang w:val="en-GB"/>
        </w:rPr>
        <w:t xml:space="preserve">, intended as the new FU, </w:t>
      </w:r>
      <w:r w:rsidR="00BE651F" w:rsidRPr="00D01CCB">
        <w:rPr>
          <w:lang w:val="en-GB"/>
        </w:rPr>
        <w:t>is</w:t>
      </w:r>
      <w:r w:rsidR="00BE651F">
        <w:rPr>
          <w:lang w:val="en-GB"/>
        </w:rPr>
        <w:t xml:space="preserve"> the quantity of protein contented in 1 </w:t>
      </w:r>
      <w:r w:rsidR="00BE651F" w:rsidRPr="00D01CCB">
        <w:rPr>
          <w:lang w:val="en-GB"/>
        </w:rPr>
        <w:t xml:space="preserve">MB; </w:t>
      </w:r>
      <w:proofErr w:type="gramStart"/>
      <w:r w:rsidR="00BE651F">
        <w:rPr>
          <w:lang w:val="en-GB"/>
        </w:rPr>
        <w:t xml:space="preserve">in order </w:t>
      </w:r>
      <w:r w:rsidR="00BE651F" w:rsidRPr="00D01CCB">
        <w:rPr>
          <w:lang w:val="en-GB"/>
        </w:rPr>
        <w:t>to</w:t>
      </w:r>
      <w:proofErr w:type="gramEnd"/>
      <w:r w:rsidR="00BE651F" w:rsidRPr="00D01CCB">
        <w:rPr>
          <w:lang w:val="en-GB"/>
        </w:rPr>
        <w:t xml:space="preserve"> reach the same quantity of</w:t>
      </w:r>
      <w:r w:rsidR="00BE651F">
        <w:rPr>
          <w:lang w:val="en-GB"/>
        </w:rPr>
        <w:t xml:space="preserve"> protein in the LBB</w:t>
      </w:r>
      <w:r w:rsidR="00BE651F" w:rsidRPr="00D01CCB">
        <w:rPr>
          <w:lang w:val="en-GB"/>
        </w:rPr>
        <w:t xml:space="preserve">, </w:t>
      </w:r>
      <w:r w:rsidR="00BE651F">
        <w:rPr>
          <w:lang w:val="en-GB"/>
        </w:rPr>
        <w:t>its</w:t>
      </w:r>
      <w:r w:rsidR="00BE651F" w:rsidRPr="00D01CCB">
        <w:rPr>
          <w:lang w:val="en-GB"/>
        </w:rPr>
        <w:t xml:space="preserve"> production must be doubled.</w:t>
      </w:r>
    </w:p>
    <w:p w14:paraId="165A746E" w14:textId="7372A414" w:rsidR="0059561B" w:rsidRPr="00D01CCB" w:rsidRDefault="0059561B" w:rsidP="0059561B">
      <w:pPr>
        <w:pStyle w:val="CETTabletitle"/>
      </w:pPr>
      <w:r w:rsidRPr="00D01CCB">
        <w:t xml:space="preserve">Table </w:t>
      </w:r>
      <w:r w:rsidR="00BE1DCB" w:rsidRPr="00D01CCB">
        <w:t>4</w:t>
      </w:r>
      <w:r w:rsidRPr="00D01CCB">
        <w:t xml:space="preserve">: </w:t>
      </w:r>
      <w:r w:rsidR="00056EF9" w:rsidRPr="00D01CCB">
        <w:t>I</w:t>
      </w:r>
      <w:r w:rsidR="00415891" w:rsidRPr="00D01CCB">
        <w:t xml:space="preserve">mpact </w:t>
      </w:r>
      <w:r w:rsidR="00056EF9" w:rsidRPr="00D01CCB">
        <w:t xml:space="preserve">values </w:t>
      </w:r>
      <w:r w:rsidR="00415891" w:rsidRPr="00D01CCB">
        <w:t xml:space="preserve">switching the </w:t>
      </w:r>
      <w:r w:rsidR="00056EF9" w:rsidRPr="00D01CCB">
        <w:t>FU</w:t>
      </w:r>
      <w:r w:rsidR="00415891" w:rsidRPr="00D01CCB">
        <w:t xml:space="preserve"> from one burger to 15 g of protein</w:t>
      </w:r>
    </w:p>
    <w:tbl>
      <w:tblPr>
        <w:tblW w:w="766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82"/>
        <w:gridCol w:w="1561"/>
        <w:gridCol w:w="1561"/>
        <w:gridCol w:w="1561"/>
      </w:tblGrid>
      <w:tr w:rsidR="00C41ED0" w:rsidRPr="00D01CCB" w14:paraId="0408DF31" w14:textId="77777777" w:rsidTr="008D30C3">
        <w:trPr>
          <w:trHeight w:val="283"/>
        </w:trPr>
        <w:tc>
          <w:tcPr>
            <w:tcW w:w="2982" w:type="dxa"/>
            <w:tcBorders>
              <w:top w:val="single" w:sz="12" w:space="0" w:color="008000"/>
              <w:bottom w:val="single" w:sz="6" w:space="0" w:color="008000"/>
            </w:tcBorders>
            <w:shd w:val="clear" w:color="auto" w:fill="FFFFFF"/>
            <w:vAlign w:val="center"/>
          </w:tcPr>
          <w:p w14:paraId="4324275D" w14:textId="6AD13644" w:rsidR="00C41ED0" w:rsidRPr="00D01CCB" w:rsidRDefault="00C41ED0" w:rsidP="00C41ED0">
            <w:pPr>
              <w:pStyle w:val="CETBodytext"/>
              <w:jc w:val="center"/>
              <w:rPr>
                <w:lang w:val="en-GB"/>
              </w:rPr>
            </w:pPr>
            <w:r w:rsidRPr="00D01CCB">
              <w:rPr>
                <w:lang w:val="en-GB"/>
              </w:rPr>
              <w:t>Impact category</w:t>
            </w:r>
          </w:p>
        </w:tc>
        <w:tc>
          <w:tcPr>
            <w:tcW w:w="1561" w:type="dxa"/>
            <w:tcBorders>
              <w:top w:val="single" w:sz="12" w:space="0" w:color="008000"/>
              <w:bottom w:val="single" w:sz="6" w:space="0" w:color="008000"/>
            </w:tcBorders>
            <w:shd w:val="clear" w:color="auto" w:fill="FFFFFF"/>
            <w:vAlign w:val="center"/>
          </w:tcPr>
          <w:p w14:paraId="5D06FF1D" w14:textId="77777777" w:rsidR="00C41ED0" w:rsidRPr="00D01CCB" w:rsidRDefault="00C41ED0" w:rsidP="00E44784">
            <w:pPr>
              <w:pStyle w:val="CETBodytext"/>
              <w:jc w:val="center"/>
              <w:rPr>
                <w:lang w:val="en-GB"/>
              </w:rPr>
            </w:pPr>
            <w:r w:rsidRPr="00D01CCB">
              <w:rPr>
                <w:lang w:val="en-GB"/>
              </w:rPr>
              <w:t>Product</w:t>
            </w:r>
          </w:p>
        </w:tc>
        <w:tc>
          <w:tcPr>
            <w:tcW w:w="1561" w:type="dxa"/>
            <w:tcBorders>
              <w:top w:val="single" w:sz="12" w:space="0" w:color="008000"/>
              <w:bottom w:val="single" w:sz="6" w:space="0" w:color="008000"/>
            </w:tcBorders>
            <w:shd w:val="clear" w:color="auto" w:fill="FFFFFF"/>
            <w:vAlign w:val="center"/>
          </w:tcPr>
          <w:p w14:paraId="7075DDB0" w14:textId="77777777" w:rsidR="00C41ED0" w:rsidRPr="00D01CCB" w:rsidRDefault="00C41ED0" w:rsidP="00E44784">
            <w:pPr>
              <w:pStyle w:val="CETBodytext"/>
              <w:jc w:val="center"/>
              <w:rPr>
                <w:lang w:val="en-GB"/>
              </w:rPr>
            </w:pPr>
            <w:r w:rsidRPr="00D01CCB">
              <w:rPr>
                <w:lang w:val="en-GB"/>
              </w:rPr>
              <w:t>1 burger</w:t>
            </w:r>
          </w:p>
        </w:tc>
        <w:tc>
          <w:tcPr>
            <w:tcW w:w="1561" w:type="dxa"/>
            <w:tcBorders>
              <w:top w:val="single" w:sz="12" w:space="0" w:color="008000"/>
              <w:bottom w:val="single" w:sz="6" w:space="0" w:color="008000"/>
            </w:tcBorders>
            <w:shd w:val="clear" w:color="auto" w:fill="FFFFFF"/>
            <w:vAlign w:val="center"/>
          </w:tcPr>
          <w:p w14:paraId="74C6A730" w14:textId="5CAD047E" w:rsidR="00C41ED0" w:rsidRPr="00D01CCB" w:rsidRDefault="00C41ED0" w:rsidP="00E44784">
            <w:pPr>
              <w:pStyle w:val="CETBodytext"/>
              <w:jc w:val="center"/>
              <w:rPr>
                <w:lang w:val="en-GB"/>
              </w:rPr>
            </w:pPr>
            <w:r w:rsidRPr="00D01CCB">
              <w:rPr>
                <w:lang w:val="en-GB"/>
              </w:rPr>
              <w:t>15 g Protein</w:t>
            </w:r>
          </w:p>
        </w:tc>
      </w:tr>
      <w:tr w:rsidR="00C41ED0" w:rsidRPr="00D01CCB" w14:paraId="36519C6C" w14:textId="77777777" w:rsidTr="008D30C3">
        <w:trPr>
          <w:trHeight w:val="283"/>
        </w:trPr>
        <w:tc>
          <w:tcPr>
            <w:tcW w:w="2982" w:type="dxa"/>
            <w:vMerge w:val="restart"/>
            <w:shd w:val="clear" w:color="auto" w:fill="FFFFFF"/>
            <w:vAlign w:val="center"/>
          </w:tcPr>
          <w:p w14:paraId="0367CDCC" w14:textId="3D7BAE5C" w:rsidR="00C41ED0" w:rsidRPr="00D01CCB" w:rsidRDefault="00C41ED0" w:rsidP="00C41ED0">
            <w:pPr>
              <w:pStyle w:val="CETBodytext"/>
              <w:jc w:val="center"/>
              <w:rPr>
                <w:lang w:val="en-GB"/>
              </w:rPr>
            </w:pPr>
            <w:r w:rsidRPr="00D01CCB">
              <w:rPr>
                <w:lang w:val="en-GB"/>
              </w:rPr>
              <w:t>T-ETX (kg TEG soil)</w:t>
            </w:r>
          </w:p>
        </w:tc>
        <w:tc>
          <w:tcPr>
            <w:tcW w:w="1561" w:type="dxa"/>
            <w:shd w:val="clear" w:color="auto" w:fill="FFFFFF"/>
            <w:vAlign w:val="center"/>
          </w:tcPr>
          <w:p w14:paraId="404EBB97" w14:textId="77777777" w:rsidR="00C41ED0" w:rsidRPr="00D01CCB" w:rsidRDefault="00C41ED0" w:rsidP="00E44784">
            <w:pPr>
              <w:pStyle w:val="CETBodytext"/>
              <w:jc w:val="center"/>
              <w:rPr>
                <w:lang w:val="en-GB"/>
              </w:rPr>
            </w:pPr>
            <w:r w:rsidRPr="00D01CCB">
              <w:rPr>
                <w:lang w:val="en-GB"/>
              </w:rPr>
              <w:t>MB</w:t>
            </w:r>
          </w:p>
        </w:tc>
        <w:tc>
          <w:tcPr>
            <w:tcW w:w="1561" w:type="dxa"/>
            <w:shd w:val="clear" w:color="auto" w:fill="FFFFFF"/>
            <w:vAlign w:val="center"/>
          </w:tcPr>
          <w:p w14:paraId="277F5757" w14:textId="38EFFD4E" w:rsidR="00C41ED0" w:rsidRPr="00D01CCB" w:rsidRDefault="00C41ED0" w:rsidP="00E44784">
            <w:pPr>
              <w:pStyle w:val="CETBodytext"/>
              <w:jc w:val="center"/>
              <w:rPr>
                <w:lang w:val="en-GB"/>
              </w:rPr>
            </w:pPr>
            <w:r w:rsidRPr="00D01CCB">
              <w:rPr>
                <w:lang w:val="en-GB"/>
              </w:rPr>
              <w:t>572.53</w:t>
            </w:r>
          </w:p>
        </w:tc>
        <w:tc>
          <w:tcPr>
            <w:tcW w:w="1561" w:type="dxa"/>
            <w:shd w:val="clear" w:color="auto" w:fill="FFFFFF"/>
            <w:vAlign w:val="center"/>
          </w:tcPr>
          <w:p w14:paraId="5B466305" w14:textId="04E90F5A" w:rsidR="00C41ED0" w:rsidRPr="00D01CCB" w:rsidRDefault="00C41ED0" w:rsidP="00E44784">
            <w:pPr>
              <w:pStyle w:val="CETBodytext"/>
              <w:jc w:val="center"/>
              <w:rPr>
                <w:lang w:val="en-GB"/>
              </w:rPr>
            </w:pPr>
            <w:r w:rsidRPr="00D01CCB">
              <w:rPr>
                <w:lang w:val="en-GB"/>
              </w:rPr>
              <w:t>572.53</w:t>
            </w:r>
          </w:p>
        </w:tc>
      </w:tr>
      <w:tr w:rsidR="00C41ED0" w:rsidRPr="00D01CCB" w14:paraId="48ED214F" w14:textId="77777777" w:rsidTr="008D30C3">
        <w:trPr>
          <w:trHeight w:val="283"/>
        </w:trPr>
        <w:tc>
          <w:tcPr>
            <w:tcW w:w="2982" w:type="dxa"/>
            <w:vMerge/>
            <w:shd w:val="clear" w:color="auto" w:fill="FFFFFF"/>
            <w:vAlign w:val="center"/>
          </w:tcPr>
          <w:p w14:paraId="0A32199E" w14:textId="77777777" w:rsidR="00C41ED0" w:rsidRPr="00D01CCB" w:rsidRDefault="00C41ED0" w:rsidP="00E44784">
            <w:pPr>
              <w:pStyle w:val="CETBodytext"/>
              <w:ind w:left="360"/>
              <w:jc w:val="center"/>
              <w:rPr>
                <w:lang w:val="en-GB"/>
              </w:rPr>
            </w:pPr>
          </w:p>
        </w:tc>
        <w:tc>
          <w:tcPr>
            <w:tcW w:w="1561" w:type="dxa"/>
            <w:shd w:val="clear" w:color="auto" w:fill="FFFFFF"/>
            <w:vAlign w:val="center"/>
          </w:tcPr>
          <w:p w14:paraId="3F0D7EDE" w14:textId="77777777" w:rsidR="00C41ED0" w:rsidRPr="00D01CCB" w:rsidRDefault="00C41ED0" w:rsidP="00E44784">
            <w:pPr>
              <w:pStyle w:val="CETBodytext"/>
              <w:jc w:val="center"/>
              <w:rPr>
                <w:lang w:val="en-GB"/>
              </w:rPr>
            </w:pPr>
            <w:r w:rsidRPr="00D01CCB">
              <w:rPr>
                <w:lang w:val="en-GB"/>
              </w:rPr>
              <w:t>LBB</w:t>
            </w:r>
          </w:p>
        </w:tc>
        <w:tc>
          <w:tcPr>
            <w:tcW w:w="1561" w:type="dxa"/>
            <w:shd w:val="clear" w:color="auto" w:fill="FFFFFF"/>
            <w:vAlign w:val="center"/>
          </w:tcPr>
          <w:p w14:paraId="03C8D488" w14:textId="1390369B" w:rsidR="00C41ED0" w:rsidRPr="00D01CCB" w:rsidRDefault="00C41ED0" w:rsidP="00E44784">
            <w:pPr>
              <w:pStyle w:val="CETBodytext"/>
              <w:jc w:val="center"/>
              <w:rPr>
                <w:b/>
                <w:lang w:val="en-GB"/>
              </w:rPr>
            </w:pPr>
            <w:r w:rsidRPr="00D01CCB">
              <w:rPr>
                <w:b/>
                <w:lang w:val="en-GB"/>
              </w:rPr>
              <w:t>157.43</w:t>
            </w:r>
          </w:p>
        </w:tc>
        <w:tc>
          <w:tcPr>
            <w:tcW w:w="1561" w:type="dxa"/>
            <w:shd w:val="clear" w:color="auto" w:fill="FFFFFF"/>
            <w:vAlign w:val="center"/>
          </w:tcPr>
          <w:p w14:paraId="4A8E1CA1" w14:textId="12FF7E90" w:rsidR="00C41ED0" w:rsidRPr="00D01CCB" w:rsidRDefault="00C41ED0" w:rsidP="00E44784">
            <w:pPr>
              <w:pStyle w:val="CETBodytext"/>
              <w:jc w:val="center"/>
              <w:rPr>
                <w:b/>
                <w:lang w:val="en-GB"/>
              </w:rPr>
            </w:pPr>
            <w:r w:rsidRPr="00D01CCB">
              <w:rPr>
                <w:b/>
                <w:lang w:val="en-GB"/>
              </w:rPr>
              <w:t>314.8</w:t>
            </w:r>
            <w:r w:rsidR="0015196F" w:rsidRPr="00D01CCB">
              <w:rPr>
                <w:b/>
                <w:lang w:val="en-GB"/>
              </w:rPr>
              <w:t>7</w:t>
            </w:r>
          </w:p>
        </w:tc>
      </w:tr>
      <w:tr w:rsidR="00C41ED0" w:rsidRPr="00D01CCB" w14:paraId="1D55BC1A" w14:textId="77777777" w:rsidTr="008D30C3">
        <w:trPr>
          <w:trHeight w:val="283"/>
        </w:trPr>
        <w:tc>
          <w:tcPr>
            <w:tcW w:w="2982" w:type="dxa"/>
            <w:vMerge w:val="restart"/>
            <w:shd w:val="clear" w:color="auto" w:fill="FFFFFF"/>
            <w:vAlign w:val="center"/>
          </w:tcPr>
          <w:p w14:paraId="0D91F228" w14:textId="46180259" w:rsidR="00C41ED0" w:rsidRPr="00D01CCB" w:rsidRDefault="00C41ED0" w:rsidP="00C41ED0">
            <w:pPr>
              <w:pStyle w:val="CETBodytext"/>
              <w:jc w:val="center"/>
              <w:rPr>
                <w:lang w:val="en-GB"/>
              </w:rPr>
            </w:pPr>
            <w:r w:rsidRPr="00D01CCB">
              <w:rPr>
                <w:lang w:val="en-GB"/>
              </w:rPr>
              <w:t>GW (kg CO</w:t>
            </w:r>
            <w:r w:rsidRPr="00D01CCB">
              <w:rPr>
                <w:vertAlign w:val="subscript"/>
                <w:lang w:val="en-GB"/>
              </w:rPr>
              <w:t>2</w:t>
            </w:r>
            <w:r w:rsidRPr="00D01CCB">
              <w:rPr>
                <w:lang w:val="en-GB"/>
              </w:rPr>
              <w:t xml:space="preserve"> </w:t>
            </w:r>
            <w:proofErr w:type="spellStart"/>
            <w:r w:rsidRPr="00D01CCB">
              <w:rPr>
                <w:lang w:val="en-GB"/>
              </w:rPr>
              <w:t>eq</w:t>
            </w:r>
            <w:proofErr w:type="spellEnd"/>
            <w:r w:rsidRPr="00D01CCB">
              <w:rPr>
                <w:lang w:val="en-GB"/>
              </w:rPr>
              <w:t>)</w:t>
            </w:r>
          </w:p>
        </w:tc>
        <w:tc>
          <w:tcPr>
            <w:tcW w:w="1561" w:type="dxa"/>
            <w:shd w:val="clear" w:color="auto" w:fill="FFFFFF"/>
            <w:vAlign w:val="center"/>
          </w:tcPr>
          <w:p w14:paraId="33039DA8" w14:textId="77777777" w:rsidR="00C41ED0" w:rsidRPr="00D01CCB" w:rsidRDefault="00C41ED0" w:rsidP="00E44784">
            <w:pPr>
              <w:pStyle w:val="CETBodytext"/>
              <w:jc w:val="center"/>
              <w:rPr>
                <w:lang w:val="en-GB"/>
              </w:rPr>
            </w:pPr>
            <w:r w:rsidRPr="00D01CCB">
              <w:rPr>
                <w:lang w:val="en-GB"/>
              </w:rPr>
              <w:t>MB</w:t>
            </w:r>
          </w:p>
        </w:tc>
        <w:tc>
          <w:tcPr>
            <w:tcW w:w="1561" w:type="dxa"/>
            <w:shd w:val="clear" w:color="auto" w:fill="FFFFFF"/>
            <w:vAlign w:val="center"/>
          </w:tcPr>
          <w:p w14:paraId="2CC4078E" w14:textId="2F77BA7A" w:rsidR="00C41ED0" w:rsidRPr="00D01CCB" w:rsidRDefault="00C41ED0" w:rsidP="00E44784">
            <w:pPr>
              <w:pStyle w:val="CETBodytext"/>
              <w:jc w:val="center"/>
              <w:rPr>
                <w:lang w:val="en-GB"/>
              </w:rPr>
            </w:pPr>
            <w:r w:rsidRPr="00D01CCB">
              <w:rPr>
                <w:lang w:val="en-GB"/>
              </w:rPr>
              <w:t>1.04</w:t>
            </w:r>
          </w:p>
        </w:tc>
        <w:tc>
          <w:tcPr>
            <w:tcW w:w="1561" w:type="dxa"/>
            <w:shd w:val="clear" w:color="auto" w:fill="FFFFFF"/>
            <w:vAlign w:val="center"/>
          </w:tcPr>
          <w:p w14:paraId="77629E09" w14:textId="61C6918A" w:rsidR="00C41ED0" w:rsidRPr="00D01CCB" w:rsidRDefault="00C41ED0" w:rsidP="00E44784">
            <w:pPr>
              <w:pStyle w:val="CETBodytext"/>
              <w:jc w:val="center"/>
              <w:rPr>
                <w:lang w:val="en-GB"/>
              </w:rPr>
            </w:pPr>
            <w:r w:rsidRPr="00D01CCB">
              <w:rPr>
                <w:lang w:val="en-GB"/>
              </w:rPr>
              <w:t>1.04</w:t>
            </w:r>
          </w:p>
        </w:tc>
      </w:tr>
      <w:tr w:rsidR="00C41ED0" w:rsidRPr="00D01CCB" w14:paraId="12D3E2A1" w14:textId="77777777" w:rsidTr="008D30C3">
        <w:trPr>
          <w:trHeight w:val="283"/>
        </w:trPr>
        <w:tc>
          <w:tcPr>
            <w:tcW w:w="2982" w:type="dxa"/>
            <w:vMerge/>
            <w:shd w:val="clear" w:color="auto" w:fill="FFFFFF"/>
            <w:vAlign w:val="center"/>
          </w:tcPr>
          <w:p w14:paraId="02705A8B" w14:textId="77777777" w:rsidR="00C41ED0" w:rsidRPr="00D01CCB" w:rsidRDefault="00C41ED0" w:rsidP="00E44784">
            <w:pPr>
              <w:pStyle w:val="CETBodytext"/>
              <w:ind w:left="360"/>
              <w:jc w:val="center"/>
              <w:rPr>
                <w:lang w:val="en-GB"/>
              </w:rPr>
            </w:pPr>
          </w:p>
        </w:tc>
        <w:tc>
          <w:tcPr>
            <w:tcW w:w="1561" w:type="dxa"/>
            <w:shd w:val="clear" w:color="auto" w:fill="FFFFFF"/>
            <w:vAlign w:val="center"/>
          </w:tcPr>
          <w:p w14:paraId="2B4E3BC6" w14:textId="77777777" w:rsidR="00C41ED0" w:rsidRPr="00D01CCB" w:rsidRDefault="00C41ED0" w:rsidP="00E44784">
            <w:pPr>
              <w:pStyle w:val="CETBodytext"/>
              <w:jc w:val="center"/>
              <w:rPr>
                <w:lang w:val="en-GB"/>
              </w:rPr>
            </w:pPr>
            <w:r w:rsidRPr="00D01CCB">
              <w:rPr>
                <w:lang w:val="en-GB"/>
              </w:rPr>
              <w:t>LBB</w:t>
            </w:r>
          </w:p>
        </w:tc>
        <w:tc>
          <w:tcPr>
            <w:tcW w:w="1561" w:type="dxa"/>
            <w:shd w:val="clear" w:color="auto" w:fill="FFFFFF"/>
            <w:vAlign w:val="center"/>
          </w:tcPr>
          <w:p w14:paraId="7357D406" w14:textId="399D9C40" w:rsidR="00C41ED0" w:rsidRPr="00D01CCB" w:rsidRDefault="00C41ED0" w:rsidP="00E44784">
            <w:pPr>
              <w:pStyle w:val="CETBodytext"/>
              <w:jc w:val="center"/>
              <w:rPr>
                <w:b/>
                <w:lang w:val="en-GB"/>
              </w:rPr>
            </w:pPr>
            <w:r w:rsidRPr="00D01CCB">
              <w:rPr>
                <w:b/>
                <w:lang w:val="en-GB"/>
              </w:rPr>
              <w:t>0.47</w:t>
            </w:r>
          </w:p>
        </w:tc>
        <w:tc>
          <w:tcPr>
            <w:tcW w:w="1561" w:type="dxa"/>
            <w:shd w:val="clear" w:color="auto" w:fill="FFFFFF"/>
            <w:vAlign w:val="center"/>
          </w:tcPr>
          <w:p w14:paraId="0B6DEAC3" w14:textId="24F46F4C" w:rsidR="00C41ED0" w:rsidRPr="00D01CCB" w:rsidRDefault="00C41ED0" w:rsidP="00E44784">
            <w:pPr>
              <w:pStyle w:val="CETBodytext"/>
              <w:jc w:val="center"/>
              <w:rPr>
                <w:b/>
                <w:lang w:val="en-GB"/>
              </w:rPr>
            </w:pPr>
            <w:r w:rsidRPr="00D01CCB">
              <w:rPr>
                <w:b/>
                <w:lang w:val="en-GB"/>
              </w:rPr>
              <w:t>0.95</w:t>
            </w:r>
          </w:p>
        </w:tc>
      </w:tr>
      <w:tr w:rsidR="00C41ED0" w:rsidRPr="00D01CCB" w14:paraId="0F99E5EF" w14:textId="77777777" w:rsidTr="008D30C3">
        <w:trPr>
          <w:trHeight w:val="283"/>
        </w:trPr>
        <w:tc>
          <w:tcPr>
            <w:tcW w:w="2982" w:type="dxa"/>
            <w:vMerge w:val="restart"/>
            <w:shd w:val="clear" w:color="auto" w:fill="FFFFFF"/>
            <w:vAlign w:val="center"/>
          </w:tcPr>
          <w:p w14:paraId="45B2F087" w14:textId="6FEB83D6" w:rsidR="00C41ED0" w:rsidRPr="00D01CCB" w:rsidRDefault="00C41ED0" w:rsidP="00C41ED0">
            <w:pPr>
              <w:pStyle w:val="CETBodytext"/>
              <w:jc w:val="center"/>
              <w:rPr>
                <w:lang w:val="en-GB"/>
              </w:rPr>
            </w:pPr>
            <w:r w:rsidRPr="00D01CCB">
              <w:rPr>
                <w:lang w:val="en-GB"/>
              </w:rPr>
              <w:t>NR-EN</w:t>
            </w:r>
            <w:r w:rsidR="00BE1DCB" w:rsidRPr="00D01CCB">
              <w:rPr>
                <w:lang w:val="en-GB"/>
              </w:rPr>
              <w:t xml:space="preserve"> </w:t>
            </w:r>
            <w:r w:rsidRPr="00D01CCB">
              <w:rPr>
                <w:lang w:val="en-GB"/>
              </w:rPr>
              <w:t>(MJ primary)</w:t>
            </w:r>
          </w:p>
        </w:tc>
        <w:tc>
          <w:tcPr>
            <w:tcW w:w="1561" w:type="dxa"/>
            <w:shd w:val="clear" w:color="auto" w:fill="FFFFFF"/>
            <w:vAlign w:val="center"/>
          </w:tcPr>
          <w:p w14:paraId="7CC24B8C" w14:textId="77777777" w:rsidR="00C41ED0" w:rsidRPr="00D01CCB" w:rsidRDefault="00C41ED0" w:rsidP="00E44784">
            <w:pPr>
              <w:pStyle w:val="CETBodytext"/>
              <w:jc w:val="center"/>
              <w:rPr>
                <w:lang w:val="en-GB"/>
              </w:rPr>
            </w:pPr>
            <w:r w:rsidRPr="00D01CCB">
              <w:rPr>
                <w:lang w:val="en-GB"/>
              </w:rPr>
              <w:t>MB</w:t>
            </w:r>
          </w:p>
        </w:tc>
        <w:tc>
          <w:tcPr>
            <w:tcW w:w="1561" w:type="dxa"/>
            <w:shd w:val="clear" w:color="auto" w:fill="FFFFFF"/>
            <w:vAlign w:val="center"/>
          </w:tcPr>
          <w:p w14:paraId="44D93843" w14:textId="68CD71D7" w:rsidR="00C41ED0" w:rsidRPr="00D01CCB" w:rsidRDefault="00C41ED0" w:rsidP="00E44784">
            <w:pPr>
              <w:pStyle w:val="CETBodytext"/>
              <w:jc w:val="center"/>
              <w:rPr>
                <w:lang w:val="en-GB"/>
              </w:rPr>
            </w:pPr>
            <w:r w:rsidRPr="00D01CCB">
              <w:rPr>
                <w:lang w:val="en-GB"/>
              </w:rPr>
              <w:t>16.75</w:t>
            </w:r>
          </w:p>
        </w:tc>
        <w:tc>
          <w:tcPr>
            <w:tcW w:w="1561" w:type="dxa"/>
            <w:shd w:val="clear" w:color="auto" w:fill="FFFFFF"/>
            <w:vAlign w:val="center"/>
          </w:tcPr>
          <w:p w14:paraId="5C504CA9" w14:textId="01D81861" w:rsidR="00C41ED0" w:rsidRPr="00D01CCB" w:rsidRDefault="00C41ED0" w:rsidP="00E44784">
            <w:pPr>
              <w:pStyle w:val="CETBodytext"/>
              <w:jc w:val="center"/>
              <w:rPr>
                <w:lang w:val="en-GB"/>
              </w:rPr>
            </w:pPr>
            <w:r w:rsidRPr="00D01CCB">
              <w:rPr>
                <w:lang w:val="en-GB"/>
              </w:rPr>
              <w:t>16.75</w:t>
            </w:r>
          </w:p>
        </w:tc>
      </w:tr>
      <w:tr w:rsidR="00C41ED0" w:rsidRPr="00D01CCB" w14:paraId="258FEA44" w14:textId="77777777" w:rsidTr="008D30C3">
        <w:trPr>
          <w:trHeight w:val="283"/>
        </w:trPr>
        <w:tc>
          <w:tcPr>
            <w:tcW w:w="2982" w:type="dxa"/>
            <w:vMerge/>
            <w:shd w:val="clear" w:color="auto" w:fill="FFFFFF"/>
            <w:vAlign w:val="center"/>
          </w:tcPr>
          <w:p w14:paraId="6A41451B" w14:textId="77777777" w:rsidR="00C41ED0" w:rsidRPr="00D01CCB" w:rsidRDefault="00C41ED0" w:rsidP="00E44784">
            <w:pPr>
              <w:pStyle w:val="CETBodytext"/>
              <w:ind w:left="360"/>
              <w:jc w:val="center"/>
              <w:rPr>
                <w:lang w:val="en-GB"/>
              </w:rPr>
            </w:pPr>
          </w:p>
        </w:tc>
        <w:tc>
          <w:tcPr>
            <w:tcW w:w="1561" w:type="dxa"/>
            <w:shd w:val="clear" w:color="auto" w:fill="FFFFFF"/>
            <w:vAlign w:val="center"/>
          </w:tcPr>
          <w:p w14:paraId="6505076E" w14:textId="77777777" w:rsidR="00C41ED0" w:rsidRPr="00D01CCB" w:rsidRDefault="00C41ED0" w:rsidP="00E44784">
            <w:pPr>
              <w:pStyle w:val="CETBodytext"/>
              <w:jc w:val="center"/>
              <w:rPr>
                <w:lang w:val="en-GB"/>
              </w:rPr>
            </w:pPr>
            <w:r w:rsidRPr="00D01CCB">
              <w:rPr>
                <w:lang w:val="en-GB"/>
              </w:rPr>
              <w:t>LBB</w:t>
            </w:r>
          </w:p>
        </w:tc>
        <w:tc>
          <w:tcPr>
            <w:tcW w:w="1561" w:type="dxa"/>
            <w:shd w:val="clear" w:color="auto" w:fill="FFFFFF"/>
            <w:vAlign w:val="center"/>
          </w:tcPr>
          <w:p w14:paraId="0CFAF303" w14:textId="6F77CCE3" w:rsidR="00C41ED0" w:rsidRPr="00D01CCB" w:rsidRDefault="00C41ED0" w:rsidP="00E44784">
            <w:pPr>
              <w:pStyle w:val="CETBodytext"/>
              <w:jc w:val="center"/>
              <w:rPr>
                <w:b/>
                <w:lang w:val="en-GB"/>
              </w:rPr>
            </w:pPr>
            <w:r w:rsidRPr="00D01CCB">
              <w:rPr>
                <w:b/>
                <w:lang w:val="en-GB"/>
              </w:rPr>
              <w:t>4.70</w:t>
            </w:r>
          </w:p>
        </w:tc>
        <w:tc>
          <w:tcPr>
            <w:tcW w:w="1561" w:type="dxa"/>
            <w:shd w:val="clear" w:color="auto" w:fill="FFFFFF"/>
            <w:vAlign w:val="center"/>
          </w:tcPr>
          <w:p w14:paraId="12496AB9" w14:textId="0A2B5416" w:rsidR="00C41ED0" w:rsidRPr="00D01CCB" w:rsidRDefault="00C41ED0" w:rsidP="00E44784">
            <w:pPr>
              <w:pStyle w:val="CETBodytext"/>
              <w:jc w:val="center"/>
              <w:rPr>
                <w:b/>
                <w:lang w:val="en-GB"/>
              </w:rPr>
            </w:pPr>
            <w:r w:rsidRPr="00D01CCB">
              <w:rPr>
                <w:b/>
                <w:lang w:val="en-GB"/>
              </w:rPr>
              <w:t>9.40</w:t>
            </w:r>
          </w:p>
        </w:tc>
      </w:tr>
    </w:tbl>
    <w:p w14:paraId="54DF9229" w14:textId="41BDC8FA" w:rsidR="00145D0A" w:rsidRDefault="00AA571A" w:rsidP="00145D0A">
      <w:pPr>
        <w:pStyle w:val="CETBodytext"/>
        <w:spacing w:before="240"/>
        <w:rPr>
          <w:lang w:val="en-GB"/>
        </w:rPr>
      </w:pPr>
      <w:r w:rsidRPr="00AA571A">
        <w:rPr>
          <w:lang w:val="en-GB"/>
        </w:rPr>
        <w:t>From an increase of 100% of the production, the impact categories report doubled values which anyway does not reach or pass the MB values. Considering the GW impact category, the ratio between 1 LBB and 1 MB, which in the mass FU analysis was 2.19, decrease</w:t>
      </w:r>
      <w:r w:rsidR="008A735E">
        <w:rPr>
          <w:lang w:val="en-GB"/>
        </w:rPr>
        <w:t>d</w:t>
      </w:r>
      <w:r w:rsidRPr="00AA571A">
        <w:rPr>
          <w:lang w:val="en-GB"/>
        </w:rPr>
        <w:t xml:space="preserve"> to 1.09. Although doubling the production of the LBB doubles its impacts,</w:t>
      </w:r>
      <w:r>
        <w:rPr>
          <w:lang w:val="en-GB"/>
        </w:rPr>
        <w:t xml:space="preserve"> </w:t>
      </w:r>
      <w:r w:rsidRPr="00AA571A">
        <w:rPr>
          <w:lang w:val="en-GB"/>
        </w:rPr>
        <w:t>this does not exceed the values related to the MB. Overall, considering the 15</w:t>
      </w:r>
      <w:r>
        <w:rPr>
          <w:lang w:val="en-GB"/>
        </w:rPr>
        <w:t xml:space="preserve"> </w:t>
      </w:r>
      <w:r w:rsidRPr="00AA571A">
        <w:rPr>
          <w:lang w:val="en-GB"/>
        </w:rPr>
        <w:t>g</w:t>
      </w:r>
      <w:r>
        <w:rPr>
          <w:lang w:val="en-GB"/>
        </w:rPr>
        <w:t xml:space="preserve"> of protein</w:t>
      </w:r>
      <w:r w:rsidRPr="00AA571A">
        <w:rPr>
          <w:lang w:val="en-GB"/>
        </w:rPr>
        <w:t xml:space="preserve"> FU, the MB shows the worst environmental performances in all impact categories. The production of the 15 g</w:t>
      </w:r>
      <w:r>
        <w:rPr>
          <w:lang w:val="en-GB"/>
        </w:rPr>
        <w:t xml:space="preserve"> of protein</w:t>
      </w:r>
      <w:r w:rsidRPr="00AA571A">
        <w:rPr>
          <w:lang w:val="en-GB"/>
        </w:rPr>
        <w:t xml:space="preserve"> </w:t>
      </w:r>
      <w:r w:rsidR="008A735E">
        <w:rPr>
          <w:lang w:val="en-GB"/>
        </w:rPr>
        <w:t xml:space="preserve">from </w:t>
      </w:r>
      <w:r w:rsidRPr="00AA571A">
        <w:rPr>
          <w:lang w:val="en-GB"/>
        </w:rPr>
        <w:t>LBB saves 0.09 kg of CO</w:t>
      </w:r>
      <w:r w:rsidRPr="00145D0A">
        <w:rPr>
          <w:vertAlign w:val="subscript"/>
          <w:lang w:val="en-GB"/>
        </w:rPr>
        <w:t>2</w:t>
      </w:r>
      <w:r w:rsidRPr="00AA571A">
        <w:rPr>
          <w:lang w:val="en-GB"/>
        </w:rPr>
        <w:t xml:space="preserve"> and 7.35 MJ of primary energy for the hamburger.</w:t>
      </w:r>
      <w:r w:rsidR="00145D0A" w:rsidRPr="00145D0A">
        <w:rPr>
          <w:lang w:val="en-GB"/>
        </w:rPr>
        <w:t xml:space="preserve"> </w:t>
      </w:r>
    </w:p>
    <w:p w14:paraId="6D567329" w14:textId="5691C3B3" w:rsidR="00145D0A" w:rsidRDefault="00145D0A" w:rsidP="00145D0A">
      <w:pPr>
        <w:pStyle w:val="CETBodytext"/>
        <w:rPr>
          <w:lang w:val="en-GB"/>
        </w:rPr>
      </w:pPr>
      <w:r w:rsidRPr="007C550B">
        <w:rPr>
          <w:lang w:val="en-GB"/>
        </w:rPr>
        <w:t xml:space="preserve">The environmental </w:t>
      </w:r>
      <w:r>
        <w:rPr>
          <w:lang w:val="en-GB"/>
        </w:rPr>
        <w:t xml:space="preserve">properties of food products </w:t>
      </w:r>
      <w:r w:rsidR="008A735E">
        <w:rPr>
          <w:lang w:val="en-GB"/>
        </w:rPr>
        <w:t>may not be</w:t>
      </w:r>
      <w:r w:rsidRPr="007C550B">
        <w:rPr>
          <w:lang w:val="en-GB"/>
        </w:rPr>
        <w:t xml:space="preserve"> confused with the nutritional </w:t>
      </w:r>
      <w:r>
        <w:rPr>
          <w:lang w:val="en-GB"/>
        </w:rPr>
        <w:t>aspects</w:t>
      </w:r>
      <w:r w:rsidRPr="007C550B">
        <w:rPr>
          <w:lang w:val="en-GB"/>
        </w:rPr>
        <w:t>, wh</w:t>
      </w:r>
      <w:r w:rsidR="00C26E10">
        <w:rPr>
          <w:lang w:val="en-GB"/>
        </w:rPr>
        <w:t>ich</w:t>
      </w:r>
      <w:r w:rsidRPr="007C550B">
        <w:rPr>
          <w:lang w:val="en-GB"/>
        </w:rPr>
        <w:t xml:space="preserve"> is better for the environment </w:t>
      </w:r>
      <w:r>
        <w:rPr>
          <w:lang w:val="en-GB"/>
        </w:rPr>
        <w:t>does not always represent</w:t>
      </w:r>
      <w:r w:rsidRPr="007C550B">
        <w:rPr>
          <w:lang w:val="en-GB"/>
        </w:rPr>
        <w:t xml:space="preserve"> </w:t>
      </w:r>
      <w:r>
        <w:rPr>
          <w:lang w:val="en-GB"/>
        </w:rPr>
        <w:t xml:space="preserve">the best choice </w:t>
      </w:r>
      <w:r w:rsidRPr="007C550B">
        <w:rPr>
          <w:lang w:val="en-GB"/>
        </w:rPr>
        <w:t>for</w:t>
      </w:r>
      <w:r>
        <w:rPr>
          <w:lang w:val="en-GB"/>
        </w:rPr>
        <w:t xml:space="preserve"> human</w:t>
      </w:r>
      <w:r w:rsidRPr="007C550B">
        <w:rPr>
          <w:lang w:val="en-GB"/>
        </w:rPr>
        <w:t xml:space="preserve"> health. </w:t>
      </w:r>
      <w:r>
        <w:rPr>
          <w:lang w:val="en-GB"/>
        </w:rPr>
        <w:t>Nutritional properties based on objective data were studied and confirmed in previous studies</w:t>
      </w:r>
      <w:r w:rsidR="008A735E">
        <w:rPr>
          <w:lang w:val="en-GB"/>
        </w:rPr>
        <w:t>. But</w:t>
      </w:r>
      <w:r>
        <w:rPr>
          <w:lang w:val="en-GB"/>
        </w:rPr>
        <w:t xml:space="preserve"> from an environmental point of view</w:t>
      </w:r>
      <w:r w:rsidR="00C26E10">
        <w:rPr>
          <w:lang w:val="en-GB"/>
        </w:rPr>
        <w:t>,</w:t>
      </w:r>
      <w:r>
        <w:rPr>
          <w:lang w:val="en-GB"/>
        </w:rPr>
        <w:t xml:space="preserve"> this </w:t>
      </w:r>
      <w:r>
        <w:rPr>
          <w:lang w:val="en-GB"/>
        </w:rPr>
        <w:lastRenderedPageBreak/>
        <w:t xml:space="preserve">behaviour is not so </w:t>
      </w:r>
      <w:proofErr w:type="gramStart"/>
      <w:r>
        <w:rPr>
          <w:lang w:val="en-GB"/>
        </w:rPr>
        <w:t>cle</w:t>
      </w:r>
      <w:bookmarkStart w:id="1" w:name="_GoBack"/>
      <w:bookmarkEnd w:id="1"/>
      <w:r>
        <w:rPr>
          <w:lang w:val="en-GB"/>
        </w:rPr>
        <w:t>ar</w:t>
      </w:r>
      <w:proofErr w:type="gramEnd"/>
      <w:r>
        <w:rPr>
          <w:lang w:val="en-GB"/>
        </w:rPr>
        <w:t xml:space="preserve"> and this study could give</w:t>
      </w:r>
      <w:r w:rsidRPr="007C550B">
        <w:rPr>
          <w:lang w:val="en-GB"/>
        </w:rPr>
        <w:t xml:space="preserve">, </w:t>
      </w:r>
      <w:r w:rsidR="008A735E">
        <w:rPr>
          <w:lang w:val="en-GB"/>
        </w:rPr>
        <w:t>considering the</w:t>
      </w:r>
      <w:r w:rsidRPr="007C550B">
        <w:rPr>
          <w:lang w:val="en-GB"/>
        </w:rPr>
        <w:t xml:space="preserve"> case</w:t>
      </w:r>
      <w:r w:rsidR="008A735E">
        <w:rPr>
          <w:lang w:val="en-GB"/>
        </w:rPr>
        <w:t xml:space="preserve"> studies</w:t>
      </w:r>
      <w:r>
        <w:rPr>
          <w:lang w:val="en-GB"/>
        </w:rPr>
        <w:t xml:space="preserve">, a reasonable </w:t>
      </w:r>
      <w:r w:rsidRPr="00BE651F">
        <w:rPr>
          <w:lang w:val="en-GB"/>
        </w:rPr>
        <w:t>comprehension of the current scenario, basing the study on objective data. These two products are different in nutritional aspects and are consumed</w:t>
      </w:r>
      <w:r w:rsidR="008A735E">
        <w:rPr>
          <w:lang w:val="en-GB"/>
        </w:rPr>
        <w:t xml:space="preserve"> in different quantity</w:t>
      </w:r>
      <w:r w:rsidRPr="00BE651F">
        <w:rPr>
          <w:lang w:val="en-GB"/>
        </w:rPr>
        <w:t xml:space="preserve">, the MB is </w:t>
      </w:r>
      <w:r w:rsidR="00255DBC">
        <w:rPr>
          <w:lang w:val="en-GB"/>
        </w:rPr>
        <w:t xml:space="preserve">nowadays </w:t>
      </w:r>
      <w:r w:rsidRPr="00BE651F">
        <w:rPr>
          <w:lang w:val="en-GB"/>
        </w:rPr>
        <w:t>largely consumed while the LBB has a marginal consumption</w:t>
      </w:r>
      <w:r w:rsidR="00255DBC">
        <w:rPr>
          <w:lang w:val="en-GB"/>
        </w:rPr>
        <w:t xml:space="preserve"> yet, and this</w:t>
      </w:r>
      <w:r w:rsidRPr="00BE651F">
        <w:rPr>
          <w:lang w:val="en-GB"/>
        </w:rPr>
        <w:t xml:space="preserve"> could </w:t>
      </w:r>
      <w:r w:rsidR="00255DBC">
        <w:rPr>
          <w:lang w:val="en-GB"/>
        </w:rPr>
        <w:t>have a future impact from</w:t>
      </w:r>
      <w:r w:rsidRPr="00BE651F">
        <w:rPr>
          <w:lang w:val="en-GB"/>
        </w:rPr>
        <w:t xml:space="preserve"> an environmental </w:t>
      </w:r>
      <w:r w:rsidR="00255DBC">
        <w:rPr>
          <w:lang w:val="en-GB"/>
        </w:rPr>
        <w:t>point of view</w:t>
      </w:r>
      <w:r w:rsidRPr="00BE651F">
        <w:rPr>
          <w:lang w:val="en-GB"/>
        </w:rPr>
        <w:t xml:space="preserve">. </w:t>
      </w:r>
      <w:r w:rsidR="00255DBC">
        <w:rPr>
          <w:lang w:val="en-GB"/>
        </w:rPr>
        <w:t xml:space="preserve">A diffusion of LBB could be envisaged, raising new questions regarding its sustainability. </w:t>
      </w:r>
      <w:r w:rsidRPr="00BE651F">
        <w:rPr>
          <w:lang w:val="en-GB"/>
        </w:rPr>
        <w:t xml:space="preserve">The </w:t>
      </w:r>
      <w:r w:rsidR="00255DBC">
        <w:rPr>
          <w:lang w:val="en-GB"/>
        </w:rPr>
        <w:t>proposed study is a starting point</w:t>
      </w:r>
      <w:r w:rsidRPr="00BE651F">
        <w:rPr>
          <w:lang w:val="en-GB"/>
        </w:rPr>
        <w:t xml:space="preserve"> to </w:t>
      </w:r>
      <w:r w:rsidR="00255DBC">
        <w:rPr>
          <w:lang w:val="en-GB"/>
        </w:rPr>
        <w:t xml:space="preserve">face these </w:t>
      </w:r>
      <w:r w:rsidRPr="00BE651F">
        <w:rPr>
          <w:lang w:val="en-GB"/>
        </w:rPr>
        <w:t xml:space="preserve">environmental questions. </w:t>
      </w:r>
    </w:p>
    <w:p w14:paraId="2C64BFBB" w14:textId="77777777" w:rsidR="00737BD9" w:rsidRPr="007C550B" w:rsidRDefault="00737BD9" w:rsidP="00737BD9">
      <w:pPr>
        <w:pStyle w:val="CETHeading1"/>
        <w:rPr>
          <w:lang w:val="en-GB"/>
        </w:rPr>
      </w:pPr>
      <w:r w:rsidRPr="007C550B">
        <w:rPr>
          <w:lang w:val="en-GB"/>
        </w:rPr>
        <w:t>Conclusion</w:t>
      </w:r>
    </w:p>
    <w:p w14:paraId="392CECB7" w14:textId="5155DF5B" w:rsidR="00CD1215" w:rsidRPr="00BE651F" w:rsidRDefault="00CD1215" w:rsidP="00CD1215">
      <w:pPr>
        <w:pStyle w:val="CETBodytext"/>
        <w:rPr>
          <w:noProof/>
          <w:lang w:val="en-GB"/>
        </w:rPr>
      </w:pPr>
      <w:r w:rsidRPr="00BE651F">
        <w:rPr>
          <w:lang w:val="en-GB"/>
        </w:rPr>
        <w:t>Considering the results obtained using a mass FU, the most sustainable option between the two products is represented by 1 LBB. 3.44</w:t>
      </w:r>
      <w:r w:rsidRPr="00BE651F">
        <w:rPr>
          <w:color w:val="FF0000"/>
          <w:lang w:val="en-GB"/>
        </w:rPr>
        <w:t xml:space="preserve"> </w:t>
      </w:r>
      <w:r w:rsidRPr="00BE651F">
        <w:rPr>
          <w:lang w:val="en-GB"/>
        </w:rPr>
        <w:t xml:space="preserve">LBB must be produced </w:t>
      </w:r>
      <w:proofErr w:type="gramStart"/>
      <w:r w:rsidRPr="00BE651F">
        <w:rPr>
          <w:lang w:val="en-GB"/>
        </w:rPr>
        <w:t>in order to</w:t>
      </w:r>
      <w:proofErr w:type="gramEnd"/>
      <w:r w:rsidRPr="00BE651F">
        <w:rPr>
          <w:lang w:val="en-GB"/>
        </w:rPr>
        <w:t xml:space="preserve"> </w:t>
      </w:r>
      <w:r w:rsidR="00255DBC">
        <w:rPr>
          <w:lang w:val="en-GB"/>
        </w:rPr>
        <w:t>equal</w:t>
      </w:r>
      <w:r w:rsidRPr="00BE651F">
        <w:rPr>
          <w:lang w:val="en-GB"/>
        </w:rPr>
        <w:t xml:space="preserve"> the environment</w:t>
      </w:r>
      <w:r w:rsidR="00C26E10">
        <w:rPr>
          <w:lang w:val="en-GB"/>
        </w:rPr>
        <w:t>al</w:t>
      </w:r>
      <w:r w:rsidRPr="00BE651F">
        <w:rPr>
          <w:lang w:val="en-GB"/>
        </w:rPr>
        <w:t xml:space="preserve"> </w:t>
      </w:r>
      <w:r w:rsidR="00255DBC">
        <w:rPr>
          <w:lang w:val="en-GB"/>
        </w:rPr>
        <w:t>damage of</w:t>
      </w:r>
      <w:r w:rsidRPr="00BE651F">
        <w:rPr>
          <w:lang w:val="en-GB"/>
        </w:rPr>
        <w:t xml:space="preserve"> the production of 1 MB. Also studying the two products using the nutritional FU (15 g proteins), the MB represents the worst environmental option. The results show</w:t>
      </w:r>
      <w:r w:rsidR="00C26E10">
        <w:rPr>
          <w:lang w:val="en-GB"/>
        </w:rPr>
        <w:t>ed</w:t>
      </w:r>
      <w:r w:rsidRPr="00BE651F">
        <w:rPr>
          <w:lang w:val="en-GB"/>
        </w:rPr>
        <w:t xml:space="preserve"> </w:t>
      </w:r>
      <w:r w:rsidRPr="00BE651F">
        <w:rPr>
          <w:noProof/>
          <w:lang w:val="en-GB"/>
        </w:rPr>
        <w:t>a medium gap identified equal to 1.70.</w:t>
      </w:r>
    </w:p>
    <w:p w14:paraId="5FF23E39" w14:textId="0EA454F7" w:rsidR="00737BD9" w:rsidRPr="00D01CCB" w:rsidRDefault="00CD1215" w:rsidP="00737BD9">
      <w:pPr>
        <w:pStyle w:val="CETBodytext"/>
        <w:rPr>
          <w:lang w:val="en-GB"/>
        </w:rPr>
      </w:pPr>
      <w:r w:rsidRPr="00BE651F">
        <w:rPr>
          <w:lang w:val="en-GB"/>
        </w:rPr>
        <w:t>The</w:t>
      </w:r>
      <w:r w:rsidR="007C550B" w:rsidRPr="00BE651F">
        <w:rPr>
          <w:lang w:val="en-GB"/>
        </w:rPr>
        <w:t xml:space="preserve"> sustainable development model</w:t>
      </w:r>
      <w:r w:rsidR="00824A4A" w:rsidRPr="00BE651F">
        <w:rPr>
          <w:lang w:val="en-GB"/>
        </w:rPr>
        <w:t>s</w:t>
      </w:r>
      <w:r w:rsidRPr="00BE651F">
        <w:rPr>
          <w:lang w:val="en-GB"/>
        </w:rPr>
        <w:t xml:space="preserve"> could be </w:t>
      </w:r>
      <w:r w:rsidR="00824A4A" w:rsidRPr="00BE651F">
        <w:rPr>
          <w:lang w:val="en-GB"/>
        </w:rPr>
        <w:t xml:space="preserve">the key to study the </w:t>
      </w:r>
      <w:r w:rsidR="007C550B" w:rsidRPr="00BE651F">
        <w:rPr>
          <w:lang w:val="en-GB"/>
        </w:rPr>
        <w:t xml:space="preserve">trends of the </w:t>
      </w:r>
      <w:r w:rsidR="00824A4A" w:rsidRPr="00BE651F">
        <w:rPr>
          <w:lang w:val="en-GB"/>
        </w:rPr>
        <w:t xml:space="preserve">consumer’s </w:t>
      </w:r>
      <w:r w:rsidR="007C550B" w:rsidRPr="00BE651F">
        <w:rPr>
          <w:lang w:val="en-GB"/>
        </w:rPr>
        <w:t>demand.</w:t>
      </w:r>
      <w:r w:rsidR="00824A4A" w:rsidRPr="00BE651F">
        <w:rPr>
          <w:lang w:val="en-GB"/>
        </w:rPr>
        <w:t xml:space="preserve"> Future studies can focus the attention to demands, considering what could be the results of a continuous increase in demand of the legume products. </w:t>
      </w:r>
      <w:r w:rsidR="007C550B" w:rsidRPr="00BE651F">
        <w:rPr>
          <w:lang w:val="en-GB"/>
        </w:rPr>
        <w:t>Moreover, following</w:t>
      </w:r>
      <w:r w:rsidR="00824A4A" w:rsidRPr="00BE651F">
        <w:rPr>
          <w:lang w:val="en-GB"/>
        </w:rPr>
        <w:t xml:space="preserve"> the lack of this study, future </w:t>
      </w:r>
      <w:r w:rsidR="007C550B" w:rsidRPr="00BE651F">
        <w:rPr>
          <w:lang w:val="en-GB"/>
        </w:rPr>
        <w:t xml:space="preserve">studies </w:t>
      </w:r>
      <w:r w:rsidR="00FF1E0C" w:rsidRPr="00BE651F">
        <w:rPr>
          <w:lang w:val="en-GB"/>
        </w:rPr>
        <w:t>could better analyse</w:t>
      </w:r>
      <w:r w:rsidR="008842E8" w:rsidRPr="00BE651F">
        <w:rPr>
          <w:lang w:val="en-GB"/>
        </w:rPr>
        <w:t xml:space="preserve"> </w:t>
      </w:r>
      <w:r w:rsidR="00016460" w:rsidRPr="00BE651F">
        <w:rPr>
          <w:lang w:val="en-GB"/>
        </w:rPr>
        <w:t xml:space="preserve">the </w:t>
      </w:r>
      <w:r w:rsidR="00824A4A" w:rsidRPr="00BE651F">
        <w:rPr>
          <w:lang w:val="en-GB"/>
        </w:rPr>
        <w:t>environmental impact of the two products not only considering the protein in term of quantity but also considering the same</w:t>
      </w:r>
      <w:r w:rsidR="00255DBC">
        <w:rPr>
          <w:lang w:val="en-GB"/>
        </w:rPr>
        <w:t xml:space="preserve"> aspect</w:t>
      </w:r>
      <w:r w:rsidR="00824A4A" w:rsidRPr="00BE651F">
        <w:rPr>
          <w:lang w:val="en-GB"/>
        </w:rPr>
        <w:t xml:space="preserve"> in term of availability for the human health.</w:t>
      </w:r>
    </w:p>
    <w:p w14:paraId="6B49E84C" w14:textId="5D60A426" w:rsidR="002A4763" w:rsidRPr="00D01CCB" w:rsidRDefault="002A4763" w:rsidP="002A4763">
      <w:pPr>
        <w:pStyle w:val="CETAcknowledgementstitle"/>
      </w:pPr>
      <w:r w:rsidRPr="00D01CCB">
        <w:rPr>
          <w:noProof/>
        </w:rPr>
        <w:t>Acknowledg</w:t>
      </w:r>
      <w:r w:rsidR="008B7C89" w:rsidRPr="00D01CCB">
        <w:rPr>
          <w:noProof/>
        </w:rPr>
        <w:t>e</w:t>
      </w:r>
      <w:r w:rsidRPr="00D01CCB">
        <w:rPr>
          <w:noProof/>
        </w:rPr>
        <w:t>ments</w:t>
      </w:r>
    </w:p>
    <w:p w14:paraId="0D61926A" w14:textId="38571C12" w:rsidR="002A4763" w:rsidRPr="00D01CCB" w:rsidRDefault="00415891" w:rsidP="002A4763">
      <w:pPr>
        <w:pStyle w:val="CETBodytext"/>
        <w:rPr>
          <w:lang w:val="en-GB"/>
        </w:rPr>
      </w:pPr>
      <w:r w:rsidRPr="00D01CCB">
        <w:rPr>
          <w:lang w:val="en-GB"/>
        </w:rPr>
        <w:t xml:space="preserve">This study received financial support from </w:t>
      </w:r>
      <w:proofErr w:type="spellStart"/>
      <w:r w:rsidR="00F579F6" w:rsidRPr="00D01CCB">
        <w:rPr>
          <w:lang w:val="en-GB"/>
        </w:rPr>
        <w:t>Le.Ge.Re.Te</w:t>
      </w:r>
      <w:proofErr w:type="spellEnd"/>
      <w:r w:rsidRPr="00D01CCB">
        <w:rPr>
          <w:lang w:val="en-GB"/>
        </w:rPr>
        <w:t>. as “Legume Genetic Resources as a tool for the development of innovative and sustainable food Technological system” research project</w:t>
      </w:r>
      <w:r w:rsidR="00F031AF" w:rsidRPr="00D01CCB">
        <w:rPr>
          <w:lang w:val="en-GB"/>
        </w:rPr>
        <w:t>.</w:t>
      </w:r>
    </w:p>
    <w:p w14:paraId="2C4ECA41" w14:textId="77777777" w:rsidR="002A4763" w:rsidRPr="00D01CCB" w:rsidRDefault="002A4763" w:rsidP="002A4763">
      <w:pPr>
        <w:pStyle w:val="CETReference"/>
      </w:pPr>
      <w:r w:rsidRPr="00D01CCB">
        <w:t>References</w:t>
      </w:r>
    </w:p>
    <w:p w14:paraId="743AD129" w14:textId="77777777" w:rsidR="00163F1E" w:rsidRPr="00D01CCB" w:rsidRDefault="00163F1E" w:rsidP="00163F1E">
      <w:pPr>
        <w:pStyle w:val="CETBodytext"/>
        <w:ind w:left="142" w:hanging="142"/>
        <w:rPr>
          <w:lang w:val="en-GB"/>
        </w:rPr>
      </w:pPr>
      <w:proofErr w:type="spellStart"/>
      <w:r w:rsidRPr="00D01CCB">
        <w:rPr>
          <w:lang w:val="en-GB"/>
        </w:rPr>
        <w:t>Asgar</w:t>
      </w:r>
      <w:proofErr w:type="spellEnd"/>
      <w:r w:rsidRPr="00D01CCB">
        <w:rPr>
          <w:lang w:val="en-GB"/>
        </w:rPr>
        <w:t xml:space="preserve">, M. A., </w:t>
      </w:r>
      <w:proofErr w:type="spellStart"/>
      <w:r w:rsidRPr="00D01CCB">
        <w:rPr>
          <w:lang w:val="en-GB"/>
        </w:rPr>
        <w:t>Fazilah</w:t>
      </w:r>
      <w:proofErr w:type="spellEnd"/>
      <w:r w:rsidRPr="00D01CCB">
        <w:rPr>
          <w:lang w:val="en-GB"/>
        </w:rPr>
        <w:t xml:space="preserve">, A., Huda, N., Bhat, R., &amp; Karim, A. A. (2010). Nonmeat protein alternatives as meat extenders and meat </w:t>
      </w:r>
      <w:r w:rsidRPr="00D01CCB">
        <w:rPr>
          <w:noProof/>
          <w:lang w:val="en-GB"/>
        </w:rPr>
        <w:t>analogs</w:t>
      </w:r>
      <w:r w:rsidRPr="00D01CCB">
        <w:rPr>
          <w:lang w:val="en-GB"/>
        </w:rPr>
        <w:t>. Comprehensive Reviews in Food Science and Food Safety, 9(5), 513-529.</w:t>
      </w:r>
    </w:p>
    <w:p w14:paraId="0F76FF11" w14:textId="77777777" w:rsidR="00163F1E" w:rsidRPr="00D01CCB" w:rsidRDefault="00163F1E" w:rsidP="00163F1E">
      <w:pPr>
        <w:pStyle w:val="CETBodytext"/>
        <w:ind w:left="142" w:hanging="142"/>
        <w:rPr>
          <w:lang w:val="en-GB"/>
        </w:rPr>
      </w:pPr>
      <w:r w:rsidRPr="00D01CCB">
        <w:rPr>
          <w:lang w:val="en-GB"/>
        </w:rPr>
        <w:t xml:space="preserve">Cengiz, E., &amp; </w:t>
      </w:r>
      <w:proofErr w:type="spellStart"/>
      <w:r w:rsidRPr="00D01CCB">
        <w:rPr>
          <w:lang w:val="en-GB"/>
        </w:rPr>
        <w:t>Gokoglu</w:t>
      </w:r>
      <w:proofErr w:type="spellEnd"/>
      <w:r w:rsidRPr="00D01CCB">
        <w:rPr>
          <w:lang w:val="en-GB"/>
        </w:rPr>
        <w:t>, N. (2005). Changes in energy and cholesterol contents of frankfurter-type sausages with fat reduction and fat replacer addition. Food Chemistry, 91(3), 443-447.</w:t>
      </w:r>
    </w:p>
    <w:p w14:paraId="6323FBAD" w14:textId="77777777" w:rsidR="00163F1E" w:rsidRPr="00D01CCB" w:rsidRDefault="00163F1E" w:rsidP="00163F1E">
      <w:pPr>
        <w:pStyle w:val="CETBodytext"/>
        <w:ind w:left="142" w:hanging="142"/>
        <w:rPr>
          <w:lang w:val="en-GB"/>
        </w:rPr>
      </w:pPr>
      <w:r w:rsidRPr="00D01CCB">
        <w:rPr>
          <w:lang w:val="en-GB"/>
        </w:rPr>
        <w:t>Delgado, C. L. (2003). Rising consumption of meat and milk in developing countries has created a new food revolution. The Journal of nutrition, 133(11), 3907S-3910S.</w:t>
      </w:r>
    </w:p>
    <w:p w14:paraId="767B0724" w14:textId="77777777" w:rsidR="00163F1E" w:rsidRPr="00D01CCB" w:rsidRDefault="00163F1E" w:rsidP="00163F1E">
      <w:pPr>
        <w:pStyle w:val="CETBodytext"/>
        <w:ind w:left="142" w:hanging="142"/>
        <w:rPr>
          <w:lang w:val="en-GB"/>
        </w:rPr>
      </w:pPr>
      <w:r w:rsidRPr="00D01CCB">
        <w:rPr>
          <w:lang w:val="en-GB"/>
        </w:rPr>
        <w:t xml:space="preserve">Jolliet, O., </w:t>
      </w:r>
      <w:proofErr w:type="spellStart"/>
      <w:r w:rsidRPr="00D01CCB">
        <w:rPr>
          <w:lang w:val="en-GB"/>
        </w:rPr>
        <w:t>Margni</w:t>
      </w:r>
      <w:proofErr w:type="spellEnd"/>
      <w:r w:rsidRPr="00D01CCB">
        <w:rPr>
          <w:lang w:val="en-GB"/>
        </w:rPr>
        <w:t xml:space="preserve">, M., Charles, R., Humbert, S., Payet, J., </w:t>
      </w:r>
      <w:proofErr w:type="spellStart"/>
      <w:r w:rsidRPr="00D01CCB">
        <w:rPr>
          <w:lang w:val="en-GB"/>
        </w:rPr>
        <w:t>Rebitzer</w:t>
      </w:r>
      <w:proofErr w:type="spellEnd"/>
      <w:r w:rsidRPr="00D01CCB">
        <w:rPr>
          <w:lang w:val="en-GB"/>
        </w:rPr>
        <w:t>, G., &amp; Rosenbaum, R. (2003). IMPACT 2002+: a new life cycle impact assessment methodology. The international journal of life cycle assessment, 8(6), 324.</w:t>
      </w:r>
    </w:p>
    <w:p w14:paraId="2CA0BDD1" w14:textId="77777777" w:rsidR="009945BC" w:rsidRPr="00D01CCB" w:rsidRDefault="00163F1E" w:rsidP="002A4763">
      <w:pPr>
        <w:pStyle w:val="CETBodytext"/>
        <w:ind w:left="142" w:hanging="142"/>
        <w:rPr>
          <w:lang w:val="en-GB"/>
        </w:rPr>
      </w:pPr>
      <w:proofErr w:type="spellStart"/>
      <w:r w:rsidRPr="00237A3F">
        <w:rPr>
          <w:lang w:val="it-IT"/>
        </w:rPr>
        <w:t>Muguerza</w:t>
      </w:r>
      <w:proofErr w:type="spellEnd"/>
      <w:r w:rsidRPr="00237A3F">
        <w:rPr>
          <w:lang w:val="it-IT"/>
        </w:rPr>
        <w:t xml:space="preserve">, E., </w:t>
      </w:r>
      <w:proofErr w:type="spellStart"/>
      <w:r w:rsidRPr="00237A3F">
        <w:rPr>
          <w:lang w:val="it-IT"/>
        </w:rPr>
        <w:t>Gimeno</w:t>
      </w:r>
      <w:proofErr w:type="spellEnd"/>
      <w:r w:rsidRPr="00237A3F">
        <w:rPr>
          <w:lang w:val="it-IT"/>
        </w:rPr>
        <w:t xml:space="preserve">, O., </w:t>
      </w:r>
      <w:proofErr w:type="spellStart"/>
      <w:r w:rsidRPr="00237A3F">
        <w:rPr>
          <w:lang w:val="it-IT"/>
        </w:rPr>
        <w:t>Ansorena</w:t>
      </w:r>
      <w:proofErr w:type="spellEnd"/>
      <w:r w:rsidRPr="00237A3F">
        <w:rPr>
          <w:lang w:val="it-IT"/>
        </w:rPr>
        <w:t xml:space="preserve">, D., &amp; </w:t>
      </w:r>
      <w:proofErr w:type="spellStart"/>
      <w:r w:rsidRPr="00237A3F">
        <w:rPr>
          <w:lang w:val="it-IT"/>
        </w:rPr>
        <w:t>Astiasarán</w:t>
      </w:r>
      <w:proofErr w:type="spellEnd"/>
      <w:r w:rsidRPr="00237A3F">
        <w:rPr>
          <w:lang w:val="it-IT"/>
        </w:rPr>
        <w:t xml:space="preserve">, I. (2004). </w:t>
      </w:r>
      <w:r w:rsidRPr="00D01CCB">
        <w:rPr>
          <w:lang w:val="en-GB"/>
        </w:rPr>
        <w:t>New formulations for healthier dry fermented sausages: a review. Trends in Food Science &amp; Technology, 15(9), 452-457.</w:t>
      </w:r>
    </w:p>
    <w:p w14:paraId="4028C4A9" w14:textId="2D0ED226" w:rsidR="00737BD9" w:rsidRPr="00D01CCB" w:rsidRDefault="00737BD9" w:rsidP="002A4763">
      <w:pPr>
        <w:pStyle w:val="CETBodytext"/>
        <w:ind w:left="142" w:hanging="142"/>
        <w:rPr>
          <w:lang w:val="en-GB"/>
        </w:rPr>
      </w:pPr>
      <w:proofErr w:type="spellStart"/>
      <w:r w:rsidRPr="00D01CCB">
        <w:rPr>
          <w:lang w:val="en-GB"/>
        </w:rPr>
        <w:t>Oboh</w:t>
      </w:r>
      <w:proofErr w:type="spellEnd"/>
      <w:r w:rsidRPr="00D01CCB">
        <w:rPr>
          <w:lang w:val="en-GB"/>
        </w:rPr>
        <w:t xml:space="preserve">, G., </w:t>
      </w:r>
      <w:proofErr w:type="spellStart"/>
      <w:r w:rsidRPr="00D01CCB">
        <w:rPr>
          <w:lang w:val="en-GB"/>
        </w:rPr>
        <w:t>Ademiluyi</w:t>
      </w:r>
      <w:proofErr w:type="spellEnd"/>
      <w:r w:rsidRPr="00D01CCB">
        <w:rPr>
          <w:lang w:val="en-GB"/>
        </w:rPr>
        <w:t xml:space="preserve">, A. O., &amp; </w:t>
      </w:r>
      <w:proofErr w:type="spellStart"/>
      <w:r w:rsidRPr="00D01CCB">
        <w:rPr>
          <w:lang w:val="en-GB"/>
        </w:rPr>
        <w:t>Akindahunsi</w:t>
      </w:r>
      <w:proofErr w:type="spellEnd"/>
      <w:r w:rsidRPr="00D01CCB">
        <w:rPr>
          <w:lang w:val="en-GB"/>
        </w:rPr>
        <w:t>, A. A. (2009). Changes in polyphenols distribution and antioxidant activity during fermentation of some underutilized legumes. Food Science and Technology International, 15(1), 41-46.</w:t>
      </w:r>
    </w:p>
    <w:p w14:paraId="770D6726" w14:textId="77777777" w:rsidR="00163F1E" w:rsidRPr="00D01CCB" w:rsidRDefault="00163F1E" w:rsidP="00163F1E">
      <w:pPr>
        <w:pStyle w:val="CETBodytext"/>
        <w:ind w:left="142" w:hanging="142"/>
        <w:rPr>
          <w:lang w:val="en-GB"/>
        </w:rPr>
      </w:pPr>
      <w:r w:rsidRPr="00D01CCB">
        <w:rPr>
          <w:lang w:val="en-GB"/>
        </w:rPr>
        <w:t>Pereira, P. M. D. C. C., &amp; Vicente, A. F. D. R. B. (2013). Meat nutritional composition and nutritive role in the human diet. Meat Science, 93(3), 586-592.</w:t>
      </w:r>
    </w:p>
    <w:p w14:paraId="583B2240" w14:textId="77777777" w:rsidR="00737BD9" w:rsidRPr="00D01CCB" w:rsidRDefault="00737BD9" w:rsidP="002A4763">
      <w:pPr>
        <w:pStyle w:val="CETBodytext"/>
        <w:ind w:left="142" w:hanging="142"/>
        <w:rPr>
          <w:lang w:val="en-GB"/>
        </w:rPr>
      </w:pPr>
      <w:r w:rsidRPr="00D01CCB">
        <w:rPr>
          <w:lang w:val="en-GB"/>
        </w:rPr>
        <w:t>Peters, G. M., Rowley, H. V., Wiedemann, S., Tucker, R., Short, M. D., &amp; Schulz, M. (2010). Red meat production in Australia: life cycle assessment and comparison with overseas studies. Environmental science &amp; technology, 44(4), 1327-1332.</w:t>
      </w:r>
    </w:p>
    <w:p w14:paraId="6F9DDE6B" w14:textId="77777777" w:rsidR="00163F1E" w:rsidRPr="00D01CCB" w:rsidRDefault="00163F1E" w:rsidP="00163F1E">
      <w:pPr>
        <w:pStyle w:val="CETBodytext"/>
        <w:ind w:left="142" w:hanging="142"/>
        <w:rPr>
          <w:lang w:val="en-GB"/>
        </w:rPr>
      </w:pPr>
      <w:proofErr w:type="spellStart"/>
      <w:r w:rsidRPr="00D01CCB">
        <w:rPr>
          <w:lang w:val="en-GB"/>
        </w:rPr>
        <w:t>Riascos</w:t>
      </w:r>
      <w:proofErr w:type="spellEnd"/>
      <w:r w:rsidRPr="00D01CCB">
        <w:rPr>
          <w:lang w:val="en-GB"/>
        </w:rPr>
        <w:t xml:space="preserve">, J. J., </w:t>
      </w:r>
      <w:proofErr w:type="spellStart"/>
      <w:r w:rsidRPr="00D01CCB">
        <w:rPr>
          <w:lang w:val="en-GB"/>
        </w:rPr>
        <w:t>Weissinger</w:t>
      </w:r>
      <w:proofErr w:type="spellEnd"/>
      <w:r w:rsidRPr="00D01CCB">
        <w:rPr>
          <w:lang w:val="en-GB"/>
        </w:rPr>
        <w:t xml:space="preserve">, A. K., </w:t>
      </w:r>
      <w:proofErr w:type="spellStart"/>
      <w:r w:rsidRPr="00D01CCB">
        <w:rPr>
          <w:lang w:val="en-GB"/>
        </w:rPr>
        <w:t>Weissinger</w:t>
      </w:r>
      <w:proofErr w:type="spellEnd"/>
      <w:r w:rsidRPr="00D01CCB">
        <w:rPr>
          <w:lang w:val="en-GB"/>
        </w:rPr>
        <w:t>, S. M., &amp; Burks, A. W. (2009). Hypoallergenic legume crops and food allergy: factors affecting feasibility and risk. Journal of agricultural and food chemistry, 58(1), 20-27.</w:t>
      </w:r>
    </w:p>
    <w:p w14:paraId="166AA1AA" w14:textId="77777777" w:rsidR="00737BD9" w:rsidRPr="00D01CCB" w:rsidRDefault="00737BD9" w:rsidP="002A4763">
      <w:pPr>
        <w:pStyle w:val="CETBodytext"/>
        <w:ind w:left="142" w:hanging="142"/>
        <w:rPr>
          <w:lang w:val="en-GB"/>
        </w:rPr>
      </w:pPr>
      <w:proofErr w:type="spellStart"/>
      <w:r w:rsidRPr="00D01CCB">
        <w:rPr>
          <w:lang w:val="en-GB"/>
        </w:rPr>
        <w:t>Röös</w:t>
      </w:r>
      <w:proofErr w:type="spellEnd"/>
      <w:r w:rsidRPr="00D01CCB">
        <w:rPr>
          <w:lang w:val="en-GB"/>
        </w:rPr>
        <w:t xml:space="preserve">, E., Sundberg, C., </w:t>
      </w:r>
      <w:proofErr w:type="spellStart"/>
      <w:r w:rsidRPr="00D01CCB">
        <w:rPr>
          <w:lang w:val="en-GB"/>
        </w:rPr>
        <w:t>Tidåker</w:t>
      </w:r>
      <w:proofErr w:type="spellEnd"/>
      <w:r w:rsidRPr="00D01CCB">
        <w:rPr>
          <w:lang w:val="en-GB"/>
        </w:rPr>
        <w:t xml:space="preserve">, P., </w:t>
      </w:r>
      <w:proofErr w:type="spellStart"/>
      <w:r w:rsidRPr="00D01CCB">
        <w:rPr>
          <w:lang w:val="en-GB"/>
        </w:rPr>
        <w:t>Strid</w:t>
      </w:r>
      <w:proofErr w:type="spellEnd"/>
      <w:r w:rsidRPr="00D01CCB">
        <w:rPr>
          <w:lang w:val="en-GB"/>
        </w:rPr>
        <w:t xml:space="preserve">, I., &amp; Hansson, P. A. (2013). Can carbon footprint serve as an indicator of the environmental impact of meat </w:t>
      </w:r>
      <w:proofErr w:type="gramStart"/>
      <w:r w:rsidRPr="00D01CCB">
        <w:rPr>
          <w:lang w:val="en-GB"/>
        </w:rPr>
        <w:t>production?.</w:t>
      </w:r>
      <w:proofErr w:type="gramEnd"/>
      <w:r w:rsidRPr="00D01CCB">
        <w:rPr>
          <w:lang w:val="en-GB"/>
        </w:rPr>
        <w:t> Ecological Indicators, 24, 573-581.</w:t>
      </w:r>
    </w:p>
    <w:p w14:paraId="13C8B4BA" w14:textId="77777777" w:rsidR="00163F1E" w:rsidRPr="00D01CCB" w:rsidRDefault="00163F1E" w:rsidP="00163F1E">
      <w:pPr>
        <w:pStyle w:val="CETBodytext"/>
        <w:ind w:left="142" w:hanging="142"/>
        <w:rPr>
          <w:lang w:val="en-GB"/>
        </w:rPr>
      </w:pPr>
      <w:proofErr w:type="spellStart"/>
      <w:r w:rsidRPr="00D01CCB">
        <w:rPr>
          <w:lang w:val="en-GB"/>
        </w:rPr>
        <w:t>Serdaroğlu</w:t>
      </w:r>
      <w:proofErr w:type="spellEnd"/>
      <w:r w:rsidRPr="00D01CCB">
        <w:rPr>
          <w:lang w:val="en-GB"/>
        </w:rPr>
        <w:t xml:space="preserve">, M., </w:t>
      </w:r>
      <w:proofErr w:type="spellStart"/>
      <w:r w:rsidRPr="00D01CCB">
        <w:rPr>
          <w:lang w:val="en-GB"/>
        </w:rPr>
        <w:t>Yıldız-Turp</w:t>
      </w:r>
      <w:proofErr w:type="spellEnd"/>
      <w:r w:rsidRPr="00D01CCB">
        <w:rPr>
          <w:lang w:val="en-GB"/>
        </w:rPr>
        <w:t xml:space="preserve">, G., &amp; </w:t>
      </w:r>
      <w:proofErr w:type="spellStart"/>
      <w:r w:rsidRPr="00D01CCB">
        <w:rPr>
          <w:lang w:val="en-GB"/>
        </w:rPr>
        <w:t>Abrodímov</w:t>
      </w:r>
      <w:proofErr w:type="spellEnd"/>
      <w:r w:rsidRPr="00D01CCB">
        <w:rPr>
          <w:lang w:val="en-GB"/>
        </w:rPr>
        <w:t>, K. (2005). Quality of low-fat meatballs containing legume flours as extenders. Meat Science, 70(1), 99-105.</w:t>
      </w:r>
    </w:p>
    <w:p w14:paraId="15C9FF5E" w14:textId="77777777" w:rsidR="00163F1E" w:rsidRPr="00D01CCB" w:rsidRDefault="00163F1E" w:rsidP="00163F1E">
      <w:pPr>
        <w:pStyle w:val="CETBodytext"/>
        <w:ind w:left="142" w:hanging="142"/>
        <w:rPr>
          <w:lang w:val="en-GB"/>
        </w:rPr>
      </w:pPr>
      <w:proofErr w:type="spellStart"/>
      <w:r w:rsidRPr="00D01CCB">
        <w:rPr>
          <w:lang w:val="en-GB"/>
        </w:rPr>
        <w:t>Simopoulos</w:t>
      </w:r>
      <w:proofErr w:type="spellEnd"/>
      <w:r w:rsidRPr="00D01CCB">
        <w:rPr>
          <w:lang w:val="en-GB"/>
        </w:rPr>
        <w:t>, A. P. (2002). Omega-3 fatty acids in inflammation and autoimmune diseases. Journal of the American College of nutrition, 21(6), 495-505.</w:t>
      </w:r>
    </w:p>
    <w:p w14:paraId="01566AAE" w14:textId="77777777" w:rsidR="00737BD9" w:rsidRPr="00237A3F" w:rsidRDefault="00737BD9" w:rsidP="002A4763">
      <w:pPr>
        <w:pStyle w:val="CETBodytext"/>
        <w:ind w:left="142" w:hanging="142"/>
        <w:rPr>
          <w:lang w:val="it-IT"/>
        </w:rPr>
      </w:pPr>
      <w:proofErr w:type="spellStart"/>
      <w:r w:rsidRPr="00D01CCB">
        <w:rPr>
          <w:lang w:val="en-GB"/>
        </w:rPr>
        <w:t>Sonesson</w:t>
      </w:r>
      <w:proofErr w:type="spellEnd"/>
      <w:r w:rsidRPr="00D01CCB">
        <w:rPr>
          <w:lang w:val="en-GB"/>
        </w:rPr>
        <w:t xml:space="preserve">, U., Davis, J., &amp; Ziegler, F. (2010). Food production and emissions of greenhouse gases: an overview of the climate impact of different product groups. </w:t>
      </w:r>
      <w:r w:rsidRPr="00237A3F">
        <w:rPr>
          <w:lang w:val="it-IT"/>
        </w:rPr>
        <w:t xml:space="preserve">SIK </w:t>
      </w:r>
      <w:proofErr w:type="spellStart"/>
      <w:r w:rsidRPr="00237A3F">
        <w:rPr>
          <w:lang w:val="it-IT"/>
        </w:rPr>
        <w:t>Institutet</w:t>
      </w:r>
      <w:proofErr w:type="spellEnd"/>
      <w:r w:rsidRPr="00237A3F">
        <w:rPr>
          <w:lang w:val="it-IT"/>
        </w:rPr>
        <w:t xml:space="preserve"> </w:t>
      </w:r>
      <w:proofErr w:type="spellStart"/>
      <w:r w:rsidRPr="00237A3F">
        <w:rPr>
          <w:lang w:val="it-IT"/>
        </w:rPr>
        <w:t>för</w:t>
      </w:r>
      <w:proofErr w:type="spellEnd"/>
      <w:r w:rsidRPr="00237A3F">
        <w:rPr>
          <w:lang w:val="it-IT"/>
        </w:rPr>
        <w:t xml:space="preserve"> </w:t>
      </w:r>
      <w:proofErr w:type="spellStart"/>
      <w:r w:rsidRPr="00237A3F">
        <w:rPr>
          <w:lang w:val="it-IT"/>
        </w:rPr>
        <w:t>livsmedel</w:t>
      </w:r>
      <w:proofErr w:type="spellEnd"/>
      <w:r w:rsidRPr="00237A3F">
        <w:rPr>
          <w:lang w:val="it-IT"/>
        </w:rPr>
        <w:t xml:space="preserve"> </w:t>
      </w:r>
      <w:proofErr w:type="spellStart"/>
      <w:r w:rsidRPr="00237A3F">
        <w:rPr>
          <w:lang w:val="it-IT"/>
        </w:rPr>
        <w:t>och</w:t>
      </w:r>
      <w:proofErr w:type="spellEnd"/>
      <w:r w:rsidRPr="00237A3F">
        <w:rPr>
          <w:lang w:val="it-IT"/>
        </w:rPr>
        <w:t xml:space="preserve"> </w:t>
      </w:r>
      <w:proofErr w:type="spellStart"/>
      <w:r w:rsidRPr="00237A3F">
        <w:rPr>
          <w:lang w:val="it-IT"/>
        </w:rPr>
        <w:t>bioteknik</w:t>
      </w:r>
      <w:proofErr w:type="spellEnd"/>
      <w:r w:rsidRPr="00237A3F">
        <w:rPr>
          <w:lang w:val="it-IT"/>
        </w:rPr>
        <w:t>.</w:t>
      </w:r>
    </w:p>
    <w:p w14:paraId="6B474B28" w14:textId="77777777" w:rsidR="00737BD9" w:rsidRPr="00D01CCB" w:rsidRDefault="00737BD9" w:rsidP="002A4763">
      <w:pPr>
        <w:pStyle w:val="CETBodytext"/>
        <w:ind w:left="142" w:hanging="142"/>
        <w:rPr>
          <w:lang w:val="en-GB"/>
        </w:rPr>
      </w:pPr>
      <w:proofErr w:type="spellStart"/>
      <w:r w:rsidRPr="00237A3F">
        <w:rPr>
          <w:lang w:val="it-IT"/>
        </w:rPr>
        <w:t>Summo</w:t>
      </w:r>
      <w:proofErr w:type="spellEnd"/>
      <w:r w:rsidRPr="00237A3F">
        <w:rPr>
          <w:lang w:val="it-IT"/>
        </w:rPr>
        <w:t xml:space="preserve">, C., Centomani, I., Paradiso, V. M., </w:t>
      </w:r>
      <w:proofErr w:type="spellStart"/>
      <w:r w:rsidRPr="00237A3F">
        <w:rPr>
          <w:lang w:val="it-IT"/>
        </w:rPr>
        <w:t>Caponio</w:t>
      </w:r>
      <w:proofErr w:type="spellEnd"/>
      <w:r w:rsidRPr="00237A3F">
        <w:rPr>
          <w:lang w:val="it-IT"/>
        </w:rPr>
        <w:t xml:space="preserve">, F., &amp; </w:t>
      </w:r>
      <w:proofErr w:type="spellStart"/>
      <w:r w:rsidRPr="00237A3F">
        <w:rPr>
          <w:lang w:val="it-IT"/>
        </w:rPr>
        <w:t>Pasqualone</w:t>
      </w:r>
      <w:proofErr w:type="spellEnd"/>
      <w:r w:rsidRPr="00237A3F">
        <w:rPr>
          <w:lang w:val="it-IT"/>
        </w:rPr>
        <w:t xml:space="preserve">, A. (2016). </w:t>
      </w:r>
      <w:r w:rsidRPr="00D01CCB">
        <w:rPr>
          <w:lang w:val="en-GB"/>
        </w:rPr>
        <w:t>The effects of the type of cereal on the chemical and textural properties and on the consumer acceptance of pre-cooked, legume-based burgers. LWT-Food Science and Technology, 65, 290-296.</w:t>
      </w:r>
    </w:p>
    <w:p w14:paraId="13DA4112" w14:textId="24E28948" w:rsidR="004628D2" w:rsidRPr="00D01CCB" w:rsidRDefault="00163F1E" w:rsidP="0059561B">
      <w:pPr>
        <w:pStyle w:val="CETBodytext"/>
        <w:ind w:left="142" w:hanging="142"/>
        <w:rPr>
          <w:lang w:val="en-GB"/>
        </w:rPr>
      </w:pPr>
      <w:proofErr w:type="spellStart"/>
      <w:r w:rsidRPr="00D01CCB">
        <w:rPr>
          <w:lang w:val="en-GB"/>
        </w:rPr>
        <w:t>Xiong</w:t>
      </w:r>
      <w:proofErr w:type="spellEnd"/>
      <w:r w:rsidR="00E52A84" w:rsidRPr="00D01CCB">
        <w:rPr>
          <w:lang w:val="en-GB"/>
        </w:rPr>
        <w:t>,</w:t>
      </w:r>
      <w:r w:rsidRPr="00D01CCB">
        <w:rPr>
          <w:lang w:val="en-GB"/>
        </w:rPr>
        <w:t xml:space="preserve"> YL. 2004. Muscle protein. In: Yada RY, editor. Proteins in food processing. England: Woodhead Publishing Limited. p 100–22.</w:t>
      </w:r>
    </w:p>
    <w:sectPr w:rsidR="004628D2" w:rsidRPr="00D01CCB"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332FD" w14:textId="77777777" w:rsidR="003F00BE" w:rsidRDefault="003F00BE" w:rsidP="004F5E36">
      <w:r>
        <w:separator/>
      </w:r>
    </w:p>
  </w:endnote>
  <w:endnote w:type="continuationSeparator" w:id="0">
    <w:p w14:paraId="1C54DC0C" w14:textId="77777777" w:rsidR="003F00BE" w:rsidRDefault="003F00B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0E6FD" w14:textId="77777777" w:rsidR="003F00BE" w:rsidRDefault="003F00BE" w:rsidP="004F5E36">
      <w:r>
        <w:separator/>
      </w:r>
    </w:p>
  </w:footnote>
  <w:footnote w:type="continuationSeparator" w:id="0">
    <w:p w14:paraId="7021B9E1" w14:textId="77777777" w:rsidR="003F00BE" w:rsidRDefault="003F00B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DE5E54"/>
    <w:multiLevelType w:val="multilevel"/>
    <w:tmpl w:val="2C8C83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0385EA8"/>
    <w:multiLevelType w:val="hybridMultilevel"/>
    <w:tmpl w:val="8290703C"/>
    <w:lvl w:ilvl="0" w:tplc="A5901A8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127"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56A0A5E"/>
    <w:multiLevelType w:val="hybridMultilevel"/>
    <w:tmpl w:val="BDFC1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A76BC"/>
    <w:multiLevelType w:val="hybridMultilevel"/>
    <w:tmpl w:val="102E2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31761A"/>
    <w:multiLevelType w:val="hybridMultilevel"/>
    <w:tmpl w:val="25327BF0"/>
    <w:lvl w:ilvl="0" w:tplc="ACF25A3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7174EB"/>
    <w:multiLevelType w:val="hybridMultilevel"/>
    <w:tmpl w:val="9A461A4C"/>
    <w:lvl w:ilvl="0" w:tplc="5B1EE5F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1460AC"/>
    <w:multiLevelType w:val="hybridMultilevel"/>
    <w:tmpl w:val="369E9F14"/>
    <w:lvl w:ilvl="0" w:tplc="10B2C3E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DC2009C"/>
    <w:multiLevelType w:val="hybridMultilevel"/>
    <w:tmpl w:val="204A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B946A4"/>
    <w:multiLevelType w:val="multilevel"/>
    <w:tmpl w:val="2C8C83E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CBD18B0"/>
    <w:multiLevelType w:val="hybridMultilevel"/>
    <w:tmpl w:val="A67A02EA"/>
    <w:lvl w:ilvl="0" w:tplc="EB26C4D4">
      <w:start w:val="3"/>
      <w:numFmt w:val="bullet"/>
      <w:lvlText w:val="-"/>
      <w:lvlJc w:val="left"/>
      <w:pPr>
        <w:ind w:left="720" w:hanging="360"/>
      </w:pPr>
      <w:rPr>
        <w:rFonts w:ascii="Arial" w:eastAsiaTheme="minorHAnsi"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8C0B78"/>
    <w:multiLevelType w:val="hybridMultilevel"/>
    <w:tmpl w:val="EC26191A"/>
    <w:lvl w:ilvl="0" w:tplc="FA72892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231ED9"/>
    <w:multiLevelType w:val="hybridMultilevel"/>
    <w:tmpl w:val="64E8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BF55F4"/>
    <w:multiLevelType w:val="multilevel"/>
    <w:tmpl w:val="2C8C83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FA24134"/>
    <w:multiLevelType w:val="hybridMultilevel"/>
    <w:tmpl w:val="67BE7446"/>
    <w:lvl w:ilvl="0" w:tplc="C608D6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5"/>
  </w:num>
  <w:num w:numId="13">
    <w:abstractNumId w:val="16"/>
  </w:num>
  <w:num w:numId="14">
    <w:abstractNumId w:val="26"/>
  </w:num>
  <w:num w:numId="15">
    <w:abstractNumId w:val="29"/>
  </w:num>
  <w:num w:numId="16">
    <w:abstractNumId w:val="28"/>
  </w:num>
  <w:num w:numId="17">
    <w:abstractNumId w:val="15"/>
  </w:num>
  <w:num w:numId="18">
    <w:abstractNumId w:val="16"/>
    <w:lvlOverride w:ilvl="0">
      <w:startOverride w:val="1"/>
    </w:lvlOverride>
  </w:num>
  <w:num w:numId="19">
    <w:abstractNumId w:val="24"/>
  </w:num>
  <w:num w:numId="20">
    <w:abstractNumId w:val="23"/>
  </w:num>
  <w:num w:numId="21">
    <w:abstractNumId w:val="20"/>
  </w:num>
  <w:num w:numId="22">
    <w:abstractNumId w:val="30"/>
  </w:num>
  <w:num w:numId="23">
    <w:abstractNumId w:val="14"/>
  </w:num>
  <w:num w:numId="24">
    <w:abstractNumId w:val="18"/>
  </w:num>
  <w:num w:numId="25">
    <w:abstractNumId w:val="19"/>
  </w:num>
  <w:num w:numId="26">
    <w:abstractNumId w:val="11"/>
  </w:num>
  <w:num w:numId="27">
    <w:abstractNumId w:val="21"/>
  </w:num>
  <w:num w:numId="28">
    <w:abstractNumId w:val="31"/>
  </w:num>
  <w:num w:numId="29">
    <w:abstractNumId w:val="22"/>
  </w:num>
  <w:num w:numId="30">
    <w:abstractNumId w:val="17"/>
  </w:num>
  <w:num w:numId="31">
    <w:abstractNumId w:val="10"/>
  </w:num>
  <w:num w:numId="32">
    <w:abstractNumId w:val="32"/>
  </w:num>
  <w:num w:numId="33">
    <w:abstractNumId w:val="27"/>
  </w:num>
  <w:num w:numId="34">
    <w:abstractNumId w:val="1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MqsFALV2+cgtAAAA"/>
  </w:docVars>
  <w:rsids>
    <w:rsidRoot w:val="000E414A"/>
    <w:rsid w:val="0000235B"/>
    <w:rsid w:val="000027C0"/>
    <w:rsid w:val="000052FB"/>
    <w:rsid w:val="00005CA5"/>
    <w:rsid w:val="00010F40"/>
    <w:rsid w:val="000117CB"/>
    <w:rsid w:val="00016460"/>
    <w:rsid w:val="000252D9"/>
    <w:rsid w:val="0003148D"/>
    <w:rsid w:val="00035640"/>
    <w:rsid w:val="00036F1D"/>
    <w:rsid w:val="0003741A"/>
    <w:rsid w:val="0004189F"/>
    <w:rsid w:val="00047D7F"/>
    <w:rsid w:val="00051566"/>
    <w:rsid w:val="00056EF9"/>
    <w:rsid w:val="00061C09"/>
    <w:rsid w:val="00062A9A"/>
    <w:rsid w:val="00063486"/>
    <w:rsid w:val="00065058"/>
    <w:rsid w:val="000663DA"/>
    <w:rsid w:val="000668D8"/>
    <w:rsid w:val="00074502"/>
    <w:rsid w:val="00077832"/>
    <w:rsid w:val="000860C0"/>
    <w:rsid w:val="00086AEE"/>
    <w:rsid w:val="00086C39"/>
    <w:rsid w:val="000924EE"/>
    <w:rsid w:val="00093FBC"/>
    <w:rsid w:val="000A03B2"/>
    <w:rsid w:val="000A3B79"/>
    <w:rsid w:val="000D2ED7"/>
    <w:rsid w:val="000D34BE"/>
    <w:rsid w:val="000D6C1E"/>
    <w:rsid w:val="000E102F"/>
    <w:rsid w:val="000E36F1"/>
    <w:rsid w:val="000E3A73"/>
    <w:rsid w:val="000E414A"/>
    <w:rsid w:val="000F093C"/>
    <w:rsid w:val="000F16BD"/>
    <w:rsid w:val="000F787B"/>
    <w:rsid w:val="00113251"/>
    <w:rsid w:val="0012091F"/>
    <w:rsid w:val="001233B8"/>
    <w:rsid w:val="00125F5F"/>
    <w:rsid w:val="00126BC2"/>
    <w:rsid w:val="001308B6"/>
    <w:rsid w:val="0013121F"/>
    <w:rsid w:val="00131FAB"/>
    <w:rsid w:val="00131FE6"/>
    <w:rsid w:val="0013263F"/>
    <w:rsid w:val="00134DE4"/>
    <w:rsid w:val="0014034D"/>
    <w:rsid w:val="0014185D"/>
    <w:rsid w:val="001435BB"/>
    <w:rsid w:val="00145D0A"/>
    <w:rsid w:val="00150E59"/>
    <w:rsid w:val="0015196F"/>
    <w:rsid w:val="00152DE3"/>
    <w:rsid w:val="001550D5"/>
    <w:rsid w:val="00160FA3"/>
    <w:rsid w:val="0016131D"/>
    <w:rsid w:val="00162365"/>
    <w:rsid w:val="00163F1E"/>
    <w:rsid w:val="0016424E"/>
    <w:rsid w:val="00164CF9"/>
    <w:rsid w:val="00174F35"/>
    <w:rsid w:val="00183568"/>
    <w:rsid w:val="00184AD6"/>
    <w:rsid w:val="00185FBC"/>
    <w:rsid w:val="00186F6A"/>
    <w:rsid w:val="001B0349"/>
    <w:rsid w:val="001B65C1"/>
    <w:rsid w:val="001B772A"/>
    <w:rsid w:val="001C180C"/>
    <w:rsid w:val="001C684B"/>
    <w:rsid w:val="001D4B2D"/>
    <w:rsid w:val="001D53FC"/>
    <w:rsid w:val="001F29CB"/>
    <w:rsid w:val="001F42A5"/>
    <w:rsid w:val="001F7B9D"/>
    <w:rsid w:val="00202CD0"/>
    <w:rsid w:val="00211ED6"/>
    <w:rsid w:val="00213393"/>
    <w:rsid w:val="00221C2C"/>
    <w:rsid w:val="002224B4"/>
    <w:rsid w:val="002238CA"/>
    <w:rsid w:val="00233B0D"/>
    <w:rsid w:val="00236174"/>
    <w:rsid w:val="00237A3F"/>
    <w:rsid w:val="0024169C"/>
    <w:rsid w:val="00244761"/>
    <w:rsid w:val="002447EF"/>
    <w:rsid w:val="002466EA"/>
    <w:rsid w:val="00251550"/>
    <w:rsid w:val="00252C1A"/>
    <w:rsid w:val="00255DBC"/>
    <w:rsid w:val="00263B05"/>
    <w:rsid w:val="00270200"/>
    <w:rsid w:val="0027221A"/>
    <w:rsid w:val="00275B61"/>
    <w:rsid w:val="00282656"/>
    <w:rsid w:val="00283E17"/>
    <w:rsid w:val="002919B6"/>
    <w:rsid w:val="00296B83"/>
    <w:rsid w:val="002A1FC8"/>
    <w:rsid w:val="002A4763"/>
    <w:rsid w:val="002B0051"/>
    <w:rsid w:val="002B78CE"/>
    <w:rsid w:val="002C24F0"/>
    <w:rsid w:val="002C2FB6"/>
    <w:rsid w:val="002C72FA"/>
    <w:rsid w:val="002D5BCD"/>
    <w:rsid w:val="002D6742"/>
    <w:rsid w:val="002F21F9"/>
    <w:rsid w:val="002F51ED"/>
    <w:rsid w:val="002F71A2"/>
    <w:rsid w:val="002F7893"/>
    <w:rsid w:val="003009B7"/>
    <w:rsid w:val="00300E56"/>
    <w:rsid w:val="0030469C"/>
    <w:rsid w:val="0030639C"/>
    <w:rsid w:val="0030777D"/>
    <w:rsid w:val="00315313"/>
    <w:rsid w:val="003202ED"/>
    <w:rsid w:val="00321CA6"/>
    <w:rsid w:val="00322F5B"/>
    <w:rsid w:val="00332D5F"/>
    <w:rsid w:val="00334C09"/>
    <w:rsid w:val="003365E3"/>
    <w:rsid w:val="00337C75"/>
    <w:rsid w:val="00344ABF"/>
    <w:rsid w:val="003538DB"/>
    <w:rsid w:val="003723D4"/>
    <w:rsid w:val="00382853"/>
    <w:rsid w:val="00384CC8"/>
    <w:rsid w:val="003871FD"/>
    <w:rsid w:val="00395A90"/>
    <w:rsid w:val="003A1E30"/>
    <w:rsid w:val="003A7D1C"/>
    <w:rsid w:val="003B1991"/>
    <w:rsid w:val="003B304B"/>
    <w:rsid w:val="003B3146"/>
    <w:rsid w:val="003B60F3"/>
    <w:rsid w:val="003D005C"/>
    <w:rsid w:val="003D120C"/>
    <w:rsid w:val="003D243A"/>
    <w:rsid w:val="003F00BE"/>
    <w:rsid w:val="003F015E"/>
    <w:rsid w:val="00400414"/>
    <w:rsid w:val="0041446B"/>
    <w:rsid w:val="00414D30"/>
    <w:rsid w:val="00415891"/>
    <w:rsid w:val="00415B1F"/>
    <w:rsid w:val="004164BB"/>
    <w:rsid w:val="00435F1B"/>
    <w:rsid w:val="00441EC3"/>
    <w:rsid w:val="0044329C"/>
    <w:rsid w:val="00444C0F"/>
    <w:rsid w:val="00445824"/>
    <w:rsid w:val="004577FE"/>
    <w:rsid w:val="00457B9C"/>
    <w:rsid w:val="0046107E"/>
    <w:rsid w:val="0046164A"/>
    <w:rsid w:val="004628D2"/>
    <w:rsid w:val="00462DCD"/>
    <w:rsid w:val="004648AD"/>
    <w:rsid w:val="00467D95"/>
    <w:rsid w:val="004703A9"/>
    <w:rsid w:val="0047526C"/>
    <w:rsid w:val="004760DE"/>
    <w:rsid w:val="0047711C"/>
    <w:rsid w:val="004933AC"/>
    <w:rsid w:val="004A004E"/>
    <w:rsid w:val="004A04B1"/>
    <w:rsid w:val="004A24CF"/>
    <w:rsid w:val="004A5AC4"/>
    <w:rsid w:val="004B2F33"/>
    <w:rsid w:val="004B6721"/>
    <w:rsid w:val="004C1043"/>
    <w:rsid w:val="004C3D1D"/>
    <w:rsid w:val="004C6352"/>
    <w:rsid w:val="004C7913"/>
    <w:rsid w:val="004D46EC"/>
    <w:rsid w:val="004E4DD6"/>
    <w:rsid w:val="004F1261"/>
    <w:rsid w:val="004F5E36"/>
    <w:rsid w:val="00501D9B"/>
    <w:rsid w:val="00504B87"/>
    <w:rsid w:val="00507B47"/>
    <w:rsid w:val="00507CC9"/>
    <w:rsid w:val="00510486"/>
    <w:rsid w:val="005119A5"/>
    <w:rsid w:val="00511FAC"/>
    <w:rsid w:val="005278B7"/>
    <w:rsid w:val="00532016"/>
    <w:rsid w:val="005346C8"/>
    <w:rsid w:val="00542D73"/>
    <w:rsid w:val="00543E7D"/>
    <w:rsid w:val="00546B05"/>
    <w:rsid w:val="00547A68"/>
    <w:rsid w:val="005531C9"/>
    <w:rsid w:val="00571575"/>
    <w:rsid w:val="0057592D"/>
    <w:rsid w:val="00586AF7"/>
    <w:rsid w:val="00594552"/>
    <w:rsid w:val="005951F8"/>
    <w:rsid w:val="0059561B"/>
    <w:rsid w:val="005A18AF"/>
    <w:rsid w:val="005B2110"/>
    <w:rsid w:val="005B2819"/>
    <w:rsid w:val="005B61E6"/>
    <w:rsid w:val="005B6F19"/>
    <w:rsid w:val="005C3877"/>
    <w:rsid w:val="005C43D9"/>
    <w:rsid w:val="005C77E1"/>
    <w:rsid w:val="005D2DA7"/>
    <w:rsid w:val="005D6A2F"/>
    <w:rsid w:val="005E1A82"/>
    <w:rsid w:val="005E3A35"/>
    <w:rsid w:val="005E794C"/>
    <w:rsid w:val="005F0A28"/>
    <w:rsid w:val="005F0E5E"/>
    <w:rsid w:val="005F35D4"/>
    <w:rsid w:val="005F57EF"/>
    <w:rsid w:val="006003D0"/>
    <w:rsid w:val="00600535"/>
    <w:rsid w:val="00600FE1"/>
    <w:rsid w:val="00605B9D"/>
    <w:rsid w:val="00610CD6"/>
    <w:rsid w:val="00613E5B"/>
    <w:rsid w:val="0061607E"/>
    <w:rsid w:val="00620DEE"/>
    <w:rsid w:val="00621F92"/>
    <w:rsid w:val="00622353"/>
    <w:rsid w:val="00625221"/>
    <w:rsid w:val="00625639"/>
    <w:rsid w:val="00631B33"/>
    <w:rsid w:val="00635BC9"/>
    <w:rsid w:val="0064184D"/>
    <w:rsid w:val="006422CC"/>
    <w:rsid w:val="0066017D"/>
    <w:rsid w:val="00660E3E"/>
    <w:rsid w:val="00662E74"/>
    <w:rsid w:val="00670157"/>
    <w:rsid w:val="00680C23"/>
    <w:rsid w:val="00693766"/>
    <w:rsid w:val="006973CD"/>
    <w:rsid w:val="006A1781"/>
    <w:rsid w:val="006A3281"/>
    <w:rsid w:val="006B4888"/>
    <w:rsid w:val="006B75AD"/>
    <w:rsid w:val="006C26C7"/>
    <w:rsid w:val="006C2E45"/>
    <w:rsid w:val="006C359C"/>
    <w:rsid w:val="006C3814"/>
    <w:rsid w:val="006C5579"/>
    <w:rsid w:val="006D1812"/>
    <w:rsid w:val="006E737D"/>
    <w:rsid w:val="006E76BC"/>
    <w:rsid w:val="0070195D"/>
    <w:rsid w:val="00707E9B"/>
    <w:rsid w:val="0071155E"/>
    <w:rsid w:val="007130A3"/>
    <w:rsid w:val="00720A24"/>
    <w:rsid w:val="0072224D"/>
    <w:rsid w:val="00725708"/>
    <w:rsid w:val="00725AFE"/>
    <w:rsid w:val="00732386"/>
    <w:rsid w:val="00734DA5"/>
    <w:rsid w:val="00737BD9"/>
    <w:rsid w:val="007447F3"/>
    <w:rsid w:val="0075086C"/>
    <w:rsid w:val="0075499F"/>
    <w:rsid w:val="007661C8"/>
    <w:rsid w:val="0077098D"/>
    <w:rsid w:val="007931FA"/>
    <w:rsid w:val="007A3259"/>
    <w:rsid w:val="007A7BBA"/>
    <w:rsid w:val="007B0C50"/>
    <w:rsid w:val="007B7BA6"/>
    <w:rsid w:val="007C0107"/>
    <w:rsid w:val="007C0A79"/>
    <w:rsid w:val="007C0DCE"/>
    <w:rsid w:val="007C14E0"/>
    <w:rsid w:val="007C1A43"/>
    <w:rsid w:val="007C3E2F"/>
    <w:rsid w:val="007C4193"/>
    <w:rsid w:val="007C550B"/>
    <w:rsid w:val="007D3299"/>
    <w:rsid w:val="007E1DC6"/>
    <w:rsid w:val="007E2191"/>
    <w:rsid w:val="007F7627"/>
    <w:rsid w:val="008055DA"/>
    <w:rsid w:val="00813288"/>
    <w:rsid w:val="008168FC"/>
    <w:rsid w:val="00823A9F"/>
    <w:rsid w:val="00824A4A"/>
    <w:rsid w:val="00830996"/>
    <w:rsid w:val="008345F1"/>
    <w:rsid w:val="008374DC"/>
    <w:rsid w:val="008419B8"/>
    <w:rsid w:val="00846E0D"/>
    <w:rsid w:val="008627AF"/>
    <w:rsid w:val="00865B07"/>
    <w:rsid w:val="008667EA"/>
    <w:rsid w:val="00871B59"/>
    <w:rsid w:val="00874858"/>
    <w:rsid w:val="0087637F"/>
    <w:rsid w:val="00882CCD"/>
    <w:rsid w:val="008842E8"/>
    <w:rsid w:val="008904B9"/>
    <w:rsid w:val="00892AD5"/>
    <w:rsid w:val="00895F74"/>
    <w:rsid w:val="008A1512"/>
    <w:rsid w:val="008A22BA"/>
    <w:rsid w:val="008A735E"/>
    <w:rsid w:val="008B2261"/>
    <w:rsid w:val="008B34CA"/>
    <w:rsid w:val="008B7C89"/>
    <w:rsid w:val="008C1908"/>
    <w:rsid w:val="008C78C1"/>
    <w:rsid w:val="008D30C3"/>
    <w:rsid w:val="008D32B9"/>
    <w:rsid w:val="008D433B"/>
    <w:rsid w:val="008E0AE6"/>
    <w:rsid w:val="008E2A25"/>
    <w:rsid w:val="008E566E"/>
    <w:rsid w:val="008F0761"/>
    <w:rsid w:val="008F1C5D"/>
    <w:rsid w:val="0090161A"/>
    <w:rsid w:val="00901EB6"/>
    <w:rsid w:val="00904C62"/>
    <w:rsid w:val="00914445"/>
    <w:rsid w:val="00917F19"/>
    <w:rsid w:val="00921E5E"/>
    <w:rsid w:val="00922D14"/>
    <w:rsid w:val="00924DAC"/>
    <w:rsid w:val="00925235"/>
    <w:rsid w:val="00927058"/>
    <w:rsid w:val="009271EA"/>
    <w:rsid w:val="009450CE"/>
    <w:rsid w:val="00947179"/>
    <w:rsid w:val="0095164B"/>
    <w:rsid w:val="009527ED"/>
    <w:rsid w:val="00954090"/>
    <w:rsid w:val="009573E7"/>
    <w:rsid w:val="009579BC"/>
    <w:rsid w:val="009635B9"/>
    <w:rsid w:val="00963E05"/>
    <w:rsid w:val="009659A9"/>
    <w:rsid w:val="00967D54"/>
    <w:rsid w:val="0097032F"/>
    <w:rsid w:val="00980B02"/>
    <w:rsid w:val="009945BC"/>
    <w:rsid w:val="00996483"/>
    <w:rsid w:val="00996F5A"/>
    <w:rsid w:val="009A0A3E"/>
    <w:rsid w:val="009A5335"/>
    <w:rsid w:val="009A7200"/>
    <w:rsid w:val="009B041A"/>
    <w:rsid w:val="009B11BC"/>
    <w:rsid w:val="009C7C86"/>
    <w:rsid w:val="009D2FF7"/>
    <w:rsid w:val="009E7884"/>
    <w:rsid w:val="009E788A"/>
    <w:rsid w:val="009F0E08"/>
    <w:rsid w:val="009F6702"/>
    <w:rsid w:val="00A0210B"/>
    <w:rsid w:val="00A05FC0"/>
    <w:rsid w:val="00A154CB"/>
    <w:rsid w:val="00A1763D"/>
    <w:rsid w:val="00A17CEC"/>
    <w:rsid w:val="00A27EF0"/>
    <w:rsid w:val="00A30A8F"/>
    <w:rsid w:val="00A50B20"/>
    <w:rsid w:val="00A51390"/>
    <w:rsid w:val="00A56FBA"/>
    <w:rsid w:val="00A60D13"/>
    <w:rsid w:val="00A72745"/>
    <w:rsid w:val="00A76422"/>
    <w:rsid w:val="00A76EFC"/>
    <w:rsid w:val="00A85180"/>
    <w:rsid w:val="00A91010"/>
    <w:rsid w:val="00A9643E"/>
    <w:rsid w:val="00A968C9"/>
    <w:rsid w:val="00A97F29"/>
    <w:rsid w:val="00AA50CC"/>
    <w:rsid w:val="00AA541B"/>
    <w:rsid w:val="00AA55D7"/>
    <w:rsid w:val="00AA571A"/>
    <w:rsid w:val="00AA66FD"/>
    <w:rsid w:val="00AA702E"/>
    <w:rsid w:val="00AA7532"/>
    <w:rsid w:val="00AB0964"/>
    <w:rsid w:val="00AB5011"/>
    <w:rsid w:val="00AC330D"/>
    <w:rsid w:val="00AC7368"/>
    <w:rsid w:val="00AD16B9"/>
    <w:rsid w:val="00AD3FAC"/>
    <w:rsid w:val="00AD4009"/>
    <w:rsid w:val="00AE377D"/>
    <w:rsid w:val="00AF08F7"/>
    <w:rsid w:val="00AF5A26"/>
    <w:rsid w:val="00B052AC"/>
    <w:rsid w:val="00B17FBD"/>
    <w:rsid w:val="00B315A6"/>
    <w:rsid w:val="00B31813"/>
    <w:rsid w:val="00B33365"/>
    <w:rsid w:val="00B57B36"/>
    <w:rsid w:val="00B66C5C"/>
    <w:rsid w:val="00B83588"/>
    <w:rsid w:val="00B83E5A"/>
    <w:rsid w:val="00B8686D"/>
    <w:rsid w:val="00B87332"/>
    <w:rsid w:val="00B87AA9"/>
    <w:rsid w:val="00B9055E"/>
    <w:rsid w:val="00BA56E3"/>
    <w:rsid w:val="00BB110E"/>
    <w:rsid w:val="00BC29FD"/>
    <w:rsid w:val="00BC30C9"/>
    <w:rsid w:val="00BC3F5F"/>
    <w:rsid w:val="00BC7F39"/>
    <w:rsid w:val="00BD5BFB"/>
    <w:rsid w:val="00BE0B76"/>
    <w:rsid w:val="00BE1DCB"/>
    <w:rsid w:val="00BE3E58"/>
    <w:rsid w:val="00BE63D6"/>
    <w:rsid w:val="00BE651F"/>
    <w:rsid w:val="00BE6E80"/>
    <w:rsid w:val="00BF2215"/>
    <w:rsid w:val="00BF2D71"/>
    <w:rsid w:val="00BF7B16"/>
    <w:rsid w:val="00C01616"/>
    <w:rsid w:val="00C0162B"/>
    <w:rsid w:val="00C04127"/>
    <w:rsid w:val="00C1423C"/>
    <w:rsid w:val="00C160B8"/>
    <w:rsid w:val="00C262D9"/>
    <w:rsid w:val="00C26E10"/>
    <w:rsid w:val="00C345B1"/>
    <w:rsid w:val="00C37FD7"/>
    <w:rsid w:val="00C40142"/>
    <w:rsid w:val="00C41ED0"/>
    <w:rsid w:val="00C43D6E"/>
    <w:rsid w:val="00C4581B"/>
    <w:rsid w:val="00C57182"/>
    <w:rsid w:val="00C57863"/>
    <w:rsid w:val="00C655FD"/>
    <w:rsid w:val="00C71CF3"/>
    <w:rsid w:val="00C77774"/>
    <w:rsid w:val="00C870A8"/>
    <w:rsid w:val="00C930EE"/>
    <w:rsid w:val="00C94434"/>
    <w:rsid w:val="00CA0D75"/>
    <w:rsid w:val="00CA116B"/>
    <w:rsid w:val="00CA1C95"/>
    <w:rsid w:val="00CA5A9C"/>
    <w:rsid w:val="00CB3996"/>
    <w:rsid w:val="00CC510B"/>
    <w:rsid w:val="00CC69E3"/>
    <w:rsid w:val="00CD1215"/>
    <w:rsid w:val="00CD3517"/>
    <w:rsid w:val="00CD5A00"/>
    <w:rsid w:val="00CD5FE2"/>
    <w:rsid w:val="00CE7C68"/>
    <w:rsid w:val="00CF3849"/>
    <w:rsid w:val="00D01CCB"/>
    <w:rsid w:val="00D02B4C"/>
    <w:rsid w:val="00D040C4"/>
    <w:rsid w:val="00D04AEC"/>
    <w:rsid w:val="00D25C5D"/>
    <w:rsid w:val="00D4018A"/>
    <w:rsid w:val="00D445E5"/>
    <w:rsid w:val="00D44857"/>
    <w:rsid w:val="00D57282"/>
    <w:rsid w:val="00D57C84"/>
    <w:rsid w:val="00D6057D"/>
    <w:rsid w:val="00D64369"/>
    <w:rsid w:val="00D66809"/>
    <w:rsid w:val="00D73E0C"/>
    <w:rsid w:val="00D83DBF"/>
    <w:rsid w:val="00D84576"/>
    <w:rsid w:val="00D90321"/>
    <w:rsid w:val="00D93297"/>
    <w:rsid w:val="00D93E10"/>
    <w:rsid w:val="00DA1399"/>
    <w:rsid w:val="00DA24C6"/>
    <w:rsid w:val="00DA4D7B"/>
    <w:rsid w:val="00DA646C"/>
    <w:rsid w:val="00DB2EE2"/>
    <w:rsid w:val="00DB3B00"/>
    <w:rsid w:val="00DC0166"/>
    <w:rsid w:val="00DC1965"/>
    <w:rsid w:val="00DC6E68"/>
    <w:rsid w:val="00DD0355"/>
    <w:rsid w:val="00DD0594"/>
    <w:rsid w:val="00DD5904"/>
    <w:rsid w:val="00DE147F"/>
    <w:rsid w:val="00DE264A"/>
    <w:rsid w:val="00DF06DD"/>
    <w:rsid w:val="00E00961"/>
    <w:rsid w:val="00E02D18"/>
    <w:rsid w:val="00E041E7"/>
    <w:rsid w:val="00E051F8"/>
    <w:rsid w:val="00E1159E"/>
    <w:rsid w:val="00E21E65"/>
    <w:rsid w:val="00E23CA1"/>
    <w:rsid w:val="00E409A8"/>
    <w:rsid w:val="00E44784"/>
    <w:rsid w:val="00E50A70"/>
    <w:rsid w:val="00E50C12"/>
    <w:rsid w:val="00E52A84"/>
    <w:rsid w:val="00E65B91"/>
    <w:rsid w:val="00E7209D"/>
    <w:rsid w:val="00E75FBD"/>
    <w:rsid w:val="00E77223"/>
    <w:rsid w:val="00E80832"/>
    <w:rsid w:val="00E83BF4"/>
    <w:rsid w:val="00E8528B"/>
    <w:rsid w:val="00E85B94"/>
    <w:rsid w:val="00E978D0"/>
    <w:rsid w:val="00EA4613"/>
    <w:rsid w:val="00EA7F91"/>
    <w:rsid w:val="00EB0C6D"/>
    <w:rsid w:val="00EB1523"/>
    <w:rsid w:val="00EB6FC7"/>
    <w:rsid w:val="00EB7521"/>
    <w:rsid w:val="00EC0E49"/>
    <w:rsid w:val="00EC1F38"/>
    <w:rsid w:val="00EC5E53"/>
    <w:rsid w:val="00ED680F"/>
    <w:rsid w:val="00EE0131"/>
    <w:rsid w:val="00EF11FA"/>
    <w:rsid w:val="00EF4629"/>
    <w:rsid w:val="00EF51DC"/>
    <w:rsid w:val="00F00105"/>
    <w:rsid w:val="00F00885"/>
    <w:rsid w:val="00F031AF"/>
    <w:rsid w:val="00F06904"/>
    <w:rsid w:val="00F06BB4"/>
    <w:rsid w:val="00F14B86"/>
    <w:rsid w:val="00F155B2"/>
    <w:rsid w:val="00F16E43"/>
    <w:rsid w:val="00F30C64"/>
    <w:rsid w:val="00F32CDB"/>
    <w:rsid w:val="00F3357C"/>
    <w:rsid w:val="00F40EAB"/>
    <w:rsid w:val="00F43028"/>
    <w:rsid w:val="00F50DF5"/>
    <w:rsid w:val="00F526E5"/>
    <w:rsid w:val="00F54702"/>
    <w:rsid w:val="00F562F8"/>
    <w:rsid w:val="00F579F6"/>
    <w:rsid w:val="00F6039E"/>
    <w:rsid w:val="00F63A70"/>
    <w:rsid w:val="00F6639C"/>
    <w:rsid w:val="00F77BDD"/>
    <w:rsid w:val="00F81F60"/>
    <w:rsid w:val="00F83A11"/>
    <w:rsid w:val="00F93EB4"/>
    <w:rsid w:val="00F943CA"/>
    <w:rsid w:val="00F95573"/>
    <w:rsid w:val="00F97BFC"/>
    <w:rsid w:val="00FA21D0"/>
    <w:rsid w:val="00FA5F5F"/>
    <w:rsid w:val="00FB6F1A"/>
    <w:rsid w:val="00FB730C"/>
    <w:rsid w:val="00FC2695"/>
    <w:rsid w:val="00FC3E03"/>
    <w:rsid w:val="00FC3FC1"/>
    <w:rsid w:val="00FC5985"/>
    <w:rsid w:val="00FD56DF"/>
    <w:rsid w:val="00FD76A4"/>
    <w:rsid w:val="00FF1E0C"/>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92111"/>
  <w15:docId w15:val="{26799047-1ADC-4FDC-A6AE-A1FC7661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737BD9"/>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table" w:styleId="GridTable1Light">
    <w:name w:val="Grid Table 1 Light"/>
    <w:basedOn w:val="TableNormal"/>
    <w:uiPriority w:val="46"/>
    <w:rsid w:val="00737B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37BD9"/>
    <w:pPr>
      <w:tabs>
        <w:tab w:val="clear" w:pos="7100"/>
      </w:tabs>
      <w:spacing w:after="160" w:line="259" w:lineRule="auto"/>
      <w:ind w:left="720"/>
      <w:contextualSpacing/>
      <w:jc w:val="left"/>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37BD9"/>
    <w:rPr>
      <w:color w:val="605E5C"/>
      <w:shd w:val="clear" w:color="auto" w:fill="E1DFDD"/>
    </w:rPr>
  </w:style>
  <w:style w:type="character" w:styleId="Emphasis">
    <w:name w:val="Emphasis"/>
    <w:basedOn w:val="DefaultParagraphFont"/>
    <w:uiPriority w:val="20"/>
    <w:qFormat/>
    <w:rsid w:val="002F71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03516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38A8-62F6-459F-B570-27C308BF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6</Pages>
  <Words>3674</Words>
  <Characters>20946</Characters>
  <Application>Microsoft Office Word</Application>
  <DocSecurity>0</DocSecurity>
  <Lines>174</Lines>
  <Paragraphs>49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Andrea Casson</cp:lastModifiedBy>
  <cp:revision>8</cp:revision>
  <cp:lastPrinted>2019-01-24T11:55:00Z</cp:lastPrinted>
  <dcterms:created xsi:type="dcterms:W3CDTF">2019-04-14T08:03:00Z</dcterms:created>
  <dcterms:modified xsi:type="dcterms:W3CDTF">2019-04-15T14:26:00Z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