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DF" w:rsidRPr="00DE0019" w:rsidRDefault="003C7B61" w:rsidP="00704BDF">
      <w:pPr>
        <w:snapToGrid w:val="0"/>
        <w:spacing w:after="360"/>
        <w:jc w:val="center"/>
        <w:rPr>
          <w:rFonts w:asciiTheme="minorHAnsi" w:eastAsia="MS PGothic" w:hAnsiTheme="minorHAnsi"/>
          <w:b/>
          <w:bCs/>
          <w:sz w:val="28"/>
          <w:szCs w:val="28"/>
          <w:lang w:val="en-US" w:eastAsia="ko-KR"/>
        </w:rPr>
      </w:pPr>
      <w:bookmarkStart w:id="0" w:name="_GoBack"/>
      <w:bookmarkEnd w:id="0"/>
      <w:r>
        <w:rPr>
          <w:rFonts w:asciiTheme="minorHAnsi" w:eastAsia="MS PGothic" w:hAnsiTheme="minorHAnsi"/>
          <w:b/>
          <w:bCs/>
          <w:sz w:val="28"/>
          <w:szCs w:val="28"/>
          <w:lang w:val="en-US" w:eastAsia="ko-KR"/>
        </w:rPr>
        <w:t xml:space="preserve">Impact of Partial Solid Miscibility on Impurity Rejection during </w:t>
      </w:r>
      <w:proofErr w:type="spellStart"/>
      <w:r>
        <w:rPr>
          <w:rFonts w:asciiTheme="minorHAnsi" w:eastAsia="MS PGothic" w:hAnsiTheme="minorHAnsi"/>
          <w:b/>
          <w:bCs/>
          <w:sz w:val="28"/>
          <w:szCs w:val="28"/>
          <w:lang w:val="en-US" w:eastAsia="ko-KR"/>
        </w:rPr>
        <w:t>Crystallisation</w:t>
      </w:r>
      <w:proofErr w:type="spellEnd"/>
    </w:p>
    <w:p w:rsidR="00DE0019" w:rsidRPr="00DE0019" w:rsidRDefault="003C7B61"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Stephanie</w:t>
      </w:r>
      <w:r w:rsidR="008B5860">
        <w:rPr>
          <w:rFonts w:asciiTheme="minorHAnsi" w:eastAsia="SimSun" w:hAnsiTheme="minorHAnsi"/>
          <w:color w:val="000000"/>
          <w:sz w:val="24"/>
          <w:szCs w:val="24"/>
          <w:u w:val="single"/>
          <w:lang w:val="en-US" w:eastAsia="zh-CN"/>
        </w:rPr>
        <w:t xml:space="preserve"> </w:t>
      </w:r>
      <w:r>
        <w:rPr>
          <w:rFonts w:asciiTheme="minorHAnsi" w:eastAsia="SimSun" w:hAnsiTheme="minorHAnsi"/>
          <w:color w:val="000000"/>
          <w:sz w:val="24"/>
          <w:szCs w:val="24"/>
          <w:u w:val="single"/>
          <w:lang w:val="en-US" w:eastAsia="zh-CN"/>
        </w:rPr>
        <w:t>J. Urwin</w:t>
      </w:r>
      <w:r>
        <w:rPr>
          <w:rFonts w:asciiTheme="minorHAnsi" w:eastAsia="SimSun" w:hAnsiTheme="minorHAnsi"/>
          <w:color w:val="000000"/>
          <w:sz w:val="24"/>
          <w:szCs w:val="24"/>
          <w:lang w:val="en-US" w:eastAsia="zh-CN"/>
        </w:rPr>
        <w:t>,</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Stephanie Yerdelen,</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Ian Houson,</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Guillaume Levilain,</w:t>
      </w:r>
      <w:r w:rsidRPr="003C7B61">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xml:space="preserve"> Ivan Marziano,</w:t>
      </w:r>
      <w:r w:rsidRPr="003C7B61">
        <w:rPr>
          <w:rFonts w:asciiTheme="minorHAnsi" w:eastAsia="SimSun" w:hAnsiTheme="minorHAnsi"/>
          <w:color w:val="000000"/>
          <w:sz w:val="24"/>
          <w:szCs w:val="24"/>
          <w:vertAlign w:val="superscript"/>
          <w:lang w:val="en-US" w:eastAsia="zh-CN"/>
        </w:rPr>
        <w:t>3</w:t>
      </w:r>
      <w:r>
        <w:rPr>
          <w:rFonts w:asciiTheme="minorHAnsi" w:eastAsia="SimSun" w:hAnsiTheme="minorHAnsi"/>
          <w:color w:val="000000"/>
          <w:sz w:val="24"/>
          <w:szCs w:val="24"/>
          <w:lang w:val="en-US" w:eastAsia="zh-CN"/>
        </w:rPr>
        <w:t xml:space="preserve"> Jeremy Merritt</w:t>
      </w:r>
      <w:r w:rsidRPr="003C7B61">
        <w:rPr>
          <w:rFonts w:asciiTheme="minorHAnsi" w:eastAsia="SimSun" w:hAnsiTheme="minorHAnsi"/>
          <w:color w:val="000000"/>
          <w:sz w:val="24"/>
          <w:szCs w:val="24"/>
          <w:vertAlign w:val="superscript"/>
          <w:lang w:val="en-US" w:eastAsia="zh-CN"/>
        </w:rPr>
        <w:t>4</w:t>
      </w:r>
      <w:r>
        <w:rPr>
          <w:rFonts w:asciiTheme="minorHAnsi" w:eastAsia="SimSun" w:hAnsiTheme="minorHAnsi"/>
          <w:color w:val="000000"/>
          <w:sz w:val="24"/>
          <w:szCs w:val="24"/>
          <w:lang w:val="en-US" w:eastAsia="zh-CN"/>
        </w:rPr>
        <w:t xml:space="preserve"> and Joop H. </w:t>
      </w:r>
      <w:proofErr w:type="spellStart"/>
      <w:r>
        <w:rPr>
          <w:rFonts w:asciiTheme="minorHAnsi" w:eastAsia="SimSun" w:hAnsiTheme="minorHAnsi"/>
          <w:color w:val="000000"/>
          <w:sz w:val="24"/>
          <w:szCs w:val="24"/>
          <w:lang w:val="en-US" w:eastAsia="zh-CN"/>
        </w:rPr>
        <w:t>ter</w:t>
      </w:r>
      <w:proofErr w:type="spellEnd"/>
      <w:r>
        <w:rPr>
          <w:rFonts w:asciiTheme="minorHAnsi" w:eastAsia="SimSun" w:hAnsiTheme="minorHAnsi"/>
          <w:color w:val="000000"/>
          <w:sz w:val="24"/>
          <w:szCs w:val="24"/>
          <w:lang w:val="en-US" w:eastAsia="zh-CN"/>
        </w:rPr>
        <w:t xml:space="preserve"> Horst</w:t>
      </w:r>
      <w:r>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rsidR="003C7B61" w:rsidRPr="003C7B61" w:rsidRDefault="000B1987" w:rsidP="003C7B61">
      <w:pPr>
        <w:tabs>
          <w:tab w:val="center" w:pos="4536"/>
          <w:tab w:val="left" w:pos="5780"/>
        </w:tabs>
        <w:overflowPunct w:val="0"/>
        <w:autoSpaceDE w:val="0"/>
        <w:autoSpaceDN w:val="0"/>
        <w:adjustRightInd w:val="0"/>
        <w:spacing w:after="240"/>
        <w:jc w:val="center"/>
        <w:rPr>
          <w:rFonts w:asciiTheme="minorHAnsi" w:hAnsiTheme="minorHAnsi" w:cstheme="minorHAnsi"/>
          <w:i/>
          <w:iCs/>
          <w:sz w:val="20"/>
          <w:vertAlign w:val="superscript"/>
        </w:rPr>
      </w:pPr>
      <w:r>
        <w:rPr>
          <w:rFonts w:asciiTheme="minorHAnsi" w:hAnsiTheme="minorHAnsi" w:cstheme="minorHAnsi"/>
          <w:i/>
          <w:iCs/>
          <w:sz w:val="20"/>
          <w:vertAlign w:val="superscript"/>
        </w:rPr>
        <w:t>1</w:t>
      </w:r>
      <w:r w:rsidR="003C7B61" w:rsidRPr="003C7B61">
        <w:rPr>
          <w:rFonts w:asciiTheme="minorHAnsi" w:hAnsiTheme="minorHAnsi" w:cstheme="minorHAnsi"/>
          <w:i/>
          <w:iCs/>
          <w:sz w:val="20"/>
        </w:rPr>
        <w:t>EPSRC Centre for Innovative Manufacturing in Continuous Manufacturing and Crystallisation, Uni</w:t>
      </w:r>
      <w:r>
        <w:rPr>
          <w:rFonts w:asciiTheme="minorHAnsi" w:hAnsiTheme="minorHAnsi" w:cstheme="minorHAnsi"/>
          <w:i/>
          <w:iCs/>
          <w:sz w:val="20"/>
        </w:rPr>
        <w:t>versity of Strathclyde, Glasgow, G1 1RD, UK</w:t>
      </w:r>
      <w:r w:rsidR="003C7B61" w:rsidRPr="003C7B61">
        <w:rPr>
          <w:rFonts w:asciiTheme="minorHAnsi" w:hAnsiTheme="minorHAnsi" w:cstheme="minorHAnsi"/>
          <w:i/>
          <w:iCs/>
          <w:sz w:val="20"/>
        </w:rPr>
        <w:t xml:space="preserve">. </w:t>
      </w:r>
      <w:r>
        <w:rPr>
          <w:rFonts w:asciiTheme="minorHAnsi" w:hAnsiTheme="minorHAnsi" w:cstheme="minorHAnsi"/>
          <w:i/>
          <w:iCs/>
          <w:sz w:val="20"/>
          <w:vertAlign w:val="superscript"/>
        </w:rPr>
        <w:t>2</w:t>
      </w:r>
      <w:r w:rsidRPr="000B1987">
        <w:rPr>
          <w:rFonts w:asciiTheme="minorHAnsi" w:hAnsiTheme="minorHAnsi" w:cstheme="minorHAnsi"/>
          <w:i/>
          <w:iCs/>
          <w:sz w:val="20"/>
        </w:rPr>
        <w:t>Bayer</w:t>
      </w:r>
      <w:r>
        <w:rPr>
          <w:rFonts w:asciiTheme="minorHAnsi" w:hAnsiTheme="minorHAnsi" w:cstheme="minorHAnsi"/>
          <w:i/>
          <w:iCs/>
          <w:sz w:val="20"/>
        </w:rPr>
        <w:t xml:space="preserve"> AG, </w:t>
      </w:r>
      <w:proofErr w:type="spellStart"/>
      <w:r>
        <w:rPr>
          <w:rFonts w:asciiTheme="minorHAnsi" w:hAnsiTheme="minorHAnsi" w:cstheme="minorHAnsi"/>
          <w:i/>
          <w:iCs/>
          <w:sz w:val="20"/>
        </w:rPr>
        <w:t>Forschungszentrum</w:t>
      </w:r>
      <w:proofErr w:type="spellEnd"/>
      <w:r>
        <w:rPr>
          <w:rFonts w:asciiTheme="minorHAnsi" w:hAnsiTheme="minorHAnsi" w:cstheme="minorHAnsi"/>
          <w:i/>
          <w:iCs/>
          <w:sz w:val="20"/>
        </w:rPr>
        <w:t xml:space="preserve"> </w:t>
      </w:r>
      <w:proofErr w:type="spellStart"/>
      <w:r>
        <w:rPr>
          <w:rFonts w:asciiTheme="minorHAnsi" w:hAnsiTheme="minorHAnsi" w:cstheme="minorHAnsi"/>
          <w:i/>
          <w:iCs/>
          <w:sz w:val="20"/>
        </w:rPr>
        <w:t>Aprath</w:t>
      </w:r>
      <w:proofErr w:type="spellEnd"/>
      <w:r>
        <w:rPr>
          <w:rFonts w:asciiTheme="minorHAnsi" w:hAnsiTheme="minorHAnsi" w:cstheme="minorHAnsi"/>
          <w:i/>
          <w:iCs/>
          <w:sz w:val="20"/>
        </w:rPr>
        <w:t>, 42096 Wuppertal, Germany</w:t>
      </w:r>
      <w:r w:rsidR="003C7B61" w:rsidRPr="003C7B61">
        <w:rPr>
          <w:rFonts w:asciiTheme="minorHAnsi" w:hAnsiTheme="minorHAnsi" w:cstheme="minorHAnsi"/>
          <w:i/>
          <w:iCs/>
          <w:sz w:val="20"/>
        </w:rPr>
        <w:t xml:space="preserve">. </w:t>
      </w:r>
      <w:r>
        <w:rPr>
          <w:rFonts w:asciiTheme="minorHAnsi" w:hAnsiTheme="minorHAnsi" w:cstheme="minorHAnsi"/>
          <w:i/>
          <w:iCs/>
          <w:sz w:val="20"/>
          <w:vertAlign w:val="superscript"/>
        </w:rPr>
        <w:t>3</w:t>
      </w:r>
      <w:r w:rsidR="003C7B61" w:rsidRPr="003C7B61">
        <w:rPr>
          <w:rFonts w:asciiTheme="minorHAnsi" w:hAnsiTheme="minorHAnsi" w:cstheme="minorHAnsi"/>
          <w:i/>
          <w:iCs/>
          <w:sz w:val="20"/>
        </w:rPr>
        <w:t>Pfizer</w:t>
      </w:r>
      <w:r>
        <w:rPr>
          <w:rFonts w:asciiTheme="minorHAnsi" w:hAnsiTheme="minorHAnsi" w:cstheme="minorHAnsi"/>
          <w:i/>
          <w:iCs/>
          <w:sz w:val="20"/>
        </w:rPr>
        <w:t xml:space="preserve"> Worldwide Research and Development, Sandwich, CT13 9NJ, UK</w:t>
      </w:r>
      <w:r w:rsidR="003C7B61" w:rsidRPr="003C7B61">
        <w:rPr>
          <w:rFonts w:asciiTheme="minorHAnsi" w:hAnsiTheme="minorHAnsi" w:cstheme="minorHAnsi"/>
          <w:i/>
          <w:iCs/>
          <w:sz w:val="20"/>
        </w:rPr>
        <w:t xml:space="preserve">. </w:t>
      </w:r>
      <w:r>
        <w:rPr>
          <w:rFonts w:asciiTheme="minorHAnsi" w:hAnsiTheme="minorHAnsi" w:cstheme="minorHAnsi"/>
          <w:i/>
          <w:iCs/>
          <w:sz w:val="20"/>
          <w:vertAlign w:val="superscript"/>
        </w:rPr>
        <w:t>4</w:t>
      </w:r>
      <w:r>
        <w:rPr>
          <w:rFonts w:asciiTheme="minorHAnsi" w:hAnsiTheme="minorHAnsi" w:cstheme="minorHAnsi"/>
          <w:i/>
          <w:iCs/>
          <w:sz w:val="20"/>
        </w:rPr>
        <w:t xml:space="preserve">Eli Lilly and Company, Small Molecule Design and Development, Lilly Technology </w:t>
      </w:r>
      <w:proofErr w:type="spellStart"/>
      <w:r>
        <w:rPr>
          <w:rFonts w:asciiTheme="minorHAnsi" w:hAnsiTheme="minorHAnsi" w:cstheme="minorHAnsi"/>
          <w:i/>
          <w:iCs/>
          <w:sz w:val="20"/>
        </w:rPr>
        <w:t>Center</w:t>
      </w:r>
      <w:proofErr w:type="spellEnd"/>
      <w:r>
        <w:rPr>
          <w:rFonts w:asciiTheme="minorHAnsi" w:hAnsiTheme="minorHAnsi" w:cstheme="minorHAnsi"/>
          <w:i/>
          <w:iCs/>
          <w:sz w:val="20"/>
        </w:rPr>
        <w:t xml:space="preserve"> North, Indianapolis, IN 46221, USA</w:t>
      </w:r>
      <w:r w:rsidR="003C7B61" w:rsidRPr="003C7B61">
        <w:rPr>
          <w:rFonts w:asciiTheme="minorHAnsi" w:hAnsiTheme="minorHAnsi" w:cstheme="minorHAnsi"/>
          <w:i/>
          <w:iCs/>
          <w:sz w:val="20"/>
        </w:rPr>
        <w:t xml:space="preserve">. </w:t>
      </w:r>
    </w:p>
    <w:p w:rsidR="00704BDF" w:rsidRPr="00DE0019" w:rsidRDefault="000F549D" w:rsidP="00704BDF">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stephanie.urwin@strath.ac.uk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3C7B61" w:rsidP="00704BDF">
      <w:pPr>
        <w:pStyle w:val="AbstractBody"/>
        <w:numPr>
          <w:ilvl w:val="0"/>
          <w:numId w:val="16"/>
        </w:numPr>
        <w:rPr>
          <w:rFonts w:asciiTheme="minorHAnsi" w:hAnsiTheme="minorHAnsi"/>
        </w:rPr>
      </w:pPr>
      <w:r>
        <w:rPr>
          <w:rFonts w:asciiTheme="minorHAnsi" w:hAnsiTheme="minorHAnsi"/>
        </w:rPr>
        <w:t xml:space="preserve">Workflow approach to </w:t>
      </w:r>
      <w:r w:rsidR="008B5860">
        <w:rPr>
          <w:rFonts w:asciiTheme="minorHAnsi" w:hAnsiTheme="minorHAnsi"/>
        </w:rPr>
        <w:t>distinguish</w:t>
      </w:r>
      <w:r>
        <w:rPr>
          <w:rFonts w:asciiTheme="minorHAnsi" w:hAnsiTheme="minorHAnsi"/>
        </w:rPr>
        <w:t xml:space="preserve"> between different </w:t>
      </w:r>
      <w:r w:rsidR="008B5860">
        <w:rPr>
          <w:rFonts w:asciiTheme="minorHAnsi" w:hAnsiTheme="minorHAnsi"/>
        </w:rPr>
        <w:t>mechanisms</w:t>
      </w:r>
      <w:r>
        <w:rPr>
          <w:rFonts w:asciiTheme="minorHAnsi" w:hAnsiTheme="minorHAnsi"/>
        </w:rPr>
        <w:t xml:space="preserve"> of impurity incorporation</w:t>
      </w:r>
    </w:p>
    <w:p w:rsidR="00704BDF" w:rsidRPr="00EC66CC" w:rsidRDefault="003C7B61" w:rsidP="00704BDF">
      <w:pPr>
        <w:pStyle w:val="AbstractBody"/>
        <w:numPr>
          <w:ilvl w:val="0"/>
          <w:numId w:val="16"/>
        </w:numPr>
        <w:rPr>
          <w:rFonts w:asciiTheme="minorHAnsi" w:hAnsiTheme="minorHAnsi"/>
        </w:rPr>
      </w:pPr>
      <w:r>
        <w:rPr>
          <w:rFonts w:asciiTheme="minorHAnsi" w:hAnsiTheme="minorHAnsi"/>
        </w:rPr>
        <w:t>Impurity rejection during crystallization studied in three pharmaceutical systems</w:t>
      </w:r>
    </w:p>
    <w:p w:rsidR="00704BDF" w:rsidRPr="00EC66CC" w:rsidRDefault="007A5D5F" w:rsidP="00704BDF">
      <w:pPr>
        <w:pStyle w:val="AbstractBody"/>
        <w:numPr>
          <w:ilvl w:val="0"/>
          <w:numId w:val="16"/>
        </w:numPr>
        <w:rPr>
          <w:rFonts w:asciiTheme="minorHAnsi" w:hAnsiTheme="minorHAnsi"/>
        </w:rPr>
      </w:pPr>
      <w:r>
        <w:rPr>
          <w:rFonts w:asciiTheme="minorHAnsi" w:hAnsiTheme="minorHAnsi"/>
        </w:rPr>
        <w:t>I</w:t>
      </w:r>
      <w:r w:rsidR="008B5860">
        <w:rPr>
          <w:rFonts w:asciiTheme="minorHAnsi" w:hAnsiTheme="minorHAnsi"/>
        </w:rPr>
        <w:t xml:space="preserve">ncorporation </w:t>
      </w:r>
      <w:r w:rsidR="003F7322">
        <w:rPr>
          <w:rFonts w:asciiTheme="minorHAnsi" w:hAnsiTheme="minorHAnsi"/>
        </w:rPr>
        <w:t>into the crystal lattice is</w:t>
      </w:r>
      <w:r>
        <w:rPr>
          <w:rFonts w:asciiTheme="minorHAnsi" w:hAnsiTheme="minorHAnsi"/>
        </w:rPr>
        <w:t xml:space="preserve"> </w:t>
      </w:r>
      <w:r w:rsidR="003F7322">
        <w:rPr>
          <w:rFonts w:asciiTheme="minorHAnsi" w:hAnsiTheme="minorHAnsi"/>
        </w:rPr>
        <w:t>experimentally</w:t>
      </w:r>
      <w:r>
        <w:rPr>
          <w:rFonts w:asciiTheme="minorHAnsi" w:hAnsiTheme="minorHAnsi"/>
        </w:rPr>
        <w:t xml:space="preserve"> observed</w:t>
      </w:r>
      <w:r w:rsidR="003F7322">
        <w:rPr>
          <w:rFonts w:asciiTheme="minorHAnsi" w:hAnsiTheme="minorHAnsi"/>
        </w:rPr>
        <w:t xml:space="preserve"> </w:t>
      </w:r>
      <w:r>
        <w:rPr>
          <w:rFonts w:asciiTheme="minorHAnsi" w:hAnsiTheme="minorHAnsi"/>
        </w:rPr>
        <w:t>using</w:t>
      </w:r>
      <w:r w:rsidR="003F7322">
        <w:rPr>
          <w:rFonts w:asciiTheme="minorHAnsi" w:hAnsiTheme="minorHAnsi"/>
        </w:rPr>
        <w:t xml:space="preserve"> X-ray diffraction</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8B5860" w:rsidRDefault="00960CAB" w:rsidP="008B5860">
      <w:pPr>
        <w:snapToGrid w:val="0"/>
        <w:spacing w:after="120"/>
        <w:rPr>
          <w:rFonts w:asciiTheme="minorHAnsi" w:eastAsia="MS PGothic" w:hAnsiTheme="minorHAnsi"/>
          <w:color w:val="000000"/>
          <w:sz w:val="22"/>
          <w:szCs w:val="22"/>
          <w:lang w:val="en-US"/>
        </w:rPr>
      </w:pPr>
      <w:r w:rsidRPr="008B5860">
        <w:rPr>
          <w:rFonts w:asciiTheme="minorHAnsi" w:eastAsia="MS PGothic" w:hAnsiTheme="minorHAnsi"/>
          <w:color w:val="000000"/>
          <w:sz w:val="22"/>
          <w:szCs w:val="22"/>
          <w:lang w:val="en-US"/>
        </w:rPr>
        <w:t>Crystallization</w:t>
      </w:r>
      <w:r w:rsidR="008B5860" w:rsidRPr="008B5860">
        <w:rPr>
          <w:rFonts w:asciiTheme="minorHAnsi" w:eastAsia="MS PGothic" w:hAnsiTheme="minorHAnsi"/>
          <w:color w:val="000000"/>
          <w:sz w:val="22"/>
          <w:szCs w:val="22"/>
          <w:lang w:val="en-US"/>
        </w:rPr>
        <w:t xml:space="preserve"> is a purification technique used across the pharmaceutical sciences and industries. Ideally, the solid product is composed of one single target compound with all other chemical entities remaining in the liquid phase for disposal. In reality, however, this can be difficult to achieve. Due to strict control of impurities in pharmaceutical products, even a small miscibility can be a cause for serious concern. </w:t>
      </w:r>
    </w:p>
    <w:p w:rsidR="008B5860" w:rsidRDefault="008B5860" w:rsidP="008B5860">
      <w:pPr>
        <w:snapToGrid w:val="0"/>
        <w:spacing w:after="120"/>
        <w:rPr>
          <w:rFonts w:asciiTheme="minorHAnsi" w:eastAsia="MS PGothic" w:hAnsiTheme="minorHAnsi"/>
          <w:color w:val="000000"/>
          <w:sz w:val="22"/>
          <w:szCs w:val="22"/>
          <w:lang w:val="en-US"/>
        </w:rPr>
      </w:pPr>
      <w:r w:rsidRPr="008B5860">
        <w:rPr>
          <w:rFonts w:asciiTheme="minorHAnsi" w:eastAsia="MS PGothic" w:hAnsiTheme="minorHAnsi"/>
          <w:color w:val="000000"/>
          <w:sz w:val="22"/>
          <w:szCs w:val="22"/>
          <w:lang w:val="en-US"/>
        </w:rPr>
        <w:t xml:space="preserve">Unwanted compounds, such as structurally similar organic impurities, have many mechanisms to end up in the isolated solid product. Particularly difficult to overcome is solid-phase miscibility of target compound and impurity, which results in impurity incorporation into the crystal lattice and very little impurity rejection. </w:t>
      </w:r>
      <w:r w:rsidR="002B17C9">
        <w:rPr>
          <w:rFonts w:asciiTheme="minorHAnsi" w:eastAsia="MS PGothic" w:hAnsiTheme="minorHAnsi"/>
          <w:color w:val="000000"/>
          <w:sz w:val="22"/>
          <w:szCs w:val="22"/>
          <w:lang w:val="en-US"/>
        </w:rPr>
        <w:t>Here we present a workflow development approach to rapidly identify the mecha</w:t>
      </w:r>
      <w:r w:rsidR="000F549D">
        <w:rPr>
          <w:rFonts w:asciiTheme="minorHAnsi" w:eastAsia="MS PGothic" w:hAnsiTheme="minorHAnsi"/>
          <w:color w:val="000000"/>
          <w:sz w:val="22"/>
          <w:szCs w:val="22"/>
          <w:lang w:val="en-US"/>
        </w:rPr>
        <w:t>nism of im</w:t>
      </w:r>
      <w:r w:rsidR="0082487B">
        <w:rPr>
          <w:rFonts w:asciiTheme="minorHAnsi" w:eastAsia="MS PGothic" w:hAnsiTheme="minorHAnsi"/>
          <w:color w:val="000000"/>
          <w:sz w:val="22"/>
          <w:szCs w:val="22"/>
          <w:lang w:val="en-US"/>
        </w:rPr>
        <w:t xml:space="preserve">purity incorporation, and demonstrate </w:t>
      </w:r>
      <w:r w:rsidR="00253902">
        <w:rPr>
          <w:rFonts w:asciiTheme="minorHAnsi" w:eastAsia="MS PGothic" w:hAnsiTheme="minorHAnsi"/>
          <w:color w:val="000000"/>
          <w:sz w:val="22"/>
          <w:szCs w:val="22"/>
          <w:lang w:val="en-US"/>
        </w:rPr>
        <w:t>one case of significant solid miscibility.</w:t>
      </w:r>
      <w:r w:rsidR="0082487B">
        <w:rPr>
          <w:rFonts w:asciiTheme="minorHAnsi" w:eastAsia="MS PGothic" w:hAnsiTheme="minorHAnsi"/>
          <w:color w:val="000000"/>
          <w:sz w:val="22"/>
          <w:szCs w:val="22"/>
          <w:lang w:val="en-US"/>
        </w:rPr>
        <w:t xml:space="preserve">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Default="000F549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Small </w:t>
      </w:r>
      <w:r w:rsidR="00410060">
        <w:rPr>
          <w:rFonts w:asciiTheme="minorHAnsi" w:eastAsia="MS PGothic" w:hAnsiTheme="minorHAnsi"/>
          <w:color w:val="000000"/>
          <w:sz w:val="22"/>
          <w:szCs w:val="22"/>
          <w:lang w:val="en-US"/>
        </w:rPr>
        <w:t xml:space="preserve">scale cooling </w:t>
      </w:r>
      <w:r w:rsidR="00960CAB">
        <w:rPr>
          <w:rFonts w:asciiTheme="minorHAnsi" w:eastAsia="MS PGothic" w:hAnsiTheme="minorHAnsi"/>
          <w:color w:val="000000"/>
          <w:sz w:val="22"/>
          <w:szCs w:val="22"/>
          <w:lang w:val="en-US"/>
        </w:rPr>
        <w:t>crystallizations</w:t>
      </w:r>
      <w:r w:rsidR="00410060">
        <w:rPr>
          <w:rFonts w:asciiTheme="minorHAnsi" w:eastAsia="MS PGothic" w:hAnsiTheme="minorHAnsi"/>
          <w:color w:val="000000"/>
          <w:sz w:val="22"/>
          <w:szCs w:val="22"/>
          <w:lang w:val="en-US"/>
        </w:rPr>
        <w:t xml:space="preserve"> were designed and carried out using the </w:t>
      </w:r>
      <w:proofErr w:type="spellStart"/>
      <w:r w:rsidR="00410060">
        <w:rPr>
          <w:rFonts w:asciiTheme="minorHAnsi" w:eastAsia="MS PGothic" w:hAnsiTheme="minorHAnsi"/>
          <w:color w:val="000000"/>
          <w:sz w:val="22"/>
          <w:szCs w:val="22"/>
          <w:lang w:val="en-US"/>
        </w:rPr>
        <w:t>Technobis</w:t>
      </w:r>
      <w:proofErr w:type="spellEnd"/>
      <w:r w:rsidR="00410060">
        <w:rPr>
          <w:rFonts w:asciiTheme="minorHAnsi" w:eastAsia="MS PGothic" w:hAnsiTheme="minorHAnsi"/>
          <w:color w:val="000000"/>
          <w:sz w:val="22"/>
          <w:szCs w:val="22"/>
          <w:lang w:val="en-US"/>
        </w:rPr>
        <w:t xml:space="preserve"> Cry</w:t>
      </w:r>
      <w:r w:rsidR="0057399B">
        <w:rPr>
          <w:rFonts w:asciiTheme="minorHAnsi" w:eastAsia="MS PGothic" w:hAnsiTheme="minorHAnsi"/>
          <w:color w:val="000000"/>
          <w:sz w:val="22"/>
          <w:szCs w:val="22"/>
          <w:lang w:val="en-US"/>
        </w:rPr>
        <w:t xml:space="preserve">stal16 and Crystalline systems. </w:t>
      </w:r>
      <w:r w:rsidR="00410060">
        <w:rPr>
          <w:rFonts w:asciiTheme="minorHAnsi" w:eastAsia="MS PGothic" w:hAnsiTheme="minorHAnsi"/>
          <w:color w:val="000000"/>
          <w:sz w:val="22"/>
          <w:szCs w:val="22"/>
          <w:lang w:val="en-US"/>
        </w:rPr>
        <w:t xml:space="preserve">The resulting solid material was </w:t>
      </w:r>
      <w:r w:rsidR="00E6373F">
        <w:rPr>
          <w:rFonts w:asciiTheme="minorHAnsi" w:eastAsia="MS PGothic" w:hAnsiTheme="minorHAnsi"/>
          <w:color w:val="000000"/>
          <w:sz w:val="22"/>
          <w:szCs w:val="22"/>
          <w:lang w:val="en-US"/>
        </w:rPr>
        <w:t>analyzed</w:t>
      </w:r>
      <w:r w:rsidR="00410060">
        <w:rPr>
          <w:rFonts w:asciiTheme="minorHAnsi" w:eastAsia="MS PGothic" w:hAnsiTheme="minorHAnsi"/>
          <w:color w:val="000000"/>
          <w:sz w:val="22"/>
          <w:szCs w:val="22"/>
          <w:lang w:val="en-US"/>
        </w:rPr>
        <w:t xml:space="preserve"> using multiple physical characterization methods. </w:t>
      </w:r>
      <w:r w:rsidR="000D07F6">
        <w:rPr>
          <w:rFonts w:asciiTheme="minorHAnsi" w:eastAsia="MS PGothic" w:hAnsiTheme="minorHAnsi"/>
          <w:color w:val="000000"/>
          <w:sz w:val="22"/>
          <w:szCs w:val="22"/>
          <w:lang w:val="en-US"/>
        </w:rPr>
        <w:t xml:space="preserve">Crystal purity was </w:t>
      </w:r>
      <w:r w:rsidR="002B17C9">
        <w:rPr>
          <w:rFonts w:asciiTheme="minorHAnsi" w:eastAsia="MS PGothic" w:hAnsiTheme="minorHAnsi"/>
          <w:color w:val="000000"/>
          <w:sz w:val="22"/>
          <w:szCs w:val="22"/>
          <w:lang w:val="en-US"/>
        </w:rPr>
        <w:t xml:space="preserve">measured using </w:t>
      </w:r>
      <w:r>
        <w:rPr>
          <w:rFonts w:asciiTheme="minorHAnsi" w:eastAsia="MS PGothic" w:hAnsiTheme="minorHAnsi"/>
          <w:color w:val="000000"/>
          <w:sz w:val="22"/>
          <w:szCs w:val="22"/>
          <w:lang w:val="en-US"/>
        </w:rPr>
        <w:t xml:space="preserve">an Agilent 1100 </w:t>
      </w:r>
      <w:r w:rsidR="002B17C9">
        <w:rPr>
          <w:rFonts w:asciiTheme="minorHAnsi" w:eastAsia="MS PGothic" w:hAnsiTheme="minorHAnsi"/>
          <w:color w:val="000000"/>
          <w:sz w:val="22"/>
          <w:szCs w:val="22"/>
          <w:lang w:val="en-US"/>
        </w:rPr>
        <w:t>HPLC</w:t>
      </w:r>
      <w:r>
        <w:rPr>
          <w:rFonts w:asciiTheme="minorHAnsi" w:eastAsia="MS PGothic" w:hAnsiTheme="minorHAnsi"/>
          <w:color w:val="000000"/>
          <w:sz w:val="22"/>
          <w:szCs w:val="22"/>
          <w:lang w:val="en-US"/>
        </w:rPr>
        <w:t xml:space="preserve">, and using this data the distribution and selectivity </w:t>
      </w:r>
      <w:r w:rsidR="00253902">
        <w:rPr>
          <w:rFonts w:asciiTheme="minorHAnsi" w:eastAsia="MS PGothic" w:hAnsiTheme="minorHAnsi"/>
          <w:color w:val="000000"/>
          <w:sz w:val="22"/>
          <w:szCs w:val="22"/>
          <w:lang w:val="en-US"/>
        </w:rPr>
        <w:t>coefficients</w:t>
      </w:r>
      <w:r>
        <w:rPr>
          <w:rFonts w:asciiTheme="minorHAnsi" w:eastAsia="MS PGothic" w:hAnsiTheme="minorHAnsi"/>
          <w:color w:val="000000"/>
          <w:sz w:val="22"/>
          <w:szCs w:val="22"/>
          <w:lang w:val="en-US"/>
        </w:rPr>
        <w:t xml:space="preserve"> were calculated. The melting temperature of solid materials were determined using differential scanning calorimetry on a </w:t>
      </w:r>
      <w:proofErr w:type="spellStart"/>
      <w:r>
        <w:rPr>
          <w:rFonts w:asciiTheme="minorHAnsi" w:eastAsia="MS PGothic" w:hAnsiTheme="minorHAnsi"/>
          <w:color w:val="000000"/>
          <w:sz w:val="22"/>
          <w:szCs w:val="22"/>
          <w:lang w:val="en-US"/>
        </w:rPr>
        <w:t>Netzsch</w:t>
      </w:r>
      <w:proofErr w:type="spellEnd"/>
      <w:r>
        <w:rPr>
          <w:rFonts w:asciiTheme="minorHAnsi" w:eastAsia="MS PGothic" w:hAnsiTheme="minorHAnsi"/>
          <w:color w:val="000000"/>
          <w:sz w:val="22"/>
          <w:szCs w:val="22"/>
          <w:lang w:val="en-US"/>
        </w:rPr>
        <w:t xml:space="preserve"> DSC214 </w:t>
      </w:r>
      <w:proofErr w:type="spellStart"/>
      <w:r>
        <w:rPr>
          <w:rFonts w:asciiTheme="minorHAnsi" w:eastAsia="MS PGothic" w:hAnsiTheme="minorHAnsi"/>
          <w:color w:val="000000"/>
          <w:sz w:val="22"/>
          <w:szCs w:val="22"/>
          <w:lang w:val="en-US"/>
        </w:rPr>
        <w:t>Polyma</w:t>
      </w:r>
      <w:proofErr w:type="spellEnd"/>
      <w:r>
        <w:rPr>
          <w:rFonts w:asciiTheme="minorHAnsi" w:eastAsia="MS PGothic" w:hAnsiTheme="minorHAnsi"/>
          <w:color w:val="000000"/>
          <w:sz w:val="22"/>
          <w:szCs w:val="22"/>
          <w:lang w:val="en-US"/>
        </w:rPr>
        <w:t xml:space="preserve">, enabling binary phase diagrams and </w:t>
      </w:r>
      <w:proofErr w:type="spellStart"/>
      <w:r>
        <w:rPr>
          <w:rFonts w:asciiTheme="minorHAnsi" w:eastAsia="MS PGothic" w:hAnsiTheme="minorHAnsi"/>
          <w:color w:val="000000"/>
          <w:sz w:val="22"/>
          <w:szCs w:val="22"/>
          <w:lang w:val="en-US"/>
        </w:rPr>
        <w:t>Tamman</w:t>
      </w:r>
      <w:proofErr w:type="spellEnd"/>
      <w:r>
        <w:rPr>
          <w:rFonts w:asciiTheme="minorHAnsi" w:eastAsia="MS PGothic" w:hAnsiTheme="minorHAnsi"/>
          <w:color w:val="000000"/>
          <w:sz w:val="22"/>
          <w:szCs w:val="22"/>
          <w:lang w:val="en-US"/>
        </w:rPr>
        <w:t xml:space="preserve"> plots to be constructed. </w:t>
      </w:r>
      <w:r w:rsidR="00253902">
        <w:rPr>
          <w:rFonts w:asciiTheme="minorHAnsi" w:eastAsia="MS PGothic" w:hAnsiTheme="minorHAnsi"/>
          <w:color w:val="000000"/>
          <w:sz w:val="22"/>
          <w:szCs w:val="22"/>
          <w:lang w:val="en-US"/>
        </w:rPr>
        <w:t xml:space="preserve">Plate powder X-ray diffraction patterns of recrystallized samples were collected using a </w:t>
      </w:r>
      <w:r w:rsidR="00253902" w:rsidRPr="00253902">
        <w:rPr>
          <w:rFonts w:asciiTheme="minorHAnsi" w:eastAsia="MS PGothic" w:hAnsiTheme="minorHAnsi"/>
          <w:color w:val="000000"/>
          <w:sz w:val="22"/>
          <w:szCs w:val="22"/>
          <w:lang w:val="en-US"/>
        </w:rPr>
        <w:t>Bruker AXS D8 Advance II</w:t>
      </w:r>
      <w:r w:rsidR="00253902">
        <w:rPr>
          <w:rFonts w:asciiTheme="minorHAnsi" w:eastAsia="MS PGothic" w:hAnsiTheme="minorHAnsi"/>
          <w:color w:val="000000"/>
          <w:sz w:val="22"/>
          <w:szCs w:val="22"/>
          <w:lang w:val="en-US"/>
        </w:rPr>
        <w:t xml:space="preserve"> diffractometer, and the unit cell dimensions determined using Pawley refinement methods.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3F7322" w:rsidRDefault="008B5860" w:rsidP="002B17C9">
      <w:pPr>
        <w:snapToGrid w:val="0"/>
        <w:spacing w:after="240" w:line="22" w:lineRule="atLeas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 series of cooling </w:t>
      </w:r>
      <w:r w:rsidR="00960CAB">
        <w:rPr>
          <w:rFonts w:asciiTheme="minorHAnsi" w:eastAsia="MS PGothic" w:hAnsiTheme="minorHAnsi"/>
          <w:color w:val="000000"/>
          <w:sz w:val="22"/>
          <w:szCs w:val="22"/>
          <w:lang w:val="en-US"/>
        </w:rPr>
        <w:t>crystallizations</w:t>
      </w:r>
      <w:r w:rsidRPr="008B5860">
        <w:rPr>
          <w:rFonts w:asciiTheme="minorHAnsi" w:eastAsia="MS PGothic" w:hAnsiTheme="minorHAnsi"/>
          <w:color w:val="000000"/>
          <w:sz w:val="22"/>
          <w:szCs w:val="22"/>
          <w:lang w:val="en-US"/>
        </w:rPr>
        <w:t xml:space="preserve"> of paracetamol in the presence acetanilide and metacetamol</w:t>
      </w:r>
      <w:r>
        <w:rPr>
          <w:rFonts w:asciiTheme="minorHAnsi" w:eastAsia="MS PGothic" w:hAnsiTheme="minorHAnsi"/>
          <w:color w:val="000000"/>
          <w:sz w:val="22"/>
          <w:szCs w:val="22"/>
          <w:lang w:val="en-US"/>
        </w:rPr>
        <w:t xml:space="preserve"> revealed the two structurally similar impurities have different rejection/incorporation behavior</w:t>
      </w:r>
      <w:r w:rsidRPr="008B5860">
        <w:rPr>
          <w:rFonts w:asciiTheme="minorHAnsi" w:eastAsia="MS PGothic" w:hAnsiTheme="minorHAnsi"/>
          <w:color w:val="000000"/>
          <w:sz w:val="22"/>
          <w:szCs w:val="22"/>
          <w:lang w:val="en-US"/>
        </w:rPr>
        <w:t xml:space="preserve">. </w:t>
      </w:r>
      <w:r w:rsidR="00253902" w:rsidRPr="008B5860">
        <w:rPr>
          <w:rFonts w:asciiTheme="minorHAnsi" w:eastAsia="MS PGothic" w:hAnsiTheme="minorHAnsi"/>
          <w:color w:val="000000"/>
          <w:sz w:val="22"/>
          <w:szCs w:val="22"/>
          <w:lang w:val="en-US"/>
        </w:rPr>
        <w:lastRenderedPageBreak/>
        <w:t xml:space="preserve">Especially for metacetamol the </w:t>
      </w:r>
      <w:r w:rsidR="00960CAB" w:rsidRPr="008B5860">
        <w:rPr>
          <w:rFonts w:asciiTheme="minorHAnsi" w:eastAsia="MS PGothic" w:hAnsiTheme="minorHAnsi"/>
          <w:color w:val="000000"/>
          <w:sz w:val="22"/>
          <w:szCs w:val="22"/>
          <w:lang w:val="en-US"/>
        </w:rPr>
        <w:t>crystallization</w:t>
      </w:r>
      <w:r w:rsidR="00253902" w:rsidRPr="008B5860">
        <w:rPr>
          <w:rFonts w:asciiTheme="minorHAnsi" w:eastAsia="MS PGothic" w:hAnsiTheme="minorHAnsi"/>
          <w:color w:val="000000"/>
          <w:sz w:val="22"/>
          <w:szCs w:val="22"/>
          <w:lang w:val="en-US"/>
        </w:rPr>
        <w:t xml:space="preserve"> does not result in a sufficiently improved solid product purity</w:t>
      </w:r>
      <w:r w:rsidR="00253902">
        <w:rPr>
          <w:rFonts w:asciiTheme="minorHAnsi" w:eastAsia="MS PGothic" w:hAnsiTheme="minorHAnsi"/>
          <w:color w:val="000000"/>
          <w:sz w:val="22"/>
          <w:szCs w:val="22"/>
          <w:lang w:val="en-US"/>
        </w:rPr>
        <w:t xml:space="preserve">. </w:t>
      </w:r>
      <w:r w:rsidRPr="008B5860">
        <w:rPr>
          <w:rFonts w:asciiTheme="minorHAnsi" w:eastAsia="MS PGothic" w:hAnsiTheme="minorHAnsi"/>
          <w:color w:val="000000"/>
          <w:sz w:val="22"/>
          <w:szCs w:val="22"/>
          <w:lang w:val="en-US"/>
        </w:rPr>
        <w:t>The experimental distribution coefficient</w:t>
      </w:r>
      <w:r w:rsidR="00E6373F">
        <w:rPr>
          <w:rFonts w:asciiTheme="minorHAnsi" w:eastAsia="MS PGothic" w:hAnsiTheme="minorHAnsi"/>
          <w:color w:val="000000"/>
          <w:sz w:val="22"/>
          <w:szCs w:val="22"/>
          <w:lang w:val="en-US"/>
        </w:rPr>
        <w:t>s</w:t>
      </w:r>
      <w:r w:rsidRPr="008B5860">
        <w:rPr>
          <w:rFonts w:asciiTheme="minorHAnsi" w:eastAsia="MS PGothic" w:hAnsiTheme="minorHAnsi"/>
          <w:color w:val="000000"/>
          <w:sz w:val="22"/>
          <w:szCs w:val="22"/>
          <w:lang w:val="en-US"/>
        </w:rPr>
        <w:t xml:space="preserve"> for </w:t>
      </w:r>
      <w:r w:rsidR="00E6373F">
        <w:rPr>
          <w:rFonts w:asciiTheme="minorHAnsi" w:eastAsia="MS PGothic" w:hAnsiTheme="minorHAnsi"/>
          <w:color w:val="000000"/>
          <w:sz w:val="22"/>
          <w:szCs w:val="22"/>
          <w:lang w:val="en-US"/>
        </w:rPr>
        <w:t xml:space="preserve">these </w:t>
      </w:r>
      <w:r w:rsidR="00960CAB" w:rsidRPr="008B5860">
        <w:rPr>
          <w:rFonts w:asciiTheme="minorHAnsi" w:eastAsia="MS PGothic" w:hAnsiTheme="minorHAnsi"/>
          <w:color w:val="000000"/>
          <w:sz w:val="22"/>
          <w:szCs w:val="22"/>
          <w:lang w:val="en-US"/>
        </w:rPr>
        <w:t>crystallizations</w:t>
      </w:r>
      <w:r w:rsidR="00E6373F">
        <w:rPr>
          <w:rFonts w:asciiTheme="minorHAnsi" w:eastAsia="MS PGothic" w:hAnsiTheme="minorHAnsi"/>
          <w:color w:val="000000"/>
          <w:sz w:val="22"/>
          <w:szCs w:val="22"/>
          <w:lang w:val="en-US"/>
        </w:rPr>
        <w:t xml:space="preserve"> was</w:t>
      </w:r>
      <w:r w:rsidR="003F7322">
        <w:rPr>
          <w:rFonts w:asciiTheme="minorHAnsi" w:eastAsia="MS PGothic" w:hAnsiTheme="minorHAnsi"/>
          <w:color w:val="000000"/>
          <w:sz w:val="22"/>
          <w:szCs w:val="22"/>
          <w:lang w:val="en-US"/>
        </w:rPr>
        <w:t xml:space="preserve"> found to vary with increasing the amounts of impurity</w:t>
      </w:r>
      <w:r w:rsidR="007A5D5F">
        <w:rPr>
          <w:rFonts w:asciiTheme="minorHAnsi" w:eastAsia="MS PGothic" w:hAnsiTheme="minorHAnsi"/>
          <w:color w:val="000000"/>
          <w:sz w:val="22"/>
          <w:szCs w:val="22"/>
          <w:lang w:val="en-US"/>
        </w:rPr>
        <w:t xml:space="preserve"> (</w:t>
      </w:r>
      <w:proofErr w:type="spellStart"/>
      <w:r w:rsidR="007A5D5F" w:rsidRPr="007A5D5F">
        <w:rPr>
          <w:rFonts w:asciiTheme="minorHAnsi" w:eastAsia="MS PGothic" w:hAnsiTheme="minorHAnsi"/>
          <w:i/>
          <w:color w:val="000000"/>
          <w:sz w:val="22"/>
          <w:szCs w:val="22"/>
          <w:lang w:val="en-US"/>
        </w:rPr>
        <w:t>K</w:t>
      </w:r>
      <w:r w:rsidR="007A5D5F" w:rsidRPr="007A5D5F">
        <w:rPr>
          <w:rFonts w:asciiTheme="minorHAnsi" w:eastAsia="MS PGothic" w:hAnsiTheme="minorHAnsi"/>
          <w:i/>
          <w:color w:val="000000"/>
          <w:sz w:val="22"/>
          <w:szCs w:val="22"/>
          <w:vertAlign w:val="subscript"/>
          <w:lang w:val="en-US"/>
        </w:rPr>
        <w:t>metacetamol</w:t>
      </w:r>
      <w:proofErr w:type="spellEnd"/>
      <w:r w:rsidR="007A5D5F">
        <w:rPr>
          <w:rFonts w:asciiTheme="minorHAnsi" w:eastAsia="MS PGothic" w:hAnsiTheme="minorHAnsi"/>
          <w:color w:val="000000"/>
          <w:sz w:val="22"/>
          <w:szCs w:val="22"/>
          <w:lang w:val="en-US"/>
        </w:rPr>
        <w:t xml:space="preserve"> = </w:t>
      </w:r>
      <w:r w:rsidR="00960CAB">
        <w:rPr>
          <w:rFonts w:asciiTheme="minorHAnsi" w:eastAsia="MS PGothic" w:hAnsiTheme="minorHAnsi"/>
          <w:color w:val="000000"/>
          <w:sz w:val="22"/>
          <w:szCs w:val="22"/>
          <w:lang w:val="en-US"/>
        </w:rPr>
        <w:t>0.05 to 0.41</w:t>
      </w:r>
      <w:r w:rsidR="007A5D5F">
        <w:rPr>
          <w:rFonts w:asciiTheme="minorHAnsi" w:eastAsia="MS PGothic" w:hAnsiTheme="minorHAnsi"/>
          <w:color w:val="000000"/>
          <w:sz w:val="22"/>
          <w:szCs w:val="22"/>
          <w:lang w:val="en-US"/>
        </w:rPr>
        <w:t xml:space="preserve">, </w:t>
      </w:r>
      <w:proofErr w:type="spellStart"/>
      <w:r w:rsidR="007A5D5F" w:rsidRPr="007A5D5F">
        <w:rPr>
          <w:rFonts w:asciiTheme="minorHAnsi" w:eastAsia="MS PGothic" w:hAnsiTheme="minorHAnsi"/>
          <w:i/>
          <w:color w:val="000000"/>
          <w:sz w:val="22"/>
          <w:szCs w:val="22"/>
          <w:lang w:val="en-US"/>
        </w:rPr>
        <w:t>K</w:t>
      </w:r>
      <w:r w:rsidR="007A5D5F" w:rsidRPr="007A5D5F">
        <w:rPr>
          <w:rFonts w:asciiTheme="minorHAnsi" w:eastAsia="MS PGothic" w:hAnsiTheme="minorHAnsi"/>
          <w:i/>
          <w:color w:val="000000"/>
          <w:sz w:val="22"/>
          <w:szCs w:val="22"/>
          <w:vertAlign w:val="subscript"/>
          <w:lang w:val="en-US"/>
        </w:rPr>
        <w:t>ace</w:t>
      </w:r>
      <w:r w:rsidR="00E6373F">
        <w:rPr>
          <w:rFonts w:asciiTheme="minorHAnsi" w:eastAsia="MS PGothic" w:hAnsiTheme="minorHAnsi"/>
          <w:i/>
          <w:color w:val="000000"/>
          <w:sz w:val="22"/>
          <w:szCs w:val="22"/>
          <w:vertAlign w:val="subscript"/>
          <w:lang w:val="en-US"/>
        </w:rPr>
        <w:t>t</w:t>
      </w:r>
      <w:r w:rsidR="007A5D5F" w:rsidRPr="007A5D5F">
        <w:rPr>
          <w:rFonts w:asciiTheme="minorHAnsi" w:eastAsia="MS PGothic" w:hAnsiTheme="minorHAnsi"/>
          <w:i/>
          <w:color w:val="000000"/>
          <w:sz w:val="22"/>
          <w:szCs w:val="22"/>
          <w:vertAlign w:val="subscript"/>
          <w:lang w:val="en-US"/>
        </w:rPr>
        <w:t>anilide</w:t>
      </w:r>
      <w:proofErr w:type="spellEnd"/>
      <w:r w:rsidR="007A5D5F" w:rsidRPr="007A5D5F">
        <w:rPr>
          <w:rFonts w:asciiTheme="minorHAnsi" w:eastAsia="MS PGothic" w:hAnsiTheme="minorHAnsi"/>
          <w:i/>
          <w:color w:val="000000"/>
          <w:sz w:val="22"/>
          <w:szCs w:val="22"/>
          <w:lang w:val="en-US"/>
        </w:rPr>
        <w:t xml:space="preserve"> </w:t>
      </w:r>
      <w:r w:rsidR="007A5D5F">
        <w:rPr>
          <w:rFonts w:asciiTheme="minorHAnsi" w:eastAsia="MS PGothic" w:hAnsiTheme="minorHAnsi"/>
          <w:color w:val="000000"/>
          <w:sz w:val="22"/>
          <w:szCs w:val="22"/>
          <w:lang w:val="en-US"/>
        </w:rPr>
        <w:t xml:space="preserve">= </w:t>
      </w:r>
      <w:r w:rsidR="00960CAB">
        <w:rPr>
          <w:rFonts w:asciiTheme="minorHAnsi" w:eastAsia="MS PGothic" w:hAnsiTheme="minorHAnsi"/>
          <w:color w:val="000000"/>
          <w:sz w:val="22"/>
          <w:szCs w:val="22"/>
          <w:lang w:val="en-US"/>
        </w:rPr>
        <w:t>0.06 to 0.12</w:t>
      </w:r>
      <w:r w:rsidR="007A5D5F">
        <w:rPr>
          <w:rFonts w:asciiTheme="minorHAnsi" w:eastAsia="MS PGothic" w:hAnsiTheme="minorHAnsi"/>
          <w:color w:val="000000"/>
          <w:sz w:val="22"/>
          <w:szCs w:val="22"/>
          <w:lang w:val="en-US"/>
        </w:rPr>
        <w:t>)</w:t>
      </w:r>
      <w:r w:rsidR="003F7322">
        <w:rPr>
          <w:rFonts w:asciiTheme="minorHAnsi" w:eastAsia="MS PGothic" w:hAnsiTheme="minorHAnsi"/>
          <w:color w:val="000000"/>
          <w:sz w:val="22"/>
          <w:szCs w:val="22"/>
          <w:lang w:val="en-US"/>
        </w:rPr>
        <w:t xml:space="preserve">, and the same trend </w:t>
      </w:r>
      <w:r w:rsidR="00E6373F">
        <w:rPr>
          <w:rFonts w:asciiTheme="minorHAnsi" w:eastAsia="MS PGothic" w:hAnsiTheme="minorHAnsi"/>
          <w:color w:val="000000"/>
          <w:sz w:val="22"/>
          <w:szCs w:val="22"/>
          <w:lang w:val="en-US"/>
        </w:rPr>
        <w:t>was</w:t>
      </w:r>
      <w:r w:rsidR="003F7322">
        <w:rPr>
          <w:rFonts w:asciiTheme="minorHAnsi" w:eastAsia="MS PGothic" w:hAnsiTheme="minorHAnsi"/>
          <w:color w:val="000000"/>
          <w:sz w:val="22"/>
          <w:szCs w:val="22"/>
          <w:lang w:val="en-US"/>
        </w:rPr>
        <w:t xml:space="preserve"> observed in the experimental selectivity coefficients. </w:t>
      </w:r>
    </w:p>
    <w:tbl>
      <w:tblPr>
        <w:tblStyle w:val="TableGrid"/>
        <w:tblW w:w="71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3084"/>
        <w:gridCol w:w="477"/>
        <w:gridCol w:w="3085"/>
      </w:tblGrid>
      <w:tr w:rsidR="00253902" w:rsidTr="0041217C">
        <w:trPr>
          <w:jc w:val="center"/>
        </w:trPr>
        <w:tc>
          <w:tcPr>
            <w:tcW w:w="470" w:type="dxa"/>
          </w:tcPr>
          <w:p w:rsidR="00253902" w:rsidRPr="00253902" w:rsidRDefault="00253902" w:rsidP="00253902">
            <w:pPr>
              <w:snapToGrid w:val="0"/>
              <w:spacing w:line="22" w:lineRule="atLeast"/>
              <w:rPr>
                <w:rFonts w:asciiTheme="minorHAnsi" w:eastAsia="MS PGothic" w:hAnsiTheme="minorHAnsi"/>
                <w:color w:val="000000"/>
                <w:sz w:val="16"/>
                <w:szCs w:val="16"/>
              </w:rPr>
            </w:pPr>
            <w:r w:rsidRPr="00253902">
              <w:rPr>
                <w:rFonts w:asciiTheme="minorHAnsi" w:eastAsia="MS PGothic" w:hAnsiTheme="minorHAnsi"/>
                <w:color w:val="000000"/>
                <w:sz w:val="16"/>
                <w:szCs w:val="16"/>
              </w:rPr>
              <w:t>(a)</w:t>
            </w:r>
          </w:p>
        </w:tc>
        <w:tc>
          <w:tcPr>
            <w:tcW w:w="3084" w:type="dxa"/>
          </w:tcPr>
          <w:p w:rsidR="00253902" w:rsidRDefault="00253902" w:rsidP="00253902">
            <w:pPr>
              <w:snapToGrid w:val="0"/>
              <w:spacing w:line="22" w:lineRule="atLeast"/>
              <w:rPr>
                <w:rFonts w:asciiTheme="minorHAnsi" w:eastAsia="MS PGothic" w:hAnsiTheme="minorHAnsi"/>
                <w:color w:val="000000"/>
                <w:sz w:val="22"/>
                <w:szCs w:val="22"/>
                <w:lang w:val="en-US"/>
              </w:rPr>
            </w:pPr>
            <w:r w:rsidRPr="0082487B">
              <w:rPr>
                <w:rFonts w:asciiTheme="minorHAnsi" w:eastAsia="MS PGothic" w:hAnsiTheme="minorHAnsi"/>
                <w:noProof/>
                <w:color w:val="000000"/>
                <w:sz w:val="22"/>
                <w:szCs w:val="22"/>
                <w:lang w:eastAsia="en-GB"/>
              </w:rPr>
              <w:drawing>
                <wp:inline distT="0" distB="0" distL="0" distR="0" wp14:anchorId="022591CC" wp14:editId="7656F248">
                  <wp:extent cx="1800225" cy="164592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77" w:type="dxa"/>
          </w:tcPr>
          <w:p w:rsidR="00253902" w:rsidRPr="00253902" w:rsidRDefault="00253902" w:rsidP="00253902">
            <w:pPr>
              <w:snapToGrid w:val="0"/>
              <w:spacing w:line="22" w:lineRule="atLeast"/>
              <w:rPr>
                <w:rFonts w:asciiTheme="minorHAnsi" w:eastAsia="MS PGothic" w:hAnsiTheme="minorHAnsi"/>
                <w:color w:val="000000"/>
                <w:sz w:val="16"/>
                <w:szCs w:val="16"/>
              </w:rPr>
            </w:pPr>
            <w:r w:rsidRPr="00253902">
              <w:rPr>
                <w:rFonts w:asciiTheme="minorHAnsi" w:eastAsia="MS PGothic" w:hAnsiTheme="minorHAnsi"/>
                <w:color w:val="000000"/>
                <w:sz w:val="16"/>
                <w:szCs w:val="16"/>
              </w:rPr>
              <w:t>(b)</w:t>
            </w:r>
          </w:p>
        </w:tc>
        <w:tc>
          <w:tcPr>
            <w:tcW w:w="3085" w:type="dxa"/>
          </w:tcPr>
          <w:p w:rsidR="00253902" w:rsidRDefault="00253902" w:rsidP="00253902">
            <w:pPr>
              <w:snapToGrid w:val="0"/>
              <w:spacing w:line="22" w:lineRule="atLeast"/>
              <w:rPr>
                <w:rFonts w:asciiTheme="minorHAnsi" w:eastAsia="MS PGothic" w:hAnsiTheme="minorHAnsi"/>
                <w:color w:val="000000"/>
                <w:sz w:val="22"/>
                <w:szCs w:val="22"/>
                <w:lang w:val="en-US"/>
              </w:rPr>
            </w:pPr>
            <w:r w:rsidRPr="0082487B">
              <w:rPr>
                <w:rFonts w:asciiTheme="minorHAnsi" w:eastAsia="MS PGothic" w:hAnsiTheme="minorHAnsi"/>
                <w:noProof/>
                <w:color w:val="000000"/>
                <w:sz w:val="22"/>
                <w:szCs w:val="22"/>
                <w:lang w:eastAsia="en-GB"/>
              </w:rPr>
              <w:drawing>
                <wp:inline distT="0" distB="0" distL="0" distR="0" wp14:anchorId="0099B6B0" wp14:editId="2402322A">
                  <wp:extent cx="1800225" cy="1614115"/>
                  <wp:effectExtent l="0" t="0" r="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0F549D" w:rsidRPr="0082487B" w:rsidRDefault="0082487B" w:rsidP="0082487B">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253902">
        <w:rPr>
          <w:rFonts w:asciiTheme="minorHAnsi" w:hAnsiTheme="minorHAnsi"/>
          <w:lang w:val="en-US"/>
        </w:rPr>
        <w:t xml:space="preserve">(a) </w:t>
      </w:r>
      <w:r w:rsidR="00253902" w:rsidRPr="00253902">
        <w:rPr>
          <w:rFonts w:asciiTheme="minorHAnsi" w:eastAsia="MS PGothic" w:hAnsiTheme="minorHAnsi"/>
          <w:color w:val="000000"/>
          <w:szCs w:val="18"/>
          <w:lang w:val="en-US"/>
        </w:rPr>
        <w:t xml:space="preserve">Purification efficiency of </w:t>
      </w:r>
      <w:r w:rsidR="00E6373F" w:rsidRPr="00253902">
        <w:rPr>
          <w:rFonts w:asciiTheme="minorHAnsi" w:eastAsia="MS PGothic" w:hAnsiTheme="minorHAnsi"/>
          <w:color w:val="000000"/>
          <w:szCs w:val="18"/>
          <w:lang w:val="en-US"/>
        </w:rPr>
        <w:t>crystallizations</w:t>
      </w:r>
      <w:r w:rsidR="00253902" w:rsidRPr="00253902">
        <w:rPr>
          <w:rFonts w:asciiTheme="minorHAnsi" w:eastAsia="MS PGothic" w:hAnsiTheme="minorHAnsi"/>
          <w:color w:val="000000"/>
          <w:szCs w:val="18"/>
          <w:lang w:val="en-US"/>
        </w:rPr>
        <w:t xml:space="preserve"> as measured by HPLC. Grey dashed line indicates no purification. Metacetamol (circles) linear regression y = 0.735x - 0.386, R</w:t>
      </w:r>
      <w:r w:rsidR="00253902" w:rsidRPr="00253902">
        <w:rPr>
          <w:rFonts w:asciiTheme="minorHAnsi" w:eastAsia="MS PGothic" w:hAnsiTheme="minorHAnsi"/>
          <w:color w:val="000000"/>
          <w:szCs w:val="18"/>
          <w:vertAlign w:val="superscript"/>
          <w:lang w:val="en-US"/>
        </w:rPr>
        <w:t>2</w:t>
      </w:r>
      <w:r w:rsidR="00253902" w:rsidRPr="00253902">
        <w:rPr>
          <w:rFonts w:asciiTheme="minorHAnsi" w:eastAsia="MS PGothic" w:hAnsiTheme="minorHAnsi"/>
          <w:color w:val="000000"/>
          <w:szCs w:val="18"/>
          <w:lang w:val="en-US"/>
        </w:rPr>
        <w:t xml:space="preserve"> = 0.998. Acetanilide (triangles) linear regression y = 0.107x - 0.060, R</w:t>
      </w:r>
      <w:r w:rsidR="00253902" w:rsidRPr="00253902">
        <w:rPr>
          <w:rFonts w:asciiTheme="minorHAnsi" w:eastAsia="MS PGothic" w:hAnsiTheme="minorHAnsi"/>
          <w:color w:val="000000"/>
          <w:szCs w:val="18"/>
          <w:vertAlign w:val="superscript"/>
          <w:lang w:val="en-US"/>
        </w:rPr>
        <w:t>2</w:t>
      </w:r>
      <w:r w:rsidR="00253902" w:rsidRPr="00253902">
        <w:rPr>
          <w:rFonts w:asciiTheme="minorHAnsi" w:eastAsia="MS PGothic" w:hAnsiTheme="minorHAnsi"/>
          <w:color w:val="000000"/>
          <w:szCs w:val="18"/>
          <w:lang w:val="en-US"/>
        </w:rPr>
        <w:t xml:space="preserve"> = 0.996</w:t>
      </w:r>
      <w:r w:rsidR="00253902" w:rsidRPr="00253902">
        <w:rPr>
          <w:rFonts w:asciiTheme="minorHAnsi" w:eastAsia="MS PGothic" w:hAnsiTheme="minorHAnsi" w:cstheme="minorHAnsi"/>
          <w:color w:val="000000"/>
          <w:szCs w:val="18"/>
          <w:lang w:val="en-US"/>
        </w:rPr>
        <w:t>.</w:t>
      </w:r>
      <w:r w:rsidR="00253902" w:rsidRPr="00E6373F">
        <w:rPr>
          <w:rFonts w:asciiTheme="minorHAnsi" w:hAnsiTheme="minorHAnsi" w:cstheme="minorHAnsi"/>
          <w:szCs w:val="18"/>
        </w:rPr>
        <w:t xml:space="preserve"> (b) The amount of impurity incorporation affects the selectivity coefficient of the crystallisations.</w:t>
      </w:r>
    </w:p>
    <w:p w:rsidR="003F7322" w:rsidRDefault="003F7322" w:rsidP="002B17C9">
      <w:pPr>
        <w:snapToGrid w:val="0"/>
        <w:spacing w:after="240" w:line="22" w:lineRule="atLeas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Investigating further, it was</w:t>
      </w:r>
      <w:r w:rsidR="0041217C">
        <w:rPr>
          <w:rFonts w:asciiTheme="minorHAnsi" w:eastAsia="MS PGothic" w:hAnsiTheme="minorHAnsi"/>
          <w:color w:val="000000"/>
          <w:sz w:val="22"/>
          <w:szCs w:val="22"/>
          <w:lang w:val="en-US"/>
        </w:rPr>
        <w:t xml:space="preserve"> found</w:t>
      </w:r>
      <w:r>
        <w:rPr>
          <w:rFonts w:asciiTheme="minorHAnsi" w:eastAsia="MS PGothic" w:hAnsiTheme="minorHAnsi"/>
          <w:color w:val="000000"/>
          <w:sz w:val="22"/>
          <w:szCs w:val="22"/>
          <w:lang w:val="en-US"/>
        </w:rPr>
        <w:t xml:space="preserve"> that metacetamol incorporates into the paracetamol crystal </w:t>
      </w:r>
      <w:r w:rsidR="0041217C">
        <w:rPr>
          <w:rFonts w:asciiTheme="minorHAnsi" w:eastAsia="MS PGothic" w:hAnsiTheme="minorHAnsi"/>
          <w:color w:val="000000"/>
          <w:sz w:val="22"/>
          <w:szCs w:val="22"/>
          <w:lang w:val="en-US"/>
        </w:rPr>
        <w:t xml:space="preserve">lattice in significant amounts. </w:t>
      </w:r>
      <w:r>
        <w:rPr>
          <w:rFonts w:asciiTheme="minorHAnsi" w:eastAsia="MS PGothic" w:hAnsiTheme="minorHAnsi"/>
          <w:color w:val="000000"/>
          <w:sz w:val="22"/>
          <w:szCs w:val="22"/>
          <w:lang w:val="en-US"/>
        </w:rPr>
        <w:t xml:space="preserve">X-ray powder diffraction revealed this incorporation </w:t>
      </w:r>
      <w:r w:rsidR="007A5D5F">
        <w:rPr>
          <w:rFonts w:asciiTheme="minorHAnsi" w:eastAsia="MS PGothic" w:hAnsiTheme="minorHAnsi"/>
          <w:color w:val="000000"/>
          <w:sz w:val="22"/>
          <w:szCs w:val="22"/>
          <w:lang w:val="en-US"/>
        </w:rPr>
        <w:t>modifies</w:t>
      </w:r>
      <w:r>
        <w:rPr>
          <w:rFonts w:asciiTheme="minorHAnsi" w:eastAsia="MS PGothic" w:hAnsiTheme="minorHAnsi"/>
          <w:color w:val="000000"/>
          <w:sz w:val="22"/>
          <w:szCs w:val="22"/>
          <w:lang w:val="en-US"/>
        </w:rPr>
        <w:t xml:space="preserve"> the crystal unit cell, with an elongation of one </w:t>
      </w:r>
      <w:r w:rsidR="00E6373F">
        <w:rPr>
          <w:rFonts w:asciiTheme="minorHAnsi" w:eastAsia="MS PGothic" w:hAnsiTheme="minorHAnsi"/>
          <w:color w:val="000000"/>
          <w:sz w:val="22"/>
          <w:szCs w:val="22"/>
          <w:lang w:val="en-US"/>
        </w:rPr>
        <w:t>vertex</w:t>
      </w:r>
      <w:r>
        <w:rPr>
          <w:rFonts w:asciiTheme="minorHAnsi" w:eastAsia="MS PGothic" w:hAnsiTheme="minorHAnsi"/>
          <w:color w:val="000000"/>
          <w:sz w:val="22"/>
          <w:szCs w:val="22"/>
          <w:lang w:val="en-US"/>
        </w:rPr>
        <w:t xml:space="preserve"> and increase in cell volume thought to accommodate the intruding </w:t>
      </w:r>
      <w:r w:rsidR="00253902">
        <w:rPr>
          <w:rFonts w:asciiTheme="minorHAnsi" w:eastAsia="MS PGothic" w:hAnsiTheme="minorHAnsi"/>
          <w:color w:val="000000"/>
          <w:sz w:val="22"/>
          <w:szCs w:val="22"/>
          <w:lang w:val="en-US"/>
        </w:rPr>
        <w:t xml:space="preserve">impurity molecule. The construction of </w:t>
      </w:r>
      <w:proofErr w:type="spellStart"/>
      <w:r w:rsidR="00253902">
        <w:rPr>
          <w:rFonts w:asciiTheme="minorHAnsi" w:eastAsia="MS PGothic" w:hAnsiTheme="minorHAnsi"/>
          <w:color w:val="000000"/>
          <w:sz w:val="22"/>
          <w:szCs w:val="22"/>
          <w:lang w:val="en-US"/>
        </w:rPr>
        <w:t>Tamman</w:t>
      </w:r>
      <w:proofErr w:type="spellEnd"/>
      <w:r w:rsidR="00253902">
        <w:rPr>
          <w:rFonts w:asciiTheme="minorHAnsi" w:eastAsia="MS PGothic" w:hAnsiTheme="minorHAnsi"/>
          <w:color w:val="000000"/>
          <w:sz w:val="22"/>
          <w:szCs w:val="22"/>
          <w:lang w:val="en-US"/>
        </w:rPr>
        <w:t xml:space="preserve"> plots for each binary system indicated a partial solid miscibility between paracetamol and metacetamol of 6.7 </w:t>
      </w:r>
      <w:r w:rsidR="00253902">
        <w:rPr>
          <w:rFonts w:asciiTheme="minorHAnsi" w:eastAsia="MS PGothic" w:hAnsiTheme="minorHAnsi" w:cstheme="minorHAnsi"/>
          <w:color w:val="000000"/>
          <w:sz w:val="22"/>
          <w:szCs w:val="22"/>
          <w:lang w:val="en-US"/>
        </w:rPr>
        <w:t>±</w:t>
      </w:r>
      <w:r w:rsidR="00253902">
        <w:rPr>
          <w:rFonts w:asciiTheme="minorHAnsi" w:eastAsia="MS PGothic" w:hAnsiTheme="minorHAnsi"/>
          <w:color w:val="000000"/>
          <w:sz w:val="22"/>
          <w:szCs w:val="22"/>
          <w:lang w:val="en-US"/>
        </w:rPr>
        <w:t xml:space="preserve"> 2.1 %, further supporting the incorporation </w:t>
      </w:r>
      <w:r w:rsidR="0041217C">
        <w:rPr>
          <w:rFonts w:asciiTheme="minorHAnsi" w:eastAsia="MS PGothic" w:hAnsiTheme="minorHAnsi"/>
          <w:color w:val="000000"/>
          <w:sz w:val="22"/>
          <w:szCs w:val="22"/>
          <w:lang w:val="en-US"/>
        </w:rPr>
        <w:t xml:space="preserve">of the latter </w:t>
      </w:r>
      <w:r w:rsidR="00253902">
        <w:rPr>
          <w:rFonts w:asciiTheme="minorHAnsi" w:eastAsia="MS PGothic" w:hAnsiTheme="minorHAnsi"/>
          <w:color w:val="000000"/>
          <w:sz w:val="22"/>
          <w:szCs w:val="22"/>
          <w:lang w:val="en-US"/>
        </w:rPr>
        <w:t>into the API crystal lattice.</w:t>
      </w:r>
    </w:p>
    <w:tbl>
      <w:tblPr>
        <w:tblStyle w:val="TableGrid"/>
        <w:tblW w:w="72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3156"/>
        <w:gridCol w:w="434"/>
        <w:gridCol w:w="3257"/>
      </w:tblGrid>
      <w:tr w:rsidR="0041217C" w:rsidRPr="0041217C" w:rsidTr="0041217C">
        <w:trPr>
          <w:jc w:val="center"/>
        </w:trPr>
        <w:tc>
          <w:tcPr>
            <w:tcW w:w="565" w:type="dxa"/>
          </w:tcPr>
          <w:p w:rsidR="0041217C" w:rsidRPr="0041217C" w:rsidRDefault="0041217C" w:rsidP="0041217C">
            <w:pPr>
              <w:snapToGrid w:val="0"/>
              <w:spacing w:line="22" w:lineRule="atLeast"/>
              <w:rPr>
                <w:rFonts w:asciiTheme="minorHAnsi" w:eastAsia="MS PGothic" w:hAnsiTheme="minorHAnsi"/>
                <w:color w:val="000000"/>
                <w:sz w:val="16"/>
                <w:szCs w:val="16"/>
              </w:rPr>
            </w:pPr>
            <w:r w:rsidRPr="0041217C">
              <w:rPr>
                <w:rFonts w:asciiTheme="minorHAnsi" w:eastAsia="MS PGothic" w:hAnsiTheme="minorHAnsi"/>
                <w:color w:val="000000"/>
                <w:sz w:val="16"/>
                <w:szCs w:val="16"/>
              </w:rPr>
              <w:t>(a)</w:t>
            </w:r>
          </w:p>
        </w:tc>
        <w:tc>
          <w:tcPr>
            <w:tcW w:w="3066" w:type="dxa"/>
          </w:tcPr>
          <w:p w:rsidR="0041217C" w:rsidRPr="0041217C" w:rsidRDefault="0041217C" w:rsidP="0041217C">
            <w:pPr>
              <w:snapToGrid w:val="0"/>
              <w:spacing w:line="22" w:lineRule="atLeast"/>
              <w:rPr>
                <w:rFonts w:asciiTheme="minorHAnsi" w:eastAsia="MS PGothic" w:hAnsiTheme="minorHAnsi"/>
                <w:color w:val="000000"/>
                <w:sz w:val="16"/>
                <w:szCs w:val="16"/>
                <w:lang w:val="en-US"/>
              </w:rPr>
            </w:pPr>
            <w:r w:rsidRPr="0041217C">
              <w:rPr>
                <w:rFonts w:asciiTheme="minorHAnsi" w:eastAsia="MS PGothic" w:hAnsiTheme="minorHAnsi"/>
                <w:noProof/>
                <w:color w:val="000000"/>
                <w:sz w:val="16"/>
                <w:szCs w:val="16"/>
                <w:lang w:eastAsia="en-GB"/>
              </w:rPr>
              <w:drawing>
                <wp:inline distT="0" distB="0" distL="0" distR="0" wp14:anchorId="20BDBF01" wp14:editId="2A553EF0">
                  <wp:extent cx="1865376" cy="1800225"/>
                  <wp:effectExtent l="0" t="0" r="19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75" w:type="dxa"/>
          </w:tcPr>
          <w:p w:rsidR="0041217C" w:rsidRPr="0041217C" w:rsidRDefault="0041217C" w:rsidP="0041217C">
            <w:pPr>
              <w:snapToGrid w:val="0"/>
              <w:spacing w:line="22" w:lineRule="atLeast"/>
              <w:rPr>
                <w:rFonts w:asciiTheme="minorHAnsi" w:eastAsia="MS PGothic" w:hAnsiTheme="minorHAnsi"/>
                <w:color w:val="000000"/>
                <w:sz w:val="16"/>
                <w:szCs w:val="16"/>
              </w:rPr>
            </w:pPr>
            <w:r w:rsidRPr="0041217C">
              <w:rPr>
                <w:rFonts w:asciiTheme="minorHAnsi" w:eastAsia="MS PGothic" w:hAnsiTheme="minorHAnsi"/>
                <w:color w:val="000000"/>
                <w:sz w:val="16"/>
                <w:szCs w:val="16"/>
              </w:rPr>
              <w:t>(b)</w:t>
            </w:r>
          </w:p>
        </w:tc>
        <w:tc>
          <w:tcPr>
            <w:tcW w:w="3066" w:type="dxa"/>
          </w:tcPr>
          <w:p w:rsidR="0041217C" w:rsidRPr="0041217C" w:rsidRDefault="0041217C" w:rsidP="0041217C">
            <w:pPr>
              <w:snapToGrid w:val="0"/>
              <w:spacing w:line="22" w:lineRule="atLeast"/>
              <w:rPr>
                <w:rFonts w:asciiTheme="minorHAnsi" w:eastAsia="MS PGothic" w:hAnsiTheme="minorHAnsi"/>
                <w:color w:val="000000"/>
                <w:sz w:val="16"/>
                <w:szCs w:val="16"/>
                <w:lang w:val="en-US"/>
              </w:rPr>
            </w:pPr>
            <w:r w:rsidRPr="0041217C">
              <w:rPr>
                <w:rFonts w:asciiTheme="minorHAnsi" w:eastAsia="MS PGothic" w:hAnsiTheme="minorHAnsi"/>
                <w:noProof/>
                <w:color w:val="000000"/>
                <w:sz w:val="16"/>
                <w:szCs w:val="16"/>
                <w:lang w:eastAsia="en-GB"/>
              </w:rPr>
              <w:drawing>
                <wp:inline distT="0" distB="0" distL="0" distR="0" wp14:anchorId="235C5229" wp14:editId="27C8A19F">
                  <wp:extent cx="1931213" cy="18002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82487B" w:rsidRDefault="0082487B" w:rsidP="0082487B">
      <w:pPr>
        <w:snapToGrid w:val="0"/>
        <w:spacing w:after="120"/>
        <w:jc w:val="center"/>
        <w:rPr>
          <w:rFonts w:asciiTheme="minorHAnsi" w:hAnsiTheme="minorHAnsi" w:cstheme="minorHAnsi"/>
        </w:rPr>
      </w:pPr>
      <w:r w:rsidRPr="0041217C">
        <w:rPr>
          <w:rFonts w:asciiTheme="minorHAnsi" w:eastAsia="MS PGothic" w:hAnsiTheme="minorHAnsi" w:cstheme="minorHAnsi"/>
          <w:b/>
          <w:color w:val="000000"/>
          <w:szCs w:val="18"/>
          <w:lang w:val="en-US"/>
        </w:rPr>
        <w:t>Figure 1</w:t>
      </w:r>
      <w:r w:rsidRPr="0041217C">
        <w:rPr>
          <w:rFonts w:asciiTheme="minorHAnsi" w:eastAsia="MS PGothic" w:hAnsiTheme="minorHAnsi" w:cstheme="minorHAnsi"/>
          <w:b/>
          <w:color w:val="000000"/>
          <w:szCs w:val="18"/>
          <w:lang w:val="en-US" w:eastAsia="ko-KR"/>
        </w:rPr>
        <w:t>.</w:t>
      </w:r>
      <w:r w:rsidRPr="0041217C">
        <w:rPr>
          <w:rFonts w:asciiTheme="minorHAnsi" w:eastAsia="MS PGothic" w:hAnsiTheme="minorHAnsi" w:cstheme="minorHAnsi"/>
          <w:color w:val="000000"/>
          <w:szCs w:val="18"/>
          <w:lang w:val="en-US"/>
        </w:rPr>
        <w:t xml:space="preserve"> </w:t>
      </w:r>
      <w:r w:rsidRPr="0041217C">
        <w:rPr>
          <w:rFonts w:asciiTheme="minorHAnsi" w:hAnsiTheme="minorHAnsi" w:cstheme="minorHAnsi"/>
          <w:lang w:val="en-US"/>
        </w:rPr>
        <w:t xml:space="preserve"> </w:t>
      </w:r>
      <w:proofErr w:type="spellStart"/>
      <w:r w:rsidR="0041217C" w:rsidRPr="0041217C">
        <w:rPr>
          <w:rFonts w:asciiTheme="minorHAnsi" w:eastAsia="MS PGothic" w:hAnsiTheme="minorHAnsi" w:cstheme="minorHAnsi"/>
          <w:color w:val="000000"/>
          <w:szCs w:val="18"/>
          <w:lang w:val="en-US"/>
        </w:rPr>
        <w:t>Tamman</w:t>
      </w:r>
      <w:proofErr w:type="spellEnd"/>
      <w:r w:rsidR="0041217C" w:rsidRPr="0041217C">
        <w:rPr>
          <w:rFonts w:asciiTheme="minorHAnsi" w:eastAsia="MS PGothic" w:hAnsiTheme="minorHAnsi" w:cstheme="minorHAnsi"/>
          <w:color w:val="000000"/>
          <w:szCs w:val="18"/>
          <w:lang w:val="en-US"/>
        </w:rPr>
        <w:t xml:space="preserve"> triangle plots. (a) Paracetamol-acetanilide. LHS regression y = 158.2x + 0.7, R</w:t>
      </w:r>
      <w:r w:rsidR="0041217C" w:rsidRPr="0041217C">
        <w:rPr>
          <w:rFonts w:asciiTheme="minorHAnsi" w:eastAsia="MS PGothic" w:hAnsiTheme="minorHAnsi" w:cstheme="minorHAnsi"/>
          <w:color w:val="000000"/>
          <w:szCs w:val="18"/>
          <w:vertAlign w:val="superscript"/>
          <w:lang w:val="en-US"/>
        </w:rPr>
        <w:t>2</w:t>
      </w:r>
      <w:r w:rsidR="0041217C" w:rsidRPr="0041217C">
        <w:rPr>
          <w:rFonts w:asciiTheme="minorHAnsi" w:eastAsia="MS PGothic" w:hAnsiTheme="minorHAnsi" w:cstheme="minorHAnsi"/>
          <w:color w:val="000000"/>
          <w:szCs w:val="18"/>
          <w:lang w:val="en-US"/>
        </w:rPr>
        <w:t xml:space="preserve"> = 0.979, x-axis intercept = 0.002 ± 0.020. RHS regression y = -699.1x + 697.9, R</w:t>
      </w:r>
      <w:r w:rsidR="0041217C" w:rsidRPr="0041217C">
        <w:rPr>
          <w:rFonts w:asciiTheme="minorHAnsi" w:eastAsia="MS PGothic" w:hAnsiTheme="minorHAnsi" w:cstheme="minorHAnsi"/>
          <w:color w:val="000000"/>
          <w:szCs w:val="18"/>
          <w:vertAlign w:val="superscript"/>
          <w:lang w:val="en-US"/>
        </w:rPr>
        <w:t>2</w:t>
      </w:r>
      <w:r w:rsidR="0041217C" w:rsidRPr="0041217C">
        <w:rPr>
          <w:rFonts w:asciiTheme="minorHAnsi" w:eastAsia="MS PGothic" w:hAnsiTheme="minorHAnsi" w:cstheme="minorHAnsi"/>
          <w:color w:val="000000"/>
          <w:szCs w:val="18"/>
          <w:lang w:val="en-US"/>
        </w:rPr>
        <w:t xml:space="preserve"> = 0.780, x-axis intercept = 0.981 ± 0.025.</w:t>
      </w:r>
      <w:r w:rsidR="0041217C" w:rsidRPr="0041217C">
        <w:rPr>
          <w:rFonts w:asciiTheme="minorHAnsi" w:hAnsiTheme="minorHAnsi" w:cstheme="minorHAnsi"/>
        </w:rPr>
        <w:t xml:space="preserve"> (b) Paracetamol-metacetamol. LHS regression y = 261.8x – 17.1, R</w:t>
      </w:r>
      <w:r w:rsidR="0041217C" w:rsidRPr="0041217C">
        <w:rPr>
          <w:rFonts w:asciiTheme="minorHAnsi" w:hAnsiTheme="minorHAnsi" w:cstheme="minorHAnsi"/>
          <w:vertAlign w:val="superscript"/>
        </w:rPr>
        <w:t xml:space="preserve">2 </w:t>
      </w:r>
      <w:r w:rsidR="0041217C" w:rsidRPr="0041217C">
        <w:rPr>
          <w:rFonts w:asciiTheme="minorHAnsi" w:hAnsiTheme="minorHAnsi" w:cstheme="minorHAnsi"/>
        </w:rPr>
        <w:t>= 0.992, x-axis intercept = 0.067 ± 0.021. RHS regression y = -429.1x + 421.7, R</w:t>
      </w:r>
      <w:r w:rsidR="0041217C" w:rsidRPr="0041217C">
        <w:rPr>
          <w:rFonts w:asciiTheme="minorHAnsi" w:hAnsiTheme="minorHAnsi" w:cstheme="minorHAnsi"/>
          <w:vertAlign w:val="superscript"/>
        </w:rPr>
        <w:t xml:space="preserve">2 </w:t>
      </w:r>
      <w:r w:rsidR="0041217C" w:rsidRPr="0041217C">
        <w:rPr>
          <w:rFonts w:asciiTheme="minorHAnsi" w:hAnsiTheme="minorHAnsi" w:cstheme="minorHAnsi"/>
        </w:rPr>
        <w:t>= 0.923, x-axis intercept = 0.972 ± 0.037.</w:t>
      </w:r>
    </w:p>
    <w:p w:rsidR="0057399B" w:rsidRPr="0057399B" w:rsidRDefault="0057399B" w:rsidP="0057399B">
      <w:pPr>
        <w:snapToGrid w:val="0"/>
        <w:spacing w:after="120"/>
        <w:rPr>
          <w:rFonts w:asciiTheme="minorHAnsi" w:eastAsia="MS PGothic" w:hAnsiTheme="minorHAnsi" w:cstheme="minorHAnsi"/>
          <w:color w:val="000000"/>
          <w:sz w:val="22"/>
          <w:szCs w:val="22"/>
          <w:lang w:val="en-US"/>
        </w:rPr>
      </w:pPr>
      <w:r w:rsidRPr="0057399B">
        <w:rPr>
          <w:rFonts w:asciiTheme="minorHAnsi" w:eastAsia="MS PGothic" w:hAnsiTheme="minorHAnsi" w:cstheme="minorHAnsi"/>
          <w:color w:val="000000"/>
          <w:sz w:val="22"/>
          <w:szCs w:val="22"/>
          <w:lang w:val="en-US"/>
        </w:rPr>
        <w:t xml:space="preserve">This methodology has been </w:t>
      </w:r>
      <w:r>
        <w:rPr>
          <w:rFonts w:asciiTheme="minorHAnsi" w:eastAsia="MS PGothic" w:hAnsiTheme="minorHAnsi" w:cstheme="minorHAnsi"/>
          <w:color w:val="000000"/>
          <w:sz w:val="22"/>
          <w:szCs w:val="22"/>
          <w:lang w:val="en-US"/>
        </w:rPr>
        <w:t xml:space="preserve">formulated into a workflow and </w:t>
      </w:r>
      <w:r w:rsidRPr="0057399B">
        <w:rPr>
          <w:rFonts w:asciiTheme="minorHAnsi" w:eastAsia="MS PGothic" w:hAnsiTheme="minorHAnsi" w:cstheme="minorHAnsi"/>
          <w:color w:val="000000"/>
          <w:sz w:val="22"/>
          <w:szCs w:val="22"/>
          <w:lang w:val="en-US"/>
        </w:rPr>
        <w:t xml:space="preserve">applied to two other </w:t>
      </w:r>
      <w:r>
        <w:rPr>
          <w:rFonts w:asciiTheme="minorHAnsi" w:eastAsia="MS PGothic" w:hAnsiTheme="minorHAnsi" w:cstheme="minorHAnsi"/>
          <w:color w:val="000000"/>
          <w:sz w:val="22"/>
          <w:szCs w:val="22"/>
          <w:lang w:val="en-US"/>
        </w:rPr>
        <w:t>systems;</w:t>
      </w:r>
      <w:r w:rsidRPr="0057399B">
        <w:rPr>
          <w:rFonts w:asciiTheme="minorHAnsi" w:eastAsia="MS PGothic" w:hAnsiTheme="minorHAnsi" w:cstheme="minorHAnsi"/>
          <w:color w:val="000000"/>
          <w:sz w:val="22"/>
          <w:szCs w:val="22"/>
          <w:lang w:val="en-US"/>
        </w:rPr>
        <w:t xml:space="preserve"> </w:t>
      </w:r>
      <w:proofErr w:type="spellStart"/>
      <w:r w:rsidRPr="0057399B">
        <w:rPr>
          <w:rFonts w:asciiTheme="minorHAnsi" w:eastAsia="MS PGothic" w:hAnsiTheme="minorHAnsi" w:cstheme="minorHAnsi"/>
          <w:color w:val="000000"/>
          <w:sz w:val="22"/>
          <w:szCs w:val="22"/>
          <w:lang w:val="en-US"/>
        </w:rPr>
        <w:t>fenofibrate</w:t>
      </w:r>
      <w:proofErr w:type="spellEnd"/>
      <w:r w:rsidRPr="0057399B">
        <w:rPr>
          <w:rFonts w:asciiTheme="minorHAnsi" w:eastAsia="MS PGothic" w:hAnsiTheme="minorHAnsi" w:cstheme="minorHAnsi"/>
          <w:color w:val="000000"/>
          <w:sz w:val="22"/>
          <w:szCs w:val="22"/>
          <w:lang w:val="en-US"/>
        </w:rPr>
        <w:t xml:space="preserve"> and </w:t>
      </w:r>
      <w:proofErr w:type="spellStart"/>
      <w:r w:rsidRPr="0057399B">
        <w:rPr>
          <w:rFonts w:asciiTheme="minorHAnsi" w:eastAsia="MS PGothic" w:hAnsiTheme="minorHAnsi" w:cstheme="minorHAnsi"/>
          <w:color w:val="000000"/>
          <w:sz w:val="22"/>
          <w:szCs w:val="22"/>
          <w:lang w:val="en-US"/>
        </w:rPr>
        <w:t>mefenamic</w:t>
      </w:r>
      <w:proofErr w:type="spellEnd"/>
      <w:r w:rsidRPr="0057399B">
        <w:rPr>
          <w:rFonts w:asciiTheme="minorHAnsi" w:eastAsia="MS PGothic" w:hAnsiTheme="minorHAnsi" w:cstheme="minorHAnsi"/>
          <w:color w:val="000000"/>
          <w:sz w:val="22"/>
          <w:szCs w:val="22"/>
          <w:lang w:val="en-US"/>
        </w:rPr>
        <w:t xml:space="preserve"> acid. These specific pharmaceutically relevant molecules have i</w:t>
      </w:r>
      <w:r>
        <w:rPr>
          <w:rFonts w:asciiTheme="minorHAnsi" w:eastAsia="MS PGothic" w:hAnsiTheme="minorHAnsi" w:cstheme="minorHAnsi"/>
          <w:color w:val="000000"/>
          <w:sz w:val="22"/>
          <w:szCs w:val="22"/>
          <w:lang w:val="en-US"/>
        </w:rPr>
        <w:t>mpurities which are difficult to remove using cooling crystallization techniques.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704BDF" w:rsidRDefault="0057399B"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eastAsia="SimSun" w:hAnsiTheme="minorHAnsi"/>
          <w:sz w:val="22"/>
          <w:szCs w:val="22"/>
          <w:lang w:eastAsia="zh-CN"/>
        </w:rPr>
        <w:t xml:space="preserve">By utilizing physical characterization techniques, the mechanism of impurity incorporation during a cooling crystallization is determined. </w:t>
      </w:r>
      <w:r w:rsidR="0041217C">
        <w:rPr>
          <w:rFonts w:asciiTheme="minorHAnsi" w:eastAsia="SimSun" w:hAnsiTheme="minorHAnsi"/>
          <w:sz w:val="22"/>
          <w:szCs w:val="22"/>
          <w:lang w:eastAsia="zh-CN"/>
        </w:rPr>
        <w:t>The</w:t>
      </w:r>
      <w:r>
        <w:rPr>
          <w:rFonts w:asciiTheme="minorHAnsi" w:eastAsia="SimSun" w:hAnsiTheme="minorHAnsi"/>
          <w:sz w:val="22"/>
          <w:szCs w:val="22"/>
          <w:lang w:eastAsia="zh-CN"/>
        </w:rPr>
        <w:t xml:space="preserve"> specific</w:t>
      </w:r>
      <w:r w:rsidR="0041217C">
        <w:rPr>
          <w:rFonts w:asciiTheme="minorHAnsi" w:eastAsia="SimSun" w:hAnsiTheme="minorHAnsi"/>
          <w:sz w:val="22"/>
          <w:szCs w:val="22"/>
          <w:lang w:eastAsia="zh-CN"/>
        </w:rPr>
        <w:t xml:space="preserve"> incorporation of metac</w:t>
      </w:r>
      <w:r w:rsidR="00960CAB">
        <w:rPr>
          <w:rFonts w:asciiTheme="minorHAnsi" w:eastAsia="SimSun" w:hAnsiTheme="minorHAnsi"/>
          <w:sz w:val="22"/>
          <w:szCs w:val="22"/>
          <w:lang w:eastAsia="zh-CN"/>
        </w:rPr>
        <w:t xml:space="preserve">etamol into the paracetamol crystal lattice is due to partial solid miscibility, and so this impurity very difficult to remove by cooling crystallization. </w:t>
      </w:r>
    </w:p>
    <w:sectPr w:rsidR="00704BDF" w:rsidRPr="00704BDF" w:rsidSect="002065DB">
      <w:headerReference w:type="default" r:id="rId12"/>
      <w:headerReference w:type="first" r:id="rId13"/>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A8" w:rsidRDefault="000818A8" w:rsidP="004F5E36">
      <w:r>
        <w:separator/>
      </w:r>
    </w:p>
  </w:endnote>
  <w:endnote w:type="continuationSeparator" w:id="0">
    <w:p w:rsidR="000818A8" w:rsidRDefault="000818A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A8" w:rsidRDefault="000818A8" w:rsidP="004F5E36">
      <w:r>
        <w:separator/>
      </w:r>
    </w:p>
  </w:footnote>
  <w:footnote w:type="continuationSeparator" w:id="0">
    <w:p w:rsidR="000818A8" w:rsidRDefault="000818A8"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3"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4"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818A8"/>
    <w:rsid w:val="000A03B2"/>
    <w:rsid w:val="000B1987"/>
    <w:rsid w:val="000B7DCB"/>
    <w:rsid w:val="000D07F6"/>
    <w:rsid w:val="000D34BE"/>
    <w:rsid w:val="000E36F1"/>
    <w:rsid w:val="000E3A73"/>
    <w:rsid w:val="000E414A"/>
    <w:rsid w:val="000F549D"/>
    <w:rsid w:val="0013121F"/>
    <w:rsid w:val="00134DE4"/>
    <w:rsid w:val="00150E59"/>
    <w:rsid w:val="00162E5B"/>
    <w:rsid w:val="00184AD6"/>
    <w:rsid w:val="001B65C1"/>
    <w:rsid w:val="001C684B"/>
    <w:rsid w:val="001D53FC"/>
    <w:rsid w:val="001F2EC7"/>
    <w:rsid w:val="002065DB"/>
    <w:rsid w:val="002447EF"/>
    <w:rsid w:val="00251550"/>
    <w:rsid w:val="00253902"/>
    <w:rsid w:val="0027221A"/>
    <w:rsid w:val="00275B61"/>
    <w:rsid w:val="002B17C9"/>
    <w:rsid w:val="002D1F12"/>
    <w:rsid w:val="003009B7"/>
    <w:rsid w:val="0030469C"/>
    <w:rsid w:val="003723D4"/>
    <w:rsid w:val="003A7D1C"/>
    <w:rsid w:val="003C7B61"/>
    <w:rsid w:val="003F7322"/>
    <w:rsid w:val="00410060"/>
    <w:rsid w:val="0041217C"/>
    <w:rsid w:val="0046164A"/>
    <w:rsid w:val="00462DCD"/>
    <w:rsid w:val="004D1162"/>
    <w:rsid w:val="004E1915"/>
    <w:rsid w:val="004E4DD6"/>
    <w:rsid w:val="004F5E36"/>
    <w:rsid w:val="005119A5"/>
    <w:rsid w:val="005278B7"/>
    <w:rsid w:val="005346C8"/>
    <w:rsid w:val="0057399B"/>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55BAB"/>
    <w:rsid w:val="007661C8"/>
    <w:rsid w:val="00776D36"/>
    <w:rsid w:val="007A5D5F"/>
    <w:rsid w:val="007D52CD"/>
    <w:rsid w:val="007E3123"/>
    <w:rsid w:val="00813288"/>
    <w:rsid w:val="008168FC"/>
    <w:rsid w:val="0082487B"/>
    <w:rsid w:val="008479A2"/>
    <w:rsid w:val="0087637F"/>
    <w:rsid w:val="008A1512"/>
    <w:rsid w:val="008B5860"/>
    <w:rsid w:val="008D0BEB"/>
    <w:rsid w:val="008E566E"/>
    <w:rsid w:val="00901EB6"/>
    <w:rsid w:val="00907CD3"/>
    <w:rsid w:val="009450CE"/>
    <w:rsid w:val="0095164B"/>
    <w:rsid w:val="00960CAB"/>
    <w:rsid w:val="00996483"/>
    <w:rsid w:val="009E788A"/>
    <w:rsid w:val="00A1763D"/>
    <w:rsid w:val="00A17CEC"/>
    <w:rsid w:val="00A27EF0"/>
    <w:rsid w:val="00A76EFC"/>
    <w:rsid w:val="00A9626B"/>
    <w:rsid w:val="00A97F29"/>
    <w:rsid w:val="00AB0964"/>
    <w:rsid w:val="00AE377D"/>
    <w:rsid w:val="00B61DBF"/>
    <w:rsid w:val="00B70BA1"/>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6373F"/>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strath.ac.uk\hdrive\05\yxb18105\My%20Documents\Experiments\Showcase%20Poster%20Diagram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strath.ac.uk\hdrive\05\yxb18105\My%20Documents\Experiments\EXP-18-AB6200\4.%20Results%20and%20Discussion\EXP-18-AB6200-Tamman%20Plot%20and%20Binary%20Phase%20Diagram.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19686428085379"/>
          <c:y val="2.9390133894044632E-2"/>
          <c:w val="0.75286866919412854"/>
          <c:h val="0.75175038884028389"/>
        </c:manualLayout>
      </c:layout>
      <c:scatterChart>
        <c:scatterStyle val="lineMarker"/>
        <c:varyColors val="0"/>
        <c:ser>
          <c:idx val="0"/>
          <c:order val="0"/>
          <c:tx>
            <c:v>MET</c:v>
          </c:tx>
          <c:spPr>
            <a:ln w="25400" cap="rnd">
              <a:noFill/>
              <a:round/>
            </a:ln>
            <a:effectLst/>
          </c:spPr>
          <c:marker>
            <c:symbol val="circle"/>
            <c:size val="3"/>
            <c:spPr>
              <a:solidFill>
                <a:schemeClr val="accent2"/>
              </a:solidFill>
              <a:ln w="9525">
                <a:solidFill>
                  <a:schemeClr val="accent2"/>
                </a:solidFill>
              </a:ln>
              <a:effectLst/>
            </c:spPr>
          </c:marker>
          <c:trendline>
            <c:spPr>
              <a:ln w="9525" cap="rnd">
                <a:solidFill>
                  <a:schemeClr val="accent2"/>
                </a:solidFill>
                <a:prstDash val="solid"/>
              </a:ln>
              <a:effectLst/>
            </c:spPr>
            <c:trendlineType val="linear"/>
            <c:dispRSqr val="0"/>
            <c:dispEq val="0"/>
          </c:trendline>
          <c:xVal>
            <c:numRef>
              <c:f>Sheet1!$D$4:$D$9</c:f>
              <c:numCache>
                <c:formatCode>General</c:formatCode>
                <c:ptCount val="6"/>
                <c:pt idx="0">
                  <c:v>0.48804780876494025</c:v>
                </c:pt>
                <c:pt idx="1">
                  <c:v>1.0166450712648261</c:v>
                </c:pt>
                <c:pt idx="2">
                  <c:v>1.976047904191617</c:v>
                </c:pt>
                <c:pt idx="3">
                  <c:v>2.9808942682804842</c:v>
                </c:pt>
                <c:pt idx="4">
                  <c:v>4.0159840159840163</c:v>
                </c:pt>
                <c:pt idx="5">
                  <c:v>9.6451774112943518</c:v>
                </c:pt>
              </c:numCache>
            </c:numRef>
          </c:xVal>
          <c:yVal>
            <c:numRef>
              <c:f>Sheet1!$K$4:$K$9</c:f>
              <c:numCache>
                <c:formatCode>General</c:formatCode>
                <c:ptCount val="6"/>
                <c:pt idx="0">
                  <c:v>8.7494747275403101E-2</c:v>
                </c:pt>
                <c:pt idx="1">
                  <c:v>0.46354384113627461</c:v>
                </c:pt>
                <c:pt idx="2">
                  <c:v>1.011659703741653</c:v>
                </c:pt>
                <c:pt idx="3">
                  <c:v>1.6207478634163521</c:v>
                </c:pt>
                <c:pt idx="4">
                  <c:v>2.5136578492453343</c:v>
                </c:pt>
                <c:pt idx="5">
                  <c:v>6.7750683304442605</c:v>
                </c:pt>
              </c:numCache>
            </c:numRef>
          </c:yVal>
          <c:smooth val="0"/>
          <c:extLst>
            <c:ext xmlns:c16="http://schemas.microsoft.com/office/drawing/2014/chart" uri="{C3380CC4-5D6E-409C-BE32-E72D297353CC}">
              <c16:uniqueId val="{00000000-E1F1-4D85-9626-8DC06D1C800A}"/>
            </c:ext>
          </c:extLst>
        </c:ser>
        <c:ser>
          <c:idx val="1"/>
          <c:order val="1"/>
          <c:tx>
            <c:v>ACE</c:v>
          </c:tx>
          <c:spPr>
            <a:ln w="25400" cap="rnd">
              <a:noFill/>
              <a:round/>
            </a:ln>
            <a:effectLst/>
          </c:spPr>
          <c:marker>
            <c:symbol val="triangle"/>
            <c:size val="3"/>
            <c:spPr>
              <a:solidFill>
                <a:schemeClr val="accent5"/>
              </a:solidFill>
              <a:ln w="9525">
                <a:solidFill>
                  <a:schemeClr val="accent5"/>
                </a:solidFill>
              </a:ln>
              <a:effectLst/>
            </c:spPr>
          </c:marker>
          <c:trendline>
            <c:spPr>
              <a:ln w="9525" cap="rnd">
                <a:solidFill>
                  <a:schemeClr val="accent5"/>
                </a:solidFill>
                <a:prstDash val="solid"/>
              </a:ln>
              <a:effectLst/>
            </c:spPr>
            <c:trendlineType val="linear"/>
            <c:dispRSqr val="0"/>
            <c:dispEq val="0"/>
          </c:trendline>
          <c:xVal>
            <c:numRef>
              <c:f>Sheet1!$D$10:$D$15</c:f>
              <c:numCache>
                <c:formatCode>General</c:formatCode>
                <c:ptCount val="6"/>
                <c:pt idx="0">
                  <c:v>0.85921433746844489</c:v>
                </c:pt>
                <c:pt idx="1">
                  <c:v>0.51242766217595881</c:v>
                </c:pt>
                <c:pt idx="2">
                  <c:v>1.7414409777426156</c:v>
                </c:pt>
                <c:pt idx="3">
                  <c:v>2.5064396519476242</c:v>
                </c:pt>
                <c:pt idx="4">
                  <c:v>3.3480566927200064</c:v>
                </c:pt>
                <c:pt idx="5">
                  <c:v>5.0052296216507566</c:v>
                </c:pt>
              </c:numCache>
            </c:numRef>
          </c:xVal>
          <c:yVal>
            <c:numRef>
              <c:f>Sheet1!$K$10:$K$15</c:f>
              <c:numCache>
                <c:formatCode>General</c:formatCode>
                <c:ptCount val="6"/>
                <c:pt idx="0">
                  <c:v>0.13789629229387623</c:v>
                </c:pt>
                <c:pt idx="1">
                  <c:v>0.13225561025946239</c:v>
                </c:pt>
                <c:pt idx="2">
                  <c:v>0.23479887726833223</c:v>
                </c:pt>
                <c:pt idx="3">
                  <c:v>0.32858981574944907</c:v>
                </c:pt>
                <c:pt idx="4">
                  <c:v>0.42394814560183636</c:v>
                </c:pt>
                <c:pt idx="5">
                  <c:v>0.5948522075426923</c:v>
                </c:pt>
              </c:numCache>
            </c:numRef>
          </c:yVal>
          <c:smooth val="0"/>
          <c:extLst>
            <c:ext xmlns:c16="http://schemas.microsoft.com/office/drawing/2014/chart" uri="{C3380CC4-5D6E-409C-BE32-E72D297353CC}">
              <c16:uniqueId val="{00000001-E1F1-4D85-9626-8DC06D1C800A}"/>
            </c:ext>
          </c:extLst>
        </c:ser>
        <c:dLbls>
          <c:showLegendKey val="0"/>
          <c:showVal val="0"/>
          <c:showCatName val="0"/>
          <c:showSerName val="0"/>
          <c:showPercent val="0"/>
          <c:showBubbleSize val="0"/>
        </c:dLbls>
        <c:axId val="769880976"/>
        <c:axId val="769879336"/>
      </c:scatterChart>
      <c:valAx>
        <c:axId val="769880976"/>
        <c:scaling>
          <c:orientation val="minMax"/>
          <c:max val="10"/>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r>
                  <a:rPr lang="en-GB" dirty="0" smtClean="0"/>
                  <a:t>[IMP] in Crude </a:t>
                </a:r>
                <a:r>
                  <a:rPr lang="en-GB" dirty="0"/>
                  <a:t>(</a:t>
                </a:r>
                <a:r>
                  <a:rPr lang="en-GB" dirty="0" err="1"/>
                  <a:t>mol</a:t>
                </a:r>
                <a:r>
                  <a:rPr lang="en-GB" dirty="0"/>
                  <a:t>%)</a:t>
                </a:r>
              </a:p>
            </c:rich>
          </c:tx>
          <c:layout>
            <c:manualLayout>
              <c:xMode val="edge"/>
              <c:yMode val="edge"/>
              <c:x val="0.28380504052275507"/>
              <c:y val="0.928317232014047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crossAx val="769879336"/>
        <c:crosses val="autoZero"/>
        <c:crossBetween val="midCat"/>
        <c:majorUnit val="2"/>
      </c:valAx>
      <c:valAx>
        <c:axId val="769879336"/>
        <c:scaling>
          <c:orientation val="minMax"/>
          <c:min val="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r>
                  <a:rPr lang="en-GB" dirty="0" smtClean="0"/>
                  <a:t>[Imp] in </a:t>
                </a:r>
                <a:r>
                  <a:rPr lang="en-GB" dirty="0"/>
                  <a:t>Solid (</a:t>
                </a:r>
                <a:r>
                  <a:rPr lang="en-GB" dirty="0" err="1"/>
                  <a:t>mol</a:t>
                </a:r>
                <a:r>
                  <a:rPr lang="en-GB" dirty="0"/>
                  <a:t>%)</a:t>
                </a:r>
              </a:p>
            </c:rich>
          </c:tx>
          <c:layout>
            <c:manualLayout>
              <c:xMode val="edge"/>
              <c:yMode val="edge"/>
              <c:x val="0"/>
              <c:y val="0.1845879350703744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crossAx val="769880976"/>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sz="8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238789595744972"/>
          <c:y val="6.4658294566898186E-2"/>
          <c:w val="0.71667763751753255"/>
          <c:h val="0.73188186187470383"/>
        </c:manualLayout>
      </c:layout>
      <c:scatterChart>
        <c:scatterStyle val="lineMarker"/>
        <c:varyColors val="0"/>
        <c:ser>
          <c:idx val="0"/>
          <c:order val="0"/>
          <c:spPr>
            <a:ln w="25400" cap="rnd">
              <a:noFill/>
              <a:round/>
            </a:ln>
            <a:effectLst/>
          </c:spPr>
          <c:marker>
            <c:symbol val="circle"/>
            <c:size val="3"/>
            <c:spPr>
              <a:solidFill>
                <a:schemeClr val="accent2"/>
              </a:solidFill>
              <a:ln w="9525">
                <a:solidFill>
                  <a:schemeClr val="accent2"/>
                </a:solidFill>
              </a:ln>
              <a:effectLst/>
            </c:spPr>
          </c:marker>
          <c:xVal>
            <c:numRef>
              <c:f>Sheet1!$D$4:$D$9</c:f>
              <c:numCache>
                <c:formatCode>General</c:formatCode>
                <c:ptCount val="6"/>
                <c:pt idx="0">
                  <c:v>0.48804780876494025</c:v>
                </c:pt>
                <c:pt idx="1">
                  <c:v>1.0166450712648261</c:v>
                </c:pt>
                <c:pt idx="2">
                  <c:v>1.976047904191617</c:v>
                </c:pt>
                <c:pt idx="3">
                  <c:v>2.9808942682804842</c:v>
                </c:pt>
                <c:pt idx="4">
                  <c:v>4.0159840159840163</c:v>
                </c:pt>
                <c:pt idx="5">
                  <c:v>9.6451774112943518</c:v>
                </c:pt>
              </c:numCache>
            </c:numRef>
          </c:xVal>
          <c:yVal>
            <c:numRef>
              <c:f>Sheet1!$S$4:$S$9</c:f>
              <c:numCache>
                <c:formatCode>General</c:formatCode>
                <c:ptCount val="6"/>
                <c:pt idx="0">
                  <c:v>4.7964863089053254E-2</c:v>
                </c:pt>
                <c:pt idx="1">
                  <c:v>0.12584395414386176</c:v>
                </c:pt>
                <c:pt idx="2">
                  <c:v>0.1526380177605399</c:v>
                </c:pt>
                <c:pt idx="3">
                  <c:v>0.19009194695035225</c:v>
                </c:pt>
                <c:pt idx="4">
                  <c:v>0.25143246188303525</c:v>
                </c:pt>
                <c:pt idx="5">
                  <c:v>0.40686699306435758</c:v>
                </c:pt>
              </c:numCache>
            </c:numRef>
          </c:yVal>
          <c:smooth val="0"/>
          <c:extLst>
            <c:ext xmlns:c16="http://schemas.microsoft.com/office/drawing/2014/chart" uri="{C3380CC4-5D6E-409C-BE32-E72D297353CC}">
              <c16:uniqueId val="{00000000-473C-45B2-BE50-DA6ACC35D76E}"/>
            </c:ext>
          </c:extLst>
        </c:ser>
        <c:ser>
          <c:idx val="1"/>
          <c:order val="1"/>
          <c:spPr>
            <a:ln w="25400" cap="rnd">
              <a:noFill/>
              <a:round/>
            </a:ln>
            <a:effectLst/>
          </c:spPr>
          <c:marker>
            <c:symbol val="triangle"/>
            <c:size val="3"/>
            <c:spPr>
              <a:solidFill>
                <a:schemeClr val="accent5"/>
              </a:solidFill>
              <a:ln w="9525">
                <a:solidFill>
                  <a:schemeClr val="accent5"/>
                </a:solidFill>
              </a:ln>
              <a:effectLst/>
            </c:spPr>
          </c:marker>
          <c:xVal>
            <c:numRef>
              <c:f>Sheet1!$D$10:$D$15</c:f>
              <c:numCache>
                <c:formatCode>General</c:formatCode>
                <c:ptCount val="6"/>
                <c:pt idx="0">
                  <c:v>0.85921433746844489</c:v>
                </c:pt>
                <c:pt idx="1">
                  <c:v>0.51242766217595881</c:v>
                </c:pt>
                <c:pt idx="2">
                  <c:v>1.7414409777426156</c:v>
                </c:pt>
                <c:pt idx="3">
                  <c:v>2.5064396519476242</c:v>
                </c:pt>
                <c:pt idx="4">
                  <c:v>3.3480566927200064</c:v>
                </c:pt>
                <c:pt idx="5">
                  <c:v>5.0052296216507566</c:v>
                </c:pt>
              </c:numCache>
            </c:numRef>
          </c:xVal>
          <c:yVal>
            <c:numRef>
              <c:f>Sheet1!$S$10:$S$15</c:f>
              <c:numCache>
                <c:formatCode>General</c:formatCode>
                <c:ptCount val="6"/>
                <c:pt idx="0">
                  <c:v>8.4328213187883139E-2</c:v>
                </c:pt>
                <c:pt idx="1">
                  <c:v>0.12404820074016162</c:v>
                </c:pt>
                <c:pt idx="2">
                  <c:v>6.6579578366442113E-2</c:v>
                </c:pt>
                <c:pt idx="3">
                  <c:v>6.4242309218533827E-2</c:v>
                </c:pt>
                <c:pt idx="4">
                  <c:v>6.5087254584329568E-2</c:v>
                </c:pt>
                <c:pt idx="5">
                  <c:v>6.1155077147768314E-2</c:v>
                </c:pt>
              </c:numCache>
            </c:numRef>
          </c:yVal>
          <c:smooth val="0"/>
          <c:extLst>
            <c:ext xmlns:c16="http://schemas.microsoft.com/office/drawing/2014/chart" uri="{C3380CC4-5D6E-409C-BE32-E72D297353CC}">
              <c16:uniqueId val="{00000001-473C-45B2-BE50-DA6ACC35D76E}"/>
            </c:ext>
          </c:extLst>
        </c:ser>
        <c:dLbls>
          <c:showLegendKey val="0"/>
          <c:showVal val="0"/>
          <c:showCatName val="0"/>
          <c:showSerName val="0"/>
          <c:showPercent val="0"/>
          <c:showBubbleSize val="0"/>
        </c:dLbls>
        <c:axId val="769880976"/>
        <c:axId val="769879336"/>
      </c:scatterChart>
      <c:valAx>
        <c:axId val="769880976"/>
        <c:scaling>
          <c:orientation val="minMax"/>
          <c:max val="10"/>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r>
                  <a:rPr lang="en-GB"/>
                  <a:t>[IMP] in Crude (mol%)</a:t>
                </a:r>
              </a:p>
            </c:rich>
          </c:tx>
          <c:layout>
            <c:manualLayout>
              <c:xMode val="edge"/>
              <c:yMode val="edge"/>
              <c:x val="0.233981307892069"/>
              <c:y val="0.9099468622272981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crossAx val="769879336"/>
        <c:crosses val="autoZero"/>
        <c:crossBetween val="midCat"/>
        <c:majorUnit val="2"/>
      </c:valAx>
      <c:valAx>
        <c:axId val="769879336"/>
        <c:scaling>
          <c:orientation val="minMax"/>
          <c:max val="0.41000000000000003"/>
          <c:min val="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r>
                  <a:rPr lang="en-GB" dirty="0"/>
                  <a:t>Selectivity </a:t>
                </a:r>
                <a:r>
                  <a:rPr lang="en-GB" dirty="0" smtClean="0"/>
                  <a:t>Coefficient </a:t>
                </a:r>
                <a:r>
                  <a:rPr lang="en-GB" dirty="0"/>
                  <a:t>(</a:t>
                </a:r>
                <a:r>
                  <a:rPr lang="el-GR" dirty="0"/>
                  <a:t>α</a:t>
                </a:r>
                <a:r>
                  <a:rPr lang="en-GB" dirty="0"/>
                  <a:t>)</a:t>
                </a:r>
              </a:p>
            </c:rich>
          </c:tx>
          <c:layout>
            <c:manualLayout>
              <c:xMode val="edge"/>
              <c:yMode val="edge"/>
              <c:x val="4.5816495160327184E-3"/>
              <c:y val="0.14240489805168907"/>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crossAx val="769880976"/>
        <c:crosses val="autoZero"/>
        <c:crossBetween val="midCat"/>
        <c:majorUnit val="0.1"/>
      </c:valAx>
      <c:spPr>
        <a:noFill/>
        <a:ln>
          <a:noFill/>
        </a:ln>
        <a:effectLst/>
      </c:spPr>
    </c:plotArea>
    <c:plotVisOnly val="1"/>
    <c:dispBlanksAs val="gap"/>
    <c:showDLblsOverMax val="0"/>
  </c:chart>
  <c:spPr>
    <a:noFill/>
    <a:ln w="9525" cap="flat" cmpd="sng" algn="ctr">
      <a:noFill/>
      <a:round/>
    </a:ln>
    <a:effectLst/>
  </c:spPr>
  <c:txPr>
    <a:bodyPr/>
    <a:lstStyle/>
    <a:p>
      <a:pPr>
        <a:defRPr sz="8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35614992570374"/>
          <c:y val="3.4444583315974393E-2"/>
          <c:w val="0.7170125956477662"/>
          <c:h val="0.79377188962490797"/>
        </c:manualLayout>
      </c:layout>
      <c:scatterChart>
        <c:scatterStyle val="lineMarker"/>
        <c:varyColors val="0"/>
        <c:ser>
          <c:idx val="0"/>
          <c:order val="0"/>
          <c:spPr>
            <a:ln w="25400" cap="rnd">
              <a:noFill/>
              <a:round/>
            </a:ln>
            <a:effectLst/>
          </c:spPr>
          <c:marker>
            <c:symbol val="triangle"/>
            <c:size val="3"/>
            <c:spPr>
              <a:solidFill>
                <a:schemeClr val="accent5"/>
              </a:solidFill>
              <a:ln w="9525">
                <a:solidFill>
                  <a:schemeClr val="accent5"/>
                </a:solidFill>
              </a:ln>
              <a:effectLst/>
            </c:spPr>
          </c:marker>
          <c:trendline>
            <c:spPr>
              <a:ln w="9525" cap="rnd">
                <a:solidFill>
                  <a:schemeClr val="accent5"/>
                </a:solidFill>
                <a:prstDash val="solid"/>
              </a:ln>
              <a:effectLst/>
            </c:spPr>
            <c:trendlineType val="linear"/>
            <c:forward val="9.0000000000000024E-2"/>
            <c:dispRSqr val="0"/>
            <c:dispEq val="0"/>
          </c:trendline>
          <c:xVal>
            <c:numRef>
              <c:f>Sheet1!$B$4:$B$13</c:f>
              <c:numCache>
                <c:formatCode>General</c:formatCode>
                <c:ptCount val="10"/>
                <c:pt idx="0">
                  <c:v>0.11052407228815236</c:v>
                </c:pt>
                <c:pt idx="1">
                  <c:v>0.21849321305556313</c:v>
                </c:pt>
                <c:pt idx="2">
                  <c:v>0.32399500171110673</c:v>
                </c:pt>
                <c:pt idx="3">
                  <c:v>0.42711306008736494</c:v>
                </c:pt>
                <c:pt idx="4">
                  <c:v>0.52792727348925905</c:v>
                </c:pt>
                <c:pt idx="5">
                  <c:v>0.62651399709047295</c:v>
                </c:pt>
                <c:pt idx="6">
                  <c:v>0.72294624879838165</c:v>
                </c:pt>
                <c:pt idx="7">
                  <c:v>9.9588117564702899E-2</c:v>
                </c:pt>
                <c:pt idx="8">
                  <c:v>5.558703725426966E-2</c:v>
                </c:pt>
                <c:pt idx="9">
                  <c:v>1.1169960702706355E-2</c:v>
                </c:pt>
              </c:numCache>
            </c:numRef>
          </c:xVal>
          <c:yVal>
            <c:numRef>
              <c:f>Sheet1!$C$4:$C$13</c:f>
              <c:numCache>
                <c:formatCode>General</c:formatCode>
                <c:ptCount val="10"/>
                <c:pt idx="0">
                  <c:v>24.45</c:v>
                </c:pt>
                <c:pt idx="1">
                  <c:v>44.04</c:v>
                </c:pt>
                <c:pt idx="2">
                  <c:v>53.75</c:v>
                </c:pt>
                <c:pt idx="3">
                  <c:v>63.18</c:v>
                </c:pt>
                <c:pt idx="4">
                  <c:v>88.51</c:v>
                </c:pt>
                <c:pt idx="5">
                  <c:v>103.7</c:v>
                </c:pt>
                <c:pt idx="6">
                  <c:v>108.6</c:v>
                </c:pt>
                <c:pt idx="7">
                  <c:v>9.6780000000000008</c:v>
                </c:pt>
                <c:pt idx="8">
                  <c:v>3.5350000000000001</c:v>
                </c:pt>
                <c:pt idx="9">
                  <c:v>1.8859999999999999</c:v>
                </c:pt>
              </c:numCache>
            </c:numRef>
          </c:yVal>
          <c:smooth val="0"/>
          <c:extLst>
            <c:ext xmlns:c16="http://schemas.microsoft.com/office/drawing/2014/chart" uri="{C3380CC4-5D6E-409C-BE32-E72D297353CC}">
              <c16:uniqueId val="{00000000-C599-4C5C-B05B-AC0F52688A88}"/>
            </c:ext>
          </c:extLst>
        </c:ser>
        <c:ser>
          <c:idx val="1"/>
          <c:order val="1"/>
          <c:spPr>
            <a:ln w="25400" cap="rnd">
              <a:noFill/>
              <a:round/>
            </a:ln>
            <a:effectLst/>
          </c:spPr>
          <c:marker>
            <c:symbol val="triangle"/>
            <c:size val="3"/>
            <c:spPr>
              <a:solidFill>
                <a:schemeClr val="accent5"/>
              </a:solidFill>
              <a:ln w="9525">
                <a:solidFill>
                  <a:schemeClr val="accent5"/>
                </a:solidFill>
              </a:ln>
              <a:effectLst/>
            </c:spPr>
          </c:marker>
          <c:trendline>
            <c:spPr>
              <a:ln w="9525" cap="rnd">
                <a:solidFill>
                  <a:schemeClr val="accent5"/>
                </a:solidFill>
                <a:prstDash val="solid"/>
              </a:ln>
              <a:effectLst/>
            </c:spPr>
            <c:trendlineType val="linear"/>
            <c:forward val="1.0000000000000002E-2"/>
            <c:backward val="5.000000000000001E-3"/>
            <c:dispRSqr val="0"/>
            <c:dispEq val="0"/>
          </c:trendline>
          <c:xVal>
            <c:numRef>
              <c:f>Sheet1!$B$17:$B$21</c:f>
              <c:numCache>
                <c:formatCode>General</c:formatCode>
                <c:ptCount val="5"/>
                <c:pt idx="0">
                  <c:v>0.99104852636439777</c:v>
                </c:pt>
                <c:pt idx="1">
                  <c:v>0.95505221185880729</c:v>
                </c:pt>
                <c:pt idx="2">
                  <c:v>0.91874829644458933</c:v>
                </c:pt>
                <c:pt idx="3">
                  <c:v>0.90962379240417301</c:v>
                </c:pt>
                <c:pt idx="4">
                  <c:v>0.81729388961128502</c:v>
                </c:pt>
              </c:numCache>
            </c:numRef>
          </c:xVal>
          <c:yVal>
            <c:numRef>
              <c:f>Sheet1!$C$17:$C$21</c:f>
              <c:numCache>
                <c:formatCode>General</c:formatCode>
                <c:ptCount val="5"/>
                <c:pt idx="0">
                  <c:v>5.2270000000000003</c:v>
                </c:pt>
                <c:pt idx="1">
                  <c:v>22.7</c:v>
                </c:pt>
                <c:pt idx="2">
                  <c:v>29.68</c:v>
                </c:pt>
                <c:pt idx="3">
                  <c:v>101.6</c:v>
                </c:pt>
                <c:pt idx="4">
                  <c:v>120.4</c:v>
                </c:pt>
              </c:numCache>
            </c:numRef>
          </c:yVal>
          <c:smooth val="0"/>
          <c:extLst>
            <c:ext xmlns:c16="http://schemas.microsoft.com/office/drawing/2014/chart" uri="{C3380CC4-5D6E-409C-BE32-E72D297353CC}">
              <c16:uniqueId val="{00000001-C599-4C5C-B05B-AC0F52688A88}"/>
            </c:ext>
          </c:extLst>
        </c:ser>
        <c:dLbls>
          <c:showLegendKey val="0"/>
          <c:showVal val="0"/>
          <c:showCatName val="0"/>
          <c:showSerName val="0"/>
          <c:showPercent val="0"/>
          <c:showBubbleSize val="0"/>
        </c:dLbls>
        <c:axId val="768216888"/>
        <c:axId val="768225744"/>
      </c:scatterChart>
      <c:valAx>
        <c:axId val="768216888"/>
        <c:scaling>
          <c:orientation val="minMax"/>
          <c:max val="1"/>
        </c:scaling>
        <c:delete val="0"/>
        <c:axPos val="b"/>
        <c:title>
          <c:tx>
            <c:rich>
              <a:bodyPr rot="0" spcFirstLastPara="1" vertOverflow="ellipsis" vert="horz" wrap="square" anchor="ctr" anchorCtr="1"/>
              <a:lstStyle/>
              <a:p>
                <a:pPr>
                  <a:defRPr sz="800" b="0" i="0" u="none" strike="noStrike" kern="1200" baseline="0">
                    <a:solidFill>
                      <a:schemeClr val="tx1"/>
                    </a:solidFill>
                    <a:latin typeface="+mn-lt"/>
                    <a:ea typeface="+mn-ea"/>
                    <a:cs typeface="Arial" panose="020B0604020202020204" pitchFamily="34" charset="0"/>
                  </a:defRPr>
                </a:pPr>
                <a:r>
                  <a:rPr lang="en-GB" dirty="0"/>
                  <a:t>Acetanilide Mole Fraction (X</a:t>
                </a:r>
                <a:r>
                  <a:rPr lang="en-GB" baseline="-25000" dirty="0"/>
                  <a:t>ACE</a:t>
                </a:r>
                <a:r>
                  <a:rPr lang="en-GB" dirty="0"/>
                  <a:t>)</a:t>
                </a:r>
              </a:p>
            </c:rich>
          </c:tx>
          <c:layout>
            <c:manualLayout>
              <c:xMode val="edge"/>
              <c:yMode val="edge"/>
              <c:x val="0.20519212876168258"/>
              <c:y val="0.9099468122040300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Arial" panose="020B0604020202020204" pitchFamily="34" charset="0"/>
              </a:defRPr>
            </a:pPr>
            <a:endParaRPr lang="en-US"/>
          </a:p>
        </c:txPr>
        <c:crossAx val="768225744"/>
        <c:crosses val="autoZero"/>
        <c:crossBetween val="midCat"/>
        <c:majorUnit val="0.25"/>
      </c:valAx>
      <c:valAx>
        <c:axId val="768225744"/>
        <c:scaling>
          <c:orientation val="minMax"/>
          <c:max val="130"/>
          <c:min val="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Arial" panose="020B0604020202020204" pitchFamily="34" charset="0"/>
                  </a:defRPr>
                </a:pPr>
                <a:r>
                  <a:rPr lang="en-GB"/>
                  <a:t>Enthalpy Change (J/g)</a:t>
                </a:r>
              </a:p>
            </c:rich>
          </c:tx>
          <c:layout>
            <c:manualLayout>
              <c:xMode val="edge"/>
              <c:yMode val="edge"/>
              <c:x val="0"/>
              <c:y val="0.1737566137566137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mn-lt"/>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Arial" panose="020B0604020202020204" pitchFamily="34" charset="0"/>
              </a:defRPr>
            </a:pPr>
            <a:endParaRPr lang="en-US"/>
          </a:p>
        </c:txPr>
        <c:crossAx val="76821688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chemeClr val="tx1"/>
          </a:solidFill>
          <a:latin typeface="+mn-lt"/>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65753866158403"/>
          <c:y val="3.4444583315974393E-2"/>
          <c:w val="0.67694641557243596"/>
          <c:h val="0.79863905900651311"/>
        </c:manualLayout>
      </c:layout>
      <c:scatterChart>
        <c:scatterStyle val="lineMarker"/>
        <c:varyColors val="0"/>
        <c:ser>
          <c:idx val="0"/>
          <c:order val="0"/>
          <c:tx>
            <c:v>Not Used</c:v>
          </c:tx>
          <c:spPr>
            <a:ln w="25400" cap="rnd">
              <a:noFill/>
              <a:round/>
            </a:ln>
            <a:effectLst/>
          </c:spPr>
          <c:marker>
            <c:symbol val="circle"/>
            <c:size val="3"/>
            <c:spPr>
              <a:noFill/>
              <a:ln w="6350">
                <a:solidFill>
                  <a:schemeClr val="accent2"/>
                </a:solidFill>
              </a:ln>
              <a:effectLst/>
            </c:spPr>
          </c:marker>
          <c:xVal>
            <c:numRef>
              <c:f>'Tamman Plot Input'!$F$47:$F$56</c:f>
              <c:numCache>
                <c:formatCode>0.000</c:formatCode>
                <c:ptCount val="10"/>
                <c:pt idx="0">
                  <c:v>2.0067890694621129E-3</c:v>
                </c:pt>
                <c:pt idx="1">
                  <c:v>5.0169214809271945E-3</c:v>
                </c:pt>
                <c:pt idx="2">
                  <c:v>1.1025976452999438E-2</c:v>
                </c:pt>
                <c:pt idx="3">
                  <c:v>1.0033672324070609E-2</c:v>
                </c:pt>
                <c:pt idx="4">
                  <c:v>1.9966834749060879E-2</c:v>
                </c:pt>
                <c:pt idx="5">
                  <c:v>0.03</c:v>
                </c:pt>
                <c:pt idx="6">
                  <c:v>0.98501476046094594</c:v>
                </c:pt>
                <c:pt idx="7">
                  <c:v>0.99000989020869334</c:v>
                </c:pt>
                <c:pt idx="8">
                  <c:v>0.99500497005479549</c:v>
                </c:pt>
                <c:pt idx="9">
                  <c:v>0.99800199400997802</c:v>
                </c:pt>
              </c:numCache>
            </c:numRef>
          </c:xVal>
          <c:yVal>
            <c:numRef>
              <c:f>'Tamman Plot Input'!$H$47:$H$56</c:f>
              <c:numCache>
                <c:formatCode>0.0</c:formatCode>
                <c:ptCount val="10"/>
                <c:pt idx="0">
                  <c:v>0</c:v>
                </c:pt>
                <c:pt idx="1">
                  <c:v>0</c:v>
                </c:pt>
                <c:pt idx="2">
                  <c:v>0</c:v>
                </c:pt>
                <c:pt idx="3">
                  <c:v>0</c:v>
                </c:pt>
                <c:pt idx="4">
                  <c:v>0.3</c:v>
                </c:pt>
                <c:pt idx="5">
                  <c:v>0</c:v>
                </c:pt>
                <c:pt idx="6">
                  <c:v>0</c:v>
                </c:pt>
                <c:pt idx="7">
                  <c:v>0</c:v>
                </c:pt>
                <c:pt idx="8">
                  <c:v>0</c:v>
                </c:pt>
                <c:pt idx="9">
                  <c:v>0</c:v>
                </c:pt>
              </c:numCache>
            </c:numRef>
          </c:yVal>
          <c:smooth val="0"/>
          <c:extLst>
            <c:ext xmlns:c16="http://schemas.microsoft.com/office/drawing/2014/chart" uri="{C3380CC4-5D6E-409C-BE32-E72D297353CC}">
              <c16:uniqueId val="{00000000-088D-4434-9A99-0BA5ED969783}"/>
            </c:ext>
          </c:extLst>
        </c:ser>
        <c:ser>
          <c:idx val="1"/>
          <c:order val="1"/>
          <c:tx>
            <c:v>Pre Eutectic</c:v>
          </c:tx>
          <c:spPr>
            <a:ln w="25400" cap="rnd">
              <a:noFill/>
              <a:round/>
            </a:ln>
            <a:effectLst/>
          </c:spPr>
          <c:marker>
            <c:symbol val="circle"/>
            <c:size val="3"/>
            <c:spPr>
              <a:solidFill>
                <a:schemeClr val="accent2"/>
              </a:solidFill>
              <a:ln w="9525">
                <a:solidFill>
                  <a:schemeClr val="accent2"/>
                </a:solidFill>
              </a:ln>
              <a:effectLst/>
            </c:spPr>
          </c:marker>
          <c:trendline>
            <c:spPr>
              <a:ln w="9525" cap="rnd">
                <a:solidFill>
                  <a:schemeClr val="accent2"/>
                </a:solidFill>
                <a:prstDash val="solid"/>
              </a:ln>
              <a:effectLst/>
            </c:spPr>
            <c:trendlineType val="linear"/>
            <c:dispRSqr val="0"/>
            <c:dispEq val="0"/>
          </c:trendline>
          <c:xVal>
            <c:numRef>
              <c:f>'Tamman Plot Input'!$J$47:$J$55</c:f>
              <c:numCache>
                <c:formatCode>0.000</c:formatCode>
                <c:ptCount val="9"/>
                <c:pt idx="0">
                  <c:v>5.0161537153545314E-2</c:v>
                </c:pt>
                <c:pt idx="1">
                  <c:v>9.644935591447068E-2</c:v>
                </c:pt>
                <c:pt idx="2">
                  <c:v>0.10030601836110166</c:v>
                </c:pt>
                <c:pt idx="3">
                  <c:v>0.20054384772263764</c:v>
                </c:pt>
                <c:pt idx="4">
                  <c:v>0.30004188857638681</c:v>
                </c:pt>
                <c:pt idx="5">
                  <c:v>0.40004787170383377</c:v>
                </c:pt>
                <c:pt idx="6">
                  <c:v>0.50004986536351848</c:v>
                </c:pt>
                <c:pt idx="7">
                  <c:v>0.6000478697941598</c:v>
                </c:pt>
                <c:pt idx="8">
                  <c:v>0.6500453761231838</c:v>
                </c:pt>
              </c:numCache>
            </c:numRef>
          </c:xVal>
          <c:yVal>
            <c:numRef>
              <c:f>'Tamman Plot Input'!$L$47:$L$55</c:f>
              <c:numCache>
                <c:formatCode>0.0</c:formatCode>
                <c:ptCount val="9"/>
                <c:pt idx="0">
                  <c:v>1.6</c:v>
                </c:pt>
                <c:pt idx="1">
                  <c:v>8.2899999999999991</c:v>
                </c:pt>
                <c:pt idx="2">
                  <c:v>9.6999999999999993</c:v>
                </c:pt>
                <c:pt idx="3">
                  <c:v>27.1</c:v>
                </c:pt>
                <c:pt idx="4">
                  <c:v>60.36</c:v>
                </c:pt>
                <c:pt idx="5">
                  <c:v>93.29</c:v>
                </c:pt>
                <c:pt idx="6">
                  <c:v>105.7</c:v>
                </c:pt>
                <c:pt idx="7">
                  <c:v>143.4</c:v>
                </c:pt>
                <c:pt idx="8">
                  <c:v>155.19999999999999</c:v>
                </c:pt>
              </c:numCache>
            </c:numRef>
          </c:yVal>
          <c:smooth val="0"/>
          <c:extLst>
            <c:ext xmlns:c16="http://schemas.microsoft.com/office/drawing/2014/chart" uri="{C3380CC4-5D6E-409C-BE32-E72D297353CC}">
              <c16:uniqueId val="{00000001-088D-4434-9A99-0BA5ED969783}"/>
            </c:ext>
          </c:extLst>
        </c:ser>
        <c:ser>
          <c:idx val="2"/>
          <c:order val="2"/>
          <c:tx>
            <c:v>Post Eutectic</c:v>
          </c:tx>
          <c:spPr>
            <a:ln w="25400" cap="rnd">
              <a:noFill/>
              <a:round/>
            </a:ln>
            <a:effectLst/>
          </c:spPr>
          <c:marker>
            <c:symbol val="circle"/>
            <c:size val="3"/>
            <c:spPr>
              <a:solidFill>
                <a:schemeClr val="accent2"/>
              </a:solidFill>
              <a:ln w="9525">
                <a:solidFill>
                  <a:schemeClr val="accent2"/>
                </a:solidFill>
              </a:ln>
              <a:effectLst/>
            </c:spPr>
          </c:marker>
          <c:trendline>
            <c:spPr>
              <a:ln w="9525" cap="rnd">
                <a:solidFill>
                  <a:schemeClr val="accent2"/>
                </a:solidFill>
                <a:prstDash val="solid"/>
              </a:ln>
              <a:effectLst/>
            </c:spPr>
            <c:trendlineType val="linear"/>
            <c:forward val="0.2"/>
            <c:backward val="1.5000000000000003E-2"/>
            <c:dispRSqr val="0"/>
            <c:dispEq val="0"/>
          </c:trendline>
          <c:xVal>
            <c:numRef>
              <c:f>'Tamman Plot Input'!$M$47:$M$53</c:f>
              <c:numCache>
                <c:formatCode>0.000</c:formatCode>
                <c:ptCount val="7"/>
                <c:pt idx="0">
                  <c:v>0.6500453761231838</c:v>
                </c:pt>
                <c:pt idx="1">
                  <c:v>0.70004188523445754</c:v>
                </c:pt>
                <c:pt idx="2">
                  <c:v>0.80015987210231809</c:v>
                </c:pt>
                <c:pt idx="3">
                  <c:v>0.90008991907283442</c:v>
                </c:pt>
                <c:pt idx="4">
                  <c:v>0.92007353235023781</c:v>
                </c:pt>
                <c:pt idx="5">
                  <c:v>0.94005634703378826</c:v>
                </c:pt>
                <c:pt idx="6">
                  <c:v>0.96003836317135549</c:v>
                </c:pt>
              </c:numCache>
            </c:numRef>
          </c:xVal>
          <c:yVal>
            <c:numRef>
              <c:f>'Tamman Plot Input'!$O$47:$O$53</c:f>
              <c:numCache>
                <c:formatCode>0.0</c:formatCode>
                <c:ptCount val="7"/>
                <c:pt idx="0">
                  <c:v>155.19999999999999</c:v>
                </c:pt>
                <c:pt idx="1">
                  <c:v>94.45</c:v>
                </c:pt>
                <c:pt idx="2">
                  <c:v>99</c:v>
                </c:pt>
                <c:pt idx="3">
                  <c:v>29.1</c:v>
                </c:pt>
                <c:pt idx="4">
                  <c:v>33.6</c:v>
                </c:pt>
                <c:pt idx="5">
                  <c:v>16.2</c:v>
                </c:pt>
                <c:pt idx="6">
                  <c:v>5.47</c:v>
                </c:pt>
              </c:numCache>
            </c:numRef>
          </c:yVal>
          <c:smooth val="0"/>
          <c:extLst>
            <c:ext xmlns:c16="http://schemas.microsoft.com/office/drawing/2014/chart" uri="{C3380CC4-5D6E-409C-BE32-E72D297353CC}">
              <c16:uniqueId val="{00000002-088D-4434-9A99-0BA5ED969783}"/>
            </c:ext>
          </c:extLst>
        </c:ser>
        <c:dLbls>
          <c:showLegendKey val="0"/>
          <c:showVal val="0"/>
          <c:showCatName val="0"/>
          <c:showSerName val="0"/>
          <c:showPercent val="0"/>
          <c:showBubbleSize val="0"/>
        </c:dLbls>
        <c:axId val="676067936"/>
        <c:axId val="676068264"/>
      </c:scatterChart>
      <c:valAx>
        <c:axId val="676067936"/>
        <c:scaling>
          <c:orientation val="minMax"/>
          <c:max val="1"/>
        </c:scaling>
        <c:delete val="0"/>
        <c:axPos val="b"/>
        <c:title>
          <c:tx>
            <c:rich>
              <a:bodyPr rot="0" spcFirstLastPara="1" vertOverflow="ellipsis" vert="horz" wrap="square" anchor="ctr" anchorCtr="1"/>
              <a:lstStyle/>
              <a:p>
                <a:pPr>
                  <a:defRPr sz="750" b="0" i="0" u="none" strike="noStrike" kern="1200" baseline="0">
                    <a:solidFill>
                      <a:sysClr val="windowText" lastClr="000000"/>
                    </a:solidFill>
                    <a:latin typeface="+mn-lt"/>
                    <a:ea typeface="+mn-ea"/>
                    <a:cs typeface="Arial" panose="020B0604020202020204" pitchFamily="34" charset="0"/>
                  </a:defRPr>
                </a:pPr>
                <a:r>
                  <a:rPr lang="en-GB" sz="750" dirty="0"/>
                  <a:t>Metacetamol Mole </a:t>
                </a:r>
                <a:r>
                  <a:rPr lang="en-GB" sz="750" dirty="0" smtClean="0"/>
                  <a:t>Fraction (X</a:t>
                </a:r>
                <a:r>
                  <a:rPr lang="en-GB" sz="750" baseline="-25000" dirty="0" smtClean="0"/>
                  <a:t>MET</a:t>
                </a:r>
                <a:r>
                  <a:rPr lang="en-GB" sz="750" dirty="0"/>
                  <a:t>)</a:t>
                </a:r>
              </a:p>
            </c:rich>
          </c:tx>
          <c:layout>
            <c:manualLayout>
              <c:xMode val="edge"/>
              <c:yMode val="edge"/>
              <c:x val="0.1965355422436319"/>
              <c:y val="0.91160493827160494"/>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mn-lt"/>
                  <a:ea typeface="+mn-ea"/>
                  <a:cs typeface="Arial" panose="020B0604020202020204" pitchFamily="34" charset="0"/>
                </a:defRPr>
              </a:pPr>
              <a:endParaRPr lang="en-US"/>
            </a:p>
          </c:txPr>
        </c:title>
        <c:numFmt formatCode="0.00" sourceLinked="0"/>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crossAx val="676068264"/>
        <c:crosses val="autoZero"/>
        <c:crossBetween val="midCat"/>
        <c:majorUnit val="0.25"/>
      </c:valAx>
      <c:valAx>
        <c:axId val="676068264"/>
        <c:scaling>
          <c:orientation val="minMax"/>
          <c:min val="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r>
                  <a:rPr lang="en-GB"/>
                  <a:t>Enthaply Change (J/g)</a:t>
                </a:r>
              </a:p>
            </c:rich>
          </c:tx>
          <c:layout>
            <c:manualLayout>
              <c:xMode val="edge"/>
              <c:yMode val="edge"/>
              <c:x val="0"/>
              <c:y val="0.1735583091269598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title>
        <c:numFmt formatCode="0" sourceLinked="0"/>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crossAx val="6760679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F18D9-3385-4029-AEBD-179A89CB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Stephanie Urwin</cp:lastModifiedBy>
  <cp:revision>2</cp:revision>
  <cp:lastPrinted>2019-02-14T14:15:00Z</cp:lastPrinted>
  <dcterms:created xsi:type="dcterms:W3CDTF">2019-02-26T16:01:00Z</dcterms:created>
  <dcterms:modified xsi:type="dcterms:W3CDTF">2019-02-26T16:01:00Z</dcterms:modified>
</cp:coreProperties>
</file>