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9A5688" w:rsidRPr="009A5688" w:rsidRDefault="009A5688" w:rsidP="009A5688">
      <w:pPr>
        <w:snapToGrid w:val="0"/>
        <w:spacing w:after="360"/>
        <w:jc w:val="center"/>
        <w:rPr>
          <w:rFonts w:asciiTheme="minorHAnsi" w:eastAsia="MS PGothic" w:hAnsiTheme="minorHAnsi"/>
          <w:b/>
          <w:bCs/>
          <w:sz w:val="28"/>
          <w:szCs w:val="28"/>
          <w:lang w:val="en-US"/>
        </w:rPr>
      </w:pPr>
      <w:r w:rsidRPr="009A5688">
        <w:rPr>
          <w:rFonts w:asciiTheme="minorHAnsi" w:eastAsia="MS PGothic" w:hAnsiTheme="minorHAnsi"/>
          <w:b/>
          <w:bCs/>
          <w:sz w:val="28"/>
          <w:szCs w:val="28"/>
          <w:lang w:val="en-US"/>
        </w:rPr>
        <w:t xml:space="preserve">Maximizing the use of regenerated Gas Oil </w:t>
      </w:r>
      <w:proofErr w:type="spellStart"/>
      <w:r w:rsidRPr="009A5688">
        <w:rPr>
          <w:rFonts w:asciiTheme="minorHAnsi" w:eastAsia="MS PGothic" w:hAnsiTheme="minorHAnsi"/>
          <w:b/>
          <w:bCs/>
          <w:sz w:val="28"/>
          <w:szCs w:val="28"/>
          <w:lang w:val="en-US"/>
        </w:rPr>
        <w:t>Hydrotreating</w:t>
      </w:r>
      <w:proofErr w:type="spellEnd"/>
      <w:r w:rsidRPr="009A5688">
        <w:rPr>
          <w:rFonts w:asciiTheme="minorHAnsi" w:eastAsia="MS PGothic" w:hAnsiTheme="minorHAnsi"/>
          <w:b/>
          <w:bCs/>
          <w:sz w:val="28"/>
          <w:szCs w:val="28"/>
          <w:lang w:val="en-US"/>
        </w:rPr>
        <w:t xml:space="preserve"> (</w:t>
      </w:r>
      <w:proofErr w:type="spellStart"/>
      <w:r w:rsidRPr="009A5688">
        <w:rPr>
          <w:rFonts w:asciiTheme="minorHAnsi" w:eastAsia="MS PGothic" w:hAnsiTheme="minorHAnsi"/>
          <w:b/>
          <w:bCs/>
          <w:sz w:val="28"/>
          <w:szCs w:val="28"/>
          <w:lang w:val="en-US"/>
        </w:rPr>
        <w:t>HDT</w:t>
      </w:r>
      <w:proofErr w:type="spellEnd"/>
      <w:r w:rsidRPr="009A5688">
        <w:rPr>
          <w:rFonts w:asciiTheme="minorHAnsi" w:eastAsia="MS PGothic" w:hAnsiTheme="minorHAnsi"/>
          <w:b/>
          <w:bCs/>
          <w:sz w:val="28"/>
          <w:szCs w:val="28"/>
          <w:lang w:val="en-US"/>
        </w:rPr>
        <w:t xml:space="preserve">) catalyst for re-utilization in </w:t>
      </w:r>
      <w:proofErr w:type="spellStart"/>
      <w:r w:rsidRPr="009A5688">
        <w:rPr>
          <w:rFonts w:asciiTheme="minorHAnsi" w:eastAsia="MS PGothic" w:hAnsiTheme="minorHAnsi"/>
          <w:b/>
          <w:bCs/>
          <w:sz w:val="28"/>
          <w:szCs w:val="28"/>
          <w:lang w:val="en-US"/>
        </w:rPr>
        <w:t>Kero</w:t>
      </w:r>
      <w:proofErr w:type="spellEnd"/>
      <w:r w:rsidRPr="009A5688">
        <w:rPr>
          <w:rFonts w:asciiTheme="minorHAnsi" w:eastAsia="MS PGothic" w:hAnsiTheme="minorHAnsi"/>
          <w:b/>
          <w:bCs/>
          <w:sz w:val="28"/>
          <w:szCs w:val="28"/>
          <w:lang w:val="en-US"/>
        </w:rPr>
        <w:t xml:space="preserve"> </w:t>
      </w:r>
      <w:proofErr w:type="spellStart"/>
      <w:r w:rsidRPr="009A5688">
        <w:rPr>
          <w:rFonts w:asciiTheme="minorHAnsi" w:eastAsia="MS PGothic" w:hAnsiTheme="minorHAnsi"/>
          <w:b/>
          <w:bCs/>
          <w:sz w:val="28"/>
          <w:szCs w:val="28"/>
          <w:lang w:val="en-US"/>
        </w:rPr>
        <w:t>HDT</w:t>
      </w:r>
      <w:proofErr w:type="spellEnd"/>
      <w:r w:rsidRPr="009A5688">
        <w:rPr>
          <w:rFonts w:asciiTheme="minorHAnsi" w:eastAsia="MS PGothic" w:hAnsiTheme="minorHAnsi"/>
          <w:b/>
          <w:bCs/>
          <w:sz w:val="28"/>
          <w:szCs w:val="28"/>
          <w:lang w:val="en-US"/>
        </w:rPr>
        <w:t xml:space="preserve"> &amp; Naphtha </w:t>
      </w:r>
      <w:proofErr w:type="spellStart"/>
      <w:r w:rsidRPr="009A5688">
        <w:rPr>
          <w:rFonts w:asciiTheme="minorHAnsi" w:eastAsia="MS PGothic" w:hAnsiTheme="minorHAnsi"/>
          <w:b/>
          <w:bCs/>
          <w:sz w:val="28"/>
          <w:szCs w:val="28"/>
          <w:lang w:val="en-US"/>
        </w:rPr>
        <w:t>HDT</w:t>
      </w:r>
      <w:proofErr w:type="spellEnd"/>
      <w:r w:rsidRPr="009A5688">
        <w:rPr>
          <w:rFonts w:asciiTheme="minorHAnsi" w:eastAsia="MS PGothic" w:hAnsiTheme="minorHAnsi"/>
          <w:b/>
          <w:bCs/>
          <w:sz w:val="28"/>
          <w:szCs w:val="28"/>
          <w:lang w:val="en-US"/>
        </w:rPr>
        <w:t xml:space="preserve"> units</w:t>
      </w:r>
    </w:p>
    <w:p w:rsidR="00DE0019" w:rsidRPr="00F72635" w:rsidRDefault="009A5688" w:rsidP="00B85BFC">
      <w:pPr>
        <w:snapToGrid w:val="0"/>
        <w:spacing w:after="120"/>
        <w:jc w:val="center"/>
        <w:rPr>
          <w:rFonts w:asciiTheme="minorHAnsi" w:eastAsia="SimSun" w:hAnsiTheme="minorHAnsi"/>
          <w:color w:val="000000"/>
          <w:sz w:val="24"/>
          <w:szCs w:val="24"/>
          <w:lang w:val="en-US" w:eastAsia="zh-CN"/>
        </w:rPr>
      </w:pPr>
      <w:proofErr w:type="spellStart"/>
      <w:r w:rsidRPr="00F72635">
        <w:rPr>
          <w:rFonts w:asciiTheme="minorHAnsi" w:eastAsia="SimSun" w:hAnsiTheme="minorHAnsi"/>
          <w:color w:val="000000"/>
          <w:sz w:val="24"/>
          <w:szCs w:val="24"/>
          <w:u w:val="single"/>
          <w:lang w:val="en-US" w:eastAsia="zh-CN"/>
        </w:rPr>
        <w:t>Nilesh</w:t>
      </w:r>
      <w:proofErr w:type="spellEnd"/>
      <w:r w:rsidRPr="00F72635">
        <w:rPr>
          <w:rFonts w:asciiTheme="minorHAnsi" w:eastAsia="SimSun" w:hAnsiTheme="minorHAnsi"/>
          <w:color w:val="000000"/>
          <w:sz w:val="24"/>
          <w:szCs w:val="24"/>
          <w:u w:val="single"/>
          <w:lang w:val="en-US" w:eastAsia="zh-CN"/>
        </w:rPr>
        <w:t xml:space="preserve"> </w:t>
      </w:r>
      <w:bookmarkStart w:id="0" w:name="_GoBack"/>
      <w:proofErr w:type="spellStart"/>
      <w:r w:rsidRPr="00F72635">
        <w:rPr>
          <w:rFonts w:asciiTheme="minorHAnsi" w:eastAsia="SimSun" w:hAnsiTheme="minorHAnsi"/>
          <w:color w:val="000000"/>
          <w:sz w:val="24"/>
          <w:szCs w:val="24"/>
          <w:u w:val="single"/>
          <w:lang w:val="en-US" w:eastAsia="zh-CN"/>
        </w:rPr>
        <w:t>Chandak</w:t>
      </w:r>
      <w:bookmarkEnd w:id="0"/>
      <w:r w:rsidR="00704BDF" w:rsidRPr="00F72635">
        <w:rPr>
          <w:rFonts w:asciiTheme="minorHAnsi" w:eastAsia="SimSun" w:hAnsiTheme="minorHAnsi"/>
          <w:color w:val="000000"/>
          <w:sz w:val="24"/>
          <w:szCs w:val="24"/>
          <w:u w:val="single"/>
          <w:vertAlign w:val="superscript"/>
          <w:lang w:val="en-US" w:eastAsia="zh-CN"/>
        </w:rPr>
        <w:t>1</w:t>
      </w:r>
      <w:proofErr w:type="spellEnd"/>
      <w:r w:rsidR="00736B13" w:rsidRPr="00F72635">
        <w:rPr>
          <w:rFonts w:asciiTheme="minorHAnsi" w:eastAsia="SimSun" w:hAnsiTheme="minorHAnsi"/>
          <w:color w:val="000000"/>
          <w:sz w:val="24"/>
          <w:szCs w:val="24"/>
          <w:lang w:val="en-US" w:eastAsia="zh-CN"/>
        </w:rPr>
        <w:t>,</w:t>
      </w:r>
      <w:r w:rsidRPr="00F72635">
        <w:rPr>
          <w:rFonts w:asciiTheme="minorHAnsi" w:eastAsia="SimSun" w:hAnsiTheme="minorHAnsi"/>
          <w:color w:val="000000"/>
          <w:sz w:val="24"/>
          <w:szCs w:val="24"/>
          <w:lang w:val="en-US" w:eastAsia="zh-CN"/>
        </w:rPr>
        <w:t xml:space="preserve"> Adel </w:t>
      </w:r>
      <w:proofErr w:type="spellStart"/>
      <w:r w:rsidRPr="00F72635">
        <w:rPr>
          <w:rFonts w:asciiTheme="minorHAnsi" w:eastAsia="SimSun" w:hAnsiTheme="minorHAnsi"/>
          <w:color w:val="000000"/>
          <w:sz w:val="24"/>
          <w:szCs w:val="24"/>
          <w:lang w:val="en-US" w:eastAsia="zh-CN"/>
        </w:rPr>
        <w:t>Hamadi</w:t>
      </w:r>
      <w:proofErr w:type="spellEnd"/>
      <w:r w:rsidRPr="00F72635">
        <w:rPr>
          <w:rFonts w:asciiTheme="minorHAnsi" w:eastAsia="SimSun" w:hAnsiTheme="minorHAnsi"/>
          <w:color w:val="000000"/>
          <w:sz w:val="24"/>
          <w:szCs w:val="24"/>
          <w:lang w:val="en-US" w:eastAsia="zh-CN"/>
        </w:rPr>
        <w:t xml:space="preserve">, </w:t>
      </w:r>
      <w:proofErr w:type="spellStart"/>
      <w:r w:rsidRPr="00F72635">
        <w:rPr>
          <w:rFonts w:asciiTheme="minorHAnsi" w:eastAsia="SimSun" w:hAnsiTheme="minorHAnsi"/>
          <w:color w:val="000000"/>
          <w:sz w:val="24"/>
          <w:szCs w:val="24"/>
          <w:lang w:val="en-US" w:eastAsia="zh-CN"/>
        </w:rPr>
        <w:t>Menwa</w:t>
      </w:r>
      <w:proofErr w:type="spellEnd"/>
      <w:r w:rsidRPr="00F72635">
        <w:rPr>
          <w:rFonts w:asciiTheme="minorHAnsi" w:eastAsia="SimSun" w:hAnsiTheme="minorHAnsi"/>
          <w:color w:val="000000"/>
          <w:sz w:val="24"/>
          <w:szCs w:val="24"/>
          <w:lang w:val="en-US" w:eastAsia="zh-CN"/>
        </w:rPr>
        <w:t xml:space="preserve"> </w:t>
      </w:r>
      <w:proofErr w:type="spellStart"/>
      <w:r w:rsidRPr="00F72635">
        <w:rPr>
          <w:rFonts w:asciiTheme="minorHAnsi" w:eastAsia="SimSun" w:hAnsiTheme="minorHAnsi"/>
          <w:color w:val="000000"/>
          <w:sz w:val="24"/>
          <w:szCs w:val="24"/>
          <w:lang w:val="en-US" w:eastAsia="zh-CN"/>
        </w:rPr>
        <w:t>Dakhan</w:t>
      </w:r>
      <w:proofErr w:type="spellEnd"/>
      <w:r w:rsidRPr="00F72635">
        <w:rPr>
          <w:rFonts w:asciiTheme="minorHAnsi" w:eastAsia="SimSun" w:hAnsiTheme="minorHAnsi"/>
          <w:color w:val="000000"/>
          <w:sz w:val="24"/>
          <w:szCs w:val="24"/>
          <w:lang w:val="en-US" w:eastAsia="zh-CN"/>
        </w:rPr>
        <w:t xml:space="preserve">, </w:t>
      </w:r>
      <w:proofErr w:type="spellStart"/>
      <w:r w:rsidRPr="00F72635">
        <w:rPr>
          <w:rFonts w:asciiTheme="minorHAnsi" w:eastAsia="SimSun" w:hAnsiTheme="minorHAnsi"/>
          <w:color w:val="000000"/>
          <w:sz w:val="24"/>
          <w:szCs w:val="24"/>
          <w:lang w:val="en-US" w:eastAsia="zh-CN"/>
        </w:rPr>
        <w:t>Ashjan</w:t>
      </w:r>
      <w:proofErr w:type="spellEnd"/>
      <w:r w:rsidRPr="00F72635">
        <w:rPr>
          <w:rFonts w:asciiTheme="minorHAnsi" w:eastAsia="SimSun" w:hAnsiTheme="minorHAnsi"/>
          <w:color w:val="000000"/>
          <w:sz w:val="24"/>
          <w:szCs w:val="24"/>
          <w:lang w:val="en-US" w:eastAsia="zh-CN"/>
        </w:rPr>
        <w:t xml:space="preserve"> </w:t>
      </w:r>
      <w:proofErr w:type="spellStart"/>
      <w:r w:rsidRPr="00F72635">
        <w:rPr>
          <w:rFonts w:asciiTheme="minorHAnsi" w:eastAsia="SimSun" w:hAnsiTheme="minorHAnsi"/>
          <w:color w:val="000000"/>
          <w:sz w:val="24"/>
          <w:szCs w:val="24"/>
          <w:lang w:val="en-US" w:eastAsia="zh-CN"/>
        </w:rPr>
        <w:t>Alkatheeri</w:t>
      </w:r>
      <w:proofErr w:type="spellEnd"/>
      <w:r w:rsidRPr="00F72635">
        <w:rPr>
          <w:rFonts w:asciiTheme="minorHAnsi" w:eastAsia="SimSun" w:hAnsiTheme="minorHAnsi"/>
          <w:color w:val="000000"/>
          <w:sz w:val="24"/>
          <w:szCs w:val="24"/>
          <w:lang w:val="en-US" w:eastAsia="zh-CN"/>
        </w:rPr>
        <w:t xml:space="preserve">, Abraham George, Stephane Morin and Mikael </w:t>
      </w:r>
      <w:proofErr w:type="spellStart"/>
      <w:r w:rsidRPr="00F72635">
        <w:rPr>
          <w:rFonts w:asciiTheme="minorHAnsi" w:eastAsia="SimSun" w:hAnsiTheme="minorHAnsi"/>
          <w:color w:val="000000"/>
          <w:sz w:val="24"/>
          <w:szCs w:val="24"/>
          <w:lang w:val="en-US" w:eastAsia="zh-CN"/>
        </w:rPr>
        <w:t>Berthod</w:t>
      </w:r>
      <w:proofErr w:type="spellEnd"/>
      <w:r w:rsidR="00736B13" w:rsidRPr="00F72635">
        <w:rPr>
          <w:rFonts w:asciiTheme="minorHAnsi" w:eastAsia="SimSun" w:hAnsiTheme="minorHAnsi"/>
          <w:color w:val="000000"/>
          <w:sz w:val="24"/>
          <w:szCs w:val="24"/>
          <w:lang w:val="en-US" w:eastAsia="zh-CN"/>
        </w:rPr>
        <w:t xml:space="preserve"> </w:t>
      </w:r>
    </w:p>
    <w:p w:rsidR="009A5688" w:rsidRPr="009A5688" w:rsidRDefault="009A5688" w:rsidP="00324686">
      <w:pPr>
        <w:snapToGrid w:val="0"/>
        <w:spacing w:after="120"/>
        <w:jc w:val="center"/>
        <w:rPr>
          <w:rFonts w:asciiTheme="minorHAnsi" w:eastAsia="MS PGothic" w:hAnsiTheme="minorHAnsi"/>
          <w:i/>
          <w:iCs/>
          <w:color w:val="000000"/>
          <w:sz w:val="20"/>
          <w:lang w:val="en-US"/>
        </w:rPr>
      </w:pPr>
      <w:proofErr w:type="spellStart"/>
      <w:r w:rsidRPr="009A5688">
        <w:rPr>
          <w:rFonts w:asciiTheme="minorHAnsi" w:eastAsia="MS PGothic" w:hAnsiTheme="minorHAnsi"/>
          <w:i/>
          <w:iCs/>
          <w:color w:val="000000"/>
          <w:sz w:val="20"/>
          <w:lang w:val="en-US"/>
        </w:rPr>
        <w:t>ADNOC</w:t>
      </w:r>
      <w:proofErr w:type="spellEnd"/>
      <w:r w:rsidRPr="009A5688">
        <w:rPr>
          <w:rFonts w:asciiTheme="minorHAnsi" w:eastAsia="MS PGothic" w:hAnsiTheme="minorHAnsi"/>
          <w:i/>
          <w:iCs/>
          <w:color w:val="000000"/>
          <w:sz w:val="20"/>
          <w:lang w:val="en-US"/>
        </w:rPr>
        <w:t xml:space="preserve"> Ref</w:t>
      </w:r>
      <w:r w:rsidR="00324686">
        <w:rPr>
          <w:rFonts w:asciiTheme="minorHAnsi" w:eastAsia="MS PGothic" w:hAnsiTheme="minorHAnsi"/>
          <w:i/>
          <w:iCs/>
          <w:color w:val="000000"/>
          <w:sz w:val="20"/>
          <w:lang w:val="en-US"/>
        </w:rPr>
        <w:t>ining, Research Centre Division</w:t>
      </w:r>
      <w:r w:rsidRPr="009A5688">
        <w:rPr>
          <w:rFonts w:asciiTheme="minorHAnsi" w:eastAsia="MS PGothic" w:hAnsiTheme="minorHAnsi"/>
          <w:i/>
          <w:iCs/>
          <w:color w:val="000000"/>
          <w:sz w:val="20"/>
          <w:lang w:val="en-US"/>
        </w:rPr>
        <w:t xml:space="preserve">, P.O. Box: 3593, Abu Dhabi, </w:t>
      </w:r>
      <w:proofErr w:type="spellStart"/>
      <w:r w:rsidRPr="009A5688">
        <w:rPr>
          <w:rFonts w:asciiTheme="minorHAnsi" w:eastAsia="MS PGothic" w:hAnsiTheme="minorHAnsi"/>
          <w:i/>
          <w:iCs/>
          <w:color w:val="000000"/>
          <w:sz w:val="20"/>
          <w:lang w:val="en-US"/>
        </w:rPr>
        <w:t>U.A.E</w:t>
      </w:r>
      <w:proofErr w:type="spellEnd"/>
      <w:r w:rsidRPr="009A5688">
        <w:rPr>
          <w:rFonts w:asciiTheme="minorHAnsi" w:eastAsia="MS PGothic" w:hAnsiTheme="minorHAnsi"/>
          <w:i/>
          <w:iCs/>
          <w:color w:val="000000"/>
          <w:sz w:val="20"/>
          <w:lang w:val="en-US"/>
        </w:rPr>
        <w:t>.</w:t>
      </w:r>
    </w:p>
    <w:p w:rsidR="009A5688" w:rsidRPr="009A5688" w:rsidRDefault="009A5688" w:rsidP="00CF7013">
      <w:pPr>
        <w:snapToGrid w:val="0"/>
        <w:spacing w:after="120"/>
        <w:jc w:val="center"/>
        <w:rPr>
          <w:rFonts w:asciiTheme="minorHAnsi" w:eastAsia="MS PGothic" w:hAnsiTheme="minorHAnsi"/>
          <w:i/>
          <w:iCs/>
          <w:color w:val="000000"/>
          <w:sz w:val="20"/>
          <w:lang w:val="en-US"/>
        </w:rPr>
      </w:pPr>
      <w:r w:rsidRPr="009A5688">
        <w:rPr>
          <w:rFonts w:asciiTheme="minorHAnsi" w:eastAsia="MS PGothic" w:hAnsiTheme="minorHAnsi"/>
          <w:i/>
          <w:iCs/>
          <w:color w:val="000000"/>
          <w:sz w:val="20"/>
          <w:lang w:val="en-US"/>
        </w:rPr>
        <w:t xml:space="preserve">*Corresponding </w:t>
      </w:r>
      <w:proofErr w:type="spellStart"/>
      <w:r w:rsidRPr="009A5688">
        <w:rPr>
          <w:rFonts w:asciiTheme="minorHAnsi" w:eastAsia="MS PGothic" w:hAnsiTheme="minorHAnsi"/>
          <w:i/>
          <w:iCs/>
          <w:color w:val="000000"/>
          <w:sz w:val="20"/>
          <w:lang w:val="en-US"/>
        </w:rPr>
        <w:t>author</w:t>
      </w:r>
      <w:r w:rsidR="00CF7013" w:rsidRPr="00CF7013">
        <w:rPr>
          <w:rFonts w:asciiTheme="minorHAnsi" w:eastAsia="SimSun" w:hAnsiTheme="minorHAnsi"/>
          <w:color w:val="000000"/>
          <w:sz w:val="24"/>
          <w:szCs w:val="24"/>
          <w:vertAlign w:val="superscript"/>
          <w:lang w:val="en-US" w:eastAsia="zh-CN"/>
        </w:rPr>
        <w:t>1</w:t>
      </w:r>
      <w:proofErr w:type="spellEnd"/>
      <w:r w:rsidR="00CF7013">
        <w:rPr>
          <w:rFonts w:asciiTheme="minorHAnsi" w:eastAsia="SimSun" w:hAnsiTheme="minorHAnsi"/>
          <w:color w:val="000000"/>
          <w:sz w:val="24"/>
          <w:szCs w:val="24"/>
          <w:vertAlign w:val="superscript"/>
          <w:lang w:val="en-US" w:eastAsia="zh-CN"/>
        </w:rPr>
        <w:t xml:space="preserve">   </w:t>
      </w:r>
      <w:r w:rsidR="00CF7013">
        <w:rPr>
          <w:rFonts w:asciiTheme="minorHAnsi" w:eastAsia="MS PGothic" w:hAnsiTheme="minorHAnsi"/>
          <w:i/>
          <w:iCs/>
          <w:color w:val="000000"/>
          <w:sz w:val="20"/>
          <w:lang w:val="en-US"/>
        </w:rPr>
        <w:t>, E</w:t>
      </w:r>
      <w:r w:rsidRPr="009A5688">
        <w:rPr>
          <w:rFonts w:asciiTheme="minorHAnsi" w:eastAsia="MS PGothic" w:hAnsiTheme="minorHAnsi"/>
          <w:i/>
          <w:iCs/>
          <w:color w:val="000000"/>
          <w:sz w:val="20"/>
          <w:lang w:val="en-US"/>
        </w:rPr>
        <w:t xml:space="preserve">mail: </w:t>
      </w:r>
      <w:proofErr w:type="spellStart"/>
      <w:r w:rsidRPr="009A5688">
        <w:rPr>
          <w:rFonts w:asciiTheme="minorHAnsi" w:eastAsia="MS PGothic" w:hAnsiTheme="minorHAnsi"/>
          <w:i/>
          <w:iCs/>
          <w:color w:val="000000"/>
          <w:sz w:val="20"/>
          <w:lang w:val="en-US"/>
        </w:rPr>
        <w:t>nchandak@adnoc.ae</w:t>
      </w:r>
      <w:proofErr w:type="spellEnd"/>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9D6C46" w:rsidRDefault="009D6C46" w:rsidP="008C3CFA">
      <w:pPr>
        <w:pStyle w:val="AbstractBody"/>
        <w:numPr>
          <w:ilvl w:val="0"/>
          <w:numId w:val="16"/>
        </w:numPr>
        <w:rPr>
          <w:rFonts w:asciiTheme="minorHAnsi" w:hAnsiTheme="minorHAnsi"/>
        </w:rPr>
      </w:pPr>
      <w:r w:rsidRPr="009D6C46">
        <w:rPr>
          <w:rFonts w:asciiTheme="minorHAnsi" w:hAnsiTheme="minorHAnsi"/>
        </w:rPr>
        <w:t xml:space="preserve">Applied research work for the refinery process optimization </w:t>
      </w:r>
    </w:p>
    <w:p w:rsidR="009D6C46" w:rsidRPr="009D6C46" w:rsidRDefault="009D6C46" w:rsidP="009D6C46">
      <w:pPr>
        <w:pStyle w:val="AbstractBody"/>
        <w:numPr>
          <w:ilvl w:val="0"/>
          <w:numId w:val="16"/>
        </w:numPr>
        <w:rPr>
          <w:rFonts w:asciiTheme="minorHAnsi" w:hAnsiTheme="minorHAnsi"/>
        </w:rPr>
      </w:pPr>
      <w:r w:rsidRPr="009D6C46">
        <w:rPr>
          <w:rFonts w:asciiTheme="minorHAnsi" w:hAnsiTheme="minorHAnsi"/>
        </w:rPr>
        <w:t xml:space="preserve">Experimental data from pilot plant to calculate reaction kinetics, analyze aromatics &amp; </w:t>
      </w:r>
      <w:r>
        <w:rPr>
          <w:rFonts w:asciiTheme="minorHAnsi" w:hAnsiTheme="minorHAnsi"/>
        </w:rPr>
        <w:t xml:space="preserve">H </w:t>
      </w:r>
      <w:r w:rsidRPr="009D6C46">
        <w:rPr>
          <w:rFonts w:asciiTheme="minorHAnsi" w:hAnsiTheme="minorHAnsi"/>
        </w:rPr>
        <w:t>consumption</w:t>
      </w:r>
    </w:p>
    <w:p w:rsidR="009D6C46" w:rsidRPr="009D6C46" w:rsidRDefault="009D6C46" w:rsidP="009D6C46">
      <w:pPr>
        <w:pStyle w:val="AbstractBody"/>
        <w:numPr>
          <w:ilvl w:val="0"/>
          <w:numId w:val="16"/>
        </w:numPr>
        <w:rPr>
          <w:rFonts w:asciiTheme="minorHAnsi" w:hAnsiTheme="minorHAnsi"/>
        </w:rPr>
      </w:pPr>
      <w:r w:rsidRPr="009D6C46">
        <w:rPr>
          <w:rFonts w:asciiTheme="minorHAnsi" w:hAnsiTheme="minorHAnsi"/>
        </w:rPr>
        <w:t>Study Impact of the changes on catalyst activity, product yield &amp; product quality</w:t>
      </w:r>
    </w:p>
    <w:p w:rsidR="009D6C46" w:rsidRPr="009D6C46" w:rsidRDefault="009D6C46" w:rsidP="009D6C46">
      <w:pPr>
        <w:pStyle w:val="AbstractBody"/>
        <w:numPr>
          <w:ilvl w:val="0"/>
          <w:numId w:val="16"/>
        </w:numPr>
        <w:rPr>
          <w:rFonts w:asciiTheme="minorHAnsi" w:hAnsiTheme="minorHAnsi"/>
        </w:rPr>
      </w:pPr>
      <w:r w:rsidRPr="009D6C46">
        <w:rPr>
          <w:rFonts w:asciiTheme="minorHAnsi" w:hAnsiTheme="minorHAnsi"/>
        </w:rPr>
        <w:t xml:space="preserve">sustainability objectives to reduce waste generation, recycle and reuse of spent catalyst </w:t>
      </w:r>
    </w:p>
    <w:p w:rsidR="009D6C46" w:rsidRPr="00A15B93" w:rsidRDefault="009D6C46"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9A5688" w:rsidRPr="009A5688" w:rsidRDefault="009A5688" w:rsidP="009A5688">
      <w:pPr>
        <w:snapToGrid w:val="0"/>
        <w:spacing w:after="120"/>
        <w:rPr>
          <w:rFonts w:asciiTheme="minorHAnsi" w:eastAsia="MS PGothic" w:hAnsiTheme="minorHAnsi"/>
          <w:color w:val="000000"/>
          <w:sz w:val="22"/>
          <w:szCs w:val="22"/>
          <w:lang w:val="en-US"/>
        </w:rPr>
      </w:pPr>
      <w:bookmarkStart w:id="1" w:name="OLE_LINK3"/>
      <w:bookmarkStart w:id="2" w:name="OLE_LINK4"/>
      <w:r w:rsidRPr="009A5688">
        <w:rPr>
          <w:rFonts w:asciiTheme="minorHAnsi" w:eastAsia="MS PGothic" w:hAnsiTheme="minorHAnsi"/>
          <w:color w:val="000000"/>
          <w:sz w:val="22"/>
          <w:szCs w:val="22"/>
          <w:lang w:val="en-US"/>
        </w:rPr>
        <w:t xml:space="preserve">Gas Oil (GO) </w:t>
      </w:r>
      <w:proofErr w:type="spellStart"/>
      <w:r w:rsidRPr="009A5688">
        <w:rPr>
          <w:rFonts w:asciiTheme="minorHAnsi" w:eastAsia="MS PGothic" w:hAnsiTheme="minorHAnsi"/>
          <w:color w:val="000000"/>
          <w:sz w:val="22"/>
          <w:szCs w:val="22"/>
          <w:lang w:val="en-US"/>
        </w:rPr>
        <w:t>hydrotreater</w:t>
      </w:r>
      <w:proofErr w:type="spellEnd"/>
      <w:r w:rsidRPr="009A5688">
        <w:rPr>
          <w:rFonts w:asciiTheme="minorHAnsi" w:eastAsia="MS PGothic" w:hAnsiTheme="minorHAnsi"/>
          <w:color w:val="000000"/>
          <w:sz w:val="22"/>
          <w:szCs w:val="22"/>
          <w:lang w:val="en-US"/>
        </w:rPr>
        <w:t xml:space="preserve"> in the </w:t>
      </w:r>
      <w:proofErr w:type="spellStart"/>
      <w:r w:rsidRPr="009A5688">
        <w:rPr>
          <w:rFonts w:asciiTheme="minorHAnsi" w:eastAsia="MS PGothic" w:hAnsiTheme="minorHAnsi"/>
          <w:color w:val="000000"/>
          <w:sz w:val="22"/>
          <w:szCs w:val="22"/>
          <w:lang w:val="en-US"/>
        </w:rPr>
        <w:t>ADNOC</w:t>
      </w:r>
      <w:proofErr w:type="spellEnd"/>
      <w:r w:rsidRPr="009A5688">
        <w:rPr>
          <w:rFonts w:asciiTheme="minorHAnsi" w:eastAsia="MS PGothic" w:hAnsiTheme="minorHAnsi"/>
          <w:color w:val="000000"/>
          <w:sz w:val="22"/>
          <w:szCs w:val="22"/>
          <w:lang w:val="en-US"/>
        </w:rPr>
        <w:t xml:space="preserve"> refinery is designed to process Heavy Gas Oil (</w:t>
      </w:r>
      <w:proofErr w:type="spellStart"/>
      <w:r w:rsidRPr="009A5688">
        <w:rPr>
          <w:rFonts w:asciiTheme="minorHAnsi" w:eastAsia="MS PGothic" w:hAnsiTheme="minorHAnsi"/>
          <w:color w:val="000000"/>
          <w:sz w:val="22"/>
          <w:szCs w:val="22"/>
          <w:lang w:val="en-US"/>
        </w:rPr>
        <w:t>HGO</w:t>
      </w:r>
      <w:proofErr w:type="spellEnd"/>
      <w:r w:rsidRPr="009A5688">
        <w:rPr>
          <w:rFonts w:asciiTheme="minorHAnsi" w:eastAsia="MS PGothic" w:hAnsiTheme="minorHAnsi"/>
          <w:color w:val="000000"/>
          <w:sz w:val="22"/>
          <w:szCs w:val="22"/>
          <w:lang w:val="en-US"/>
        </w:rPr>
        <w:t>) and Light Gas Oil (</w:t>
      </w:r>
      <w:proofErr w:type="spellStart"/>
      <w:r w:rsidRPr="009A5688">
        <w:rPr>
          <w:rFonts w:asciiTheme="minorHAnsi" w:eastAsia="MS PGothic" w:hAnsiTheme="minorHAnsi"/>
          <w:color w:val="000000"/>
          <w:sz w:val="22"/>
          <w:szCs w:val="22"/>
          <w:lang w:val="en-US"/>
        </w:rPr>
        <w:t>LGO</w:t>
      </w:r>
      <w:proofErr w:type="spellEnd"/>
      <w:r w:rsidRPr="009A5688">
        <w:rPr>
          <w:rFonts w:asciiTheme="minorHAnsi" w:eastAsia="MS PGothic" w:hAnsiTheme="minorHAnsi"/>
          <w:color w:val="000000"/>
          <w:sz w:val="22"/>
          <w:szCs w:val="22"/>
          <w:lang w:val="en-US"/>
        </w:rPr>
        <w:t xml:space="preserve">) coming from crude/condensate units and produce Gas Oil with total </w:t>
      </w:r>
      <w:proofErr w:type="spellStart"/>
      <w:r w:rsidRPr="009A5688">
        <w:rPr>
          <w:rFonts w:asciiTheme="minorHAnsi" w:eastAsia="MS PGothic" w:hAnsiTheme="minorHAnsi"/>
          <w:color w:val="000000"/>
          <w:sz w:val="22"/>
          <w:szCs w:val="22"/>
          <w:lang w:val="en-US"/>
        </w:rPr>
        <w:t>sulphur</w:t>
      </w:r>
      <w:proofErr w:type="spellEnd"/>
      <w:r w:rsidRPr="009A5688">
        <w:rPr>
          <w:rFonts w:asciiTheme="minorHAnsi" w:eastAsia="MS PGothic" w:hAnsiTheme="minorHAnsi"/>
          <w:color w:val="000000"/>
          <w:sz w:val="22"/>
          <w:szCs w:val="22"/>
          <w:lang w:val="en-US"/>
        </w:rPr>
        <w:t xml:space="preserve"> ≤ 10</w:t>
      </w:r>
      <w:r>
        <w:rPr>
          <w:rFonts w:asciiTheme="minorHAnsi" w:eastAsia="MS PGothic" w:hAnsiTheme="minorHAnsi"/>
          <w:color w:val="000000"/>
          <w:sz w:val="22"/>
          <w:szCs w:val="22"/>
          <w:lang w:val="en-US"/>
        </w:rPr>
        <w:t xml:space="preserve"> </w:t>
      </w:r>
      <w:proofErr w:type="spellStart"/>
      <w:r w:rsidRPr="009A5688">
        <w:rPr>
          <w:rFonts w:asciiTheme="minorHAnsi" w:eastAsia="MS PGothic" w:hAnsiTheme="minorHAnsi"/>
          <w:color w:val="000000"/>
          <w:sz w:val="22"/>
          <w:szCs w:val="22"/>
          <w:lang w:val="en-US"/>
        </w:rPr>
        <w:t>ppmw</w:t>
      </w:r>
      <w:proofErr w:type="spellEnd"/>
      <w:r w:rsidRPr="009A5688">
        <w:rPr>
          <w:rFonts w:asciiTheme="minorHAnsi" w:eastAsia="MS PGothic" w:hAnsiTheme="minorHAnsi"/>
          <w:color w:val="000000"/>
          <w:sz w:val="22"/>
          <w:szCs w:val="22"/>
          <w:lang w:val="en-US"/>
        </w:rPr>
        <w:t xml:space="preserve">. During turnaround, GO </w:t>
      </w:r>
      <w:proofErr w:type="spellStart"/>
      <w:r w:rsidRPr="009A5688">
        <w:rPr>
          <w:rFonts w:asciiTheme="minorHAnsi" w:eastAsia="MS PGothic" w:hAnsiTheme="minorHAnsi"/>
          <w:color w:val="000000"/>
          <w:sz w:val="22"/>
          <w:szCs w:val="22"/>
          <w:lang w:val="en-US"/>
        </w:rPr>
        <w:t>hydrotreating</w:t>
      </w:r>
      <w:proofErr w:type="spellEnd"/>
      <w:r w:rsidRPr="009A5688">
        <w:rPr>
          <w:rFonts w:asciiTheme="minorHAnsi" w:eastAsia="MS PGothic" w:hAnsiTheme="minorHAnsi"/>
          <w:color w:val="000000"/>
          <w:sz w:val="22"/>
          <w:szCs w:val="22"/>
          <w:lang w:val="en-US"/>
        </w:rPr>
        <w:t xml:space="preserve"> (GO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catalyst was unloaded from this unit after serving one cycle of 4 years. On other hand, at the time of catalyst selection it was envisaged that this catalyst can be used for two cycles. So this catalyst still having useful life leftover was considered for reuse in other </w:t>
      </w:r>
      <w:proofErr w:type="spellStart"/>
      <w:r w:rsidRPr="009A5688">
        <w:rPr>
          <w:rFonts w:asciiTheme="minorHAnsi" w:eastAsia="MS PGothic" w:hAnsiTheme="minorHAnsi"/>
          <w:color w:val="000000"/>
          <w:sz w:val="22"/>
          <w:szCs w:val="22"/>
          <w:lang w:val="en-US"/>
        </w:rPr>
        <w:t>hydrotreaters</w:t>
      </w:r>
      <w:proofErr w:type="spellEnd"/>
      <w:r w:rsidRPr="009A5688">
        <w:rPr>
          <w:rFonts w:asciiTheme="minorHAnsi" w:eastAsia="MS PGothic" w:hAnsiTheme="minorHAnsi"/>
          <w:color w:val="000000"/>
          <w:sz w:val="22"/>
          <w:szCs w:val="22"/>
          <w:lang w:val="en-US"/>
        </w:rPr>
        <w:t xml:space="preserve"> viz. Naphtha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and Kerosene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units in the refinery. Naphtha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unit is processing Whole Naphtha (</w:t>
      </w:r>
      <w:proofErr w:type="spellStart"/>
      <w:r w:rsidRPr="009A5688">
        <w:rPr>
          <w:rFonts w:asciiTheme="minorHAnsi" w:eastAsia="MS PGothic" w:hAnsiTheme="minorHAnsi"/>
          <w:color w:val="000000"/>
          <w:sz w:val="22"/>
          <w:szCs w:val="22"/>
          <w:lang w:val="en-US"/>
        </w:rPr>
        <w:t>WN</w:t>
      </w:r>
      <w:proofErr w:type="spellEnd"/>
      <w:r w:rsidRPr="009A5688">
        <w:rPr>
          <w:rFonts w:asciiTheme="minorHAnsi" w:eastAsia="MS PGothic" w:hAnsiTheme="minorHAnsi"/>
          <w:color w:val="000000"/>
          <w:sz w:val="22"/>
          <w:szCs w:val="22"/>
          <w:lang w:val="en-US"/>
        </w:rPr>
        <w:t>) coming from Crude Distillation Unit (</w:t>
      </w:r>
      <w:proofErr w:type="spellStart"/>
      <w:r w:rsidRPr="009A5688">
        <w:rPr>
          <w:rFonts w:asciiTheme="minorHAnsi" w:eastAsia="MS PGothic" w:hAnsiTheme="minorHAnsi"/>
          <w:color w:val="000000"/>
          <w:sz w:val="22"/>
          <w:szCs w:val="22"/>
          <w:lang w:val="en-US"/>
        </w:rPr>
        <w:t>CDU</w:t>
      </w:r>
      <w:proofErr w:type="spellEnd"/>
      <w:r w:rsidRPr="009A5688">
        <w:rPr>
          <w:rFonts w:asciiTheme="minorHAnsi" w:eastAsia="MS PGothic" w:hAnsiTheme="minorHAnsi"/>
          <w:color w:val="000000"/>
          <w:sz w:val="22"/>
          <w:szCs w:val="22"/>
          <w:lang w:val="en-US"/>
        </w:rPr>
        <w:t>) to produce max 0.5 ppm sulfur content of Heavy Naphtha (</w:t>
      </w:r>
      <w:proofErr w:type="spellStart"/>
      <w:r w:rsidRPr="009A5688">
        <w:rPr>
          <w:rFonts w:asciiTheme="minorHAnsi" w:eastAsia="MS PGothic" w:hAnsiTheme="minorHAnsi"/>
          <w:color w:val="000000"/>
          <w:sz w:val="22"/>
          <w:szCs w:val="22"/>
          <w:lang w:val="en-US"/>
        </w:rPr>
        <w:t>HN</w:t>
      </w:r>
      <w:proofErr w:type="spellEnd"/>
      <w:r w:rsidRPr="009A5688">
        <w:rPr>
          <w:rFonts w:asciiTheme="minorHAnsi" w:eastAsia="MS PGothic" w:hAnsiTheme="minorHAnsi"/>
          <w:color w:val="000000"/>
          <w:sz w:val="22"/>
          <w:szCs w:val="22"/>
          <w:lang w:val="en-US"/>
        </w:rPr>
        <w:t xml:space="preserve">) which is the feed stock of Catalytic Reforming (CR) unit. Kerosene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unit is processing </w:t>
      </w:r>
      <w:proofErr w:type="spellStart"/>
      <w:r w:rsidRPr="009A5688">
        <w:rPr>
          <w:rFonts w:asciiTheme="minorHAnsi" w:eastAsia="MS PGothic" w:hAnsiTheme="minorHAnsi"/>
          <w:color w:val="000000"/>
          <w:sz w:val="22"/>
          <w:szCs w:val="22"/>
          <w:lang w:val="en-US"/>
        </w:rPr>
        <w:t>Kero</w:t>
      </w:r>
      <w:proofErr w:type="spellEnd"/>
      <w:r w:rsidRPr="009A5688">
        <w:rPr>
          <w:rFonts w:asciiTheme="minorHAnsi" w:eastAsia="MS PGothic" w:hAnsiTheme="minorHAnsi"/>
          <w:color w:val="000000"/>
          <w:sz w:val="22"/>
          <w:szCs w:val="22"/>
          <w:lang w:val="en-US"/>
        </w:rPr>
        <w:t xml:space="preserve"> or light gas oil to produce </w:t>
      </w:r>
      <w:proofErr w:type="spellStart"/>
      <w:r w:rsidRPr="009A5688">
        <w:rPr>
          <w:rFonts w:asciiTheme="minorHAnsi" w:eastAsia="MS PGothic" w:hAnsiTheme="minorHAnsi"/>
          <w:color w:val="000000"/>
          <w:sz w:val="22"/>
          <w:szCs w:val="22"/>
          <w:lang w:val="en-US"/>
        </w:rPr>
        <w:t>Kero</w:t>
      </w:r>
      <w:proofErr w:type="spellEnd"/>
      <w:r w:rsidRPr="009A5688">
        <w:rPr>
          <w:rFonts w:asciiTheme="minorHAnsi" w:eastAsia="MS PGothic" w:hAnsiTheme="minorHAnsi"/>
          <w:color w:val="000000"/>
          <w:sz w:val="22"/>
          <w:szCs w:val="22"/>
          <w:lang w:val="en-US"/>
        </w:rPr>
        <w:t xml:space="preserve"> with less than 10 ppm </w:t>
      </w:r>
      <w:proofErr w:type="spellStart"/>
      <w:r w:rsidRPr="009A5688">
        <w:rPr>
          <w:rFonts w:asciiTheme="minorHAnsi" w:eastAsia="MS PGothic" w:hAnsiTheme="minorHAnsi"/>
          <w:color w:val="000000"/>
          <w:sz w:val="22"/>
          <w:szCs w:val="22"/>
          <w:lang w:val="en-US"/>
        </w:rPr>
        <w:t>sulphur</w:t>
      </w:r>
      <w:proofErr w:type="spellEnd"/>
      <w:r w:rsidRPr="009A5688">
        <w:rPr>
          <w:rFonts w:asciiTheme="minorHAnsi" w:eastAsia="MS PGothic" w:hAnsiTheme="minorHAnsi"/>
          <w:color w:val="000000"/>
          <w:sz w:val="22"/>
          <w:szCs w:val="22"/>
          <w:lang w:val="en-US"/>
        </w:rPr>
        <w:t xml:space="preserve">. Hence pilot plant study was undertaken to evaluate the reuse of catalyst for the second cycle to process </w:t>
      </w:r>
      <w:proofErr w:type="spellStart"/>
      <w:r w:rsidRPr="009A5688">
        <w:rPr>
          <w:rFonts w:asciiTheme="minorHAnsi" w:eastAsia="MS PGothic" w:hAnsiTheme="minorHAnsi"/>
          <w:color w:val="000000"/>
          <w:sz w:val="22"/>
          <w:szCs w:val="22"/>
          <w:lang w:val="en-US"/>
        </w:rPr>
        <w:t>WN</w:t>
      </w:r>
      <w:proofErr w:type="spellEnd"/>
      <w:r w:rsidRPr="009A5688">
        <w:rPr>
          <w:rFonts w:asciiTheme="minorHAnsi" w:eastAsia="MS PGothic" w:hAnsiTheme="minorHAnsi"/>
          <w:color w:val="000000"/>
          <w:sz w:val="22"/>
          <w:szCs w:val="22"/>
          <w:lang w:val="en-US"/>
        </w:rPr>
        <w:t xml:space="preserve"> and </w:t>
      </w:r>
      <w:proofErr w:type="spellStart"/>
      <w:r w:rsidRPr="009A5688">
        <w:rPr>
          <w:rFonts w:asciiTheme="minorHAnsi" w:eastAsia="MS PGothic" w:hAnsiTheme="minorHAnsi"/>
          <w:color w:val="000000"/>
          <w:sz w:val="22"/>
          <w:szCs w:val="22"/>
          <w:lang w:val="en-US"/>
        </w:rPr>
        <w:t>Kero</w:t>
      </w:r>
      <w:proofErr w:type="spellEnd"/>
      <w:r w:rsidRPr="009A5688">
        <w:rPr>
          <w:rFonts w:asciiTheme="minorHAnsi" w:eastAsia="MS PGothic" w:hAnsiTheme="minorHAnsi"/>
          <w:color w:val="000000"/>
          <w:sz w:val="22"/>
          <w:szCs w:val="22"/>
          <w:lang w:val="en-US"/>
        </w:rPr>
        <w:t xml:space="preserve">, to produce on spec product, </w:t>
      </w:r>
      <w:r>
        <w:rPr>
          <w:rFonts w:asciiTheme="minorHAnsi" w:eastAsia="MS PGothic" w:hAnsiTheme="minorHAnsi"/>
          <w:color w:val="000000"/>
          <w:sz w:val="22"/>
          <w:szCs w:val="22"/>
          <w:lang w:val="en-US"/>
        </w:rPr>
        <w:t>to e</w:t>
      </w:r>
      <w:r w:rsidRPr="009A5688">
        <w:rPr>
          <w:rFonts w:asciiTheme="minorHAnsi" w:eastAsia="MS PGothic" w:hAnsiTheme="minorHAnsi"/>
          <w:color w:val="000000"/>
          <w:sz w:val="22"/>
          <w:szCs w:val="22"/>
          <w:lang w:val="en-US"/>
        </w:rPr>
        <w:t xml:space="preserve">valuate regenerated GO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catalyst</w:t>
      </w:r>
      <w:r>
        <w:rPr>
          <w:rFonts w:asciiTheme="minorHAnsi" w:eastAsia="MS PGothic" w:hAnsiTheme="minorHAnsi"/>
          <w:color w:val="000000"/>
          <w:sz w:val="22"/>
          <w:szCs w:val="22"/>
          <w:lang w:val="en-US"/>
        </w:rPr>
        <w:t xml:space="preserve">, </w:t>
      </w:r>
      <w:r w:rsidRPr="009A5688">
        <w:rPr>
          <w:rFonts w:asciiTheme="minorHAnsi" w:eastAsia="MS PGothic" w:hAnsiTheme="minorHAnsi"/>
          <w:color w:val="000000"/>
          <w:sz w:val="22"/>
          <w:szCs w:val="22"/>
          <w:lang w:val="en-US"/>
        </w:rPr>
        <w:t xml:space="preserve">Estimate the </w:t>
      </w:r>
      <w:proofErr w:type="spellStart"/>
      <w:r w:rsidRPr="009A5688">
        <w:rPr>
          <w:rFonts w:asciiTheme="minorHAnsi" w:eastAsia="MS PGothic" w:hAnsiTheme="minorHAnsi"/>
          <w:color w:val="000000"/>
          <w:sz w:val="22"/>
          <w:szCs w:val="22"/>
          <w:lang w:val="en-US"/>
        </w:rPr>
        <w:t>H2</w:t>
      </w:r>
      <w:proofErr w:type="spellEnd"/>
      <w:r w:rsidRPr="009A5688">
        <w:rPr>
          <w:rFonts w:asciiTheme="minorHAnsi" w:eastAsia="MS PGothic" w:hAnsiTheme="minorHAnsi"/>
          <w:color w:val="000000"/>
          <w:sz w:val="22"/>
          <w:szCs w:val="22"/>
          <w:lang w:val="en-US"/>
        </w:rPr>
        <w:t xml:space="preserve"> Consu</w:t>
      </w:r>
      <w:r>
        <w:rPr>
          <w:rFonts w:asciiTheme="minorHAnsi" w:eastAsia="MS PGothic" w:hAnsiTheme="minorHAnsi"/>
          <w:color w:val="000000"/>
          <w:sz w:val="22"/>
          <w:szCs w:val="22"/>
          <w:lang w:val="en-US"/>
        </w:rPr>
        <w:t xml:space="preserve">mption, </w:t>
      </w:r>
      <w:r w:rsidRPr="009A5688">
        <w:rPr>
          <w:rFonts w:asciiTheme="minorHAnsi" w:eastAsia="MS PGothic" w:hAnsiTheme="minorHAnsi"/>
          <w:color w:val="000000"/>
          <w:sz w:val="22"/>
          <w:szCs w:val="22"/>
          <w:lang w:val="en-US"/>
        </w:rPr>
        <w:t xml:space="preserve">Analyze product </w:t>
      </w:r>
      <w:proofErr w:type="spellStart"/>
      <w:r w:rsidRPr="009A5688">
        <w:rPr>
          <w:rFonts w:asciiTheme="minorHAnsi" w:eastAsia="MS PGothic" w:hAnsiTheme="minorHAnsi"/>
          <w:color w:val="000000"/>
          <w:sz w:val="22"/>
          <w:szCs w:val="22"/>
          <w:lang w:val="en-US"/>
        </w:rPr>
        <w:t>PONA</w:t>
      </w:r>
      <w:proofErr w:type="spellEnd"/>
      <w:r w:rsidRPr="009A5688">
        <w:rPr>
          <w:rFonts w:asciiTheme="minorHAnsi" w:eastAsia="MS PGothic" w:hAnsiTheme="minorHAnsi"/>
          <w:color w:val="000000"/>
          <w:sz w:val="22"/>
          <w:szCs w:val="22"/>
          <w:lang w:val="en-US"/>
        </w:rPr>
        <w:t xml:space="preserve"> at higher </w:t>
      </w:r>
      <w:proofErr w:type="spellStart"/>
      <w:r w:rsidRPr="009A5688">
        <w:rPr>
          <w:rFonts w:asciiTheme="minorHAnsi" w:eastAsia="MS PGothic" w:hAnsiTheme="minorHAnsi"/>
          <w:color w:val="000000"/>
          <w:sz w:val="22"/>
          <w:szCs w:val="22"/>
          <w:lang w:val="en-US"/>
        </w:rPr>
        <w:t>WABT</w:t>
      </w:r>
      <w:proofErr w:type="spellEnd"/>
      <w:r w:rsidRPr="009A568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&amp; </w:t>
      </w:r>
      <w:r w:rsidRPr="009A5688">
        <w:rPr>
          <w:rFonts w:asciiTheme="minorHAnsi" w:eastAsia="MS PGothic" w:hAnsiTheme="minorHAnsi"/>
          <w:color w:val="000000"/>
          <w:sz w:val="22"/>
          <w:szCs w:val="22"/>
          <w:lang w:val="en-US"/>
        </w:rPr>
        <w:t>Assess the performance of catalysts at higher nitrogen content more than</w:t>
      </w:r>
      <w:r>
        <w:rPr>
          <w:rFonts w:asciiTheme="minorHAnsi" w:eastAsia="MS PGothic" w:hAnsiTheme="minorHAnsi"/>
          <w:color w:val="000000"/>
          <w:sz w:val="22"/>
          <w:szCs w:val="22"/>
          <w:lang w:val="en-US"/>
        </w:rPr>
        <w:t xml:space="preserve"> </w:t>
      </w:r>
      <w:r w:rsidRPr="009A5688">
        <w:rPr>
          <w:rFonts w:asciiTheme="minorHAnsi" w:eastAsia="MS PGothic" w:hAnsiTheme="minorHAnsi"/>
          <w:color w:val="000000"/>
          <w:sz w:val="22"/>
          <w:szCs w:val="22"/>
          <w:lang w:val="en-US"/>
        </w:rPr>
        <w:t xml:space="preserve">10 ppm wt. </w:t>
      </w:r>
    </w:p>
    <w:bookmarkEnd w:id="1"/>
    <w:bookmarkEnd w:id="2"/>
    <w:p w:rsidR="009A5688" w:rsidRDefault="009A5688" w:rsidP="00C867B1">
      <w:pPr>
        <w:snapToGrid w:val="0"/>
        <w:spacing w:after="120"/>
        <w:rPr>
          <w:rFonts w:asciiTheme="minorHAnsi" w:eastAsia="MS PGothic" w:hAnsiTheme="minorHAnsi"/>
          <w:b/>
          <w:bCs/>
          <w:color w:val="000000"/>
          <w:sz w:val="22"/>
          <w:szCs w:val="22"/>
          <w:lang w:val="en-US"/>
        </w:rPr>
      </w:pP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AA6181" w:rsidRDefault="009A5688" w:rsidP="001A769C">
      <w:pPr>
        <w:snapToGrid w:val="0"/>
        <w:spacing w:after="120"/>
        <w:rPr>
          <w:rFonts w:asciiTheme="minorHAnsi" w:eastAsia="MS PGothic" w:hAnsiTheme="minorHAnsi"/>
          <w:color w:val="000000"/>
          <w:sz w:val="22"/>
          <w:szCs w:val="22"/>
          <w:lang w:val="en-US"/>
        </w:rPr>
      </w:pPr>
      <w:proofErr w:type="spellStart"/>
      <w:r w:rsidRPr="009A5688">
        <w:rPr>
          <w:rFonts w:asciiTheme="minorHAnsi" w:eastAsia="MS PGothic" w:hAnsiTheme="minorHAnsi"/>
          <w:color w:val="000000"/>
          <w:sz w:val="22"/>
          <w:szCs w:val="22"/>
          <w:lang w:val="en-US"/>
        </w:rPr>
        <w:t>Hydrotreating</w:t>
      </w:r>
      <w:proofErr w:type="spellEnd"/>
      <w:r w:rsidRPr="009A5688">
        <w:rPr>
          <w:rFonts w:asciiTheme="minorHAnsi" w:eastAsia="MS PGothic" w:hAnsiTheme="minorHAnsi"/>
          <w:color w:val="000000"/>
          <w:sz w:val="22"/>
          <w:szCs w:val="22"/>
          <w:lang w:val="en-US"/>
        </w:rPr>
        <w:t xml:space="preserve"> experiments were carried out according to refinery unit test conditions, with reference feed stock W</w:t>
      </w:r>
      <w:r w:rsidR="001A769C">
        <w:rPr>
          <w:rFonts w:asciiTheme="minorHAnsi" w:eastAsia="MS PGothic" w:hAnsiTheme="minorHAnsi"/>
          <w:color w:val="000000"/>
          <w:sz w:val="22"/>
          <w:szCs w:val="22"/>
          <w:lang w:val="en-US"/>
        </w:rPr>
        <w:t xml:space="preserve">hole </w:t>
      </w:r>
      <w:r w:rsidRPr="009A5688">
        <w:rPr>
          <w:rFonts w:asciiTheme="minorHAnsi" w:eastAsia="MS PGothic" w:hAnsiTheme="minorHAnsi"/>
          <w:color w:val="000000"/>
          <w:sz w:val="22"/>
          <w:szCs w:val="22"/>
          <w:lang w:val="en-US"/>
        </w:rPr>
        <w:t>N</w:t>
      </w:r>
      <w:r w:rsidR="001A769C">
        <w:rPr>
          <w:rFonts w:asciiTheme="minorHAnsi" w:eastAsia="MS PGothic" w:hAnsiTheme="minorHAnsi"/>
          <w:color w:val="000000"/>
          <w:sz w:val="22"/>
          <w:szCs w:val="22"/>
          <w:lang w:val="en-US"/>
        </w:rPr>
        <w:t>aphtha</w:t>
      </w:r>
      <w:r w:rsidRPr="009A5688">
        <w:rPr>
          <w:rFonts w:asciiTheme="minorHAnsi" w:eastAsia="MS PGothic" w:hAnsiTheme="minorHAnsi"/>
          <w:color w:val="000000"/>
          <w:sz w:val="22"/>
          <w:szCs w:val="22"/>
          <w:lang w:val="en-US"/>
        </w:rPr>
        <w:t xml:space="preserve"> &amp; </w:t>
      </w:r>
      <w:r w:rsidR="001A769C">
        <w:rPr>
          <w:rFonts w:asciiTheme="minorHAnsi" w:eastAsia="MS PGothic" w:hAnsiTheme="minorHAnsi"/>
          <w:color w:val="000000"/>
          <w:sz w:val="22"/>
          <w:szCs w:val="22"/>
          <w:lang w:val="en-US"/>
        </w:rPr>
        <w:t>r</w:t>
      </w:r>
      <w:r w:rsidRPr="009A5688">
        <w:rPr>
          <w:rFonts w:asciiTheme="minorHAnsi" w:eastAsia="MS PGothic" w:hAnsiTheme="minorHAnsi"/>
          <w:color w:val="000000"/>
          <w:sz w:val="22"/>
          <w:szCs w:val="22"/>
          <w:lang w:val="en-US"/>
        </w:rPr>
        <w:t>aw Kero</w:t>
      </w:r>
      <w:r w:rsidR="001A769C">
        <w:rPr>
          <w:rFonts w:asciiTheme="minorHAnsi" w:eastAsia="MS PGothic" w:hAnsiTheme="minorHAnsi"/>
          <w:color w:val="000000"/>
          <w:sz w:val="22"/>
          <w:szCs w:val="22"/>
          <w:lang w:val="en-US"/>
        </w:rPr>
        <w:t>sene</w:t>
      </w:r>
      <w:r w:rsidRPr="009A5688">
        <w:rPr>
          <w:rFonts w:asciiTheme="minorHAnsi" w:eastAsia="MS PGothic" w:hAnsiTheme="minorHAnsi"/>
          <w:color w:val="000000"/>
          <w:sz w:val="22"/>
          <w:szCs w:val="22"/>
          <w:lang w:val="en-US"/>
        </w:rPr>
        <w:t xml:space="preserve"> and were processed using a GO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regenerated catalyst in a pilot reactor at fixed operating conditions, as listed below Table # 01. The pilot plant test started with</w:t>
      </w:r>
      <w:r w:rsidR="001A769C">
        <w:rPr>
          <w:rFonts w:asciiTheme="minorHAnsi" w:eastAsia="MS PGothic" w:hAnsiTheme="minorHAnsi"/>
          <w:color w:val="000000"/>
          <w:sz w:val="22"/>
          <w:szCs w:val="22"/>
          <w:lang w:val="en-US"/>
        </w:rPr>
        <w:t xml:space="preserve"> </w:t>
      </w:r>
      <w:proofErr w:type="spellStart"/>
      <w:r w:rsidR="001A769C">
        <w:rPr>
          <w:rFonts w:asciiTheme="minorHAnsi" w:eastAsia="MS PGothic" w:hAnsiTheme="minorHAnsi"/>
          <w:color w:val="000000"/>
          <w:sz w:val="22"/>
          <w:szCs w:val="22"/>
          <w:lang w:val="en-US"/>
        </w:rPr>
        <w:t>LHSV</w:t>
      </w:r>
      <w:proofErr w:type="spellEnd"/>
      <w:r w:rsidRPr="009A5688">
        <w:rPr>
          <w:rFonts w:asciiTheme="minorHAnsi" w:eastAsia="MS PGothic" w:hAnsiTheme="minorHAnsi"/>
          <w:color w:val="000000"/>
          <w:sz w:val="22"/>
          <w:szCs w:val="22"/>
          <w:lang w:val="en-US"/>
        </w:rPr>
        <w:t xml:space="preserve"> 4 </w:t>
      </w:r>
      <w:proofErr w:type="spellStart"/>
      <w:r w:rsidRPr="009A5688">
        <w:rPr>
          <w:rFonts w:asciiTheme="minorHAnsi" w:eastAsia="MS PGothic" w:hAnsiTheme="minorHAnsi"/>
          <w:color w:val="000000"/>
          <w:sz w:val="22"/>
          <w:szCs w:val="22"/>
          <w:lang w:val="en-US"/>
        </w:rPr>
        <w:t>hr</w:t>
      </w:r>
      <w:proofErr w:type="spellEnd"/>
      <w:r w:rsidRPr="001A769C">
        <w:rPr>
          <w:rFonts w:asciiTheme="minorHAnsi" w:eastAsia="MS PGothic" w:hAnsiTheme="minorHAnsi"/>
          <w:color w:val="000000"/>
          <w:sz w:val="22"/>
          <w:szCs w:val="22"/>
          <w:vertAlign w:val="superscript"/>
          <w:lang w:val="en-US"/>
        </w:rPr>
        <w:t>-1</w:t>
      </w:r>
      <w:r w:rsidRPr="009A5688">
        <w:rPr>
          <w:rFonts w:asciiTheme="minorHAnsi" w:eastAsia="MS PGothic" w:hAnsiTheme="minorHAnsi"/>
          <w:color w:val="000000"/>
          <w:sz w:val="22"/>
          <w:szCs w:val="22"/>
          <w:lang w:val="en-US"/>
        </w:rPr>
        <w:t xml:space="preserve"> at 275 ˚C </w:t>
      </w:r>
      <w:r w:rsidR="001A769C">
        <w:rPr>
          <w:rFonts w:asciiTheme="minorHAnsi" w:eastAsia="MS PGothic" w:hAnsiTheme="minorHAnsi"/>
          <w:color w:val="000000"/>
          <w:sz w:val="22"/>
          <w:szCs w:val="22"/>
          <w:lang w:val="en-US"/>
        </w:rPr>
        <w:t>and on specs p</w:t>
      </w:r>
      <w:r w:rsidRPr="009A5688">
        <w:rPr>
          <w:rFonts w:asciiTheme="minorHAnsi" w:eastAsia="MS PGothic" w:hAnsiTheme="minorHAnsi"/>
          <w:color w:val="000000"/>
          <w:sz w:val="22"/>
          <w:szCs w:val="22"/>
          <w:lang w:val="en-US"/>
        </w:rPr>
        <w:t xml:space="preserve">roduct </w:t>
      </w:r>
      <w:r w:rsidR="001A769C">
        <w:rPr>
          <w:rFonts w:asciiTheme="minorHAnsi" w:eastAsia="MS PGothic" w:hAnsiTheme="minorHAnsi"/>
          <w:color w:val="000000"/>
          <w:sz w:val="22"/>
          <w:szCs w:val="22"/>
          <w:lang w:val="en-US"/>
        </w:rPr>
        <w:t>for</w:t>
      </w:r>
      <w:r w:rsidRPr="009A5688">
        <w:rPr>
          <w:rFonts w:asciiTheme="minorHAnsi" w:eastAsia="MS PGothic" w:hAnsiTheme="minorHAnsi"/>
          <w:color w:val="000000"/>
          <w:sz w:val="22"/>
          <w:szCs w:val="22"/>
          <w:lang w:val="en-US"/>
        </w:rPr>
        <w:t xml:space="preserve"> Nitrogen were achieved but </w:t>
      </w:r>
      <w:proofErr w:type="spellStart"/>
      <w:r w:rsidRPr="009A5688">
        <w:rPr>
          <w:rFonts w:asciiTheme="minorHAnsi" w:eastAsia="MS PGothic" w:hAnsiTheme="minorHAnsi"/>
          <w:color w:val="000000"/>
          <w:sz w:val="22"/>
          <w:szCs w:val="22"/>
          <w:lang w:val="en-US"/>
        </w:rPr>
        <w:t>sulphur</w:t>
      </w:r>
      <w:proofErr w:type="spellEnd"/>
      <w:r w:rsidRPr="009A5688">
        <w:rPr>
          <w:rFonts w:asciiTheme="minorHAnsi" w:eastAsia="MS PGothic" w:hAnsiTheme="minorHAnsi"/>
          <w:color w:val="000000"/>
          <w:sz w:val="22"/>
          <w:szCs w:val="22"/>
          <w:lang w:val="en-US"/>
        </w:rPr>
        <w:t xml:space="preserve"> was </w:t>
      </w:r>
      <w:r w:rsidR="001A769C">
        <w:rPr>
          <w:rFonts w:asciiTheme="minorHAnsi" w:eastAsia="MS PGothic" w:hAnsiTheme="minorHAnsi"/>
          <w:color w:val="000000"/>
          <w:sz w:val="22"/>
          <w:szCs w:val="22"/>
          <w:lang w:val="en-US"/>
        </w:rPr>
        <w:t xml:space="preserve">at </w:t>
      </w:r>
      <w:r w:rsidRPr="009A5688">
        <w:rPr>
          <w:rFonts w:asciiTheme="minorHAnsi" w:eastAsia="MS PGothic" w:hAnsiTheme="minorHAnsi"/>
          <w:color w:val="000000"/>
          <w:sz w:val="22"/>
          <w:szCs w:val="22"/>
          <w:lang w:val="en-US"/>
        </w:rPr>
        <w:t xml:space="preserve">1.3 ppm. Hence </w:t>
      </w:r>
      <w:proofErr w:type="spellStart"/>
      <w:r w:rsidRPr="009A5688">
        <w:rPr>
          <w:rFonts w:asciiTheme="minorHAnsi" w:eastAsia="MS PGothic" w:hAnsiTheme="minorHAnsi"/>
          <w:color w:val="000000"/>
          <w:sz w:val="22"/>
          <w:szCs w:val="22"/>
          <w:lang w:val="en-US"/>
        </w:rPr>
        <w:t>WABT</w:t>
      </w:r>
      <w:proofErr w:type="spellEnd"/>
      <w:r w:rsidRPr="009A5688">
        <w:rPr>
          <w:rFonts w:asciiTheme="minorHAnsi" w:eastAsia="MS PGothic" w:hAnsiTheme="minorHAnsi"/>
          <w:color w:val="000000"/>
          <w:sz w:val="22"/>
          <w:szCs w:val="22"/>
          <w:lang w:val="en-US"/>
        </w:rPr>
        <w:t xml:space="preserve"> was increased to 280 ˚C </w:t>
      </w:r>
      <w:r w:rsidR="001A769C">
        <w:rPr>
          <w:rFonts w:asciiTheme="minorHAnsi" w:eastAsia="MS PGothic" w:hAnsiTheme="minorHAnsi"/>
          <w:color w:val="000000"/>
          <w:sz w:val="22"/>
          <w:szCs w:val="22"/>
          <w:lang w:val="en-US"/>
        </w:rPr>
        <w:t xml:space="preserve">temperature </w:t>
      </w:r>
      <w:r w:rsidRPr="009A5688">
        <w:rPr>
          <w:rFonts w:asciiTheme="minorHAnsi" w:eastAsia="MS PGothic" w:hAnsiTheme="minorHAnsi"/>
          <w:color w:val="000000"/>
          <w:sz w:val="22"/>
          <w:szCs w:val="22"/>
          <w:lang w:val="en-US"/>
        </w:rPr>
        <w:t xml:space="preserve">to achieve product target </w:t>
      </w:r>
      <w:proofErr w:type="spellStart"/>
      <w:r w:rsidRPr="009A5688">
        <w:rPr>
          <w:rFonts w:asciiTheme="minorHAnsi" w:eastAsia="MS PGothic" w:hAnsiTheme="minorHAnsi"/>
          <w:color w:val="000000"/>
          <w:sz w:val="22"/>
          <w:szCs w:val="22"/>
          <w:lang w:val="en-US"/>
        </w:rPr>
        <w:t>sulphur</w:t>
      </w:r>
      <w:proofErr w:type="spellEnd"/>
      <w:r w:rsidRPr="009A5688">
        <w:rPr>
          <w:rFonts w:asciiTheme="minorHAnsi" w:eastAsia="MS PGothic" w:hAnsiTheme="minorHAnsi"/>
          <w:color w:val="000000"/>
          <w:sz w:val="22"/>
          <w:szCs w:val="22"/>
          <w:lang w:val="en-US"/>
        </w:rPr>
        <w:t xml:space="preserve"> content below 0.5 ppm. </w:t>
      </w:r>
      <w:r w:rsidR="001A769C">
        <w:rPr>
          <w:rFonts w:asciiTheme="minorHAnsi" w:eastAsia="MS PGothic" w:hAnsiTheme="minorHAnsi"/>
          <w:color w:val="000000"/>
          <w:sz w:val="22"/>
          <w:szCs w:val="22"/>
          <w:lang w:val="en-US"/>
        </w:rPr>
        <w:t>T</w:t>
      </w:r>
      <w:r w:rsidRPr="009A5688">
        <w:rPr>
          <w:rFonts w:asciiTheme="minorHAnsi" w:eastAsia="MS PGothic" w:hAnsiTheme="minorHAnsi"/>
          <w:color w:val="000000"/>
          <w:sz w:val="22"/>
          <w:szCs w:val="22"/>
          <w:lang w:val="en-US"/>
        </w:rPr>
        <w:t>est point</w:t>
      </w:r>
      <w:r w:rsidR="001A769C">
        <w:rPr>
          <w:rFonts w:asciiTheme="minorHAnsi" w:eastAsia="MS PGothic" w:hAnsiTheme="minorHAnsi"/>
          <w:color w:val="000000"/>
          <w:sz w:val="22"/>
          <w:szCs w:val="22"/>
          <w:lang w:val="en-US"/>
        </w:rPr>
        <w:t>s</w:t>
      </w:r>
      <w:r w:rsidRPr="009A5688">
        <w:rPr>
          <w:rFonts w:asciiTheme="minorHAnsi" w:eastAsia="MS PGothic" w:hAnsiTheme="minorHAnsi"/>
          <w:color w:val="000000"/>
          <w:sz w:val="22"/>
          <w:szCs w:val="22"/>
          <w:lang w:val="en-US"/>
        </w:rPr>
        <w:t xml:space="preserve"> w</w:t>
      </w:r>
      <w:r w:rsidR="001A769C">
        <w:rPr>
          <w:rFonts w:asciiTheme="minorHAnsi" w:eastAsia="MS PGothic" w:hAnsiTheme="minorHAnsi"/>
          <w:color w:val="000000"/>
          <w:sz w:val="22"/>
          <w:szCs w:val="22"/>
          <w:lang w:val="en-US"/>
        </w:rPr>
        <w:t>ere</w:t>
      </w:r>
      <w:r w:rsidRPr="009A5688">
        <w:rPr>
          <w:rFonts w:asciiTheme="minorHAnsi" w:eastAsia="MS PGothic" w:hAnsiTheme="minorHAnsi"/>
          <w:color w:val="000000"/>
          <w:sz w:val="22"/>
          <w:szCs w:val="22"/>
          <w:lang w:val="en-US"/>
        </w:rPr>
        <w:t xml:space="preserve"> created for increased throughput </w:t>
      </w:r>
      <w:proofErr w:type="spellStart"/>
      <w:r w:rsidRPr="009A5688">
        <w:rPr>
          <w:rFonts w:asciiTheme="minorHAnsi" w:eastAsia="MS PGothic" w:hAnsiTheme="minorHAnsi"/>
          <w:color w:val="000000"/>
          <w:sz w:val="22"/>
          <w:szCs w:val="22"/>
          <w:lang w:val="en-US"/>
        </w:rPr>
        <w:t>upto</w:t>
      </w:r>
      <w:proofErr w:type="spellEnd"/>
      <w:r w:rsidRPr="009A5688">
        <w:rPr>
          <w:rFonts w:asciiTheme="minorHAnsi" w:eastAsia="MS PGothic" w:hAnsiTheme="minorHAnsi"/>
          <w:color w:val="000000"/>
          <w:sz w:val="22"/>
          <w:szCs w:val="22"/>
          <w:lang w:val="en-US"/>
        </w:rPr>
        <w:t xml:space="preserve"> to 5 </w:t>
      </w:r>
      <w:proofErr w:type="spellStart"/>
      <w:r w:rsidRPr="009A5688">
        <w:rPr>
          <w:rFonts w:asciiTheme="minorHAnsi" w:eastAsia="MS PGothic" w:hAnsiTheme="minorHAnsi"/>
          <w:color w:val="000000"/>
          <w:sz w:val="22"/>
          <w:szCs w:val="22"/>
          <w:lang w:val="en-US"/>
        </w:rPr>
        <w:t>hr</w:t>
      </w:r>
      <w:proofErr w:type="spellEnd"/>
      <w:r w:rsidRPr="002C1119">
        <w:rPr>
          <w:rFonts w:asciiTheme="minorHAnsi" w:eastAsia="MS PGothic" w:hAnsiTheme="minorHAnsi"/>
          <w:color w:val="000000"/>
          <w:sz w:val="22"/>
          <w:szCs w:val="22"/>
          <w:vertAlign w:val="superscript"/>
          <w:lang w:val="en-US"/>
        </w:rPr>
        <w:t>-1</w:t>
      </w:r>
      <w:r w:rsidR="001A769C">
        <w:rPr>
          <w:rFonts w:asciiTheme="minorHAnsi" w:eastAsia="MS PGothic" w:hAnsiTheme="minorHAnsi"/>
          <w:color w:val="000000"/>
          <w:sz w:val="22"/>
          <w:szCs w:val="22"/>
          <w:lang w:val="en-US"/>
        </w:rPr>
        <w:t xml:space="preserve"> for </w:t>
      </w:r>
      <w:proofErr w:type="spellStart"/>
      <w:r w:rsidR="001A769C">
        <w:rPr>
          <w:rFonts w:asciiTheme="minorHAnsi" w:eastAsia="MS PGothic" w:hAnsiTheme="minorHAnsi"/>
          <w:color w:val="000000"/>
          <w:sz w:val="22"/>
          <w:szCs w:val="22"/>
          <w:lang w:val="en-US"/>
        </w:rPr>
        <w:t>NHDT</w:t>
      </w:r>
      <w:proofErr w:type="spellEnd"/>
      <w:r w:rsidR="001A769C">
        <w:rPr>
          <w:rFonts w:asciiTheme="minorHAnsi" w:eastAsia="MS PGothic" w:hAnsiTheme="minorHAnsi"/>
          <w:color w:val="000000"/>
          <w:sz w:val="22"/>
          <w:szCs w:val="22"/>
          <w:lang w:val="en-US"/>
        </w:rPr>
        <w:t xml:space="preserve">. For </w:t>
      </w:r>
      <w:proofErr w:type="spellStart"/>
      <w:r w:rsidR="001A769C">
        <w:rPr>
          <w:rFonts w:asciiTheme="minorHAnsi" w:eastAsia="MS PGothic" w:hAnsiTheme="minorHAnsi"/>
          <w:color w:val="000000"/>
          <w:sz w:val="22"/>
          <w:szCs w:val="22"/>
          <w:lang w:val="en-US"/>
        </w:rPr>
        <w:t>Kero</w:t>
      </w:r>
      <w:proofErr w:type="spellEnd"/>
      <w:r w:rsidR="001A769C">
        <w:rPr>
          <w:rFonts w:asciiTheme="minorHAnsi" w:eastAsia="MS PGothic" w:hAnsiTheme="minorHAnsi"/>
          <w:color w:val="000000"/>
          <w:sz w:val="22"/>
          <w:szCs w:val="22"/>
          <w:lang w:val="en-US"/>
        </w:rPr>
        <w:t xml:space="preserve"> </w:t>
      </w:r>
      <w:proofErr w:type="spellStart"/>
      <w:r w:rsidR="001A769C">
        <w:rPr>
          <w:rFonts w:asciiTheme="minorHAnsi" w:eastAsia="MS PGothic" w:hAnsiTheme="minorHAnsi"/>
          <w:color w:val="000000"/>
          <w:sz w:val="22"/>
          <w:szCs w:val="22"/>
          <w:lang w:val="en-US"/>
        </w:rPr>
        <w:t>HDT</w:t>
      </w:r>
      <w:proofErr w:type="spellEnd"/>
      <w:r w:rsidR="001A769C">
        <w:rPr>
          <w:rFonts w:asciiTheme="minorHAnsi" w:eastAsia="MS PGothic" w:hAnsiTheme="minorHAnsi"/>
          <w:color w:val="000000"/>
          <w:sz w:val="22"/>
          <w:szCs w:val="22"/>
          <w:lang w:val="en-US"/>
        </w:rPr>
        <w:t xml:space="preserve">, test points were also varied for pressure, temperature &amp; </w:t>
      </w:r>
      <w:proofErr w:type="spellStart"/>
      <w:r w:rsidR="001A769C">
        <w:rPr>
          <w:rFonts w:asciiTheme="minorHAnsi" w:eastAsia="MS PGothic" w:hAnsiTheme="minorHAnsi"/>
          <w:color w:val="000000"/>
          <w:sz w:val="22"/>
          <w:szCs w:val="22"/>
          <w:lang w:val="en-US"/>
        </w:rPr>
        <w:t>LHSV</w:t>
      </w:r>
      <w:proofErr w:type="spellEnd"/>
      <w:r w:rsidR="001A769C">
        <w:rPr>
          <w:rFonts w:asciiTheme="minorHAnsi" w:eastAsia="MS PGothic" w:hAnsiTheme="minorHAnsi"/>
          <w:color w:val="000000"/>
          <w:sz w:val="22"/>
          <w:szCs w:val="22"/>
          <w:lang w:val="en-US"/>
        </w:rPr>
        <w:t xml:space="preserve">.  </w:t>
      </w:r>
    </w:p>
    <w:p w:rsidR="00704BDF" w:rsidRDefault="00704BDF" w:rsidP="00AA618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9A5688" w:rsidRPr="009A5688" w:rsidRDefault="009A5688" w:rsidP="009A5688">
      <w:pPr>
        <w:snapToGrid w:val="0"/>
        <w:spacing w:after="120"/>
        <w:rPr>
          <w:rFonts w:asciiTheme="minorHAnsi" w:eastAsia="MS PGothic" w:hAnsiTheme="minorHAnsi"/>
          <w:color w:val="000000"/>
          <w:sz w:val="22"/>
          <w:szCs w:val="22"/>
          <w:lang w:val="en-US"/>
        </w:rPr>
      </w:pPr>
      <w:r w:rsidRPr="009A5688">
        <w:rPr>
          <w:rFonts w:asciiTheme="minorHAnsi" w:eastAsia="MS PGothic" w:hAnsiTheme="minorHAnsi"/>
          <w:color w:val="000000"/>
          <w:sz w:val="22"/>
          <w:szCs w:val="22"/>
          <w:lang w:val="en-US"/>
        </w:rPr>
        <w:t xml:space="preserve">Whole Naphtha has low nitrogen content but the performance of the catalyst was tested at high nitrogen content in the feed (&gt;10 ppm) because GO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catalyst has higher HDS activity than </w:t>
      </w:r>
      <w:proofErr w:type="spellStart"/>
      <w:r w:rsidRPr="009A5688">
        <w:rPr>
          <w:rFonts w:asciiTheme="minorHAnsi" w:eastAsia="MS PGothic" w:hAnsiTheme="minorHAnsi"/>
          <w:color w:val="000000"/>
          <w:sz w:val="22"/>
          <w:szCs w:val="22"/>
          <w:lang w:val="en-US"/>
        </w:rPr>
        <w:t>HDN</w:t>
      </w:r>
      <w:proofErr w:type="spellEnd"/>
      <w:r w:rsidRPr="009A5688">
        <w:rPr>
          <w:rFonts w:asciiTheme="minorHAnsi" w:eastAsia="MS PGothic" w:hAnsiTheme="minorHAnsi"/>
          <w:color w:val="000000"/>
          <w:sz w:val="22"/>
          <w:szCs w:val="22"/>
          <w:lang w:val="en-US"/>
        </w:rPr>
        <w:t xml:space="preserve"> activity and it was observed that this GO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catalyst is capable to handle feeds having the higher nitrogen range. Hydrogen partial pressure was reduced from 25.5 kg/</w:t>
      </w:r>
      <w:proofErr w:type="spellStart"/>
      <w:r w:rsidRPr="009A5688">
        <w:rPr>
          <w:rFonts w:asciiTheme="minorHAnsi" w:eastAsia="MS PGothic" w:hAnsiTheme="minorHAnsi"/>
          <w:color w:val="000000"/>
          <w:sz w:val="22"/>
          <w:szCs w:val="22"/>
          <w:lang w:val="en-US"/>
        </w:rPr>
        <w:t>cm</w:t>
      </w:r>
      <w:r w:rsidRPr="00401DD7">
        <w:rPr>
          <w:rFonts w:asciiTheme="minorHAnsi" w:eastAsia="MS PGothic" w:hAnsiTheme="minorHAnsi"/>
          <w:color w:val="000000"/>
          <w:sz w:val="22"/>
          <w:szCs w:val="22"/>
          <w:vertAlign w:val="superscript"/>
          <w:lang w:val="en-US"/>
        </w:rPr>
        <w:t>2</w:t>
      </w:r>
      <w:proofErr w:type="spellEnd"/>
      <w:r w:rsidRPr="009A5688">
        <w:rPr>
          <w:rFonts w:asciiTheme="minorHAnsi" w:eastAsia="MS PGothic" w:hAnsiTheme="minorHAnsi"/>
          <w:color w:val="000000"/>
          <w:sz w:val="22"/>
          <w:szCs w:val="22"/>
          <w:lang w:val="en-US"/>
        </w:rPr>
        <w:t xml:space="preserve"> to 23.7 kg/</w:t>
      </w:r>
      <w:proofErr w:type="spellStart"/>
      <w:r w:rsidRPr="009A5688">
        <w:rPr>
          <w:rFonts w:asciiTheme="minorHAnsi" w:eastAsia="MS PGothic" w:hAnsiTheme="minorHAnsi"/>
          <w:color w:val="000000"/>
          <w:sz w:val="22"/>
          <w:szCs w:val="22"/>
          <w:lang w:val="en-US"/>
        </w:rPr>
        <w:t>cm</w:t>
      </w:r>
      <w:r w:rsidRPr="00401DD7">
        <w:rPr>
          <w:rFonts w:asciiTheme="minorHAnsi" w:eastAsia="MS PGothic" w:hAnsiTheme="minorHAnsi"/>
          <w:color w:val="000000"/>
          <w:sz w:val="22"/>
          <w:szCs w:val="22"/>
          <w:vertAlign w:val="superscript"/>
          <w:lang w:val="en-US"/>
        </w:rPr>
        <w:t>2</w:t>
      </w:r>
      <w:proofErr w:type="spellEnd"/>
      <w:r w:rsidRPr="00401DD7">
        <w:rPr>
          <w:rFonts w:asciiTheme="minorHAnsi" w:eastAsia="MS PGothic" w:hAnsiTheme="minorHAnsi"/>
          <w:color w:val="000000"/>
          <w:sz w:val="22"/>
          <w:szCs w:val="22"/>
          <w:vertAlign w:val="superscript"/>
          <w:lang w:val="en-US"/>
        </w:rPr>
        <w:t xml:space="preserve"> </w:t>
      </w:r>
      <w:r w:rsidRPr="009A5688">
        <w:rPr>
          <w:rFonts w:asciiTheme="minorHAnsi" w:eastAsia="MS PGothic" w:hAnsiTheme="minorHAnsi"/>
          <w:color w:val="000000"/>
          <w:sz w:val="22"/>
          <w:szCs w:val="22"/>
          <w:lang w:val="en-US"/>
        </w:rPr>
        <w:t xml:space="preserve">and there was no noticeable change in catalyst performance. </w:t>
      </w:r>
    </w:p>
    <w:p w:rsidR="009A5688" w:rsidRPr="009A5688" w:rsidRDefault="009A5688" w:rsidP="009A5688">
      <w:pPr>
        <w:snapToGrid w:val="0"/>
        <w:spacing w:after="120"/>
        <w:jc w:val="left"/>
        <w:rPr>
          <w:rFonts w:asciiTheme="minorHAnsi" w:eastAsia="MS PGothic" w:hAnsiTheme="minorHAnsi"/>
          <w:color w:val="000000"/>
          <w:szCs w:val="18"/>
          <w:lang w:val="en-US"/>
        </w:rPr>
      </w:pPr>
      <w:r w:rsidRPr="009A5688">
        <w:rPr>
          <w:rFonts w:asciiTheme="minorHAnsi" w:eastAsia="MS PGothic" w:hAnsiTheme="minorHAnsi"/>
          <w:color w:val="000000"/>
          <w:szCs w:val="18"/>
          <w:lang w:val="en-US"/>
        </w:rPr>
        <w:t>Table 1. Test operating conditions</w:t>
      </w:r>
    </w:p>
    <w:tbl>
      <w:tblPr>
        <w:tblW w:w="8702" w:type="dxa"/>
        <w:tblInd w:w="113" w:type="dxa"/>
        <w:tblLook w:val="04A0" w:firstRow="1" w:lastRow="0" w:firstColumn="1" w:lastColumn="0" w:noHBand="0" w:noVBand="1"/>
      </w:tblPr>
      <w:tblGrid>
        <w:gridCol w:w="715"/>
        <w:gridCol w:w="1170"/>
        <w:gridCol w:w="1440"/>
        <w:gridCol w:w="900"/>
        <w:gridCol w:w="950"/>
        <w:gridCol w:w="1187"/>
        <w:gridCol w:w="1350"/>
        <w:gridCol w:w="990"/>
      </w:tblGrid>
      <w:tr w:rsidR="009A5688" w:rsidRPr="0084784D" w:rsidTr="009A5688">
        <w:trPr>
          <w:trHeight w:val="424"/>
        </w:trPr>
        <w:tc>
          <w:tcPr>
            <w:tcW w:w="71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A5688" w:rsidRPr="005A4E0C" w:rsidRDefault="009A5688" w:rsidP="005622AB">
            <w:pPr>
              <w:jc w:val="left"/>
            </w:pPr>
            <w:r w:rsidRPr="005A4E0C">
              <w:t>Test</w:t>
            </w:r>
          </w:p>
        </w:tc>
        <w:tc>
          <w:tcPr>
            <w:tcW w:w="1170" w:type="dxa"/>
            <w:tcBorders>
              <w:top w:val="single" w:sz="4" w:space="0" w:color="auto"/>
              <w:left w:val="nil"/>
              <w:bottom w:val="single" w:sz="4" w:space="0" w:color="auto"/>
              <w:right w:val="single" w:sz="4" w:space="0" w:color="auto"/>
            </w:tcBorders>
            <w:shd w:val="clear" w:color="000000" w:fill="DCE6F1"/>
            <w:vAlign w:val="center"/>
            <w:hideMark/>
          </w:tcPr>
          <w:p w:rsidR="009A5688" w:rsidRPr="005A4E0C" w:rsidRDefault="009A5688" w:rsidP="005622AB">
            <w:pPr>
              <w:jc w:val="left"/>
            </w:pPr>
            <w:r w:rsidRPr="005A4E0C">
              <w:t>FEED</w:t>
            </w:r>
          </w:p>
        </w:tc>
        <w:tc>
          <w:tcPr>
            <w:tcW w:w="1440" w:type="dxa"/>
            <w:tcBorders>
              <w:top w:val="single" w:sz="4" w:space="0" w:color="auto"/>
              <w:left w:val="nil"/>
              <w:bottom w:val="single" w:sz="4" w:space="0" w:color="auto"/>
              <w:right w:val="single" w:sz="4" w:space="0" w:color="auto"/>
            </w:tcBorders>
            <w:shd w:val="clear" w:color="000000" w:fill="DCE6F1"/>
            <w:vAlign w:val="center"/>
            <w:hideMark/>
          </w:tcPr>
          <w:p w:rsidR="009A5688" w:rsidRPr="005A4E0C" w:rsidRDefault="009A5688" w:rsidP="005622AB">
            <w:pPr>
              <w:jc w:val="left"/>
            </w:pPr>
            <w:r w:rsidRPr="005A4E0C">
              <w:t>Pressure</w:t>
            </w:r>
          </w:p>
        </w:tc>
        <w:tc>
          <w:tcPr>
            <w:tcW w:w="900" w:type="dxa"/>
            <w:tcBorders>
              <w:top w:val="single" w:sz="4" w:space="0" w:color="auto"/>
              <w:left w:val="nil"/>
              <w:bottom w:val="single" w:sz="4" w:space="0" w:color="auto"/>
              <w:right w:val="single" w:sz="4" w:space="0" w:color="auto"/>
            </w:tcBorders>
            <w:shd w:val="clear" w:color="000000" w:fill="DCE6F1"/>
            <w:vAlign w:val="center"/>
            <w:hideMark/>
          </w:tcPr>
          <w:p w:rsidR="009A5688" w:rsidRPr="005A4E0C" w:rsidRDefault="009A5688" w:rsidP="005622AB">
            <w:pPr>
              <w:jc w:val="left"/>
            </w:pPr>
            <w:proofErr w:type="spellStart"/>
            <w:r w:rsidRPr="005A4E0C">
              <w:t>LHSV</w:t>
            </w:r>
            <w:proofErr w:type="spellEnd"/>
          </w:p>
        </w:tc>
        <w:tc>
          <w:tcPr>
            <w:tcW w:w="950" w:type="dxa"/>
            <w:tcBorders>
              <w:top w:val="single" w:sz="4" w:space="0" w:color="auto"/>
              <w:left w:val="nil"/>
              <w:bottom w:val="single" w:sz="4" w:space="0" w:color="auto"/>
              <w:right w:val="single" w:sz="4" w:space="0" w:color="auto"/>
            </w:tcBorders>
            <w:shd w:val="clear" w:color="000000" w:fill="DCE6F1"/>
            <w:vAlign w:val="center"/>
            <w:hideMark/>
          </w:tcPr>
          <w:p w:rsidR="009A5688" w:rsidRPr="005A4E0C" w:rsidRDefault="009A5688" w:rsidP="005622AB">
            <w:pPr>
              <w:jc w:val="left"/>
            </w:pPr>
            <w:proofErr w:type="spellStart"/>
            <w:r w:rsidRPr="005A4E0C">
              <w:t>H2</w:t>
            </w:r>
            <w:proofErr w:type="spellEnd"/>
            <w:r w:rsidRPr="005A4E0C">
              <w:t>/HC</w:t>
            </w:r>
          </w:p>
        </w:tc>
        <w:tc>
          <w:tcPr>
            <w:tcW w:w="1187" w:type="dxa"/>
            <w:tcBorders>
              <w:top w:val="single" w:sz="4" w:space="0" w:color="auto"/>
              <w:left w:val="nil"/>
              <w:bottom w:val="single" w:sz="4" w:space="0" w:color="auto"/>
              <w:right w:val="single" w:sz="4" w:space="0" w:color="auto"/>
            </w:tcBorders>
            <w:shd w:val="clear" w:color="000000" w:fill="DCE6F1"/>
            <w:vAlign w:val="center"/>
            <w:hideMark/>
          </w:tcPr>
          <w:p w:rsidR="009A5688" w:rsidRPr="005A4E0C" w:rsidRDefault="009A5688" w:rsidP="005622AB">
            <w:pPr>
              <w:jc w:val="left"/>
            </w:pPr>
            <w:r w:rsidRPr="005A4E0C">
              <w:t>Temp</w:t>
            </w:r>
          </w:p>
        </w:tc>
        <w:tc>
          <w:tcPr>
            <w:tcW w:w="1350" w:type="dxa"/>
            <w:tcBorders>
              <w:top w:val="single" w:sz="4" w:space="0" w:color="auto"/>
              <w:left w:val="nil"/>
              <w:bottom w:val="single" w:sz="4" w:space="0" w:color="auto"/>
              <w:right w:val="single" w:sz="4" w:space="0" w:color="auto"/>
            </w:tcBorders>
            <w:shd w:val="clear" w:color="000000" w:fill="DCE6F1"/>
            <w:vAlign w:val="center"/>
            <w:hideMark/>
          </w:tcPr>
          <w:p w:rsidR="009A5688" w:rsidRPr="005A4E0C" w:rsidRDefault="009A5688" w:rsidP="005622AB">
            <w:pPr>
              <w:jc w:val="left"/>
            </w:pPr>
            <w:proofErr w:type="spellStart"/>
            <w:r w:rsidRPr="005A4E0C">
              <w:t>Sulfur</w:t>
            </w:r>
            <w:proofErr w:type="spellEnd"/>
            <w:r w:rsidRPr="005A4E0C">
              <w:t xml:space="preserve"> in Product</w:t>
            </w:r>
          </w:p>
        </w:tc>
        <w:tc>
          <w:tcPr>
            <w:tcW w:w="990" w:type="dxa"/>
            <w:tcBorders>
              <w:top w:val="single" w:sz="4" w:space="0" w:color="auto"/>
              <w:left w:val="nil"/>
              <w:bottom w:val="single" w:sz="4" w:space="0" w:color="auto"/>
              <w:right w:val="single" w:sz="4" w:space="0" w:color="auto"/>
            </w:tcBorders>
            <w:shd w:val="clear" w:color="000000" w:fill="DCE6F1"/>
            <w:vAlign w:val="center"/>
            <w:hideMark/>
          </w:tcPr>
          <w:p w:rsidR="009A5688" w:rsidRPr="005A4E0C" w:rsidRDefault="009A5688" w:rsidP="005622AB">
            <w:pPr>
              <w:jc w:val="left"/>
            </w:pPr>
            <w:r w:rsidRPr="005A4E0C">
              <w:t>N in Product</w:t>
            </w:r>
          </w:p>
        </w:tc>
      </w:tr>
      <w:tr w:rsidR="009A5688" w:rsidRPr="0084784D" w:rsidTr="009A5688">
        <w:trPr>
          <w:trHeight w:val="292"/>
        </w:trPr>
        <w:tc>
          <w:tcPr>
            <w:tcW w:w="71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9A5688" w:rsidRPr="005A4E0C" w:rsidRDefault="009A5688" w:rsidP="005622AB">
            <w:pPr>
              <w:jc w:val="left"/>
            </w:pPr>
            <w:r w:rsidRPr="005A4E0C">
              <w:t>Nº</w:t>
            </w:r>
          </w:p>
        </w:tc>
        <w:tc>
          <w:tcPr>
            <w:tcW w:w="1170" w:type="dxa"/>
            <w:tcBorders>
              <w:top w:val="single" w:sz="4" w:space="0" w:color="auto"/>
              <w:left w:val="nil"/>
              <w:bottom w:val="single" w:sz="4" w:space="0" w:color="auto"/>
              <w:right w:val="single" w:sz="4" w:space="0" w:color="auto"/>
            </w:tcBorders>
            <w:shd w:val="clear" w:color="000000" w:fill="DCE6F1"/>
            <w:noWrap/>
            <w:vAlign w:val="center"/>
            <w:hideMark/>
          </w:tcPr>
          <w:p w:rsidR="009A5688" w:rsidRPr="005A4E0C" w:rsidRDefault="009A5688" w:rsidP="005622AB">
            <w:pPr>
              <w:jc w:val="left"/>
            </w:pPr>
          </w:p>
        </w:tc>
        <w:tc>
          <w:tcPr>
            <w:tcW w:w="1440" w:type="dxa"/>
            <w:tcBorders>
              <w:top w:val="single" w:sz="4" w:space="0" w:color="auto"/>
              <w:left w:val="nil"/>
              <w:bottom w:val="single" w:sz="4" w:space="0" w:color="auto"/>
              <w:right w:val="single" w:sz="4" w:space="0" w:color="auto"/>
            </w:tcBorders>
            <w:shd w:val="clear" w:color="000000" w:fill="DCE6F1"/>
            <w:noWrap/>
            <w:vAlign w:val="center"/>
            <w:hideMark/>
          </w:tcPr>
          <w:p w:rsidR="009A5688" w:rsidRPr="005A4E0C" w:rsidRDefault="009A5688" w:rsidP="005622AB">
            <w:pPr>
              <w:jc w:val="left"/>
            </w:pPr>
            <w:r w:rsidRPr="005A4E0C">
              <w:t>(kg/</w:t>
            </w:r>
            <w:proofErr w:type="spellStart"/>
            <w:r w:rsidRPr="005A4E0C">
              <w:t>cm</w:t>
            </w:r>
            <w:r w:rsidRPr="005A4E0C">
              <w:rPr>
                <w:vertAlign w:val="superscript"/>
              </w:rPr>
              <w:t>2</w:t>
            </w:r>
            <w:proofErr w:type="spellEnd"/>
            <w:r w:rsidRPr="005A4E0C">
              <w:t>)</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rsidR="009A5688" w:rsidRPr="005A4E0C" w:rsidRDefault="009A5688" w:rsidP="005622AB">
            <w:pPr>
              <w:jc w:val="left"/>
            </w:pPr>
            <w:r w:rsidRPr="005A4E0C">
              <w:t>(h</w:t>
            </w:r>
            <w:r w:rsidRPr="005A4E0C">
              <w:rPr>
                <w:vertAlign w:val="superscript"/>
              </w:rPr>
              <w:t>-1</w:t>
            </w:r>
            <w:r w:rsidRPr="005A4E0C">
              <w:t>)</w:t>
            </w:r>
          </w:p>
        </w:tc>
        <w:tc>
          <w:tcPr>
            <w:tcW w:w="950" w:type="dxa"/>
            <w:tcBorders>
              <w:top w:val="single" w:sz="4" w:space="0" w:color="auto"/>
              <w:left w:val="nil"/>
              <w:bottom w:val="single" w:sz="4" w:space="0" w:color="auto"/>
              <w:right w:val="single" w:sz="4" w:space="0" w:color="auto"/>
            </w:tcBorders>
            <w:shd w:val="clear" w:color="000000" w:fill="DCE6F1"/>
            <w:noWrap/>
            <w:vAlign w:val="center"/>
            <w:hideMark/>
          </w:tcPr>
          <w:p w:rsidR="009A5688" w:rsidRPr="005A4E0C" w:rsidRDefault="009A5688" w:rsidP="005622AB">
            <w:pPr>
              <w:jc w:val="left"/>
            </w:pPr>
            <w:r w:rsidRPr="005A4E0C">
              <w:t>(</w:t>
            </w:r>
            <w:proofErr w:type="spellStart"/>
            <w:r w:rsidRPr="005A4E0C">
              <w:t>Nm</w:t>
            </w:r>
            <w:r w:rsidRPr="005A4E0C">
              <w:rPr>
                <w:vertAlign w:val="superscript"/>
              </w:rPr>
              <w:t>3</w:t>
            </w:r>
            <w:proofErr w:type="spellEnd"/>
            <w:r w:rsidRPr="005A4E0C">
              <w:t>/</w:t>
            </w:r>
            <w:proofErr w:type="spellStart"/>
            <w:r w:rsidRPr="005A4E0C">
              <w:t>m</w:t>
            </w:r>
            <w:r w:rsidRPr="005A4E0C">
              <w:rPr>
                <w:vertAlign w:val="superscript"/>
              </w:rPr>
              <w:t>3</w:t>
            </w:r>
            <w:proofErr w:type="spellEnd"/>
            <w:r w:rsidRPr="005A4E0C">
              <w:t>)</w:t>
            </w:r>
          </w:p>
        </w:tc>
        <w:tc>
          <w:tcPr>
            <w:tcW w:w="1187" w:type="dxa"/>
            <w:tcBorders>
              <w:top w:val="single" w:sz="4" w:space="0" w:color="auto"/>
              <w:left w:val="nil"/>
              <w:bottom w:val="single" w:sz="4" w:space="0" w:color="auto"/>
              <w:right w:val="single" w:sz="4" w:space="0" w:color="auto"/>
            </w:tcBorders>
            <w:shd w:val="clear" w:color="000000" w:fill="DCE6F1"/>
            <w:noWrap/>
            <w:vAlign w:val="center"/>
            <w:hideMark/>
          </w:tcPr>
          <w:p w:rsidR="009A5688" w:rsidRPr="005A4E0C" w:rsidRDefault="009A5688" w:rsidP="005622AB">
            <w:pPr>
              <w:jc w:val="left"/>
            </w:pPr>
            <w:r w:rsidRPr="005A4E0C">
              <w:t>(°C)</w:t>
            </w:r>
          </w:p>
        </w:tc>
        <w:tc>
          <w:tcPr>
            <w:tcW w:w="1350" w:type="dxa"/>
            <w:tcBorders>
              <w:top w:val="single" w:sz="4" w:space="0" w:color="auto"/>
              <w:left w:val="nil"/>
              <w:bottom w:val="single" w:sz="4" w:space="0" w:color="auto"/>
              <w:right w:val="single" w:sz="4" w:space="0" w:color="auto"/>
            </w:tcBorders>
            <w:shd w:val="clear" w:color="000000" w:fill="DCE6F1"/>
            <w:noWrap/>
            <w:vAlign w:val="center"/>
            <w:hideMark/>
          </w:tcPr>
          <w:p w:rsidR="009A5688" w:rsidRPr="005A4E0C" w:rsidRDefault="009A5688" w:rsidP="005622AB">
            <w:pPr>
              <w:jc w:val="left"/>
            </w:pPr>
            <w:r w:rsidRPr="005A4E0C">
              <w:t>(ppm)</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rsidR="009A5688" w:rsidRPr="005A4E0C" w:rsidRDefault="009A5688" w:rsidP="005622AB">
            <w:pPr>
              <w:jc w:val="left"/>
            </w:pPr>
            <w:r w:rsidRPr="005A4E0C">
              <w:t>ppm</w:t>
            </w:r>
          </w:p>
        </w:tc>
      </w:tr>
      <w:tr w:rsidR="009A5688" w:rsidRPr="0084784D" w:rsidTr="009A5688">
        <w:trPr>
          <w:trHeight w:val="211"/>
        </w:trPr>
        <w:tc>
          <w:tcPr>
            <w:tcW w:w="715" w:type="dxa"/>
            <w:tcBorders>
              <w:top w:val="single" w:sz="4" w:space="0" w:color="auto"/>
              <w:left w:val="single" w:sz="4" w:space="0" w:color="auto"/>
              <w:bottom w:val="single" w:sz="4" w:space="0" w:color="auto"/>
              <w:right w:val="single" w:sz="4" w:space="0" w:color="auto"/>
            </w:tcBorders>
            <w:vAlign w:val="center"/>
            <w:hideMark/>
          </w:tcPr>
          <w:p w:rsidR="009A5688" w:rsidRPr="005A4E0C" w:rsidRDefault="009A5688" w:rsidP="00324686">
            <w:pPr>
              <w:jc w:val="center"/>
            </w:pPr>
            <w:r w:rsidRPr="005A4E0C">
              <w:t>1 - 7</w:t>
            </w:r>
          </w:p>
        </w:tc>
        <w:tc>
          <w:tcPr>
            <w:tcW w:w="117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Naphtha</w:t>
            </w:r>
          </w:p>
        </w:tc>
        <w:tc>
          <w:tcPr>
            <w:tcW w:w="144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25.5 to 23.7</w:t>
            </w:r>
          </w:p>
        </w:tc>
        <w:tc>
          <w:tcPr>
            <w:tcW w:w="90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4 to 5</w:t>
            </w:r>
          </w:p>
        </w:tc>
        <w:tc>
          <w:tcPr>
            <w:tcW w:w="95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44</w:t>
            </w:r>
          </w:p>
        </w:tc>
        <w:tc>
          <w:tcPr>
            <w:tcW w:w="1187"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275 to 320</w:t>
            </w:r>
          </w:p>
        </w:tc>
        <w:tc>
          <w:tcPr>
            <w:tcW w:w="135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1.2 to &lt; 0.5</w:t>
            </w:r>
          </w:p>
        </w:tc>
        <w:tc>
          <w:tcPr>
            <w:tcW w:w="99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&lt;0.3</w:t>
            </w:r>
          </w:p>
        </w:tc>
      </w:tr>
      <w:tr w:rsidR="009A5688" w:rsidRPr="0084784D" w:rsidTr="009A5688">
        <w:trPr>
          <w:trHeight w:val="128"/>
        </w:trPr>
        <w:tc>
          <w:tcPr>
            <w:tcW w:w="715" w:type="dxa"/>
            <w:tcBorders>
              <w:top w:val="single" w:sz="4" w:space="0" w:color="auto"/>
              <w:left w:val="single" w:sz="4" w:space="0" w:color="auto"/>
              <w:bottom w:val="single" w:sz="4" w:space="0" w:color="auto"/>
              <w:right w:val="single" w:sz="4" w:space="0" w:color="auto"/>
            </w:tcBorders>
            <w:vAlign w:val="center"/>
            <w:hideMark/>
          </w:tcPr>
          <w:p w:rsidR="009A5688" w:rsidRPr="005A4E0C" w:rsidRDefault="009A5688" w:rsidP="00324686">
            <w:pPr>
              <w:jc w:val="center"/>
            </w:pPr>
            <w:r w:rsidRPr="005A4E0C">
              <w:t>8</w:t>
            </w:r>
          </w:p>
        </w:tc>
        <w:tc>
          <w:tcPr>
            <w:tcW w:w="1170" w:type="dxa"/>
            <w:tcBorders>
              <w:top w:val="single" w:sz="4" w:space="0" w:color="auto"/>
              <w:left w:val="nil"/>
              <w:bottom w:val="single" w:sz="4" w:space="0" w:color="auto"/>
              <w:right w:val="single" w:sz="4" w:space="0" w:color="auto"/>
            </w:tcBorders>
            <w:vAlign w:val="center"/>
            <w:hideMark/>
          </w:tcPr>
          <w:p w:rsidR="009A5688" w:rsidRDefault="009A5688" w:rsidP="00324686">
            <w:pPr>
              <w:jc w:val="center"/>
            </w:pPr>
            <w:r w:rsidRPr="005A4E0C">
              <w:t>Naphtha</w:t>
            </w:r>
          </w:p>
          <w:p w:rsidR="009A5688" w:rsidRPr="005A4E0C" w:rsidRDefault="009A5688" w:rsidP="00324686">
            <w:pPr>
              <w:jc w:val="center"/>
            </w:pPr>
            <w:r w:rsidRPr="005A4E0C">
              <w:t>(10 ppm N)</w:t>
            </w:r>
          </w:p>
        </w:tc>
        <w:tc>
          <w:tcPr>
            <w:tcW w:w="144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23.7</w:t>
            </w:r>
          </w:p>
        </w:tc>
        <w:tc>
          <w:tcPr>
            <w:tcW w:w="90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4.5</w:t>
            </w:r>
          </w:p>
        </w:tc>
        <w:tc>
          <w:tcPr>
            <w:tcW w:w="95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44</w:t>
            </w:r>
          </w:p>
        </w:tc>
        <w:tc>
          <w:tcPr>
            <w:tcW w:w="1187"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280</w:t>
            </w:r>
          </w:p>
        </w:tc>
        <w:tc>
          <w:tcPr>
            <w:tcW w:w="135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&lt; 0.5</w:t>
            </w:r>
          </w:p>
        </w:tc>
        <w:tc>
          <w:tcPr>
            <w:tcW w:w="990" w:type="dxa"/>
            <w:tcBorders>
              <w:top w:val="single" w:sz="4" w:space="0" w:color="auto"/>
              <w:left w:val="nil"/>
              <w:bottom w:val="single" w:sz="4" w:space="0" w:color="auto"/>
              <w:right w:val="single" w:sz="4" w:space="0" w:color="auto"/>
            </w:tcBorders>
            <w:vAlign w:val="center"/>
            <w:hideMark/>
          </w:tcPr>
          <w:p w:rsidR="009A5688" w:rsidRPr="005A4E0C" w:rsidRDefault="009A5688" w:rsidP="00324686">
            <w:pPr>
              <w:jc w:val="center"/>
            </w:pPr>
            <w:r w:rsidRPr="005A4E0C">
              <w:t>&lt;0.3</w:t>
            </w:r>
          </w:p>
        </w:tc>
      </w:tr>
      <w:tr w:rsidR="009A5688" w:rsidRPr="0084784D" w:rsidTr="009A5688">
        <w:trPr>
          <w:trHeight w:val="128"/>
        </w:trPr>
        <w:tc>
          <w:tcPr>
            <w:tcW w:w="715" w:type="dxa"/>
            <w:tcBorders>
              <w:top w:val="single" w:sz="4" w:space="0" w:color="auto"/>
              <w:left w:val="single" w:sz="4" w:space="0" w:color="auto"/>
              <w:bottom w:val="single" w:sz="4" w:space="0" w:color="auto"/>
              <w:right w:val="single" w:sz="4" w:space="0" w:color="auto"/>
            </w:tcBorders>
            <w:vAlign w:val="center"/>
          </w:tcPr>
          <w:p w:rsidR="009A5688" w:rsidRPr="005A4E0C" w:rsidRDefault="009A5688" w:rsidP="00324686">
            <w:pPr>
              <w:jc w:val="center"/>
            </w:pPr>
            <w:r w:rsidRPr="005A4E0C">
              <w:t>9-11</w:t>
            </w:r>
          </w:p>
        </w:tc>
        <w:tc>
          <w:tcPr>
            <w:tcW w:w="1170" w:type="dxa"/>
            <w:tcBorders>
              <w:top w:val="single" w:sz="4" w:space="0" w:color="auto"/>
              <w:left w:val="nil"/>
              <w:bottom w:val="single" w:sz="4" w:space="0" w:color="auto"/>
              <w:right w:val="single" w:sz="4" w:space="0" w:color="auto"/>
            </w:tcBorders>
            <w:vAlign w:val="center"/>
          </w:tcPr>
          <w:p w:rsidR="009A5688" w:rsidRPr="005A4E0C" w:rsidRDefault="009A5688" w:rsidP="00324686">
            <w:pPr>
              <w:jc w:val="center"/>
            </w:pPr>
            <w:proofErr w:type="spellStart"/>
            <w:r w:rsidRPr="005A4E0C">
              <w:t>Kero</w:t>
            </w:r>
            <w:proofErr w:type="spellEnd"/>
          </w:p>
        </w:tc>
        <w:tc>
          <w:tcPr>
            <w:tcW w:w="1440" w:type="dxa"/>
            <w:tcBorders>
              <w:top w:val="single" w:sz="4" w:space="0" w:color="auto"/>
              <w:left w:val="nil"/>
              <w:bottom w:val="single" w:sz="4" w:space="0" w:color="auto"/>
              <w:right w:val="single" w:sz="4" w:space="0" w:color="auto"/>
            </w:tcBorders>
            <w:vAlign w:val="center"/>
          </w:tcPr>
          <w:p w:rsidR="009A5688" w:rsidRPr="005A4E0C" w:rsidRDefault="009A5688" w:rsidP="00324686">
            <w:pPr>
              <w:jc w:val="center"/>
            </w:pPr>
            <w:r w:rsidRPr="005A4E0C">
              <w:t>44.24 to 40.26</w:t>
            </w:r>
          </w:p>
        </w:tc>
        <w:tc>
          <w:tcPr>
            <w:tcW w:w="900" w:type="dxa"/>
            <w:tcBorders>
              <w:top w:val="single" w:sz="4" w:space="0" w:color="auto"/>
              <w:left w:val="nil"/>
              <w:bottom w:val="single" w:sz="4" w:space="0" w:color="auto"/>
              <w:right w:val="single" w:sz="4" w:space="0" w:color="auto"/>
            </w:tcBorders>
            <w:vAlign w:val="center"/>
          </w:tcPr>
          <w:p w:rsidR="009A5688" w:rsidRPr="005A4E0C" w:rsidRDefault="009A5688" w:rsidP="00324686">
            <w:pPr>
              <w:jc w:val="center"/>
            </w:pPr>
            <w:r w:rsidRPr="005A4E0C">
              <w:t>2 to 2.5</w:t>
            </w:r>
          </w:p>
        </w:tc>
        <w:tc>
          <w:tcPr>
            <w:tcW w:w="950" w:type="dxa"/>
            <w:tcBorders>
              <w:top w:val="single" w:sz="4" w:space="0" w:color="auto"/>
              <w:left w:val="nil"/>
              <w:bottom w:val="single" w:sz="4" w:space="0" w:color="auto"/>
              <w:right w:val="single" w:sz="4" w:space="0" w:color="auto"/>
            </w:tcBorders>
            <w:vAlign w:val="center"/>
          </w:tcPr>
          <w:p w:rsidR="009A5688" w:rsidRPr="005A4E0C" w:rsidRDefault="009A5688" w:rsidP="00324686">
            <w:pPr>
              <w:jc w:val="center"/>
            </w:pPr>
            <w:r w:rsidRPr="005A4E0C">
              <w:t>305</w:t>
            </w:r>
          </w:p>
        </w:tc>
        <w:tc>
          <w:tcPr>
            <w:tcW w:w="1187" w:type="dxa"/>
            <w:tcBorders>
              <w:top w:val="single" w:sz="4" w:space="0" w:color="auto"/>
              <w:left w:val="nil"/>
              <w:bottom w:val="single" w:sz="4" w:space="0" w:color="auto"/>
              <w:right w:val="single" w:sz="4" w:space="0" w:color="auto"/>
            </w:tcBorders>
            <w:vAlign w:val="center"/>
          </w:tcPr>
          <w:p w:rsidR="009A5688" w:rsidRPr="005A4E0C" w:rsidRDefault="009A5688" w:rsidP="00324686">
            <w:pPr>
              <w:jc w:val="center"/>
            </w:pPr>
            <w:r w:rsidRPr="005A4E0C">
              <w:t>275 to 280</w:t>
            </w:r>
          </w:p>
        </w:tc>
        <w:tc>
          <w:tcPr>
            <w:tcW w:w="1350" w:type="dxa"/>
            <w:tcBorders>
              <w:top w:val="single" w:sz="4" w:space="0" w:color="auto"/>
              <w:left w:val="nil"/>
              <w:bottom w:val="single" w:sz="4" w:space="0" w:color="auto"/>
              <w:right w:val="single" w:sz="4" w:space="0" w:color="auto"/>
            </w:tcBorders>
            <w:vAlign w:val="center"/>
          </w:tcPr>
          <w:p w:rsidR="009A5688" w:rsidRDefault="009A5688" w:rsidP="00324686">
            <w:pPr>
              <w:jc w:val="center"/>
            </w:pPr>
            <w:r w:rsidRPr="005A4E0C">
              <w:t>3.8 to 1.4</w:t>
            </w:r>
          </w:p>
          <w:p w:rsidR="009A5688" w:rsidRPr="005A4E0C" w:rsidRDefault="009A5688" w:rsidP="00324686">
            <w:pPr>
              <w:jc w:val="center"/>
            </w:pPr>
            <w:r>
              <w:t>(</w:t>
            </w:r>
            <w:proofErr w:type="spellStart"/>
            <w:r>
              <w:t>Mercapan</w:t>
            </w:r>
            <w:proofErr w:type="spellEnd"/>
            <w:r>
              <w:t xml:space="preserve"> S)</w:t>
            </w:r>
          </w:p>
        </w:tc>
        <w:tc>
          <w:tcPr>
            <w:tcW w:w="990" w:type="dxa"/>
            <w:tcBorders>
              <w:top w:val="single" w:sz="4" w:space="0" w:color="auto"/>
              <w:left w:val="nil"/>
              <w:bottom w:val="single" w:sz="4" w:space="0" w:color="auto"/>
              <w:right w:val="single" w:sz="4" w:space="0" w:color="auto"/>
            </w:tcBorders>
            <w:vAlign w:val="center"/>
          </w:tcPr>
          <w:p w:rsidR="009A5688" w:rsidRPr="005A4E0C" w:rsidRDefault="009A5688" w:rsidP="00324686">
            <w:pPr>
              <w:jc w:val="center"/>
            </w:pPr>
            <w:r w:rsidRPr="005A4E0C">
              <w:t>-</w:t>
            </w:r>
          </w:p>
        </w:tc>
      </w:tr>
    </w:tbl>
    <w:p w:rsidR="009A5688" w:rsidRDefault="009A5688" w:rsidP="009A5688">
      <w:pPr>
        <w:snapToGrid w:val="0"/>
        <w:spacing w:after="120"/>
        <w:rPr>
          <w:rFonts w:asciiTheme="minorHAnsi" w:eastAsia="MS PGothic" w:hAnsiTheme="minorHAnsi"/>
          <w:color w:val="000000"/>
          <w:sz w:val="22"/>
          <w:szCs w:val="22"/>
          <w:lang w:val="en-US"/>
        </w:rPr>
      </w:pPr>
    </w:p>
    <w:p w:rsidR="009A5688" w:rsidRPr="009A5688" w:rsidRDefault="009A5688" w:rsidP="009A5688">
      <w:pPr>
        <w:snapToGrid w:val="0"/>
        <w:spacing w:after="120"/>
        <w:rPr>
          <w:rFonts w:asciiTheme="minorHAnsi" w:eastAsia="MS PGothic" w:hAnsiTheme="minorHAnsi"/>
          <w:color w:val="000000"/>
          <w:sz w:val="22"/>
          <w:szCs w:val="22"/>
          <w:lang w:val="en-US"/>
        </w:rPr>
      </w:pPr>
      <w:r w:rsidRPr="009A5688">
        <w:rPr>
          <w:rFonts w:asciiTheme="minorHAnsi" w:eastAsia="MS PGothic" w:hAnsiTheme="minorHAnsi"/>
          <w:color w:val="000000"/>
          <w:sz w:val="22"/>
          <w:szCs w:val="22"/>
          <w:lang w:val="en-US"/>
        </w:rPr>
        <w:t xml:space="preserve">For kerosene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pilot plant test was started at </w:t>
      </w:r>
      <w:proofErr w:type="spellStart"/>
      <w:r w:rsidRPr="009A5688">
        <w:rPr>
          <w:rFonts w:asciiTheme="minorHAnsi" w:eastAsia="MS PGothic" w:hAnsiTheme="minorHAnsi"/>
          <w:color w:val="000000"/>
          <w:sz w:val="22"/>
          <w:szCs w:val="22"/>
          <w:lang w:val="en-US"/>
        </w:rPr>
        <w:t>LHSV</w:t>
      </w:r>
      <w:proofErr w:type="spellEnd"/>
      <w:r w:rsidRPr="009A5688">
        <w:rPr>
          <w:rFonts w:asciiTheme="minorHAnsi" w:eastAsia="MS PGothic" w:hAnsiTheme="minorHAnsi"/>
          <w:color w:val="000000"/>
          <w:sz w:val="22"/>
          <w:szCs w:val="22"/>
          <w:lang w:val="en-US"/>
        </w:rPr>
        <w:t xml:space="preserve"> 2 </w:t>
      </w:r>
      <w:proofErr w:type="spellStart"/>
      <w:r w:rsidRPr="009A5688">
        <w:rPr>
          <w:rFonts w:asciiTheme="minorHAnsi" w:eastAsia="MS PGothic" w:hAnsiTheme="minorHAnsi"/>
          <w:color w:val="000000"/>
          <w:sz w:val="22"/>
          <w:szCs w:val="22"/>
          <w:lang w:val="en-US"/>
        </w:rPr>
        <w:t>hr</w:t>
      </w:r>
      <w:r w:rsidRPr="002C1119">
        <w:rPr>
          <w:rFonts w:asciiTheme="minorHAnsi" w:eastAsia="MS PGothic" w:hAnsiTheme="minorHAnsi"/>
          <w:color w:val="000000"/>
          <w:sz w:val="22"/>
          <w:szCs w:val="22"/>
          <w:vertAlign w:val="superscript"/>
          <w:lang w:val="en-US"/>
        </w:rPr>
        <w:t>1</w:t>
      </w:r>
      <w:proofErr w:type="spellEnd"/>
      <w:r w:rsidRPr="009A5688">
        <w:rPr>
          <w:rFonts w:asciiTheme="minorHAnsi" w:eastAsia="MS PGothic" w:hAnsiTheme="minorHAnsi"/>
          <w:color w:val="000000"/>
          <w:sz w:val="22"/>
          <w:szCs w:val="22"/>
          <w:lang w:val="en-US"/>
        </w:rPr>
        <w:t xml:space="preserve"> at </w:t>
      </w:r>
      <w:proofErr w:type="spellStart"/>
      <w:r w:rsidRPr="009A5688">
        <w:rPr>
          <w:rFonts w:asciiTheme="minorHAnsi" w:eastAsia="MS PGothic" w:hAnsiTheme="minorHAnsi"/>
          <w:color w:val="000000"/>
          <w:sz w:val="22"/>
          <w:szCs w:val="22"/>
          <w:lang w:val="en-US"/>
        </w:rPr>
        <w:t>275˚C</w:t>
      </w:r>
      <w:proofErr w:type="spellEnd"/>
      <w:r w:rsidRPr="009A5688">
        <w:rPr>
          <w:rFonts w:asciiTheme="minorHAnsi" w:eastAsia="MS PGothic" w:hAnsiTheme="minorHAnsi"/>
          <w:color w:val="000000"/>
          <w:sz w:val="22"/>
          <w:szCs w:val="22"/>
          <w:lang w:val="en-US"/>
        </w:rPr>
        <w:t xml:space="preserve"> and product specs were observed withi</w:t>
      </w:r>
      <w:r w:rsidR="00324686">
        <w:rPr>
          <w:rFonts w:asciiTheme="minorHAnsi" w:eastAsia="MS PGothic" w:hAnsiTheme="minorHAnsi"/>
          <w:color w:val="000000"/>
          <w:sz w:val="22"/>
          <w:szCs w:val="22"/>
          <w:lang w:val="en-US"/>
        </w:rPr>
        <w:t xml:space="preserve">n acceptable range. The </w:t>
      </w:r>
      <w:proofErr w:type="spellStart"/>
      <w:r w:rsidR="00324686">
        <w:rPr>
          <w:rFonts w:asciiTheme="minorHAnsi" w:eastAsia="MS PGothic" w:hAnsiTheme="minorHAnsi"/>
          <w:color w:val="000000"/>
          <w:sz w:val="22"/>
          <w:szCs w:val="22"/>
          <w:lang w:val="en-US"/>
        </w:rPr>
        <w:t>mercapta</w:t>
      </w:r>
      <w:r w:rsidRPr="009A5688">
        <w:rPr>
          <w:rFonts w:asciiTheme="minorHAnsi" w:eastAsia="MS PGothic" w:hAnsiTheme="minorHAnsi"/>
          <w:color w:val="000000"/>
          <w:sz w:val="22"/>
          <w:szCs w:val="22"/>
          <w:lang w:val="en-US"/>
        </w:rPr>
        <w:t>n</w:t>
      </w:r>
      <w:proofErr w:type="spellEnd"/>
      <w:r w:rsidRPr="009A5688">
        <w:rPr>
          <w:rFonts w:asciiTheme="minorHAnsi" w:eastAsia="MS PGothic" w:hAnsiTheme="minorHAnsi"/>
          <w:color w:val="000000"/>
          <w:sz w:val="22"/>
          <w:szCs w:val="22"/>
          <w:lang w:val="en-US"/>
        </w:rPr>
        <w:t xml:space="preserve"> </w:t>
      </w:r>
      <w:proofErr w:type="spellStart"/>
      <w:r w:rsidRPr="009A5688">
        <w:rPr>
          <w:rFonts w:asciiTheme="minorHAnsi" w:eastAsia="MS PGothic" w:hAnsiTheme="minorHAnsi"/>
          <w:color w:val="000000"/>
          <w:sz w:val="22"/>
          <w:szCs w:val="22"/>
          <w:lang w:val="en-US"/>
        </w:rPr>
        <w:t>sulphur</w:t>
      </w:r>
      <w:proofErr w:type="spellEnd"/>
      <w:r w:rsidRPr="009A5688">
        <w:rPr>
          <w:rFonts w:asciiTheme="minorHAnsi" w:eastAsia="MS PGothic" w:hAnsiTheme="minorHAnsi"/>
          <w:color w:val="000000"/>
          <w:sz w:val="22"/>
          <w:szCs w:val="22"/>
          <w:lang w:val="en-US"/>
        </w:rPr>
        <w:t xml:space="preserve"> in the product was reported around 3 ppm (on specs) for the first test point, then temperature was increased to 280 ˚C to compare the results with current operation of </w:t>
      </w:r>
      <w:proofErr w:type="spellStart"/>
      <w:r w:rsidRPr="009A5688">
        <w:rPr>
          <w:rFonts w:asciiTheme="minorHAnsi" w:eastAsia="MS PGothic" w:hAnsiTheme="minorHAnsi"/>
          <w:color w:val="000000"/>
          <w:sz w:val="22"/>
          <w:szCs w:val="22"/>
          <w:lang w:val="en-US"/>
        </w:rPr>
        <w:t>Kero</w:t>
      </w:r>
      <w:proofErr w:type="spellEnd"/>
      <w:r w:rsidRPr="009A5688">
        <w:rPr>
          <w:rFonts w:asciiTheme="minorHAnsi" w:eastAsia="MS PGothic" w:hAnsiTheme="minorHAnsi"/>
          <w:color w:val="000000"/>
          <w:sz w:val="22"/>
          <w:szCs w:val="22"/>
          <w:lang w:val="en-US"/>
        </w:rPr>
        <w:t xml:space="preserve">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unit. Also at higher </w:t>
      </w:r>
      <w:proofErr w:type="spellStart"/>
      <w:r w:rsidRPr="009A5688">
        <w:rPr>
          <w:rFonts w:asciiTheme="minorHAnsi" w:eastAsia="MS PGothic" w:hAnsiTheme="minorHAnsi"/>
          <w:color w:val="000000"/>
          <w:sz w:val="22"/>
          <w:szCs w:val="22"/>
          <w:lang w:val="en-US"/>
        </w:rPr>
        <w:t>LHSV</w:t>
      </w:r>
      <w:proofErr w:type="spellEnd"/>
      <w:r w:rsidRPr="009A5688">
        <w:rPr>
          <w:rFonts w:asciiTheme="minorHAnsi" w:eastAsia="MS PGothic" w:hAnsiTheme="minorHAnsi"/>
          <w:color w:val="000000"/>
          <w:sz w:val="22"/>
          <w:szCs w:val="22"/>
          <w:lang w:val="en-US"/>
        </w:rPr>
        <w:t xml:space="preserve"> of 2.5 </w:t>
      </w:r>
      <w:proofErr w:type="spellStart"/>
      <w:r w:rsidRPr="009A5688">
        <w:rPr>
          <w:rFonts w:asciiTheme="minorHAnsi" w:eastAsia="MS PGothic" w:hAnsiTheme="minorHAnsi"/>
          <w:color w:val="000000"/>
          <w:sz w:val="22"/>
          <w:szCs w:val="22"/>
          <w:lang w:val="en-US"/>
        </w:rPr>
        <w:t>hr</w:t>
      </w:r>
      <w:proofErr w:type="spellEnd"/>
      <w:r w:rsidRPr="002C1119">
        <w:rPr>
          <w:rFonts w:asciiTheme="minorHAnsi" w:eastAsia="MS PGothic" w:hAnsiTheme="minorHAnsi"/>
          <w:color w:val="000000"/>
          <w:sz w:val="22"/>
          <w:szCs w:val="22"/>
          <w:vertAlign w:val="superscript"/>
          <w:lang w:val="en-US"/>
        </w:rPr>
        <w:t>-1</w:t>
      </w:r>
      <w:r w:rsidRPr="009A5688">
        <w:rPr>
          <w:rFonts w:asciiTheme="minorHAnsi" w:eastAsia="MS PGothic" w:hAnsiTheme="minorHAnsi"/>
          <w:color w:val="000000"/>
          <w:sz w:val="22"/>
          <w:szCs w:val="22"/>
          <w:lang w:val="en-US"/>
        </w:rPr>
        <w:t xml:space="preserve">, on spec </w:t>
      </w:r>
      <w:proofErr w:type="spellStart"/>
      <w:r w:rsidRPr="009A5688">
        <w:rPr>
          <w:rFonts w:asciiTheme="minorHAnsi" w:eastAsia="MS PGothic" w:hAnsiTheme="minorHAnsi"/>
          <w:color w:val="000000"/>
          <w:sz w:val="22"/>
          <w:szCs w:val="22"/>
          <w:lang w:val="en-US"/>
        </w:rPr>
        <w:t>Kero</w:t>
      </w:r>
      <w:proofErr w:type="spellEnd"/>
      <w:r w:rsidRPr="009A5688">
        <w:rPr>
          <w:rFonts w:asciiTheme="minorHAnsi" w:eastAsia="MS PGothic" w:hAnsiTheme="minorHAnsi"/>
          <w:color w:val="000000"/>
          <w:sz w:val="22"/>
          <w:szCs w:val="22"/>
          <w:lang w:val="en-US"/>
        </w:rPr>
        <w:t xml:space="preserve"> with &lt;10 ppm </w:t>
      </w:r>
      <w:proofErr w:type="spellStart"/>
      <w:r w:rsidRPr="009A5688">
        <w:rPr>
          <w:rFonts w:asciiTheme="minorHAnsi" w:eastAsia="MS PGothic" w:hAnsiTheme="minorHAnsi"/>
          <w:color w:val="000000"/>
          <w:sz w:val="22"/>
          <w:szCs w:val="22"/>
          <w:lang w:val="en-US"/>
        </w:rPr>
        <w:t>mercaptan</w:t>
      </w:r>
      <w:proofErr w:type="spellEnd"/>
      <w:r w:rsidRPr="009A5688">
        <w:rPr>
          <w:rFonts w:asciiTheme="minorHAnsi" w:eastAsia="MS PGothic" w:hAnsiTheme="minorHAnsi"/>
          <w:color w:val="000000"/>
          <w:sz w:val="22"/>
          <w:szCs w:val="22"/>
          <w:lang w:val="en-US"/>
        </w:rPr>
        <w:t xml:space="preserve"> </w:t>
      </w:r>
      <w:proofErr w:type="spellStart"/>
      <w:r w:rsidRPr="009A5688">
        <w:rPr>
          <w:rFonts w:asciiTheme="minorHAnsi" w:eastAsia="MS PGothic" w:hAnsiTheme="minorHAnsi"/>
          <w:color w:val="000000"/>
          <w:sz w:val="22"/>
          <w:szCs w:val="22"/>
          <w:lang w:val="en-US"/>
        </w:rPr>
        <w:t>sulphur</w:t>
      </w:r>
      <w:proofErr w:type="spellEnd"/>
      <w:r w:rsidRPr="009A5688">
        <w:rPr>
          <w:rFonts w:asciiTheme="minorHAnsi" w:eastAsia="MS PGothic" w:hAnsiTheme="minorHAnsi"/>
          <w:color w:val="000000"/>
          <w:sz w:val="22"/>
          <w:szCs w:val="22"/>
          <w:lang w:val="en-US"/>
        </w:rPr>
        <w:t xml:space="preserve"> was achieved. Furthermore, hydrogen partial pressure was reduced from 44.24 </w:t>
      </w:r>
      <w:r w:rsidR="002C1119" w:rsidRPr="009A5688">
        <w:rPr>
          <w:rFonts w:asciiTheme="minorHAnsi" w:eastAsia="MS PGothic" w:hAnsiTheme="minorHAnsi"/>
          <w:color w:val="000000"/>
          <w:sz w:val="22"/>
          <w:szCs w:val="22"/>
          <w:lang w:val="en-US"/>
        </w:rPr>
        <w:t>kg/</w:t>
      </w:r>
      <w:proofErr w:type="spellStart"/>
      <w:r w:rsidR="002C1119" w:rsidRPr="009A5688">
        <w:rPr>
          <w:rFonts w:asciiTheme="minorHAnsi" w:eastAsia="MS PGothic" w:hAnsiTheme="minorHAnsi"/>
          <w:color w:val="000000"/>
          <w:sz w:val="22"/>
          <w:szCs w:val="22"/>
          <w:lang w:val="en-US"/>
        </w:rPr>
        <w:t>cm</w:t>
      </w:r>
      <w:r w:rsidR="002C1119" w:rsidRPr="002C1119">
        <w:rPr>
          <w:rFonts w:asciiTheme="minorHAnsi" w:eastAsia="MS PGothic" w:hAnsiTheme="minorHAnsi"/>
          <w:color w:val="000000"/>
          <w:sz w:val="22"/>
          <w:szCs w:val="22"/>
          <w:vertAlign w:val="superscript"/>
          <w:lang w:val="en-US"/>
        </w:rPr>
        <w:t>2</w:t>
      </w:r>
      <w:proofErr w:type="spellEnd"/>
      <w:r w:rsidR="002C1119">
        <w:rPr>
          <w:rFonts w:asciiTheme="minorHAnsi" w:eastAsia="MS PGothic" w:hAnsiTheme="minorHAnsi"/>
          <w:color w:val="000000"/>
          <w:sz w:val="22"/>
          <w:szCs w:val="22"/>
          <w:vertAlign w:val="superscript"/>
          <w:lang w:val="en-US"/>
        </w:rPr>
        <w:t xml:space="preserve"> </w:t>
      </w:r>
      <w:r w:rsidRPr="009A5688">
        <w:rPr>
          <w:rFonts w:asciiTheme="minorHAnsi" w:eastAsia="MS PGothic" w:hAnsiTheme="minorHAnsi"/>
          <w:color w:val="000000"/>
          <w:sz w:val="22"/>
          <w:szCs w:val="22"/>
          <w:lang w:val="en-US"/>
        </w:rPr>
        <w:t>to 40.26 kg/</w:t>
      </w:r>
      <w:proofErr w:type="spellStart"/>
      <w:r w:rsidRPr="009A5688">
        <w:rPr>
          <w:rFonts w:asciiTheme="minorHAnsi" w:eastAsia="MS PGothic" w:hAnsiTheme="minorHAnsi"/>
          <w:color w:val="000000"/>
          <w:sz w:val="22"/>
          <w:szCs w:val="22"/>
          <w:lang w:val="en-US"/>
        </w:rPr>
        <w:t>cm</w:t>
      </w:r>
      <w:r w:rsidRPr="002C1119">
        <w:rPr>
          <w:rFonts w:asciiTheme="minorHAnsi" w:eastAsia="MS PGothic" w:hAnsiTheme="minorHAnsi"/>
          <w:color w:val="000000"/>
          <w:sz w:val="22"/>
          <w:szCs w:val="22"/>
          <w:vertAlign w:val="superscript"/>
          <w:lang w:val="en-US"/>
        </w:rPr>
        <w:t>2</w:t>
      </w:r>
      <w:proofErr w:type="spellEnd"/>
      <w:r w:rsidRPr="009A5688">
        <w:rPr>
          <w:rFonts w:asciiTheme="minorHAnsi" w:eastAsia="MS PGothic" w:hAnsiTheme="minorHAnsi"/>
          <w:color w:val="000000"/>
          <w:sz w:val="22"/>
          <w:szCs w:val="22"/>
          <w:lang w:val="en-US"/>
        </w:rPr>
        <w:t xml:space="preserve"> and there was no noticeable change in </w:t>
      </w:r>
      <w:proofErr w:type="spellStart"/>
      <w:r w:rsidRPr="009A5688">
        <w:rPr>
          <w:rFonts w:asciiTheme="minorHAnsi" w:eastAsia="MS PGothic" w:hAnsiTheme="minorHAnsi"/>
          <w:color w:val="000000"/>
          <w:sz w:val="22"/>
          <w:szCs w:val="22"/>
          <w:lang w:val="en-US"/>
        </w:rPr>
        <w:t>mercaptan</w:t>
      </w:r>
      <w:proofErr w:type="spellEnd"/>
      <w:r w:rsidRPr="009A5688">
        <w:rPr>
          <w:rFonts w:asciiTheme="minorHAnsi" w:eastAsia="MS PGothic" w:hAnsiTheme="minorHAnsi"/>
          <w:color w:val="000000"/>
          <w:sz w:val="22"/>
          <w:szCs w:val="22"/>
          <w:lang w:val="en-US"/>
        </w:rPr>
        <w:t xml:space="preserve"> </w:t>
      </w:r>
      <w:proofErr w:type="spellStart"/>
      <w:r w:rsidRPr="009A5688">
        <w:rPr>
          <w:rFonts w:asciiTheme="minorHAnsi" w:eastAsia="MS PGothic" w:hAnsiTheme="minorHAnsi"/>
          <w:color w:val="000000"/>
          <w:sz w:val="22"/>
          <w:szCs w:val="22"/>
          <w:lang w:val="en-US"/>
        </w:rPr>
        <w:t>sulphur</w:t>
      </w:r>
      <w:proofErr w:type="spellEnd"/>
      <w:r w:rsidRPr="009A5688">
        <w:rPr>
          <w:rFonts w:asciiTheme="minorHAnsi" w:eastAsia="MS PGothic" w:hAnsiTheme="minorHAnsi"/>
          <w:color w:val="000000"/>
          <w:sz w:val="22"/>
          <w:szCs w:val="22"/>
          <w:lang w:val="en-US"/>
        </w:rPr>
        <w:t xml:space="preserve">. </w:t>
      </w:r>
    </w:p>
    <w:p w:rsidR="009A5688" w:rsidRPr="009A5688" w:rsidRDefault="009A5688" w:rsidP="009A5688">
      <w:pPr>
        <w:snapToGrid w:val="0"/>
        <w:spacing w:after="120"/>
        <w:rPr>
          <w:rFonts w:asciiTheme="minorHAnsi" w:eastAsia="MS PGothic" w:hAnsiTheme="minorHAnsi"/>
          <w:color w:val="000000"/>
          <w:sz w:val="22"/>
          <w:szCs w:val="22"/>
          <w:lang w:val="en-US"/>
        </w:rPr>
      </w:pPr>
      <w:r w:rsidRPr="009A5688">
        <w:rPr>
          <w:rFonts w:asciiTheme="minorHAnsi" w:eastAsia="MS PGothic" w:hAnsiTheme="minorHAnsi"/>
          <w:color w:val="000000"/>
          <w:sz w:val="22"/>
          <w:szCs w:val="22"/>
          <w:lang w:val="en-US"/>
        </w:rPr>
        <w:t xml:space="preserve">Hydrogen consumption has been estimated to 14.67 </w:t>
      </w:r>
      <w:proofErr w:type="spellStart"/>
      <w:r w:rsidRPr="009A5688">
        <w:rPr>
          <w:rFonts w:asciiTheme="minorHAnsi" w:eastAsia="MS PGothic" w:hAnsiTheme="minorHAnsi"/>
          <w:color w:val="000000"/>
          <w:sz w:val="22"/>
          <w:szCs w:val="22"/>
          <w:lang w:val="en-US"/>
        </w:rPr>
        <w:t>Nm3</w:t>
      </w:r>
      <w:proofErr w:type="spellEnd"/>
      <w:r w:rsidRPr="009A5688">
        <w:rPr>
          <w:rFonts w:asciiTheme="minorHAnsi" w:eastAsia="MS PGothic" w:hAnsiTheme="minorHAnsi"/>
          <w:color w:val="000000"/>
          <w:sz w:val="22"/>
          <w:szCs w:val="22"/>
          <w:lang w:val="en-US"/>
        </w:rPr>
        <w:t>/</w:t>
      </w:r>
      <w:proofErr w:type="spellStart"/>
      <w:r w:rsidRPr="009A5688">
        <w:rPr>
          <w:rFonts w:asciiTheme="minorHAnsi" w:eastAsia="MS PGothic" w:hAnsiTheme="minorHAnsi"/>
          <w:color w:val="000000"/>
          <w:sz w:val="22"/>
          <w:szCs w:val="22"/>
          <w:lang w:val="en-US"/>
        </w:rPr>
        <w:t>m3</w:t>
      </w:r>
      <w:proofErr w:type="spellEnd"/>
      <w:r w:rsidRPr="009A5688">
        <w:rPr>
          <w:rFonts w:asciiTheme="minorHAnsi" w:eastAsia="MS PGothic" w:hAnsiTheme="minorHAnsi"/>
          <w:color w:val="000000"/>
          <w:sz w:val="22"/>
          <w:szCs w:val="22"/>
          <w:lang w:val="en-US"/>
        </w:rPr>
        <w:t xml:space="preserve"> </w:t>
      </w:r>
      <w:proofErr w:type="spellStart"/>
      <w:r w:rsidRPr="009A5688">
        <w:rPr>
          <w:rFonts w:asciiTheme="minorHAnsi" w:eastAsia="MS PGothic" w:hAnsiTheme="minorHAnsi"/>
          <w:color w:val="000000"/>
          <w:sz w:val="22"/>
          <w:szCs w:val="22"/>
          <w:lang w:val="en-US"/>
        </w:rPr>
        <w:t>Kero</w:t>
      </w:r>
      <w:proofErr w:type="spellEnd"/>
      <w:r w:rsidRPr="009A5688">
        <w:rPr>
          <w:rFonts w:asciiTheme="minorHAnsi" w:eastAsia="MS PGothic" w:hAnsiTheme="minorHAnsi"/>
          <w:color w:val="000000"/>
          <w:sz w:val="22"/>
          <w:szCs w:val="22"/>
          <w:lang w:val="en-US"/>
        </w:rPr>
        <w:t xml:space="preserve">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&amp; 2.63 </w:t>
      </w:r>
      <w:proofErr w:type="spellStart"/>
      <w:r w:rsidRPr="009A5688">
        <w:rPr>
          <w:rFonts w:asciiTheme="minorHAnsi" w:eastAsia="MS PGothic" w:hAnsiTheme="minorHAnsi"/>
          <w:color w:val="000000"/>
          <w:sz w:val="22"/>
          <w:szCs w:val="22"/>
          <w:lang w:val="en-US"/>
        </w:rPr>
        <w:t>Nm</w:t>
      </w:r>
      <w:r w:rsidRPr="00401DD7">
        <w:rPr>
          <w:rFonts w:asciiTheme="minorHAnsi" w:eastAsia="MS PGothic" w:hAnsiTheme="minorHAnsi"/>
          <w:color w:val="000000"/>
          <w:sz w:val="22"/>
          <w:szCs w:val="22"/>
          <w:vertAlign w:val="superscript"/>
          <w:lang w:val="en-US"/>
        </w:rPr>
        <w:t>3</w:t>
      </w:r>
      <w:proofErr w:type="spellEnd"/>
      <w:r w:rsidRPr="009A5688">
        <w:rPr>
          <w:rFonts w:asciiTheme="minorHAnsi" w:eastAsia="MS PGothic" w:hAnsiTheme="minorHAnsi"/>
          <w:color w:val="000000"/>
          <w:sz w:val="22"/>
          <w:szCs w:val="22"/>
          <w:lang w:val="en-US"/>
        </w:rPr>
        <w:t>/</w:t>
      </w:r>
      <w:proofErr w:type="spellStart"/>
      <w:r w:rsidRPr="009A5688">
        <w:rPr>
          <w:rFonts w:asciiTheme="minorHAnsi" w:eastAsia="MS PGothic" w:hAnsiTheme="minorHAnsi"/>
          <w:color w:val="000000"/>
          <w:sz w:val="22"/>
          <w:szCs w:val="22"/>
          <w:lang w:val="en-US"/>
        </w:rPr>
        <w:t>m</w:t>
      </w:r>
      <w:r w:rsidRPr="00401DD7">
        <w:rPr>
          <w:rFonts w:asciiTheme="minorHAnsi" w:eastAsia="MS PGothic" w:hAnsiTheme="minorHAnsi"/>
          <w:color w:val="000000"/>
          <w:sz w:val="22"/>
          <w:szCs w:val="22"/>
          <w:vertAlign w:val="superscript"/>
          <w:lang w:val="en-US"/>
        </w:rPr>
        <w:t>3</w:t>
      </w:r>
      <w:proofErr w:type="spellEnd"/>
      <w:r w:rsidRPr="009A5688">
        <w:rPr>
          <w:rFonts w:asciiTheme="minorHAnsi" w:eastAsia="MS PGothic" w:hAnsiTheme="minorHAnsi"/>
          <w:color w:val="000000"/>
          <w:sz w:val="22"/>
          <w:szCs w:val="22"/>
          <w:lang w:val="en-US"/>
        </w:rPr>
        <w:t xml:space="preserve"> for Naphtha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by performing a material balance for the selected test points at stable operating conditions accompanied by a series of analysis.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9A5688" w:rsidRPr="009A5688" w:rsidRDefault="009A5688" w:rsidP="009A5688">
      <w:pPr>
        <w:snapToGrid w:val="0"/>
        <w:spacing w:after="120"/>
        <w:rPr>
          <w:rFonts w:asciiTheme="minorHAnsi" w:eastAsia="MS PGothic" w:hAnsiTheme="minorHAnsi"/>
          <w:color w:val="000000"/>
          <w:sz w:val="22"/>
          <w:szCs w:val="22"/>
          <w:lang w:val="en-US"/>
        </w:rPr>
      </w:pPr>
      <w:r w:rsidRPr="009A5688">
        <w:rPr>
          <w:rFonts w:asciiTheme="minorHAnsi" w:eastAsia="MS PGothic" w:hAnsiTheme="minorHAnsi"/>
          <w:color w:val="000000"/>
          <w:sz w:val="22"/>
          <w:szCs w:val="22"/>
          <w:lang w:val="en-US"/>
        </w:rPr>
        <w:t xml:space="preserve">Based on the pilot plant test, it was concluded that the GO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catalyst is suitable to re-utilize to process whole naphtha and </w:t>
      </w:r>
      <w:proofErr w:type="spellStart"/>
      <w:r w:rsidRPr="009A5688">
        <w:rPr>
          <w:rFonts w:asciiTheme="minorHAnsi" w:eastAsia="MS PGothic" w:hAnsiTheme="minorHAnsi"/>
          <w:color w:val="000000"/>
          <w:sz w:val="22"/>
          <w:szCs w:val="22"/>
          <w:lang w:val="en-US"/>
        </w:rPr>
        <w:t>kero</w:t>
      </w:r>
      <w:proofErr w:type="spellEnd"/>
      <w:r w:rsidRPr="009A5688">
        <w:rPr>
          <w:rFonts w:asciiTheme="minorHAnsi" w:eastAsia="MS PGothic" w:hAnsiTheme="minorHAnsi"/>
          <w:color w:val="000000"/>
          <w:sz w:val="22"/>
          <w:szCs w:val="22"/>
          <w:lang w:val="en-US"/>
        </w:rPr>
        <w:t xml:space="preserve"> to produce on spec product. As per the results from the variable test points, both units can operate satisfactorily at higher </w:t>
      </w:r>
      <w:proofErr w:type="spellStart"/>
      <w:r w:rsidRPr="009A5688">
        <w:rPr>
          <w:rFonts w:asciiTheme="minorHAnsi" w:eastAsia="MS PGothic" w:hAnsiTheme="minorHAnsi"/>
          <w:color w:val="000000"/>
          <w:sz w:val="22"/>
          <w:szCs w:val="22"/>
          <w:lang w:val="en-US"/>
        </w:rPr>
        <w:t>LHSV</w:t>
      </w:r>
      <w:proofErr w:type="spellEnd"/>
      <w:r w:rsidRPr="009A5688">
        <w:rPr>
          <w:rFonts w:asciiTheme="minorHAnsi" w:eastAsia="MS PGothic" w:hAnsiTheme="minorHAnsi"/>
          <w:color w:val="000000"/>
          <w:sz w:val="22"/>
          <w:szCs w:val="22"/>
          <w:lang w:val="en-US"/>
        </w:rPr>
        <w:t xml:space="preserve"> and at lower hydrogen partial pressure without any impact in the product quality. For Naphtha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Unit, there is no tendency of aromatic saturation at higher temperature i.e. 320 ˚C. Hence there is no effect on feed selectivity for downstream reforming unit. Also it was observed that this catalyst is capable of handling higher nitrogen content i.e. 13.3 ppm in Naphtha feed. Taking into consideration the lower </w:t>
      </w:r>
      <w:proofErr w:type="spellStart"/>
      <w:r w:rsidRPr="009A5688">
        <w:rPr>
          <w:rFonts w:asciiTheme="minorHAnsi" w:eastAsia="MS PGothic" w:hAnsiTheme="minorHAnsi"/>
          <w:color w:val="000000"/>
          <w:sz w:val="22"/>
          <w:szCs w:val="22"/>
          <w:lang w:val="en-US"/>
        </w:rPr>
        <w:t>SOR</w:t>
      </w:r>
      <w:proofErr w:type="spellEnd"/>
      <w:r w:rsidRPr="009A5688">
        <w:rPr>
          <w:rFonts w:asciiTheme="minorHAnsi" w:eastAsia="MS PGothic" w:hAnsiTheme="minorHAnsi"/>
          <w:color w:val="000000"/>
          <w:sz w:val="22"/>
          <w:szCs w:val="22"/>
          <w:lang w:val="en-US"/>
        </w:rPr>
        <w:t xml:space="preserve"> temperature for Naphtha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unit at 280 ˚C and for </w:t>
      </w:r>
      <w:proofErr w:type="spellStart"/>
      <w:r w:rsidRPr="009A5688">
        <w:rPr>
          <w:rFonts w:asciiTheme="minorHAnsi" w:eastAsia="MS PGothic" w:hAnsiTheme="minorHAnsi"/>
          <w:color w:val="000000"/>
          <w:sz w:val="22"/>
          <w:szCs w:val="22"/>
          <w:lang w:val="en-US"/>
        </w:rPr>
        <w:t>Kero</w:t>
      </w:r>
      <w:proofErr w:type="spellEnd"/>
      <w:r w:rsidRPr="009A5688">
        <w:rPr>
          <w:rFonts w:asciiTheme="minorHAnsi" w:eastAsia="MS PGothic" w:hAnsiTheme="minorHAnsi"/>
          <w:color w:val="000000"/>
          <w:sz w:val="22"/>
          <w:szCs w:val="22"/>
          <w:lang w:val="en-US"/>
        </w:rPr>
        <w:t xml:space="preserve"> </w:t>
      </w:r>
      <w:proofErr w:type="spellStart"/>
      <w:r w:rsidRPr="009A5688">
        <w:rPr>
          <w:rFonts w:asciiTheme="minorHAnsi" w:eastAsia="MS PGothic" w:hAnsiTheme="minorHAnsi"/>
          <w:color w:val="000000"/>
          <w:sz w:val="22"/>
          <w:szCs w:val="22"/>
          <w:lang w:val="en-US"/>
        </w:rPr>
        <w:t>HDT</w:t>
      </w:r>
      <w:proofErr w:type="spellEnd"/>
      <w:r w:rsidRPr="009A5688">
        <w:rPr>
          <w:rFonts w:asciiTheme="minorHAnsi" w:eastAsia="MS PGothic" w:hAnsiTheme="minorHAnsi"/>
          <w:color w:val="000000"/>
          <w:sz w:val="22"/>
          <w:szCs w:val="22"/>
          <w:lang w:val="en-US"/>
        </w:rPr>
        <w:t xml:space="preserve"> unit at 295 ˚C, expected cycle length will be more than 4 years. </w:t>
      </w:r>
    </w:p>
    <w:p w:rsidR="00704BDF" w:rsidRPr="008D0BEB" w:rsidRDefault="00704BDF" w:rsidP="00AA6181">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AA6181" w:rsidRDefault="00AA6181" w:rsidP="00704BDF">
      <w:pPr>
        <w:pStyle w:val="FirstParagraph"/>
        <w:numPr>
          <w:ilvl w:val="0"/>
          <w:numId w:val="17"/>
        </w:numPr>
        <w:tabs>
          <w:tab w:val="left" w:pos="426"/>
        </w:tabs>
        <w:spacing w:line="240" w:lineRule="auto"/>
        <w:ind w:left="426" w:hanging="426"/>
        <w:rPr>
          <w:rFonts w:asciiTheme="minorHAnsi" w:hAnsiTheme="minorHAnsi"/>
          <w:color w:val="000000"/>
        </w:rPr>
      </w:pPr>
      <w:r w:rsidRPr="002C7C36">
        <w:rPr>
          <w:rFonts w:asciiTheme="minorHAnsi" w:hAnsiTheme="minorHAnsi"/>
          <w:color w:val="000000"/>
        </w:rPr>
        <w:t xml:space="preserve">M. </w:t>
      </w:r>
      <w:proofErr w:type="spellStart"/>
      <w:r w:rsidRPr="002C7C36">
        <w:rPr>
          <w:rFonts w:asciiTheme="minorHAnsi" w:hAnsiTheme="minorHAnsi"/>
          <w:color w:val="000000"/>
        </w:rPr>
        <w:t>Marafi</w:t>
      </w:r>
      <w:proofErr w:type="spellEnd"/>
      <w:r w:rsidRPr="002C7C36">
        <w:rPr>
          <w:rFonts w:asciiTheme="minorHAnsi" w:hAnsiTheme="minorHAnsi"/>
          <w:color w:val="000000"/>
        </w:rPr>
        <w:t>, A. Stanislaus, Resources, Conservation and Recycling, 53 (2008) 1–26</w:t>
      </w:r>
    </w:p>
    <w:p w:rsidR="00715123" w:rsidRPr="00715123" w:rsidRDefault="00715123" w:rsidP="00715123">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P</w:t>
      </w:r>
      <w:r w:rsidRPr="00715123">
        <w:rPr>
          <w:rFonts w:asciiTheme="minorHAnsi" w:hAnsiTheme="minorHAnsi"/>
          <w:color w:val="000000"/>
        </w:rPr>
        <w:t xml:space="preserve"> </w:t>
      </w:r>
      <w:proofErr w:type="spellStart"/>
      <w:r w:rsidRPr="00715123">
        <w:rPr>
          <w:rFonts w:asciiTheme="minorHAnsi" w:hAnsiTheme="minorHAnsi"/>
          <w:color w:val="000000"/>
        </w:rPr>
        <w:t>Laveille</w:t>
      </w:r>
      <w:proofErr w:type="spellEnd"/>
      <w:r w:rsidRPr="00715123">
        <w:rPr>
          <w:rFonts w:asciiTheme="minorHAnsi" w:hAnsiTheme="minorHAnsi"/>
          <w:color w:val="000000"/>
        </w:rPr>
        <w:t xml:space="preserve">,, A Riva, A </w:t>
      </w:r>
      <w:proofErr w:type="spellStart"/>
      <w:r w:rsidRPr="00715123">
        <w:rPr>
          <w:rFonts w:asciiTheme="minorHAnsi" w:hAnsiTheme="minorHAnsi"/>
          <w:color w:val="000000"/>
        </w:rPr>
        <w:t>Salameh</w:t>
      </w:r>
      <w:proofErr w:type="spellEnd"/>
      <w:r w:rsidRPr="00715123">
        <w:rPr>
          <w:rFonts w:asciiTheme="minorHAnsi" w:hAnsiTheme="minorHAnsi"/>
          <w:color w:val="000000"/>
        </w:rPr>
        <w:t>, P Dufresne, S Morin,</w:t>
      </w:r>
      <w:r>
        <w:rPr>
          <w:rFonts w:asciiTheme="minorHAnsi" w:hAnsiTheme="minorHAnsi"/>
          <w:color w:val="000000"/>
        </w:rPr>
        <w:t xml:space="preserve"> </w:t>
      </w:r>
      <w:r w:rsidRPr="00715123">
        <w:rPr>
          <w:rFonts w:asciiTheme="minorHAnsi" w:hAnsiTheme="minorHAnsi"/>
          <w:color w:val="000000"/>
        </w:rPr>
        <w:t>M</w:t>
      </w:r>
      <w:r>
        <w:rPr>
          <w:rFonts w:asciiTheme="minorHAnsi" w:hAnsiTheme="minorHAnsi"/>
          <w:color w:val="000000"/>
        </w:rPr>
        <w:t xml:space="preserve"> </w:t>
      </w:r>
      <w:proofErr w:type="spellStart"/>
      <w:r w:rsidRPr="00715123">
        <w:rPr>
          <w:rFonts w:asciiTheme="minorHAnsi" w:hAnsiTheme="minorHAnsi"/>
          <w:color w:val="000000"/>
        </w:rPr>
        <w:t>Berthod</w:t>
      </w:r>
      <w:proofErr w:type="spellEnd"/>
      <w:r w:rsidRPr="00715123">
        <w:rPr>
          <w:rFonts w:asciiTheme="minorHAnsi" w:hAnsiTheme="minorHAnsi"/>
          <w:color w:val="000000"/>
        </w:rPr>
        <w:t>, https://</w:t>
      </w:r>
      <w:proofErr w:type="spellStart"/>
      <w:r w:rsidRPr="00715123">
        <w:rPr>
          <w:rFonts w:asciiTheme="minorHAnsi" w:hAnsiTheme="minorHAnsi"/>
          <w:color w:val="000000"/>
        </w:rPr>
        <w:t>doi.org</w:t>
      </w:r>
      <w:proofErr w:type="spellEnd"/>
      <w:r w:rsidRPr="00715123">
        <w:rPr>
          <w:rFonts w:asciiTheme="minorHAnsi" w:hAnsiTheme="minorHAnsi"/>
          <w:color w:val="000000"/>
        </w:rPr>
        <w:t>/10.2516/</w:t>
      </w:r>
      <w:proofErr w:type="spellStart"/>
      <w:r w:rsidRPr="00715123">
        <w:rPr>
          <w:rFonts w:asciiTheme="minorHAnsi" w:hAnsiTheme="minorHAnsi"/>
          <w:color w:val="000000"/>
        </w:rPr>
        <w:t>ogst</w:t>
      </w:r>
      <w:proofErr w:type="spellEnd"/>
      <w:r w:rsidRPr="00715123">
        <w:rPr>
          <w:rFonts w:asciiTheme="minorHAnsi" w:hAnsiTheme="minorHAnsi"/>
          <w:color w:val="000000"/>
        </w:rPr>
        <w:t>/2018053</w:t>
      </w:r>
    </w:p>
    <w:p w:rsidR="00AA6181" w:rsidRPr="002C7C36" w:rsidRDefault="00AA6181" w:rsidP="00AA6181">
      <w:pPr>
        <w:pStyle w:val="FirstParagraph"/>
        <w:numPr>
          <w:ilvl w:val="0"/>
          <w:numId w:val="17"/>
        </w:numPr>
        <w:tabs>
          <w:tab w:val="left" w:pos="426"/>
        </w:tabs>
        <w:spacing w:line="240" w:lineRule="auto"/>
        <w:ind w:left="426" w:hanging="426"/>
        <w:rPr>
          <w:rFonts w:asciiTheme="minorHAnsi" w:hAnsiTheme="minorHAnsi"/>
          <w:color w:val="000000"/>
        </w:rPr>
      </w:pPr>
      <w:r w:rsidRPr="002C7C36">
        <w:rPr>
          <w:rFonts w:asciiTheme="minorHAnsi" w:hAnsiTheme="minorHAnsi"/>
          <w:color w:val="000000"/>
        </w:rPr>
        <w:t xml:space="preserve">R. Iwamoto, H. </w:t>
      </w:r>
      <w:proofErr w:type="spellStart"/>
      <w:r w:rsidRPr="002C7C36">
        <w:rPr>
          <w:rFonts w:asciiTheme="minorHAnsi" w:hAnsiTheme="minorHAnsi"/>
          <w:color w:val="000000"/>
        </w:rPr>
        <w:t>Koshika</w:t>
      </w:r>
      <w:proofErr w:type="spellEnd"/>
      <w:r w:rsidRPr="002C7C36">
        <w:rPr>
          <w:rFonts w:asciiTheme="minorHAnsi" w:hAnsiTheme="minorHAnsi"/>
          <w:color w:val="000000"/>
        </w:rPr>
        <w:t>, N. Takahashi, K. Inamura, Japan Petroleum Institute, 48 (2005) 319-323</w:t>
      </w:r>
    </w:p>
    <w:p w:rsidR="001A769C" w:rsidRPr="001A769C" w:rsidRDefault="001A769C" w:rsidP="001A769C">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I </w:t>
      </w:r>
      <w:proofErr w:type="spellStart"/>
      <w:r w:rsidRPr="001A769C">
        <w:rPr>
          <w:rFonts w:asciiTheme="minorHAnsi" w:hAnsiTheme="minorHAnsi"/>
          <w:color w:val="000000"/>
        </w:rPr>
        <w:t>Guibard</w:t>
      </w:r>
      <w:proofErr w:type="spellEnd"/>
      <w:r w:rsidRPr="001A769C">
        <w:rPr>
          <w:rFonts w:asciiTheme="minorHAnsi" w:hAnsiTheme="minorHAnsi"/>
          <w:color w:val="000000"/>
        </w:rPr>
        <w:t>,</w:t>
      </w:r>
      <w:r>
        <w:rPr>
          <w:rFonts w:asciiTheme="minorHAnsi" w:hAnsiTheme="minorHAnsi"/>
          <w:color w:val="000000"/>
        </w:rPr>
        <w:t xml:space="preserve"> </w:t>
      </w:r>
      <w:proofErr w:type="spellStart"/>
      <w:r w:rsidRPr="001A769C">
        <w:rPr>
          <w:rFonts w:asciiTheme="minorHAnsi" w:hAnsiTheme="minorHAnsi"/>
          <w:color w:val="000000"/>
        </w:rPr>
        <w:t>S.</w:t>
      </w:r>
      <w:r>
        <w:rPr>
          <w:rFonts w:asciiTheme="minorHAnsi" w:hAnsiTheme="minorHAnsi"/>
          <w:color w:val="000000"/>
        </w:rPr>
        <w:t>Kressmann</w:t>
      </w:r>
      <w:proofErr w:type="spellEnd"/>
      <w:r w:rsidRPr="001A769C">
        <w:rPr>
          <w:rFonts w:asciiTheme="minorHAnsi" w:hAnsiTheme="minorHAnsi"/>
          <w:color w:val="000000"/>
        </w:rPr>
        <w:t>,</w:t>
      </w:r>
      <w:r>
        <w:rPr>
          <w:rFonts w:asciiTheme="minorHAnsi" w:hAnsiTheme="minorHAnsi"/>
          <w:color w:val="000000"/>
        </w:rPr>
        <w:t xml:space="preserve"> </w:t>
      </w:r>
      <w:proofErr w:type="spellStart"/>
      <w:r w:rsidRPr="001A769C">
        <w:rPr>
          <w:rFonts w:asciiTheme="minorHAnsi" w:hAnsiTheme="minorHAnsi"/>
          <w:color w:val="000000"/>
        </w:rPr>
        <w:t>V.Harle</w:t>
      </w:r>
      <w:proofErr w:type="spellEnd"/>
      <w:r w:rsidRPr="001A769C">
        <w:rPr>
          <w:rFonts w:asciiTheme="minorHAnsi" w:hAnsiTheme="minorHAnsi"/>
          <w:color w:val="000000"/>
        </w:rPr>
        <w:t>,</w:t>
      </w:r>
      <w:r>
        <w:rPr>
          <w:rFonts w:asciiTheme="minorHAnsi" w:hAnsiTheme="minorHAnsi"/>
          <w:color w:val="000000"/>
        </w:rPr>
        <w:t xml:space="preserve"> </w:t>
      </w:r>
      <w:proofErr w:type="spellStart"/>
      <w:r w:rsidRPr="001A769C">
        <w:rPr>
          <w:rFonts w:asciiTheme="minorHAnsi" w:hAnsiTheme="minorHAnsi"/>
          <w:color w:val="000000"/>
        </w:rPr>
        <w:t>www.eurecat.in</w:t>
      </w:r>
      <w:proofErr w:type="spellEnd"/>
      <w:r w:rsidRPr="001A769C">
        <w:rPr>
          <w:rFonts w:asciiTheme="minorHAnsi" w:hAnsiTheme="minorHAnsi"/>
          <w:color w:val="000000"/>
        </w:rPr>
        <w:t>/</w:t>
      </w:r>
      <w:proofErr w:type="spellStart"/>
      <w:r w:rsidRPr="001A769C">
        <w:rPr>
          <w:rFonts w:asciiTheme="minorHAnsi" w:hAnsiTheme="minorHAnsi"/>
          <w:color w:val="000000"/>
        </w:rPr>
        <w:t>Technical_Doc</w:t>
      </w:r>
      <w:proofErr w:type="spellEnd"/>
      <w:r w:rsidRPr="001A769C">
        <w:rPr>
          <w:rFonts w:asciiTheme="minorHAnsi" w:hAnsiTheme="minorHAnsi"/>
          <w:color w:val="000000"/>
        </w:rPr>
        <w:t>/</w:t>
      </w:r>
      <w:proofErr w:type="spellStart"/>
      <w:r w:rsidRPr="001A769C">
        <w:rPr>
          <w:rFonts w:asciiTheme="minorHAnsi" w:hAnsiTheme="minorHAnsi"/>
          <w:color w:val="000000"/>
        </w:rPr>
        <w:t>A_fresh_performance_2.pdf</w:t>
      </w:r>
      <w:proofErr w:type="spellEnd"/>
      <w:r w:rsidRPr="001A769C">
        <w:rPr>
          <w:rFonts w:asciiTheme="minorHAnsi" w:hAnsiTheme="minorHAnsi"/>
          <w:color w:val="000000"/>
        </w:rPr>
        <w:t>.</w:t>
      </w:r>
    </w:p>
    <w:p w:rsidR="00AA6181" w:rsidRPr="002C7C36" w:rsidRDefault="00EF261D" w:rsidP="00AA6181">
      <w:pPr>
        <w:pStyle w:val="FirstParagraph"/>
        <w:numPr>
          <w:ilvl w:val="0"/>
          <w:numId w:val="17"/>
        </w:numPr>
        <w:tabs>
          <w:tab w:val="left" w:pos="426"/>
        </w:tabs>
        <w:spacing w:line="240" w:lineRule="auto"/>
        <w:ind w:left="426" w:hanging="426"/>
        <w:rPr>
          <w:rFonts w:asciiTheme="minorHAnsi" w:hAnsiTheme="minorHAnsi"/>
          <w:color w:val="000000"/>
        </w:rPr>
      </w:pPr>
      <w:hyperlink r:id="rId10" w:history="1">
        <w:r w:rsidR="00AA6181" w:rsidRPr="002C7C36">
          <w:rPr>
            <w:rFonts w:asciiTheme="minorHAnsi" w:hAnsiTheme="minorHAnsi"/>
            <w:color w:val="000000"/>
          </w:rPr>
          <w:t xml:space="preserve">J. </w:t>
        </w:r>
        <w:proofErr w:type="spellStart"/>
        <w:r w:rsidR="00AA6181" w:rsidRPr="002C7C36">
          <w:rPr>
            <w:rFonts w:asciiTheme="minorHAnsi" w:hAnsiTheme="minorHAnsi"/>
            <w:color w:val="000000"/>
          </w:rPr>
          <w:t>Ancheyta</w:t>
        </w:r>
        <w:proofErr w:type="spellEnd"/>
      </w:hyperlink>
      <w:r w:rsidR="00AA6181" w:rsidRPr="002C7C36">
        <w:rPr>
          <w:rFonts w:asciiTheme="minorHAnsi" w:hAnsiTheme="minorHAnsi"/>
          <w:color w:val="000000"/>
        </w:rPr>
        <w:t xml:space="preserve">, </w:t>
      </w:r>
      <w:hyperlink r:id="rId11" w:history="1">
        <w:r w:rsidR="00AA6181" w:rsidRPr="002C7C36">
          <w:rPr>
            <w:rFonts w:asciiTheme="minorHAnsi" w:hAnsiTheme="minorHAnsi"/>
            <w:color w:val="000000"/>
          </w:rPr>
          <w:t>P. Morales</w:t>
        </w:r>
      </w:hyperlink>
      <w:r w:rsidR="00AA6181" w:rsidRPr="002C7C36">
        <w:rPr>
          <w:rFonts w:asciiTheme="minorHAnsi" w:hAnsiTheme="minorHAnsi"/>
          <w:color w:val="000000"/>
        </w:rPr>
        <w:t xml:space="preserve">, </w:t>
      </w:r>
      <w:hyperlink r:id="rId12" w:history="1">
        <w:r w:rsidR="00AA6181" w:rsidRPr="002C7C36">
          <w:rPr>
            <w:rFonts w:asciiTheme="minorHAnsi" w:hAnsiTheme="minorHAnsi"/>
            <w:color w:val="000000"/>
          </w:rPr>
          <w:t>G. Betancourt</w:t>
        </w:r>
      </w:hyperlink>
      <w:r w:rsidR="00AA6181" w:rsidRPr="002C7C36">
        <w:rPr>
          <w:rFonts w:asciiTheme="minorHAnsi" w:hAnsiTheme="minorHAnsi"/>
          <w:color w:val="000000"/>
        </w:rPr>
        <w:t xml:space="preserve">, </w:t>
      </w:r>
      <w:hyperlink r:id="rId13" w:history="1">
        <w:r w:rsidR="00AA6181" w:rsidRPr="002C7C36">
          <w:rPr>
            <w:rFonts w:asciiTheme="minorHAnsi" w:hAnsiTheme="minorHAnsi"/>
            <w:color w:val="000000"/>
          </w:rPr>
          <w:t xml:space="preserve">G. </w:t>
        </w:r>
        <w:proofErr w:type="spellStart"/>
        <w:r w:rsidR="00AA6181" w:rsidRPr="002C7C36">
          <w:rPr>
            <w:rFonts w:asciiTheme="minorHAnsi" w:hAnsiTheme="minorHAnsi"/>
            <w:color w:val="000000"/>
          </w:rPr>
          <w:t>Marroquín</w:t>
        </w:r>
        <w:proofErr w:type="spellEnd"/>
      </w:hyperlink>
      <w:r w:rsidR="00AA6181" w:rsidRPr="002C7C36">
        <w:rPr>
          <w:rFonts w:asciiTheme="minorHAnsi" w:hAnsiTheme="minorHAnsi"/>
          <w:color w:val="000000"/>
        </w:rPr>
        <w:t xml:space="preserve">, </w:t>
      </w:r>
      <w:hyperlink r:id="rId14" w:history="1">
        <w:r w:rsidR="00AA6181" w:rsidRPr="002C7C36">
          <w:rPr>
            <w:rFonts w:asciiTheme="minorHAnsi" w:hAnsiTheme="minorHAnsi"/>
            <w:color w:val="000000"/>
          </w:rPr>
          <w:t>J. Muñoz</w:t>
        </w:r>
      </w:hyperlink>
      <w:r w:rsidR="00AA6181" w:rsidRPr="002C7C36">
        <w:rPr>
          <w:rFonts w:asciiTheme="minorHAnsi" w:hAnsiTheme="minorHAnsi"/>
          <w:color w:val="000000"/>
        </w:rPr>
        <w:t>, Energy Fuels, 18(4) (2004) 1001–1004</w:t>
      </w:r>
    </w:p>
    <w:p w:rsidR="00715123" w:rsidRDefault="00AA6181" w:rsidP="00715123">
      <w:pPr>
        <w:pStyle w:val="FirstParagraph"/>
        <w:numPr>
          <w:ilvl w:val="0"/>
          <w:numId w:val="17"/>
        </w:numPr>
        <w:tabs>
          <w:tab w:val="left" w:pos="426"/>
        </w:tabs>
        <w:spacing w:line="240" w:lineRule="auto"/>
        <w:ind w:left="426" w:hanging="426"/>
        <w:rPr>
          <w:rFonts w:asciiTheme="minorHAnsi" w:hAnsiTheme="minorHAnsi"/>
          <w:color w:val="000000"/>
        </w:rPr>
      </w:pPr>
      <w:r w:rsidRPr="00715123">
        <w:rPr>
          <w:rFonts w:asciiTheme="minorHAnsi" w:hAnsiTheme="minorHAnsi"/>
          <w:color w:val="000000"/>
        </w:rPr>
        <w:t xml:space="preserve">N </w:t>
      </w:r>
      <w:proofErr w:type="spellStart"/>
      <w:r w:rsidRPr="00715123">
        <w:rPr>
          <w:rFonts w:asciiTheme="minorHAnsi" w:hAnsiTheme="minorHAnsi"/>
          <w:color w:val="000000"/>
        </w:rPr>
        <w:t>Chandak</w:t>
      </w:r>
      <w:proofErr w:type="spellEnd"/>
      <w:r w:rsidRPr="00715123">
        <w:rPr>
          <w:rFonts w:asciiTheme="minorHAnsi" w:hAnsiTheme="minorHAnsi"/>
          <w:color w:val="000000"/>
        </w:rPr>
        <w:t xml:space="preserve">, A George, A Chaudhry, </w:t>
      </w:r>
      <w:r w:rsidR="00715123">
        <w:rPr>
          <w:rFonts w:asciiTheme="minorHAnsi" w:hAnsiTheme="minorHAnsi"/>
          <w:color w:val="000000"/>
        </w:rPr>
        <w:t xml:space="preserve">S </w:t>
      </w:r>
      <w:proofErr w:type="spellStart"/>
      <w:r w:rsidR="00715123">
        <w:rPr>
          <w:rFonts w:asciiTheme="minorHAnsi" w:hAnsiTheme="minorHAnsi"/>
          <w:color w:val="000000"/>
        </w:rPr>
        <w:t>Khalifa</w:t>
      </w:r>
      <w:proofErr w:type="spellEnd"/>
      <w:r w:rsidR="00715123">
        <w:rPr>
          <w:rFonts w:asciiTheme="minorHAnsi" w:hAnsiTheme="minorHAnsi"/>
          <w:color w:val="000000"/>
        </w:rPr>
        <w:t xml:space="preserve">, </w:t>
      </w:r>
      <w:r w:rsidRPr="00715123">
        <w:rPr>
          <w:rFonts w:asciiTheme="minorHAnsi" w:hAnsiTheme="minorHAnsi"/>
          <w:color w:val="000000"/>
        </w:rPr>
        <w:t>S Morin</w:t>
      </w:r>
      <w:r w:rsidR="00715123">
        <w:rPr>
          <w:rFonts w:asciiTheme="minorHAnsi" w:hAnsiTheme="minorHAnsi"/>
          <w:color w:val="000000"/>
        </w:rPr>
        <w:t>, Cat Today</w:t>
      </w:r>
      <w:r w:rsidR="00715123" w:rsidRPr="00715123">
        <w:rPr>
          <w:rFonts w:asciiTheme="minorHAnsi" w:hAnsiTheme="minorHAnsi"/>
          <w:color w:val="000000"/>
        </w:rPr>
        <w:t xml:space="preserve">, </w:t>
      </w:r>
      <w:hyperlink r:id="rId15" w:tooltip="Go to table of contents for this volume/issue" w:history="1">
        <w:r w:rsidR="00715123" w:rsidRPr="00715123">
          <w:rPr>
            <w:rFonts w:asciiTheme="minorHAnsi" w:hAnsiTheme="minorHAnsi"/>
            <w:color w:val="000000"/>
          </w:rPr>
          <w:t>Volume 305</w:t>
        </w:r>
      </w:hyperlink>
      <w:r w:rsidR="00715123" w:rsidRPr="00715123">
        <w:rPr>
          <w:rFonts w:asciiTheme="minorHAnsi" w:hAnsiTheme="minorHAnsi"/>
          <w:color w:val="000000"/>
        </w:rPr>
        <w:t>, 1 May 2018, Pages 82-91</w:t>
      </w:r>
    </w:p>
    <w:p w:rsidR="001A769C" w:rsidRPr="001A769C" w:rsidRDefault="001A769C" w:rsidP="002E1039">
      <w:pPr>
        <w:pStyle w:val="FirstParagraph"/>
        <w:numPr>
          <w:ilvl w:val="0"/>
          <w:numId w:val="17"/>
        </w:numPr>
        <w:tabs>
          <w:tab w:val="left" w:pos="426"/>
        </w:tabs>
        <w:spacing w:line="240" w:lineRule="auto"/>
        <w:ind w:left="426" w:hanging="426"/>
        <w:rPr>
          <w:rFonts w:asciiTheme="minorHAnsi" w:hAnsiTheme="minorHAnsi"/>
          <w:color w:val="000000"/>
        </w:rPr>
      </w:pPr>
      <w:r w:rsidRPr="001A769C">
        <w:rPr>
          <w:rFonts w:asciiTheme="minorHAnsi" w:hAnsiTheme="minorHAnsi"/>
          <w:color w:val="000000"/>
        </w:rPr>
        <w:t xml:space="preserve">R </w:t>
      </w:r>
      <w:proofErr w:type="spellStart"/>
      <w:r w:rsidRPr="001A769C">
        <w:rPr>
          <w:rFonts w:asciiTheme="minorHAnsi" w:hAnsiTheme="minorHAnsi"/>
          <w:color w:val="000000"/>
        </w:rPr>
        <w:t>Venkatesh</w:t>
      </w:r>
      <w:proofErr w:type="spellEnd"/>
      <w:r w:rsidRPr="001A769C">
        <w:rPr>
          <w:rFonts w:asciiTheme="minorHAnsi" w:hAnsiTheme="minorHAnsi"/>
          <w:color w:val="000000"/>
        </w:rPr>
        <w:t xml:space="preserve">; M </w:t>
      </w:r>
      <w:proofErr w:type="spellStart"/>
      <w:r w:rsidRPr="001A769C">
        <w:rPr>
          <w:rFonts w:asciiTheme="minorHAnsi" w:hAnsiTheme="minorHAnsi"/>
          <w:color w:val="000000"/>
        </w:rPr>
        <w:t>Bhaskar</w:t>
      </w:r>
      <w:proofErr w:type="spellEnd"/>
      <w:r w:rsidRPr="001A769C">
        <w:rPr>
          <w:rFonts w:asciiTheme="minorHAnsi" w:hAnsiTheme="minorHAnsi"/>
          <w:color w:val="000000"/>
        </w:rPr>
        <w:t xml:space="preserve">; S </w:t>
      </w:r>
      <w:proofErr w:type="spellStart"/>
      <w:r w:rsidRPr="001A769C">
        <w:rPr>
          <w:rFonts w:asciiTheme="minorHAnsi" w:hAnsiTheme="minorHAnsi"/>
          <w:color w:val="000000"/>
        </w:rPr>
        <w:t>Sakthivel</w:t>
      </w:r>
      <w:proofErr w:type="spellEnd"/>
      <w:r w:rsidRPr="001A769C">
        <w:rPr>
          <w:rFonts w:asciiTheme="minorHAnsi" w:hAnsiTheme="minorHAnsi"/>
          <w:color w:val="000000"/>
        </w:rPr>
        <w:t xml:space="preserve">; N </w:t>
      </w:r>
      <w:proofErr w:type="spellStart"/>
      <w:r w:rsidRPr="001A769C">
        <w:rPr>
          <w:rFonts w:asciiTheme="minorHAnsi" w:hAnsiTheme="minorHAnsi"/>
          <w:color w:val="000000"/>
        </w:rPr>
        <w:t>Selvaraju</w:t>
      </w:r>
      <w:proofErr w:type="spellEnd"/>
      <w:r w:rsidRPr="001A769C">
        <w:rPr>
          <w:rFonts w:asciiTheme="minorHAnsi" w:hAnsiTheme="minorHAnsi"/>
          <w:color w:val="000000"/>
        </w:rPr>
        <w:t xml:space="preserve"> ; M </w:t>
      </w:r>
      <w:proofErr w:type="spellStart"/>
      <w:r w:rsidRPr="001A769C">
        <w:rPr>
          <w:rFonts w:asciiTheme="minorHAnsi" w:hAnsiTheme="minorHAnsi"/>
          <w:color w:val="000000"/>
        </w:rPr>
        <w:t>Velan</w:t>
      </w:r>
      <w:proofErr w:type="spellEnd"/>
      <w:r w:rsidRPr="001A769C">
        <w:rPr>
          <w:rFonts w:asciiTheme="minorHAnsi" w:hAnsiTheme="minorHAnsi"/>
          <w:color w:val="000000"/>
        </w:rPr>
        <w:t xml:space="preserve">, Pet </w:t>
      </w:r>
      <w:proofErr w:type="spellStart"/>
      <w:r w:rsidRPr="001A769C">
        <w:rPr>
          <w:rFonts w:asciiTheme="minorHAnsi" w:hAnsiTheme="minorHAnsi"/>
          <w:color w:val="000000"/>
        </w:rPr>
        <w:t>Sci</w:t>
      </w:r>
      <w:proofErr w:type="spellEnd"/>
      <w:r w:rsidRPr="001A769C">
        <w:rPr>
          <w:rFonts w:asciiTheme="minorHAnsi" w:hAnsiTheme="minorHAnsi"/>
          <w:color w:val="000000"/>
        </w:rPr>
        <w:t xml:space="preserve"> Tech, 28:93–102, 2010</w:t>
      </w:r>
    </w:p>
    <w:sectPr w:rsidR="001A769C" w:rsidRPr="001A769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1D" w:rsidRDefault="00EF261D" w:rsidP="004F5E36">
      <w:r>
        <w:separator/>
      </w:r>
    </w:p>
  </w:endnote>
  <w:endnote w:type="continuationSeparator" w:id="0">
    <w:p w:rsidR="00EF261D" w:rsidRDefault="00EF261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1D" w:rsidRDefault="00EF261D" w:rsidP="004F5E36">
      <w:r>
        <w:separator/>
      </w:r>
    </w:p>
  </w:footnote>
  <w:footnote w:type="continuationSeparator" w:id="0">
    <w:p w:rsidR="00EF261D" w:rsidRDefault="00EF261D"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proofErr w:type="spellStart"/>
    <w:r w:rsidR="00DE0019" w:rsidRPr="00DE0019">
      <w:rPr>
        <w:rFonts w:asciiTheme="minorHAnsi" w:hAnsiTheme="minorHAnsi"/>
        <w:b/>
        <w:i/>
        <w:color w:val="002060"/>
        <w:sz w:val="24"/>
        <w:szCs w:val="24"/>
        <w:lang w:val="en-US"/>
      </w:rPr>
      <w:t>ECCE12</w:t>
    </w:r>
    <w:proofErr w:type="spellEnd"/>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C87C70"/>
    <w:multiLevelType w:val="hybridMultilevel"/>
    <w:tmpl w:val="44C4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284F28"/>
    <w:multiLevelType w:val="multilevel"/>
    <w:tmpl w:val="B2CCC3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80"/>
        </w:tabs>
        <w:ind w:left="568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7"/>
  </w:num>
  <w:num w:numId="16">
    <w:abstractNumId w:val="18"/>
  </w:num>
  <w:num w:numId="17">
    <w:abstractNumId w:val="10"/>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A769C"/>
    <w:rsid w:val="001B65C1"/>
    <w:rsid w:val="001C684B"/>
    <w:rsid w:val="001D53FC"/>
    <w:rsid w:val="001F2EC7"/>
    <w:rsid w:val="002065DB"/>
    <w:rsid w:val="002447EF"/>
    <w:rsid w:val="00251550"/>
    <w:rsid w:val="0027221A"/>
    <w:rsid w:val="00275B61"/>
    <w:rsid w:val="002C1119"/>
    <w:rsid w:val="002C7C36"/>
    <w:rsid w:val="002D1F12"/>
    <w:rsid w:val="003009B7"/>
    <w:rsid w:val="0030469C"/>
    <w:rsid w:val="00324686"/>
    <w:rsid w:val="003723D4"/>
    <w:rsid w:val="003A1508"/>
    <w:rsid w:val="003A7D1C"/>
    <w:rsid w:val="00401DD7"/>
    <w:rsid w:val="0046164A"/>
    <w:rsid w:val="00462DCD"/>
    <w:rsid w:val="004D1162"/>
    <w:rsid w:val="004E4DD6"/>
    <w:rsid w:val="004F3207"/>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15123"/>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A5688"/>
    <w:rsid w:val="009D6C46"/>
    <w:rsid w:val="009E788A"/>
    <w:rsid w:val="00A1763D"/>
    <w:rsid w:val="00A17CEC"/>
    <w:rsid w:val="00A27EF0"/>
    <w:rsid w:val="00A76EFC"/>
    <w:rsid w:val="00A9626B"/>
    <w:rsid w:val="00A97F29"/>
    <w:rsid w:val="00AA5B91"/>
    <w:rsid w:val="00AA6181"/>
    <w:rsid w:val="00AB0964"/>
    <w:rsid w:val="00AC1115"/>
    <w:rsid w:val="00AE377D"/>
    <w:rsid w:val="00B61DBF"/>
    <w:rsid w:val="00B85BFC"/>
    <w:rsid w:val="00BC30C9"/>
    <w:rsid w:val="00BE3E58"/>
    <w:rsid w:val="00C01616"/>
    <w:rsid w:val="00C0162B"/>
    <w:rsid w:val="00C345B1"/>
    <w:rsid w:val="00C40142"/>
    <w:rsid w:val="00C57182"/>
    <w:rsid w:val="00C655FD"/>
    <w:rsid w:val="00C867B1"/>
    <w:rsid w:val="00C94434"/>
    <w:rsid w:val="00CA1C95"/>
    <w:rsid w:val="00CA5A9C"/>
    <w:rsid w:val="00CD5FE2"/>
    <w:rsid w:val="00CF7013"/>
    <w:rsid w:val="00D02B4C"/>
    <w:rsid w:val="00D84576"/>
    <w:rsid w:val="00DD706A"/>
    <w:rsid w:val="00DE0019"/>
    <w:rsid w:val="00DE264A"/>
    <w:rsid w:val="00E041E7"/>
    <w:rsid w:val="00E23CA1"/>
    <w:rsid w:val="00E409A8"/>
    <w:rsid w:val="00E44782"/>
    <w:rsid w:val="00E7209D"/>
    <w:rsid w:val="00EA50E1"/>
    <w:rsid w:val="00EE0131"/>
    <w:rsid w:val="00EF261D"/>
    <w:rsid w:val="00F30C64"/>
    <w:rsid w:val="00F72635"/>
    <w:rsid w:val="00F8394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TableCaption">
    <w:name w:val="Table Caption"/>
    <w:basedOn w:val="Normale"/>
    <w:rsid w:val="009A5688"/>
    <w:pPr>
      <w:keepNext/>
      <w:keepLines/>
      <w:tabs>
        <w:tab w:val="clear" w:pos="7100"/>
      </w:tabs>
      <w:spacing w:before="240" w:after="60" w:line="240" w:lineRule="auto"/>
      <w:jc w:val="left"/>
    </w:pPr>
    <w:rPr>
      <w:rFonts w:ascii="Times New Roman" w:hAnsi="Times New Roman"/>
      <w:szCs w:val="17"/>
      <w:lang w:eastAsia="fr-FR"/>
    </w:rPr>
  </w:style>
  <w:style w:type="paragraph" w:styleId="Titolo">
    <w:name w:val="Title"/>
    <w:basedOn w:val="Normale"/>
    <w:link w:val="TitoloCarattere"/>
    <w:qFormat/>
    <w:locked/>
    <w:rsid w:val="009A5688"/>
    <w:pPr>
      <w:tabs>
        <w:tab w:val="clear" w:pos="7100"/>
      </w:tabs>
      <w:spacing w:before="120" w:after="360" w:line="240" w:lineRule="auto"/>
      <w:jc w:val="center"/>
    </w:pPr>
    <w:rPr>
      <w:rFonts w:ascii="Times New Roman" w:eastAsia="Times" w:hAnsi="Times New Roman"/>
      <w:sz w:val="36"/>
      <w:lang w:val="fr-FR" w:eastAsia="fr-FR"/>
    </w:rPr>
  </w:style>
  <w:style w:type="character" w:customStyle="1" w:styleId="TitoloCarattere">
    <w:name w:val="Titolo Carattere"/>
    <w:basedOn w:val="Carpredefinitoparagrafo"/>
    <w:link w:val="Titolo"/>
    <w:rsid w:val="009A5688"/>
    <w:rPr>
      <w:rFonts w:ascii="Times New Roman" w:eastAsia="Times" w:hAnsi="Times New Roman" w:cs="Times New Roman"/>
      <w:sz w:val="36"/>
      <w:szCs w:val="20"/>
      <w:lang w:val="fr-FR" w:eastAsia="fr-FR"/>
    </w:rPr>
  </w:style>
  <w:style w:type="paragraph" w:customStyle="1" w:styleId="Address">
    <w:name w:val="Address"/>
    <w:basedOn w:val="Normale"/>
    <w:rsid w:val="009A5688"/>
    <w:pPr>
      <w:tabs>
        <w:tab w:val="clear" w:pos="7100"/>
      </w:tabs>
      <w:spacing w:line="240" w:lineRule="auto"/>
      <w:jc w:val="center"/>
    </w:pPr>
    <w:rPr>
      <w:rFonts w:ascii="Times New Roman" w:hAnsi="Times New Roman"/>
      <w:i/>
      <w:szCs w:val="24"/>
      <w:lang w:eastAsia="fr-FR"/>
    </w:rPr>
  </w:style>
  <w:style w:type="paragraph" w:customStyle="1" w:styleId="Corr">
    <w:name w:val="Corr"/>
    <w:basedOn w:val="Address"/>
    <w:rsid w:val="009A5688"/>
    <w:pPr>
      <w:spacing w:before="120"/>
    </w:pPr>
    <w:rPr>
      <w:i w:val="0"/>
    </w:rPr>
  </w:style>
  <w:style w:type="paragraph" w:styleId="Paragrafoelenco">
    <w:name w:val="List Paragraph"/>
    <w:basedOn w:val="Normale"/>
    <w:uiPriority w:val="34"/>
    <w:qFormat/>
    <w:locked/>
    <w:rsid w:val="009D6C46"/>
    <w:pPr>
      <w:ind w:left="720"/>
      <w:contextualSpacing/>
    </w:pPr>
  </w:style>
  <w:style w:type="character" w:styleId="Collegamentoipertestuale">
    <w:name w:val="Hyperlink"/>
    <w:basedOn w:val="Carpredefinitoparagrafo"/>
    <w:uiPriority w:val="99"/>
    <w:unhideWhenUsed/>
    <w:locked/>
    <w:rsid w:val="002C7C36"/>
    <w:rPr>
      <w:color w:val="0000FF" w:themeColor="hyperlink"/>
      <w:u w:val="single"/>
    </w:rPr>
  </w:style>
  <w:style w:type="character" w:customStyle="1" w:styleId="text2">
    <w:name w:val="text2"/>
    <w:basedOn w:val="Carpredefinitoparagrafo"/>
    <w:rsid w:val="0071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7464">
      <w:bodyDiv w:val="1"/>
      <w:marLeft w:val="0"/>
      <w:marRight w:val="0"/>
      <w:marTop w:val="0"/>
      <w:marBottom w:val="0"/>
      <w:divBdr>
        <w:top w:val="none" w:sz="0" w:space="0" w:color="auto"/>
        <w:left w:val="none" w:sz="0" w:space="0" w:color="auto"/>
        <w:bottom w:val="none" w:sz="0" w:space="0" w:color="auto"/>
        <w:right w:val="none" w:sz="0" w:space="0" w:color="auto"/>
      </w:divBdr>
    </w:div>
    <w:div w:id="1234660035">
      <w:bodyDiv w:val="1"/>
      <w:marLeft w:val="0"/>
      <w:marRight w:val="0"/>
      <w:marTop w:val="0"/>
      <w:marBottom w:val="0"/>
      <w:divBdr>
        <w:top w:val="none" w:sz="0" w:space="0" w:color="auto"/>
        <w:left w:val="none" w:sz="0" w:space="0" w:color="auto"/>
        <w:bottom w:val="none" w:sz="0" w:space="0" w:color="auto"/>
        <w:right w:val="none" w:sz="0" w:space="0" w:color="auto"/>
      </w:divBdr>
      <w:divsChild>
        <w:div w:id="2106805472">
          <w:marLeft w:val="0"/>
          <w:marRight w:val="0"/>
          <w:marTop w:val="0"/>
          <w:marBottom w:val="0"/>
          <w:divBdr>
            <w:top w:val="none" w:sz="0" w:space="0" w:color="auto"/>
            <w:left w:val="none" w:sz="0" w:space="0" w:color="auto"/>
            <w:bottom w:val="none" w:sz="0" w:space="0" w:color="auto"/>
            <w:right w:val="none" w:sz="0" w:space="0" w:color="auto"/>
          </w:divBdr>
          <w:divsChild>
            <w:div w:id="1090395545">
              <w:marLeft w:val="0"/>
              <w:marRight w:val="0"/>
              <w:marTop w:val="100"/>
              <w:marBottom w:val="100"/>
              <w:divBdr>
                <w:top w:val="none" w:sz="0" w:space="0" w:color="auto"/>
                <w:left w:val="none" w:sz="0" w:space="0" w:color="auto"/>
                <w:bottom w:val="none" w:sz="0" w:space="0" w:color="auto"/>
                <w:right w:val="none" w:sz="0" w:space="0" w:color="auto"/>
              </w:divBdr>
              <w:divsChild>
                <w:div w:id="678237651">
                  <w:marLeft w:val="0"/>
                  <w:marRight w:val="0"/>
                  <w:marTop w:val="0"/>
                  <w:marBottom w:val="0"/>
                  <w:divBdr>
                    <w:top w:val="none" w:sz="0" w:space="0" w:color="auto"/>
                    <w:left w:val="none" w:sz="0" w:space="0" w:color="auto"/>
                    <w:bottom w:val="none" w:sz="0" w:space="0" w:color="auto"/>
                    <w:right w:val="none" w:sz="0" w:space="0" w:color="auto"/>
                  </w:divBdr>
                  <w:divsChild>
                    <w:div w:id="1409184413">
                      <w:marLeft w:val="0"/>
                      <w:marRight w:val="0"/>
                      <w:marTop w:val="0"/>
                      <w:marBottom w:val="0"/>
                      <w:divBdr>
                        <w:top w:val="none" w:sz="0" w:space="0" w:color="auto"/>
                        <w:left w:val="none" w:sz="0" w:space="0" w:color="auto"/>
                        <w:bottom w:val="none" w:sz="0" w:space="0" w:color="auto"/>
                        <w:right w:val="none" w:sz="0" w:space="0" w:color="auto"/>
                      </w:divBdr>
                      <w:divsChild>
                        <w:div w:id="874150699">
                          <w:marLeft w:val="0"/>
                          <w:marRight w:val="0"/>
                          <w:marTop w:val="100"/>
                          <w:marBottom w:val="100"/>
                          <w:divBdr>
                            <w:top w:val="none" w:sz="0" w:space="0" w:color="auto"/>
                            <w:left w:val="none" w:sz="0" w:space="0" w:color="auto"/>
                            <w:bottom w:val="none" w:sz="0" w:space="0" w:color="auto"/>
                            <w:right w:val="none" w:sz="0" w:space="0" w:color="auto"/>
                          </w:divBdr>
                          <w:divsChild>
                            <w:div w:id="863862744">
                              <w:marLeft w:val="0"/>
                              <w:marRight w:val="0"/>
                              <w:marTop w:val="0"/>
                              <w:marBottom w:val="120"/>
                              <w:divBdr>
                                <w:top w:val="none" w:sz="0" w:space="0" w:color="auto"/>
                                <w:left w:val="none" w:sz="0" w:space="0" w:color="auto"/>
                                <w:bottom w:val="single" w:sz="12" w:space="9" w:color="EBEBEB"/>
                                <w:right w:val="none" w:sz="0" w:space="0" w:color="auto"/>
                              </w:divBdr>
                              <w:divsChild>
                                <w:div w:id="1027099621">
                                  <w:marLeft w:val="0"/>
                                  <w:marRight w:val="0"/>
                                  <w:marTop w:val="100"/>
                                  <w:marBottom w:val="100"/>
                                  <w:divBdr>
                                    <w:top w:val="none" w:sz="0" w:space="0" w:color="auto"/>
                                    <w:left w:val="none" w:sz="0" w:space="0" w:color="auto"/>
                                    <w:bottom w:val="none" w:sz="0" w:space="0" w:color="auto"/>
                                    <w:right w:val="none" w:sz="0" w:space="0" w:color="auto"/>
                                  </w:divBdr>
                                  <w:divsChild>
                                    <w:div w:id="15650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ubs.acs.org/author/Marroqu%C3%ADn%2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s.acs.org/author/Betancourt%2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s.acs.org/author/Morales%2C+P" TargetMode="External"/><Relationship Id="rId5" Type="http://schemas.openxmlformats.org/officeDocument/2006/relationships/webSettings" Target="webSettings.xml"/><Relationship Id="rId15" Type="http://schemas.openxmlformats.org/officeDocument/2006/relationships/hyperlink" Target="https://www.sciencedirect.com/science/journal/09205861/305/supp/C" TargetMode="External"/><Relationship Id="rId10" Type="http://schemas.openxmlformats.org/officeDocument/2006/relationships/hyperlink" Target="http://pubs.acs.org/author/Ancheyta%2C+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ubs.acs.org/author/Mu%C3%B1oz%2C+J+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D5E0-E28A-476A-AC7C-5EF68FF8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5240</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cp:lastPrinted>2019-02-26T08:22:00Z</cp:lastPrinted>
  <dcterms:created xsi:type="dcterms:W3CDTF">2019-07-03T07:44:00Z</dcterms:created>
  <dcterms:modified xsi:type="dcterms:W3CDTF">2019-07-03T07:44:00Z</dcterms:modified>
</cp:coreProperties>
</file>