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39006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</w:t>
      </w:r>
      <w:r w:rsidR="006C46A0">
        <w:rPr>
          <w:rFonts w:asciiTheme="minorHAnsi" w:eastAsia="MS PGothic" w:hAnsiTheme="minorHAnsi"/>
          <w:b/>
          <w:bCs/>
          <w:sz w:val="28"/>
          <w:szCs w:val="28"/>
          <w:lang w:val="en-US"/>
        </w:rPr>
        <w:t>ecombinant</w:t>
      </w:r>
      <w:r w:rsidR="00521B1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Mut</w:t>
      </w:r>
      <w:r w:rsidR="00521B11" w:rsidRPr="00521B11">
        <w:rPr>
          <w:rFonts w:asciiTheme="minorHAnsi" w:eastAsia="MS PGothic" w:hAnsiTheme="minorHAnsi"/>
          <w:b/>
          <w:bCs/>
          <w:sz w:val="28"/>
          <w:szCs w:val="28"/>
          <w:vertAlign w:val="superscript"/>
          <w:lang w:val="en-US"/>
        </w:rPr>
        <w:t>+</w:t>
      </w:r>
      <w:r w:rsidR="00521B1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A77755" w:rsidRPr="00630118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P. pastoris </w:t>
      </w:r>
      <w:r w:rsidR="00D911EA" w:rsidRPr="00D911E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GS115 hepatitis B virus core-antigen </w:t>
      </w:r>
      <w:r w:rsidR="00D911EA" w:rsidRPr="00D911EA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(HBcAg) </w:t>
      </w:r>
      <w:r w:rsidR="00956002">
        <w:rPr>
          <w:rFonts w:asciiTheme="minorHAnsi" w:eastAsia="MS PGothic" w:hAnsiTheme="minorHAnsi"/>
          <w:b/>
          <w:bCs/>
          <w:sz w:val="28"/>
          <w:szCs w:val="28"/>
          <w:lang w:val="en-US"/>
        </w:rPr>
        <w:t>obtainment</w:t>
      </w:r>
      <w:r w:rsidR="00D911E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911EA">
        <w:rPr>
          <w:rFonts w:asciiTheme="minorHAnsi" w:eastAsia="MS PGothic" w:hAnsiTheme="minorHAnsi"/>
          <w:b/>
          <w:bCs/>
          <w:sz w:val="28"/>
          <w:szCs w:val="28"/>
          <w:lang w:val="en-US"/>
        </w:rPr>
        <w:t>methanol PID-controlled fed-batch process</w:t>
      </w:r>
    </w:p>
    <w:p w:rsidR="00D911EA" w:rsidRDefault="009656FE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Oskars Grigs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3052C5">
        <w:rPr>
          <w:rFonts w:eastAsia="SimSun"/>
          <w:color w:val="000000"/>
          <w:lang w:val="en-US" w:eastAsia="zh-CN"/>
        </w:rPr>
        <w:t xml:space="preserve">, </w:t>
      </w:r>
      <w:r w:rsidR="00305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Emils Bolmanis</w:t>
      </w:r>
      <w:r w:rsidR="00BF13F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="00D911EA">
        <w:rPr>
          <w:rFonts w:eastAsia="SimSun"/>
          <w:color w:val="000000"/>
          <w:lang w:val="en-US" w:eastAsia="zh-CN"/>
        </w:rPr>
        <w:t xml:space="preserve">, </w:t>
      </w:r>
      <w:r w:rsidR="00D911E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Vytautas Galvanauskas</w:t>
      </w:r>
      <w:r w:rsidR="00D911EA" w:rsidRPr="00D911E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260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Latvian State Institute of Wood Chemistry, Dzerbenes str. 27, Riga, LV-1006, LATVIA</w:t>
      </w:r>
    </w:p>
    <w:p w:rsidR="003052C5" w:rsidRDefault="003052C5" w:rsidP="003052C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>2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Latvian </w:t>
      </w:r>
      <w:r w:rsidR="007232D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Biomedical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Research and Study Centre, Ratsupites str. 1, Riga, LV-</w:t>
      </w:r>
      <w:r w:rsidR="007232D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1067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LATVIA</w:t>
      </w:r>
    </w:p>
    <w:p w:rsidR="003052C5" w:rsidRPr="00DE0019" w:rsidRDefault="00D911EA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>3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Kaunas University of Technology, </w:t>
      </w:r>
      <w:r w:rsidR="00F76D23" w:rsidRPr="00F76D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Studentu 50-162, Kaunas</w:t>
      </w:r>
      <w:r w:rsidR="00F76D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F76D23" w:rsidRPr="00F76D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LT-51368, </w:t>
      </w:r>
      <w:r w:rsidR="00F76D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LITHUANIA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12C7E">
        <w:rPr>
          <w:rFonts w:asciiTheme="minorHAnsi" w:eastAsia="MS PGothic" w:hAnsiTheme="minorHAnsi"/>
          <w:bCs/>
          <w:i/>
          <w:iCs/>
          <w:sz w:val="20"/>
          <w:lang w:val="en-US"/>
        </w:rPr>
        <w:t>o</w:t>
      </w:r>
      <w:r w:rsidR="0070635B">
        <w:rPr>
          <w:rFonts w:asciiTheme="minorHAnsi" w:eastAsia="MS PGothic" w:hAnsiTheme="minorHAnsi"/>
          <w:bCs/>
          <w:i/>
          <w:iCs/>
          <w:sz w:val="20"/>
          <w:lang w:val="en-US"/>
        </w:rPr>
        <w:t>skars.grigs@edu.rtu.lv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7A0CA1" w:rsidRDefault="00897AA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926D7D" w:rsidRPr="00926D7D">
        <w:rPr>
          <w:rFonts w:asciiTheme="minorHAnsi" w:hAnsiTheme="minorHAnsi"/>
        </w:rPr>
        <w:t xml:space="preserve">ethanol feeding </w:t>
      </w:r>
      <w:r w:rsidR="00926D7D" w:rsidRPr="007A0CA1">
        <w:rPr>
          <w:rFonts w:asciiTheme="minorHAnsi" w:hAnsiTheme="minorHAnsi"/>
        </w:rPr>
        <w:t>rate PID-control</w:t>
      </w:r>
    </w:p>
    <w:p w:rsidR="00704BDF" w:rsidRPr="007A0CA1" w:rsidRDefault="00926D7D" w:rsidP="00926D7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A0CA1">
        <w:rPr>
          <w:rFonts w:asciiTheme="minorHAnsi" w:hAnsiTheme="minorHAnsi"/>
          <w:i/>
        </w:rPr>
        <w:t>P. pastoris</w:t>
      </w:r>
      <w:r w:rsidR="000A6DD6" w:rsidRPr="007A0CA1">
        <w:rPr>
          <w:rFonts w:asciiTheme="minorHAnsi" w:hAnsiTheme="minorHAnsi"/>
        </w:rPr>
        <w:t xml:space="preserve"> DCW of 100 g/L</w:t>
      </w:r>
    </w:p>
    <w:p w:rsidR="00704BDF" w:rsidRPr="007A0CA1" w:rsidRDefault="00926D7D" w:rsidP="00926D7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A0CA1">
        <w:rPr>
          <w:rFonts w:asciiTheme="minorHAnsi" w:hAnsiTheme="minorHAnsi"/>
        </w:rPr>
        <w:t xml:space="preserve">HBcAg yield </w:t>
      </w:r>
      <w:r w:rsidRPr="007A0CA1">
        <w:rPr>
          <w:rFonts w:asciiTheme="minorHAnsi" w:eastAsia="MS PGothic" w:hAnsiTheme="minorHAnsi"/>
          <w:color w:val="000000"/>
          <w:sz w:val="22"/>
          <w:szCs w:val="22"/>
        </w:rPr>
        <w:t>3.5 mg (protein)/g (cell wet weight)</w:t>
      </w:r>
    </w:p>
    <w:p w:rsidR="00704BDF" w:rsidRPr="007A0CA1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7A0CA1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7A0CA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E43F5" w:rsidRDefault="00D4538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Hepatitis B virus core-antigen </w:t>
      </w:r>
      <w:r w:rsidR="0069445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E729F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HBcAg</w:t>
      </w:r>
      <w:r w:rsidR="0069445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9006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made</w:t>
      </w:r>
      <w:r w:rsidR="0039006A" w:rsidRPr="003900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capsids are being intensively investigated </w:t>
      </w:r>
      <w:r w:rsidR="00E729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various biomedical </w:t>
      </w:r>
      <w:r w:rsidR="00E729F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ap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plications </w:t>
      </w:r>
      <w:r w:rsidR="0039006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77AAE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39006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BC006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Industrially-</w:t>
      </w:r>
      <w:r w:rsidR="00A111F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applied recombinant protein expression host of</w:t>
      </w:r>
      <w:r w:rsidR="001A64C0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methanotroph</w:t>
      </w:r>
      <w:r w:rsidR="00E729F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4928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 </w:t>
      </w:r>
      <w:r w:rsidR="00E729F6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pastoris </w:t>
      </w:r>
      <w:r w:rsidR="00E729F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GS115</w:t>
      </w:r>
      <w:r w:rsidR="00A111F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A111F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well suitable for </w:t>
      </w:r>
      <w:r w:rsidR="000D07B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obtaining </w:t>
      </w:r>
      <w:r w:rsidR="00A111F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HBcAg.</w:t>
      </w:r>
      <w:r w:rsidR="001A64C0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Characteristic methanotroph</w:t>
      </w:r>
      <w:r w:rsidR="00A111F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A64C0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</w:t>
      </w:r>
      <w:r w:rsidR="001D4928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="001A64C0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pastoris</w:t>
      </w:r>
      <w:r w:rsidR="001A64C0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host property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1A64C0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utilization of</w:t>
      </w:r>
      <w:r w:rsidR="00A111F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as a </w:t>
      </w:r>
      <w:r w:rsidR="0081224E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carbon </w:t>
      </w:r>
      <w:r w:rsidR="003D1B9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2F793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77A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source</w:t>
      </w:r>
      <w:r w:rsidR="003D1B9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F793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1B9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methanol presence in the medium ensure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D1B9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of</w:t>
      </w:r>
      <w:r w:rsidR="002F793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recombinant protein </w:t>
      </w:r>
      <w:r w:rsidR="0081224E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synthesis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Although</w:t>
      </w:r>
      <w:r w:rsidR="00C308D9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ethanol concentration (MC</w:t>
      </w:r>
      <w:r w:rsidR="000E39A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influence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</w:t>
      </w:r>
      <w:r w:rsidR="0019079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n recombinant protein synthe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sis level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well known</w:t>
      </w:r>
      <w:r w:rsidR="00C308D9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this factor is not studied on HBcAg obtainment</w:t>
      </w:r>
      <w:r w:rsidR="00BD524B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BC006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0066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</w:t>
      </w:r>
      <w:r w:rsidR="001D4928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="00BC0066" w:rsidRPr="007A0C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pastoris</w:t>
      </w:r>
      <w:r w:rsidR="0081127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308D9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43F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If on-line</w:t>
      </w:r>
      <w:r w:rsidR="000D07B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MC</w:t>
      </w:r>
      <w:r w:rsidR="00AE43F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measurement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are available</w:t>
      </w:r>
      <w:r w:rsidR="00AE43F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PID-</w:t>
      </w:r>
      <w:r w:rsidR="000D07B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control </w:t>
      </w:r>
      <w:r w:rsidR="00AE43F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algorithm can be applied for pre-set MC control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1D49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43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manipulating methanol feeding rate to the bioreactor. </w:t>
      </w:r>
      <w:r w:rsidR="00355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Screening results </w:t>
      </w:r>
      <w:r w:rsidR="00AE43F5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various MC</w:t>
      </w:r>
      <w:r w:rsidR="008A5A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level</w:t>
      </w:r>
      <w:r w:rsidR="000D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A5A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43F5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“</w:t>
      </w:r>
      <w:r w:rsidR="008A5A6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methanol-</w:t>
      </w:r>
      <w:r w:rsidR="008A5A6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limited</w:t>
      </w:r>
      <w:r w:rsidR="00354F4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24C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7224C5" w:rsidRPr="007A0C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≈</w:t>
      </w:r>
      <w:r w:rsidR="007224C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 </w:t>
      </w:r>
      <w:r w:rsidR="00354F4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g/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354F4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8A5A6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="00D668D2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1, 3 and 5 g/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AE43F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improved HBcAg obtainment</w:t>
      </w:r>
      <w:r w:rsidR="00355A1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E43F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5A6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</w:t>
      </w:r>
      <w:r w:rsidR="00AE43F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analyzed </w:t>
      </w:r>
      <w:r w:rsidR="00355A1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</w:t>
      </w:r>
      <w:r w:rsidR="00D668D2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2778B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Postdoctoral </w:t>
      </w:r>
      <w:r w:rsidR="00D668D2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research project (</w:t>
      </w:r>
      <w:r w:rsidR="002778B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Project Agreement N</w:t>
      </w:r>
      <w:r w:rsidR="00242F4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o. 1.1.1.2/16/I/001, Research Application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242F4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o. 1.1.</w:t>
      </w:r>
      <w:r w:rsidR="00242F4A" w:rsidRPr="00242F4A">
        <w:rPr>
          <w:rFonts w:asciiTheme="minorHAnsi" w:eastAsia="MS PGothic" w:hAnsiTheme="minorHAnsi"/>
          <w:color w:val="000000"/>
          <w:sz w:val="22"/>
          <w:szCs w:val="22"/>
          <w:lang w:val="en-US"/>
        </w:rPr>
        <w:t>1.2/VIAA/1/16/186</w:t>
      </w:r>
      <w:r w:rsidR="00D668D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E43F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455CE" w:rsidRPr="007D6887" w:rsidRDefault="00B0790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Methanol PID-control algorithm, adapted from Cos O. et al. </w:t>
      </w:r>
      <w:r w:rsidR="00BD524B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5E658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programmed in Matlab. Laboratory bioreactor (5 L) communication architecture of DCU-SCADA-</w:t>
      </w:r>
      <w:r w:rsidR="00794B0F">
        <w:rPr>
          <w:rFonts w:asciiTheme="minorHAnsi" w:eastAsia="MS PGothic" w:hAnsiTheme="minorHAnsi"/>
          <w:color w:val="000000"/>
          <w:sz w:val="22"/>
          <w:szCs w:val="22"/>
          <w:lang w:val="en-US"/>
        </w:rPr>
        <w:t>(OPC)-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Matlab</w:t>
      </w:r>
      <w:r w:rsidR="00336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well 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described in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previous research [</w:t>
      </w:r>
      <w:r w:rsidR="005A551F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482E12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688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Detailed informa</w:t>
      </w:r>
      <w:r w:rsidR="0012191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 on</w:t>
      </w:r>
      <w:r w:rsidR="007D688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recombinant host</w:t>
      </w:r>
      <w:r w:rsidR="0012191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HBcAg downstream processing</w:t>
      </w:r>
      <w:r w:rsidR="007D688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7D688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available</w:t>
      </w:r>
      <w:r w:rsidR="007D6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5A551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7D6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482E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E6586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F45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ultivation </w:t>
      </w:r>
      <w:r w:rsidR="005E658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</w:t>
      </w:r>
      <w:r w:rsidR="00336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selected</w:t>
      </w:r>
      <w:r w:rsidR="005E6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regarding</w:t>
      </w:r>
      <w:r w:rsidR="007D6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Invitrogen co.</w:t>
      </w:r>
      <w:r w:rsidR="00C156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protocol</w:t>
      </w:r>
      <w:r w:rsidR="00945D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6B8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C15673" w:rsidRPr="00C15673">
        <w:rPr>
          <w:rFonts w:asciiTheme="minorHAnsi" w:eastAsia="MS PGothic" w:hAnsiTheme="minorHAnsi"/>
          <w:color w:val="000000"/>
          <w:sz w:val="22"/>
          <w:szCs w:val="22"/>
          <w:lang w:val="en-US"/>
        </w:rPr>
        <w:t>Pichia Fermentation Process Guidelines</w:t>
      </w:r>
      <w:r w:rsidR="00336B8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for Mut</w:t>
      </w:r>
      <w:r w:rsidR="00336B89" w:rsidRPr="00336B8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336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</w:t>
      </w:r>
      <w:r w:rsidR="007D6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65F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5608">
        <w:rPr>
          <w:rFonts w:asciiTheme="minorHAnsi" w:eastAsia="MS PGothic" w:hAnsiTheme="minorHAnsi"/>
          <w:color w:val="000000"/>
          <w:sz w:val="22"/>
          <w:szCs w:val="22"/>
          <w:lang w:val="en-US"/>
        </w:rPr>
        <w:t>On-line m</w:t>
      </w:r>
      <w:r w:rsidR="00F65F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</w:t>
      </w:r>
      <w:r w:rsidR="0049560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measured</w:t>
      </w:r>
      <w:r w:rsidR="00F65F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BCP-EtOH off-gas analyzer</w:t>
      </w:r>
      <w:r w:rsidR="004956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495608" w:rsidRPr="00F65F70">
        <w:rPr>
          <w:rFonts w:asciiTheme="minorHAnsi" w:eastAsia="MS PGothic" w:hAnsiTheme="minorHAnsi"/>
          <w:color w:val="000000"/>
          <w:sz w:val="22"/>
          <w:szCs w:val="22"/>
          <w:lang w:val="en-US"/>
        </w:rPr>
        <w:t>Bluesens)</w:t>
      </w:r>
      <w:r w:rsidR="00F65F7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80808" w:rsidRPr="00307D28" w:rsidRDefault="00B53729" w:rsidP="00462A5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of methanol 1 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g/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set-point control process are shown in Figure 1. </w:t>
      </w:r>
      <w:r w:rsidR="00283D2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Characteristic</w:t>
      </w:r>
      <w:r w:rsidR="00396D7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methanol peak</w:t>
      </w:r>
      <w:r w:rsidR="002F3A7E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6B8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appears</w:t>
      </w:r>
      <w:r w:rsidR="002F3A7E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beginning</w:t>
      </w:r>
      <w:r w:rsidR="002F3A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methanol feed start phase</w:t>
      </w:r>
      <w:r w:rsidR="00806B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(peak height around 3 g/L)</w:t>
      </w:r>
      <w:r w:rsidR="002F3A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F3314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culture adaptation to methanol (</w:t>
      </w:r>
      <w:r w:rsidR="002F3A7E">
        <w:rPr>
          <w:rFonts w:asciiTheme="minorHAnsi" w:eastAsia="MS PGothic" w:hAnsiTheme="minorHAnsi"/>
          <w:color w:val="000000"/>
          <w:sz w:val="22"/>
          <w:szCs w:val="22"/>
          <w:lang w:val="en-US"/>
        </w:rPr>
        <w:t>30</w:t>
      </w:r>
      <w:r w:rsidR="00FF3314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F7209F">
        <w:rPr>
          <w:rFonts w:asciiTheme="minorHAnsi" w:eastAsia="MS PGothic" w:hAnsiTheme="minorHAnsi"/>
          <w:color w:val="000000"/>
          <w:sz w:val="22"/>
          <w:szCs w:val="22"/>
          <w:lang w:val="en-US"/>
        </w:rPr>
        <w:t>42</w:t>
      </w:r>
      <w:r w:rsidR="00FF3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h), methanol </w:t>
      </w:r>
      <w:r w:rsidR="00396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limited conditions are obtained. </w:t>
      </w:r>
      <w:r w:rsidR="00396D7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Afterwards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96D7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automatic methanol feeding for set-point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 of 1 g/L</w:t>
      </w:r>
      <w:r w:rsidR="00625EF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364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activated</w:t>
      </w:r>
      <w:r w:rsidR="00396D7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5B3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6B8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630A1B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round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2-hours-long</w:t>
      </w:r>
      <w:r w:rsidR="00630A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5B3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methanol </w:t>
      </w:r>
      <w:r w:rsidR="00806B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peak </w:t>
      </w:r>
      <w:r w:rsidR="00806B8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2 height g/L</w:t>
      </w:r>
      <w:r w:rsidR="00806B8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appear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06B8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beginning of </w:t>
      </w:r>
      <w:r w:rsidR="00625EF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06B8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automatic methanol control</w:t>
      </w:r>
      <w:r w:rsidR="00DA7CF3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</w:t>
      </w:r>
      <w:r w:rsidR="00685B3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06B85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 methanol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 resulted in close process MC</w:t>
      </w:r>
      <w:r w:rsidR="00B03E0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03E0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</w:t>
      </w:r>
      <w:r w:rsidR="00DA7CF3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-point</w:t>
      </w:r>
      <w:r w:rsidR="00B03E0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where at the process end phase, 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disturbance from operator</w:t>
      </w:r>
      <w:r w:rsidR="001D49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's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side and achievement of culture maximum </w:t>
      </w:r>
      <w:r w:rsidR="00DA7CF3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capacity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methanol </w:t>
      </w:r>
      <w:r w:rsidR="00B03E0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deviation from set-point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660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Finally, culture </w:t>
      </w:r>
      <w:r w:rsidR="008E4B9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dry weight biomass </w:t>
      </w:r>
      <w:r w:rsidR="00FF3314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100</w:t>
      </w:r>
      <w:r w:rsidR="008E4B9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g/L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obtained.</w:t>
      </w:r>
      <w:r w:rsidR="008E4B91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HBcAg accum</w:t>
      </w:r>
      <w:bookmarkStart w:id="0" w:name="_GoBack"/>
      <w:bookmarkEnd w:id="0"/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ulation dynamics 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analyzed from “methanol-limited” process: 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HBcAg 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2.8 mg (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protein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)/g (</w:t>
      </w:r>
      <w:r w:rsidR="004B04C4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wet </w:t>
      </w:r>
      <w:r w:rsidR="004B0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 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weight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48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h, 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3.5 mg (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protein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)/g (</w:t>
      </w:r>
      <w:r w:rsidR="004B04C4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wet 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 weight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9A38AA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process</w:t>
      </w:r>
      <w:r w:rsidR="00307D28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75 h.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25EF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ollowing 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identified 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PID control</w:t>
      </w:r>
      <w:r w:rsidR="00625EF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parameters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: Kp=0.05 L*L/g*h (proportional gain) and</w:t>
      </w:r>
      <w:r w:rsidR="00526710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t_pid=10 min (i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ntegral time constant)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used</w:t>
      </w:r>
      <w:r w:rsidR="00462A5D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CA597E" w:rsidRPr="00394D3C" w:rsidRDefault="00BD4EF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>
            <wp:extent cx="4763386" cy="3572268"/>
            <wp:effectExtent l="0" t="0" r="0" b="9525"/>
            <wp:docPr id="2" name="Picture 2" descr="C:\Users\User\Dropbox\MATLAB\Matlab_OG\PostDok\Plots\data\Florence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ropbox\MATLAB\Matlab_OG\PostDok\Plots\data\Florence_2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35" cy="358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7F194A">
        <w:rPr>
          <w:rFonts w:asciiTheme="minorHAnsi" w:eastAsia="MS PGothic" w:hAnsiTheme="minorHAnsi"/>
          <w:color w:val="000000"/>
          <w:szCs w:val="18"/>
          <w:lang w:val="en-US"/>
        </w:rPr>
        <w:t>Bi</w:t>
      </w:r>
      <w:r w:rsidR="00DA24DB">
        <w:rPr>
          <w:rFonts w:asciiTheme="minorHAnsi" w:eastAsia="MS PGothic" w:hAnsiTheme="minorHAnsi"/>
          <w:color w:val="000000"/>
          <w:szCs w:val="18"/>
          <w:lang w:val="en-US"/>
        </w:rPr>
        <w:t>omass: off-line dry weight measurements</w:t>
      </w:r>
      <w:r w:rsidR="0016632C">
        <w:rPr>
          <w:rFonts w:asciiTheme="minorHAnsi" w:eastAsia="MS PGothic" w:hAnsiTheme="minorHAnsi"/>
          <w:color w:val="000000"/>
          <w:szCs w:val="18"/>
          <w:lang w:val="en-US"/>
        </w:rPr>
        <w:t xml:space="preserve"> (circles)</w:t>
      </w:r>
      <w:r w:rsidR="007F194A">
        <w:rPr>
          <w:rFonts w:asciiTheme="minorHAnsi" w:eastAsia="MS PGothic" w:hAnsiTheme="minorHAnsi"/>
          <w:color w:val="000000"/>
          <w:szCs w:val="18"/>
          <w:lang w:val="en-US"/>
        </w:rPr>
        <w:t>; Methanol: on-line signal (red</w:t>
      </w:r>
      <w:r w:rsidR="0078542E">
        <w:rPr>
          <w:rFonts w:asciiTheme="minorHAnsi" w:eastAsia="MS PGothic" w:hAnsiTheme="minorHAnsi"/>
          <w:color w:val="000000"/>
          <w:szCs w:val="18"/>
          <w:lang w:val="en-US"/>
        </w:rPr>
        <w:t xml:space="preserve"> line</w:t>
      </w:r>
      <w:r w:rsidR="007F194A">
        <w:rPr>
          <w:rFonts w:asciiTheme="minorHAnsi" w:eastAsia="MS PGothic" w:hAnsiTheme="minorHAnsi"/>
          <w:color w:val="000000"/>
          <w:szCs w:val="18"/>
          <w:lang w:val="en-US"/>
        </w:rPr>
        <w:t>), filtered signal (black</w:t>
      </w:r>
      <w:r w:rsidR="0078542E">
        <w:rPr>
          <w:rFonts w:asciiTheme="minorHAnsi" w:eastAsia="MS PGothic" w:hAnsiTheme="minorHAnsi"/>
          <w:color w:val="000000"/>
          <w:szCs w:val="18"/>
          <w:lang w:val="en-US"/>
        </w:rPr>
        <w:t xml:space="preserve"> line</w:t>
      </w:r>
      <w:r w:rsidR="007F194A">
        <w:rPr>
          <w:rFonts w:asciiTheme="minorHAnsi" w:eastAsia="MS PGothic" w:hAnsiTheme="minorHAnsi"/>
          <w:color w:val="000000"/>
          <w:szCs w:val="18"/>
          <w:lang w:val="en-US"/>
        </w:rPr>
        <w:t>), set-point (dashed</w:t>
      </w:r>
      <w:r w:rsidR="0078542E">
        <w:rPr>
          <w:rFonts w:asciiTheme="minorHAnsi" w:eastAsia="MS PGothic" w:hAnsiTheme="minorHAnsi"/>
          <w:color w:val="000000"/>
          <w:szCs w:val="18"/>
          <w:lang w:val="en-US"/>
        </w:rPr>
        <w:t xml:space="preserve"> line</w:t>
      </w:r>
      <w:r w:rsidR="007F194A">
        <w:rPr>
          <w:rFonts w:asciiTheme="minorHAnsi" w:eastAsia="MS PGothic" w:hAnsiTheme="minorHAnsi"/>
          <w:color w:val="000000"/>
          <w:szCs w:val="18"/>
          <w:lang w:val="en-US"/>
        </w:rPr>
        <w:t>); Feeding rate: bioreactor variable; Process events: control, events and observations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7C02F6" w:rsidP="00B03E0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Implemented MC PID-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control 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capable for on-line </w:t>
      </w:r>
      <w:r w:rsidR="00BF13FE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MC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close</w:t>
      </w:r>
      <w:r w:rsidR="005D49F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527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</w:t>
      </w:r>
      <w:r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527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set-point of 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1 g/L</w:t>
      </w:r>
      <w:r w:rsidR="00BD7C93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D49F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 process optimization with</w:t>
      </w:r>
      <w:r w:rsidR="004F527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set MC of</w:t>
      </w:r>
      <w:r w:rsidR="000A6DD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 and 5 g/L</w:t>
      </w:r>
      <w:r w:rsidR="005D49F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should be </w:t>
      </w:r>
      <w:r w:rsidR="004F527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="005D49FC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03E0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HBcAg accumulation dynamics in</w:t>
      </w:r>
      <w:r w:rsidR="00343EC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527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</w:t>
      </w:r>
      <w:r w:rsidR="00343EC6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 should be analyzed</w:t>
      </w:r>
      <w:r w:rsidR="00B03E07" w:rsidRPr="007A0C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9D4063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624B9C" w:rsidRDefault="00624B9C" w:rsidP="00624B9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077AAE">
        <w:rPr>
          <w:rFonts w:asciiTheme="minorHAnsi" w:eastAsia="SimSun" w:hAnsiTheme="minorHAnsi"/>
          <w:lang w:eastAsia="zh-CN"/>
        </w:rPr>
        <w:t>A. Dishlers, D. Skrastina, R. Renhofa, I. Petrovskis, V. Ose, I. Lieknina, J. Jansons, P. Pumpens, I. Sominskaya</w:t>
      </w:r>
      <w:r>
        <w:rPr>
          <w:rFonts w:asciiTheme="minorHAnsi" w:eastAsia="SimSun" w:hAnsiTheme="minorHAnsi"/>
          <w:lang w:eastAsia="zh-CN"/>
        </w:rPr>
        <w:t>.</w:t>
      </w:r>
      <w:r w:rsidRPr="00077AAE">
        <w:rPr>
          <w:rFonts w:asciiTheme="minorHAnsi" w:eastAsia="SimSun" w:hAnsiTheme="minorHAnsi"/>
          <w:lang w:eastAsia="zh-CN"/>
        </w:rPr>
        <w:t xml:space="preserve"> Molecular Biotechnology</w:t>
      </w:r>
      <w:r>
        <w:rPr>
          <w:rFonts w:asciiTheme="minorHAnsi" w:eastAsia="SimSun" w:hAnsiTheme="minorHAnsi"/>
          <w:lang w:eastAsia="zh-CN"/>
        </w:rPr>
        <w:t>. 57 (</w:t>
      </w:r>
      <w:r w:rsidRPr="00077AAE">
        <w:rPr>
          <w:rFonts w:asciiTheme="minorHAnsi" w:eastAsia="SimSun" w:hAnsiTheme="minorHAnsi"/>
          <w:lang w:eastAsia="zh-CN"/>
        </w:rPr>
        <w:t>2015</w:t>
      </w:r>
      <w:r>
        <w:rPr>
          <w:rFonts w:asciiTheme="minorHAnsi" w:eastAsia="SimSun" w:hAnsiTheme="minorHAnsi"/>
          <w:lang w:eastAsia="zh-CN"/>
        </w:rPr>
        <w:t>)</w:t>
      </w:r>
      <w:r w:rsidRPr="00077AAE">
        <w:rPr>
          <w:rFonts w:asciiTheme="minorHAnsi" w:eastAsia="SimSun" w:hAnsiTheme="minorHAnsi"/>
          <w:lang w:eastAsia="zh-CN"/>
        </w:rPr>
        <w:t xml:space="preserve"> 1038</w:t>
      </w:r>
      <w:r w:rsidRPr="00E35317">
        <w:rPr>
          <w:rFonts w:asciiTheme="minorHAnsi" w:eastAsia="SimSun" w:hAnsiTheme="minorHAnsi"/>
          <w:lang w:eastAsia="zh-CN"/>
        </w:rPr>
        <w:t>–</w:t>
      </w:r>
      <w:r w:rsidRPr="00077AAE">
        <w:rPr>
          <w:rFonts w:asciiTheme="minorHAnsi" w:eastAsia="SimSun" w:hAnsiTheme="minorHAnsi"/>
          <w:lang w:eastAsia="zh-CN"/>
        </w:rPr>
        <w:t>1049.</w:t>
      </w:r>
    </w:p>
    <w:p w:rsidR="00624B9C" w:rsidRPr="00756C56" w:rsidRDefault="00624B9C" w:rsidP="00624B9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03654B">
        <w:rPr>
          <w:rFonts w:asciiTheme="minorHAnsi" w:eastAsia="MS PGothic" w:hAnsiTheme="minorHAnsi"/>
          <w:color w:val="000000"/>
        </w:rPr>
        <w:t xml:space="preserve">O. Cos, R. Ramon, J.L. Montesinos, F. Valero. Biotechnology and </w:t>
      </w:r>
      <w:r>
        <w:rPr>
          <w:rFonts w:asciiTheme="minorHAnsi" w:eastAsia="MS PGothic" w:hAnsiTheme="minorHAnsi"/>
          <w:color w:val="000000"/>
        </w:rPr>
        <w:t>Bioengineering</w:t>
      </w:r>
      <w:r w:rsidRPr="0003654B">
        <w:rPr>
          <w:rFonts w:asciiTheme="minorHAnsi" w:eastAsia="MS PGothic" w:hAnsiTheme="minorHAnsi"/>
          <w:color w:val="000000"/>
        </w:rPr>
        <w:t>. 95</w:t>
      </w:r>
      <w:r>
        <w:rPr>
          <w:rFonts w:asciiTheme="minorHAnsi" w:eastAsia="MS PGothic" w:hAnsiTheme="minorHAnsi"/>
          <w:color w:val="000000"/>
        </w:rPr>
        <w:t xml:space="preserve"> (2006) 145</w:t>
      </w:r>
      <w:r w:rsidRPr="00E35317">
        <w:rPr>
          <w:rFonts w:asciiTheme="minorHAnsi" w:eastAsia="SimSun" w:hAnsiTheme="minorHAnsi"/>
          <w:lang w:eastAsia="zh-CN"/>
        </w:rPr>
        <w:t>–</w:t>
      </w:r>
      <w:r>
        <w:rPr>
          <w:rFonts w:asciiTheme="minorHAnsi" w:eastAsia="MS PGothic" w:hAnsiTheme="minorHAnsi"/>
          <w:color w:val="000000"/>
        </w:rPr>
        <w:t>154.</w:t>
      </w:r>
    </w:p>
    <w:p w:rsidR="00624B9C" w:rsidRDefault="00624B9C" w:rsidP="00624B9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1D4928">
        <w:rPr>
          <w:rFonts w:asciiTheme="minorHAnsi" w:eastAsia="SimSun" w:hAnsiTheme="minorHAnsi"/>
          <w:lang w:val="de-DE" w:eastAsia="zh-CN"/>
        </w:rPr>
        <w:t xml:space="preserve">O. Grigs, V. Galvanauskas, K. Dubencovs, J. Vanags, A. Suleiko, T. Berzins, L. Kunga. </w:t>
      </w:r>
      <w:r w:rsidRPr="00E35317">
        <w:rPr>
          <w:rFonts w:asciiTheme="minorHAnsi" w:eastAsia="SimSun" w:hAnsiTheme="minorHAnsi"/>
          <w:lang w:eastAsia="zh-CN"/>
        </w:rPr>
        <w:t>Chem. Biochem. Eng. Q. 30 (2016)</w:t>
      </w:r>
      <w:r>
        <w:rPr>
          <w:rFonts w:asciiTheme="minorHAnsi" w:eastAsia="SimSun" w:hAnsiTheme="minorHAnsi"/>
          <w:lang w:eastAsia="zh-CN"/>
        </w:rPr>
        <w:t xml:space="preserve"> </w:t>
      </w:r>
      <w:r w:rsidRPr="00E35317">
        <w:rPr>
          <w:rFonts w:asciiTheme="minorHAnsi" w:eastAsia="SimSun" w:hAnsiTheme="minorHAnsi"/>
          <w:lang w:eastAsia="zh-CN"/>
        </w:rPr>
        <w:t>47–60</w:t>
      </w:r>
      <w:r>
        <w:rPr>
          <w:rFonts w:asciiTheme="minorHAnsi" w:eastAsia="SimSun" w:hAnsiTheme="minorHAnsi"/>
          <w:lang w:eastAsia="zh-CN"/>
        </w:rPr>
        <w:t>.</w:t>
      </w:r>
    </w:p>
    <w:p w:rsidR="00704BDF" w:rsidRPr="00B1702B" w:rsidRDefault="00624B9C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703D10">
        <w:rPr>
          <w:rFonts w:asciiTheme="minorHAnsi" w:eastAsia="SimSun" w:hAnsiTheme="minorHAnsi"/>
          <w:lang w:eastAsia="zh-CN"/>
        </w:rPr>
        <w:t>J.</w:t>
      </w:r>
      <w:r>
        <w:rPr>
          <w:rFonts w:asciiTheme="minorHAnsi" w:eastAsia="SimSun" w:hAnsiTheme="minorHAnsi"/>
          <w:lang w:eastAsia="zh-CN"/>
        </w:rPr>
        <w:t xml:space="preserve"> </w:t>
      </w:r>
      <w:r w:rsidRPr="00703D10">
        <w:rPr>
          <w:rFonts w:asciiTheme="minorHAnsi" w:eastAsia="SimSun" w:hAnsiTheme="minorHAnsi"/>
          <w:lang w:eastAsia="zh-CN"/>
        </w:rPr>
        <w:t>Freivalds, A.</w:t>
      </w:r>
      <w:r>
        <w:rPr>
          <w:rFonts w:asciiTheme="minorHAnsi" w:eastAsia="SimSun" w:hAnsiTheme="minorHAnsi"/>
          <w:lang w:eastAsia="zh-CN"/>
        </w:rPr>
        <w:t xml:space="preserve"> </w:t>
      </w:r>
      <w:r w:rsidRPr="00703D10">
        <w:rPr>
          <w:rFonts w:asciiTheme="minorHAnsi" w:eastAsia="SimSun" w:hAnsiTheme="minorHAnsi"/>
          <w:lang w:eastAsia="zh-CN"/>
        </w:rPr>
        <w:t>Dislers, V.</w:t>
      </w:r>
      <w:r>
        <w:rPr>
          <w:rFonts w:asciiTheme="minorHAnsi" w:eastAsia="SimSun" w:hAnsiTheme="minorHAnsi"/>
          <w:lang w:eastAsia="zh-CN"/>
        </w:rPr>
        <w:t xml:space="preserve"> </w:t>
      </w:r>
      <w:r w:rsidRPr="00703D10">
        <w:rPr>
          <w:rFonts w:asciiTheme="minorHAnsi" w:eastAsia="SimSun" w:hAnsiTheme="minorHAnsi"/>
          <w:lang w:eastAsia="zh-CN"/>
        </w:rPr>
        <w:t>Ose, P. Pumpens, K. Tars, A</w:t>
      </w:r>
      <w:r>
        <w:rPr>
          <w:rFonts w:asciiTheme="minorHAnsi" w:eastAsia="SimSun" w:hAnsiTheme="minorHAnsi"/>
          <w:lang w:eastAsia="zh-CN"/>
        </w:rPr>
        <w:t>.</w:t>
      </w:r>
      <w:r w:rsidRPr="00703D10">
        <w:rPr>
          <w:rFonts w:asciiTheme="minorHAnsi" w:eastAsia="SimSun" w:hAnsiTheme="minorHAnsi"/>
          <w:lang w:eastAsia="zh-CN"/>
        </w:rPr>
        <w:t xml:space="preserve"> Kazaks. Protein Expr</w:t>
      </w:r>
      <w:r>
        <w:rPr>
          <w:rFonts w:asciiTheme="minorHAnsi" w:eastAsia="SimSun" w:hAnsiTheme="minorHAnsi"/>
          <w:lang w:eastAsia="zh-CN"/>
        </w:rPr>
        <w:t>ession and Purification. 75 (</w:t>
      </w:r>
      <w:r w:rsidRPr="00703D10">
        <w:rPr>
          <w:rFonts w:asciiTheme="minorHAnsi" w:eastAsia="SimSun" w:hAnsiTheme="minorHAnsi"/>
          <w:lang w:eastAsia="zh-CN"/>
        </w:rPr>
        <w:t>2011</w:t>
      </w:r>
      <w:r w:rsidR="00920619">
        <w:rPr>
          <w:rFonts w:asciiTheme="minorHAnsi" w:eastAsia="SimSun" w:hAnsiTheme="minorHAnsi"/>
          <w:lang w:eastAsia="zh-CN"/>
        </w:rPr>
        <w:t>)</w:t>
      </w:r>
      <w:r w:rsidRPr="00703D10">
        <w:rPr>
          <w:rFonts w:asciiTheme="minorHAnsi" w:eastAsia="SimSun" w:hAnsiTheme="minorHAnsi"/>
          <w:lang w:eastAsia="zh-CN"/>
        </w:rPr>
        <w:t xml:space="preserve"> 218–224.</w:t>
      </w:r>
    </w:p>
    <w:sectPr w:rsidR="00704BDF" w:rsidRPr="00B1702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7F" w:rsidRDefault="00D80A7F" w:rsidP="004F5E36">
      <w:r>
        <w:separator/>
      </w:r>
    </w:p>
  </w:endnote>
  <w:endnote w:type="continuationSeparator" w:id="0">
    <w:p w:rsidR="00D80A7F" w:rsidRDefault="00D80A7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7F" w:rsidRDefault="00D80A7F" w:rsidP="004F5E36">
      <w:r>
        <w:separator/>
      </w:r>
    </w:p>
  </w:footnote>
  <w:footnote w:type="continuationSeparator" w:id="0">
    <w:p w:rsidR="00D80A7F" w:rsidRDefault="00D80A7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1E38BA">
    <w:pPr>
      <w:pStyle w:val="Head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57150" b="7620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84A54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1E38BA">
    <w:pPr>
      <w:pStyle w:val="Head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57150" b="7620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BE70B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D5F6E"/>
    <w:multiLevelType w:val="hybridMultilevel"/>
    <w:tmpl w:val="3D263050"/>
    <w:lvl w:ilvl="0" w:tplc="372029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654B"/>
    <w:rsid w:val="00045122"/>
    <w:rsid w:val="00062A9A"/>
    <w:rsid w:val="00077AAE"/>
    <w:rsid w:val="00080808"/>
    <w:rsid w:val="000936FB"/>
    <w:rsid w:val="000A03B2"/>
    <w:rsid w:val="000A6DD6"/>
    <w:rsid w:val="000D07BD"/>
    <w:rsid w:val="000D34BE"/>
    <w:rsid w:val="000E36F1"/>
    <w:rsid w:val="000E39A7"/>
    <w:rsid w:val="000E3A73"/>
    <w:rsid w:val="000E414A"/>
    <w:rsid w:val="00103D3F"/>
    <w:rsid w:val="001115F0"/>
    <w:rsid w:val="00121916"/>
    <w:rsid w:val="0013121F"/>
    <w:rsid w:val="00134DE4"/>
    <w:rsid w:val="00150E59"/>
    <w:rsid w:val="001573ED"/>
    <w:rsid w:val="0016632C"/>
    <w:rsid w:val="00171BC2"/>
    <w:rsid w:val="00184AD6"/>
    <w:rsid w:val="00190797"/>
    <w:rsid w:val="001A64C0"/>
    <w:rsid w:val="001B3DB4"/>
    <w:rsid w:val="001B65C1"/>
    <w:rsid w:val="001C684B"/>
    <w:rsid w:val="001D4928"/>
    <w:rsid w:val="001D53FC"/>
    <w:rsid w:val="001E0B07"/>
    <w:rsid w:val="001E38BA"/>
    <w:rsid w:val="001F2EC7"/>
    <w:rsid w:val="002065DB"/>
    <w:rsid w:val="00242F4A"/>
    <w:rsid w:val="002447EF"/>
    <w:rsid w:val="00251550"/>
    <w:rsid w:val="0027221A"/>
    <w:rsid w:val="00275B61"/>
    <w:rsid w:val="002778B7"/>
    <w:rsid w:val="00283D27"/>
    <w:rsid w:val="00285DA9"/>
    <w:rsid w:val="002C133B"/>
    <w:rsid w:val="002C3645"/>
    <w:rsid w:val="002C60E4"/>
    <w:rsid w:val="002D1F12"/>
    <w:rsid w:val="002F3A7E"/>
    <w:rsid w:val="002F7937"/>
    <w:rsid w:val="003009B7"/>
    <w:rsid w:val="003035BB"/>
    <w:rsid w:val="0030469C"/>
    <w:rsid w:val="003052C5"/>
    <w:rsid w:val="00307D28"/>
    <w:rsid w:val="00315692"/>
    <w:rsid w:val="00336B89"/>
    <w:rsid w:val="00343EC6"/>
    <w:rsid w:val="00354F47"/>
    <w:rsid w:val="00355A11"/>
    <w:rsid w:val="003723D4"/>
    <w:rsid w:val="0039006A"/>
    <w:rsid w:val="00394D3C"/>
    <w:rsid w:val="00396D7A"/>
    <w:rsid w:val="003A7D1C"/>
    <w:rsid w:val="003D1B95"/>
    <w:rsid w:val="003D7F88"/>
    <w:rsid w:val="003E21A3"/>
    <w:rsid w:val="0046164A"/>
    <w:rsid w:val="00462A5D"/>
    <w:rsid w:val="00462DCD"/>
    <w:rsid w:val="00477A02"/>
    <w:rsid w:val="00482E12"/>
    <w:rsid w:val="00485F5C"/>
    <w:rsid w:val="00495608"/>
    <w:rsid w:val="004A46B9"/>
    <w:rsid w:val="004B04C4"/>
    <w:rsid w:val="004C6839"/>
    <w:rsid w:val="004D1162"/>
    <w:rsid w:val="004E1461"/>
    <w:rsid w:val="004E4DD6"/>
    <w:rsid w:val="004F5277"/>
    <w:rsid w:val="004F563B"/>
    <w:rsid w:val="004F5E36"/>
    <w:rsid w:val="0050675E"/>
    <w:rsid w:val="005119A5"/>
    <w:rsid w:val="00521B11"/>
    <w:rsid w:val="00526710"/>
    <w:rsid w:val="005278B7"/>
    <w:rsid w:val="005346C8"/>
    <w:rsid w:val="005654D7"/>
    <w:rsid w:val="00585723"/>
    <w:rsid w:val="00594E9F"/>
    <w:rsid w:val="005A1817"/>
    <w:rsid w:val="005A551F"/>
    <w:rsid w:val="005B61E6"/>
    <w:rsid w:val="005C0467"/>
    <w:rsid w:val="005C77E1"/>
    <w:rsid w:val="005D49FC"/>
    <w:rsid w:val="005D6A2F"/>
    <w:rsid w:val="005E1A82"/>
    <w:rsid w:val="005E6586"/>
    <w:rsid w:val="005E7061"/>
    <w:rsid w:val="005F0A28"/>
    <w:rsid w:val="005F0E5E"/>
    <w:rsid w:val="00603572"/>
    <w:rsid w:val="0060463A"/>
    <w:rsid w:val="006064D6"/>
    <w:rsid w:val="00620DEE"/>
    <w:rsid w:val="00624B9C"/>
    <w:rsid w:val="00625639"/>
    <w:rsid w:val="00625EFD"/>
    <w:rsid w:val="00630118"/>
    <w:rsid w:val="00630A1B"/>
    <w:rsid w:val="00635B79"/>
    <w:rsid w:val="006366F8"/>
    <w:rsid w:val="0064184D"/>
    <w:rsid w:val="00660E3E"/>
    <w:rsid w:val="00662E74"/>
    <w:rsid w:val="00681DDD"/>
    <w:rsid w:val="00685B35"/>
    <w:rsid w:val="00694456"/>
    <w:rsid w:val="006B01AC"/>
    <w:rsid w:val="006C2BBA"/>
    <w:rsid w:val="006C46A0"/>
    <w:rsid w:val="006C5579"/>
    <w:rsid w:val="006C5653"/>
    <w:rsid w:val="006C6B92"/>
    <w:rsid w:val="006F3FD7"/>
    <w:rsid w:val="00703145"/>
    <w:rsid w:val="00703D10"/>
    <w:rsid w:val="00704BDF"/>
    <w:rsid w:val="0070635B"/>
    <w:rsid w:val="007224C5"/>
    <w:rsid w:val="007232D3"/>
    <w:rsid w:val="007277A5"/>
    <w:rsid w:val="00736B13"/>
    <w:rsid w:val="007447F3"/>
    <w:rsid w:val="00756C56"/>
    <w:rsid w:val="007661C8"/>
    <w:rsid w:val="00781D6E"/>
    <w:rsid w:val="0078542E"/>
    <w:rsid w:val="00794B0F"/>
    <w:rsid w:val="007A0CA1"/>
    <w:rsid w:val="007C02F6"/>
    <w:rsid w:val="007D52CD"/>
    <w:rsid w:val="007D6887"/>
    <w:rsid w:val="007E5CE7"/>
    <w:rsid w:val="007F194A"/>
    <w:rsid w:val="00806B85"/>
    <w:rsid w:val="0081127C"/>
    <w:rsid w:val="0081224E"/>
    <w:rsid w:val="00812C7E"/>
    <w:rsid w:val="00813288"/>
    <w:rsid w:val="0081358A"/>
    <w:rsid w:val="008168FC"/>
    <w:rsid w:val="008479A2"/>
    <w:rsid w:val="00863525"/>
    <w:rsid w:val="0087637F"/>
    <w:rsid w:val="00877E4A"/>
    <w:rsid w:val="00897AA1"/>
    <w:rsid w:val="008A1512"/>
    <w:rsid w:val="008A5A61"/>
    <w:rsid w:val="008D0BEB"/>
    <w:rsid w:val="008E4B91"/>
    <w:rsid w:val="008E566E"/>
    <w:rsid w:val="00901EB6"/>
    <w:rsid w:val="00920619"/>
    <w:rsid w:val="00926D7D"/>
    <w:rsid w:val="009450CE"/>
    <w:rsid w:val="00945D60"/>
    <w:rsid w:val="0095164B"/>
    <w:rsid w:val="00956002"/>
    <w:rsid w:val="009656FE"/>
    <w:rsid w:val="00971A03"/>
    <w:rsid w:val="00987B7C"/>
    <w:rsid w:val="00996483"/>
    <w:rsid w:val="009A0DDB"/>
    <w:rsid w:val="009A38AA"/>
    <w:rsid w:val="009B705A"/>
    <w:rsid w:val="009D4063"/>
    <w:rsid w:val="009E788A"/>
    <w:rsid w:val="009F005F"/>
    <w:rsid w:val="00A1010E"/>
    <w:rsid w:val="00A111F7"/>
    <w:rsid w:val="00A1763D"/>
    <w:rsid w:val="00A17CEC"/>
    <w:rsid w:val="00A26AD8"/>
    <w:rsid w:val="00A27EF0"/>
    <w:rsid w:val="00A50BD7"/>
    <w:rsid w:val="00A76EFC"/>
    <w:rsid w:val="00A77755"/>
    <w:rsid w:val="00A85527"/>
    <w:rsid w:val="00A93E69"/>
    <w:rsid w:val="00A97F29"/>
    <w:rsid w:val="00AA2B3F"/>
    <w:rsid w:val="00AB0964"/>
    <w:rsid w:val="00AE377D"/>
    <w:rsid w:val="00AE43F5"/>
    <w:rsid w:val="00B03E07"/>
    <w:rsid w:val="00B04227"/>
    <w:rsid w:val="00B0790A"/>
    <w:rsid w:val="00B1702B"/>
    <w:rsid w:val="00B213EB"/>
    <w:rsid w:val="00B2605D"/>
    <w:rsid w:val="00B33B85"/>
    <w:rsid w:val="00B53729"/>
    <w:rsid w:val="00B61742"/>
    <w:rsid w:val="00B61DBF"/>
    <w:rsid w:val="00BC0066"/>
    <w:rsid w:val="00BC30C9"/>
    <w:rsid w:val="00BC5BD7"/>
    <w:rsid w:val="00BC7D91"/>
    <w:rsid w:val="00BD4EFA"/>
    <w:rsid w:val="00BD524B"/>
    <w:rsid w:val="00BD799E"/>
    <w:rsid w:val="00BD7C93"/>
    <w:rsid w:val="00BE3E58"/>
    <w:rsid w:val="00BF13FE"/>
    <w:rsid w:val="00C01616"/>
    <w:rsid w:val="00C0162B"/>
    <w:rsid w:val="00C15673"/>
    <w:rsid w:val="00C308D9"/>
    <w:rsid w:val="00C345B1"/>
    <w:rsid w:val="00C40142"/>
    <w:rsid w:val="00C57182"/>
    <w:rsid w:val="00C655FD"/>
    <w:rsid w:val="00C94434"/>
    <w:rsid w:val="00C952B9"/>
    <w:rsid w:val="00CA1C95"/>
    <w:rsid w:val="00CA597E"/>
    <w:rsid w:val="00CA5A9C"/>
    <w:rsid w:val="00CC3F4B"/>
    <w:rsid w:val="00CC5CF8"/>
    <w:rsid w:val="00CD5FE2"/>
    <w:rsid w:val="00CE548C"/>
    <w:rsid w:val="00CF660C"/>
    <w:rsid w:val="00D02B4C"/>
    <w:rsid w:val="00D36A09"/>
    <w:rsid w:val="00D45387"/>
    <w:rsid w:val="00D579A0"/>
    <w:rsid w:val="00D668D2"/>
    <w:rsid w:val="00D70315"/>
    <w:rsid w:val="00D80A7F"/>
    <w:rsid w:val="00D84576"/>
    <w:rsid w:val="00D911EA"/>
    <w:rsid w:val="00DA24DB"/>
    <w:rsid w:val="00DA7CF3"/>
    <w:rsid w:val="00DE0019"/>
    <w:rsid w:val="00DE264A"/>
    <w:rsid w:val="00DF3E7C"/>
    <w:rsid w:val="00E041E7"/>
    <w:rsid w:val="00E23CA1"/>
    <w:rsid w:val="00E35317"/>
    <w:rsid w:val="00E409A8"/>
    <w:rsid w:val="00E47211"/>
    <w:rsid w:val="00E7209D"/>
    <w:rsid w:val="00E729F6"/>
    <w:rsid w:val="00E97851"/>
    <w:rsid w:val="00EA50E1"/>
    <w:rsid w:val="00EE0131"/>
    <w:rsid w:val="00F30C64"/>
    <w:rsid w:val="00F455CE"/>
    <w:rsid w:val="00F57BF7"/>
    <w:rsid w:val="00F65F70"/>
    <w:rsid w:val="00F7209F"/>
    <w:rsid w:val="00F76D23"/>
    <w:rsid w:val="00F83719"/>
    <w:rsid w:val="00FA13C5"/>
    <w:rsid w:val="00FB730C"/>
    <w:rsid w:val="00FC2695"/>
    <w:rsid w:val="00FC3E03"/>
    <w:rsid w:val="00FD780B"/>
    <w:rsid w:val="00FE0FC7"/>
    <w:rsid w:val="00FE6A2D"/>
    <w:rsid w:val="00FF0389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24646"/>
  <w15:docId w15:val="{C88C727B-43E5-4C82-A0C9-9646C053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EDD8-325F-4090-A3BA-373012F9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Oskars Grīgs</cp:lastModifiedBy>
  <cp:revision>2</cp:revision>
  <cp:lastPrinted>2015-05-12T18:31:00Z</cp:lastPrinted>
  <dcterms:created xsi:type="dcterms:W3CDTF">2019-02-25T19:17:00Z</dcterms:created>
  <dcterms:modified xsi:type="dcterms:W3CDTF">2019-02-25T19:17:00Z</dcterms:modified>
</cp:coreProperties>
</file>