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704BDF" w:rsidRPr="00DE0019" w:rsidRDefault="00D6628E" w:rsidP="00704BDF">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t xml:space="preserve">Comparison of crystal growth kinetics of Piracetam, </w:t>
      </w:r>
      <w:proofErr w:type="spellStart"/>
      <w:r>
        <w:rPr>
          <w:rFonts w:asciiTheme="minorHAnsi" w:eastAsia="MS PGothic" w:hAnsiTheme="minorHAnsi"/>
          <w:b/>
          <w:bCs/>
          <w:sz w:val="28"/>
          <w:szCs w:val="28"/>
          <w:lang w:val="en-US"/>
        </w:rPr>
        <w:t>Fenofibrate</w:t>
      </w:r>
      <w:proofErr w:type="spellEnd"/>
      <w:r>
        <w:rPr>
          <w:rFonts w:asciiTheme="minorHAnsi" w:eastAsia="MS PGothic" w:hAnsiTheme="minorHAnsi"/>
          <w:b/>
          <w:bCs/>
          <w:sz w:val="28"/>
          <w:szCs w:val="28"/>
          <w:lang w:val="en-US"/>
        </w:rPr>
        <w:t xml:space="preserve">, Acetaminophen, </w:t>
      </w:r>
      <w:proofErr w:type="spellStart"/>
      <w:r>
        <w:rPr>
          <w:rFonts w:asciiTheme="minorHAnsi" w:eastAsia="MS PGothic" w:hAnsiTheme="minorHAnsi"/>
          <w:b/>
          <w:bCs/>
          <w:sz w:val="28"/>
          <w:szCs w:val="28"/>
          <w:lang w:val="en-US"/>
        </w:rPr>
        <w:t>Phenylbutazone</w:t>
      </w:r>
      <w:proofErr w:type="spellEnd"/>
      <w:r>
        <w:rPr>
          <w:rFonts w:asciiTheme="minorHAnsi" w:eastAsia="MS PGothic" w:hAnsiTheme="minorHAnsi"/>
          <w:b/>
          <w:bCs/>
          <w:sz w:val="28"/>
          <w:szCs w:val="28"/>
          <w:lang w:val="en-US"/>
        </w:rPr>
        <w:t xml:space="preserve">, Risperidone and </w:t>
      </w:r>
      <w:r w:rsidRPr="00D6628E">
        <w:rPr>
          <w:rFonts w:asciiTheme="minorHAnsi" w:eastAsia="MS PGothic" w:hAnsiTheme="minorHAnsi"/>
          <w:b/>
          <w:bCs/>
          <w:sz w:val="28"/>
          <w:szCs w:val="28"/>
          <w:lang w:val="en-US"/>
        </w:rPr>
        <w:t>Carbamazepine</w:t>
      </w:r>
      <w:r>
        <w:rPr>
          <w:rFonts w:asciiTheme="minorHAnsi" w:eastAsia="MS PGothic" w:hAnsiTheme="minorHAnsi"/>
          <w:b/>
          <w:bCs/>
          <w:sz w:val="28"/>
          <w:szCs w:val="28"/>
          <w:lang w:val="en-US"/>
        </w:rPr>
        <w:t xml:space="preserve"> in methanol</w:t>
      </w:r>
    </w:p>
    <w:p w:rsidR="00DE0019" w:rsidRPr="002D2A37" w:rsidRDefault="00CC3B64" w:rsidP="00704BDF">
      <w:pPr>
        <w:snapToGrid w:val="0"/>
        <w:spacing w:after="120"/>
        <w:jc w:val="center"/>
        <w:rPr>
          <w:rFonts w:eastAsia="宋体"/>
          <w:color w:val="000000"/>
          <w:lang w:val="es-ES" w:eastAsia="zh-CN"/>
        </w:rPr>
      </w:pPr>
      <w:r w:rsidRPr="002D2A37">
        <w:rPr>
          <w:rFonts w:asciiTheme="minorHAnsi" w:eastAsia="宋体" w:hAnsiTheme="minorHAnsi"/>
          <w:color w:val="000000"/>
          <w:sz w:val="24"/>
          <w:szCs w:val="24"/>
          <w:u w:val="single"/>
          <w:lang w:val="es-ES" w:eastAsia="zh-CN"/>
        </w:rPr>
        <w:t>Rodrigo Soto</w:t>
      </w:r>
      <w:r w:rsidR="00704BDF" w:rsidRPr="002D2A37">
        <w:rPr>
          <w:rFonts w:asciiTheme="minorHAnsi" w:eastAsia="宋体" w:hAnsiTheme="minorHAnsi"/>
          <w:color w:val="000000"/>
          <w:sz w:val="24"/>
          <w:szCs w:val="24"/>
          <w:u w:val="single"/>
          <w:vertAlign w:val="superscript"/>
          <w:lang w:val="es-ES" w:eastAsia="zh-CN"/>
        </w:rPr>
        <w:t>1</w:t>
      </w:r>
      <w:r w:rsidR="002D2A37">
        <w:rPr>
          <w:rFonts w:asciiTheme="minorHAnsi" w:eastAsia="宋体" w:hAnsiTheme="minorHAnsi"/>
          <w:color w:val="000000"/>
          <w:sz w:val="24"/>
          <w:szCs w:val="24"/>
          <w:u w:val="single"/>
          <w:vertAlign w:val="superscript"/>
          <w:lang w:val="es-ES" w:eastAsia="zh-CN"/>
        </w:rPr>
        <w:t>*</w:t>
      </w:r>
      <w:r w:rsidR="00736B13" w:rsidRPr="002D2A37">
        <w:rPr>
          <w:rFonts w:asciiTheme="minorHAnsi" w:eastAsia="宋体" w:hAnsiTheme="minorHAnsi"/>
          <w:color w:val="000000"/>
          <w:sz w:val="24"/>
          <w:szCs w:val="24"/>
          <w:lang w:val="es-ES" w:eastAsia="zh-CN"/>
        </w:rPr>
        <w:t xml:space="preserve">, </w:t>
      </w:r>
      <w:proofErr w:type="spellStart"/>
      <w:r w:rsidR="002D2A37" w:rsidRPr="002D2A37">
        <w:rPr>
          <w:rFonts w:asciiTheme="minorHAnsi" w:eastAsia="宋体" w:hAnsiTheme="minorHAnsi"/>
          <w:color w:val="000000"/>
          <w:sz w:val="24"/>
          <w:szCs w:val="24"/>
          <w:lang w:val="es-ES" w:eastAsia="zh-CN"/>
        </w:rPr>
        <w:t>Vivek</w:t>
      </w:r>
      <w:proofErr w:type="spellEnd"/>
      <w:r w:rsidR="002D2A37" w:rsidRPr="002D2A37">
        <w:rPr>
          <w:rFonts w:asciiTheme="minorHAnsi" w:eastAsia="宋体" w:hAnsiTheme="minorHAnsi"/>
          <w:color w:val="000000"/>
          <w:sz w:val="24"/>
          <w:szCs w:val="24"/>
          <w:lang w:val="es-ES" w:eastAsia="zh-CN"/>
        </w:rPr>
        <w:t xml:space="preserve"> Verma</w:t>
      </w:r>
      <w:r w:rsidR="002D2A37" w:rsidRPr="002D2A37">
        <w:rPr>
          <w:rFonts w:asciiTheme="minorHAnsi" w:eastAsia="宋体" w:hAnsiTheme="minorHAnsi"/>
          <w:color w:val="000000"/>
          <w:sz w:val="24"/>
          <w:szCs w:val="24"/>
          <w:vertAlign w:val="superscript"/>
          <w:lang w:val="es-ES" w:eastAsia="zh-CN"/>
        </w:rPr>
        <w:t>1</w:t>
      </w:r>
      <w:r w:rsidR="002D2A37" w:rsidRPr="002D2A37">
        <w:rPr>
          <w:rFonts w:asciiTheme="minorHAnsi" w:eastAsia="宋体" w:hAnsiTheme="minorHAnsi"/>
          <w:color w:val="000000"/>
          <w:sz w:val="24"/>
          <w:szCs w:val="24"/>
          <w:lang w:val="es-ES" w:eastAsia="zh-CN"/>
        </w:rPr>
        <w:t xml:space="preserve">, B. </w:t>
      </w:r>
      <w:proofErr w:type="spellStart"/>
      <w:r w:rsidR="002D2A37" w:rsidRPr="002D2A37">
        <w:rPr>
          <w:rFonts w:asciiTheme="minorHAnsi" w:eastAsia="宋体" w:hAnsiTheme="minorHAnsi"/>
          <w:color w:val="000000"/>
          <w:sz w:val="24"/>
          <w:szCs w:val="24"/>
          <w:lang w:val="es-ES" w:eastAsia="zh-CN"/>
        </w:rPr>
        <w:t>Kieran</w:t>
      </w:r>
      <w:proofErr w:type="spellEnd"/>
      <w:r w:rsidR="002D2A37" w:rsidRPr="002D2A37">
        <w:rPr>
          <w:rFonts w:asciiTheme="minorHAnsi" w:eastAsia="宋体" w:hAnsiTheme="minorHAnsi"/>
          <w:color w:val="000000"/>
          <w:sz w:val="24"/>
          <w:szCs w:val="24"/>
          <w:lang w:val="es-ES" w:eastAsia="zh-CN"/>
        </w:rPr>
        <w:t xml:space="preserve"> Hodnett</w:t>
      </w:r>
      <w:r w:rsidR="002D2A37" w:rsidRPr="002D2A37">
        <w:rPr>
          <w:rFonts w:asciiTheme="minorHAnsi" w:eastAsia="宋体" w:hAnsiTheme="minorHAnsi"/>
          <w:color w:val="000000"/>
          <w:sz w:val="24"/>
          <w:szCs w:val="24"/>
          <w:vertAlign w:val="superscript"/>
          <w:lang w:val="es-ES" w:eastAsia="zh-CN"/>
        </w:rPr>
        <w:t>1</w:t>
      </w:r>
      <w:r w:rsidR="002D2A37" w:rsidRPr="002D2A37">
        <w:rPr>
          <w:rFonts w:asciiTheme="minorHAnsi" w:eastAsia="宋体" w:hAnsiTheme="minorHAnsi"/>
          <w:color w:val="000000"/>
          <w:sz w:val="24"/>
          <w:szCs w:val="24"/>
          <w:lang w:val="es-ES" w:eastAsia="zh-CN"/>
        </w:rPr>
        <w:t xml:space="preserve"> and </w:t>
      </w:r>
      <w:proofErr w:type="spellStart"/>
      <w:r w:rsidR="002D2A37" w:rsidRPr="002D2A37">
        <w:rPr>
          <w:rFonts w:asciiTheme="minorHAnsi" w:eastAsia="宋体" w:hAnsiTheme="minorHAnsi"/>
          <w:color w:val="000000"/>
          <w:sz w:val="24"/>
          <w:szCs w:val="24"/>
          <w:lang w:val="es-ES" w:eastAsia="zh-CN"/>
        </w:rPr>
        <w:t>Åke</w:t>
      </w:r>
      <w:proofErr w:type="spellEnd"/>
      <w:r w:rsidR="002D2A37" w:rsidRPr="002D2A37">
        <w:rPr>
          <w:rFonts w:asciiTheme="minorHAnsi" w:eastAsia="宋体" w:hAnsiTheme="minorHAnsi"/>
          <w:color w:val="000000"/>
          <w:sz w:val="24"/>
          <w:szCs w:val="24"/>
          <w:lang w:val="es-ES" w:eastAsia="zh-CN"/>
        </w:rPr>
        <w:t xml:space="preserve"> C. Rasmuson</w:t>
      </w:r>
      <w:r w:rsidR="002D2A37" w:rsidRPr="002D2A37">
        <w:rPr>
          <w:rFonts w:asciiTheme="minorHAnsi" w:eastAsia="宋体" w:hAnsiTheme="minorHAnsi"/>
          <w:color w:val="000000"/>
          <w:sz w:val="24"/>
          <w:szCs w:val="24"/>
          <w:vertAlign w:val="superscript"/>
          <w:lang w:val="es-ES" w:eastAsia="zh-CN"/>
        </w:rPr>
        <w:t>1,2</w:t>
      </w:r>
    </w:p>
    <w:p w:rsidR="00704BDF" w:rsidRPr="00DE0019" w:rsidRDefault="00704BDF" w:rsidP="00704BDF">
      <w:pPr>
        <w:snapToGrid w:val="0"/>
        <w:spacing w:after="120"/>
        <w:jc w:val="center"/>
        <w:rPr>
          <w:rFonts w:asciiTheme="minorHAnsi" w:eastAsia="MS PGothic" w:hAnsiTheme="minorHAnsi"/>
          <w:i/>
          <w:iCs/>
          <w:color w:val="000000"/>
          <w:sz w:val="20"/>
          <w:lang w:val="en-US"/>
        </w:rPr>
      </w:pPr>
      <w:proofErr w:type="gramStart"/>
      <w:r w:rsidRPr="00A15B93">
        <w:rPr>
          <w:rFonts w:eastAsia="MS PGothic"/>
          <w:i/>
          <w:iCs/>
          <w:color w:val="000000"/>
          <w:sz w:val="20"/>
          <w:lang w:val="en-US"/>
        </w:rPr>
        <w:t>1</w:t>
      </w:r>
      <w:proofErr w:type="gramEnd"/>
      <w:r w:rsidRPr="00DE0019">
        <w:rPr>
          <w:rFonts w:asciiTheme="minorHAnsi" w:eastAsia="MS PGothic" w:hAnsiTheme="minorHAnsi"/>
          <w:i/>
          <w:iCs/>
          <w:color w:val="000000"/>
          <w:sz w:val="20"/>
          <w:lang w:val="en-US"/>
        </w:rPr>
        <w:t xml:space="preserve"> </w:t>
      </w:r>
      <w:r w:rsidR="002D2A37" w:rsidRPr="002D2A37">
        <w:rPr>
          <w:rFonts w:asciiTheme="minorHAnsi" w:eastAsia="MS PGothic" w:hAnsiTheme="minorHAnsi"/>
          <w:i/>
          <w:iCs/>
          <w:color w:val="000000"/>
          <w:sz w:val="20"/>
          <w:lang w:val="en-US"/>
        </w:rPr>
        <w:t>Synthesis and Solid State Pharmaceutical Centre (SSPC), Bernal Institute, Department of Chemical and Environmental Science, University of Limer</w:t>
      </w:r>
      <w:r w:rsidR="002D2A37">
        <w:rPr>
          <w:rFonts w:asciiTheme="minorHAnsi" w:eastAsia="MS PGothic" w:hAnsiTheme="minorHAnsi"/>
          <w:i/>
          <w:iCs/>
          <w:color w:val="000000"/>
          <w:sz w:val="20"/>
          <w:lang w:val="en-US"/>
        </w:rPr>
        <w:t>ick. Limerick V94 T9PX, Ireland</w:t>
      </w:r>
      <w:r w:rsidRPr="00DE0019">
        <w:rPr>
          <w:rFonts w:asciiTheme="minorHAnsi" w:eastAsia="MS PGothic" w:hAnsiTheme="minorHAnsi"/>
          <w:i/>
          <w:iCs/>
          <w:color w:val="000000"/>
          <w:sz w:val="20"/>
          <w:lang w:val="en-US"/>
        </w:rPr>
        <w:t xml:space="preserve">; 2 </w:t>
      </w:r>
      <w:r w:rsidR="002D2A37" w:rsidRPr="002D2A37">
        <w:rPr>
          <w:rFonts w:asciiTheme="minorHAnsi" w:eastAsia="MS PGothic" w:hAnsiTheme="minorHAnsi"/>
          <w:i/>
          <w:iCs/>
          <w:color w:val="000000"/>
          <w:sz w:val="20"/>
          <w:lang w:val="en-US"/>
        </w:rPr>
        <w:t>Department of Chemical Engineering and Technology, KTH Royal Institute of Technology, SE-100 44 Stockholm, Sweden</w:t>
      </w:r>
    </w:p>
    <w:p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2D2A37">
        <w:rPr>
          <w:rFonts w:asciiTheme="minorHAnsi" w:eastAsia="MS PGothic" w:hAnsiTheme="minorHAnsi"/>
          <w:bCs/>
          <w:i/>
          <w:iCs/>
          <w:sz w:val="20"/>
          <w:lang w:val="en-US"/>
        </w:rPr>
        <w:t>rodrigo.soto</w:t>
      </w:r>
      <w:r w:rsidRPr="00DE0019">
        <w:rPr>
          <w:rFonts w:asciiTheme="minorHAnsi" w:eastAsia="MS PGothic" w:hAnsiTheme="minorHAnsi"/>
          <w:bCs/>
          <w:i/>
          <w:iCs/>
          <w:sz w:val="20"/>
          <w:lang w:val="en-US"/>
        </w:rPr>
        <w:t>@</w:t>
      </w:r>
      <w:r w:rsidR="002D2A37">
        <w:rPr>
          <w:rFonts w:asciiTheme="minorHAnsi" w:eastAsia="MS PGothic" w:hAnsiTheme="minorHAnsi"/>
          <w:bCs/>
          <w:i/>
          <w:iCs/>
          <w:sz w:val="20"/>
          <w:lang w:val="en-US"/>
        </w:rPr>
        <w:t>ul</w:t>
      </w:r>
      <w:r w:rsidRPr="00DE0019">
        <w:rPr>
          <w:rFonts w:asciiTheme="minorHAnsi" w:eastAsia="MS PGothic" w:hAnsiTheme="minorHAnsi"/>
          <w:bCs/>
          <w:i/>
          <w:iCs/>
          <w:sz w:val="20"/>
          <w:lang w:val="en-US"/>
        </w:rPr>
        <w:t>.</w:t>
      </w:r>
      <w:r w:rsidR="002D2A37">
        <w:rPr>
          <w:rFonts w:asciiTheme="minorHAnsi" w:eastAsia="MS PGothic" w:hAnsiTheme="minorHAnsi"/>
          <w:bCs/>
          <w:i/>
          <w:iCs/>
          <w:sz w:val="20"/>
          <w:lang w:val="en-US"/>
        </w:rPr>
        <w:t>ie</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704BDF" w:rsidRPr="00EC66CC" w:rsidRDefault="002D2A37" w:rsidP="00704BDF">
      <w:pPr>
        <w:pStyle w:val="AbstractBody"/>
        <w:numPr>
          <w:ilvl w:val="0"/>
          <w:numId w:val="16"/>
        </w:numPr>
        <w:rPr>
          <w:rFonts w:asciiTheme="minorHAnsi" w:hAnsiTheme="minorHAnsi"/>
        </w:rPr>
      </w:pPr>
      <w:r>
        <w:rPr>
          <w:rFonts w:asciiTheme="minorHAnsi" w:hAnsiTheme="minorHAnsi"/>
        </w:rPr>
        <w:t xml:space="preserve">Crystal growth kinetics of six different API’s in methanol </w:t>
      </w:r>
      <w:proofErr w:type="gramStart"/>
      <w:r>
        <w:rPr>
          <w:rFonts w:asciiTheme="minorHAnsi" w:hAnsiTheme="minorHAnsi"/>
        </w:rPr>
        <w:t>have been studied</w:t>
      </w:r>
      <w:proofErr w:type="gramEnd"/>
      <w:r>
        <w:rPr>
          <w:rFonts w:asciiTheme="minorHAnsi" w:hAnsiTheme="minorHAnsi"/>
        </w:rPr>
        <w:t>.</w:t>
      </w:r>
    </w:p>
    <w:p w:rsidR="00704BDF" w:rsidRPr="00EC66CC" w:rsidRDefault="002D2A37" w:rsidP="00704BDF">
      <w:pPr>
        <w:pStyle w:val="AbstractBody"/>
        <w:numPr>
          <w:ilvl w:val="0"/>
          <w:numId w:val="16"/>
        </w:numPr>
        <w:rPr>
          <w:rFonts w:asciiTheme="minorHAnsi" w:hAnsiTheme="minorHAnsi"/>
        </w:rPr>
      </w:pPr>
      <w:r>
        <w:rPr>
          <w:rFonts w:asciiTheme="minorHAnsi" w:hAnsiTheme="minorHAnsi"/>
        </w:rPr>
        <w:t xml:space="preserve">Experimental desupersaturation data </w:t>
      </w:r>
      <w:proofErr w:type="gramStart"/>
      <w:r w:rsidR="003637BD">
        <w:rPr>
          <w:rFonts w:asciiTheme="minorHAnsi" w:hAnsiTheme="minorHAnsi"/>
        </w:rPr>
        <w:t xml:space="preserve">is </w:t>
      </w:r>
      <w:r>
        <w:rPr>
          <w:rFonts w:asciiTheme="minorHAnsi" w:hAnsiTheme="minorHAnsi"/>
        </w:rPr>
        <w:t>modeled</w:t>
      </w:r>
      <w:proofErr w:type="gramEnd"/>
      <w:r>
        <w:rPr>
          <w:rFonts w:asciiTheme="minorHAnsi" w:hAnsiTheme="minorHAnsi"/>
        </w:rPr>
        <w:t xml:space="preserve"> using empirical and mechanistic equations.</w:t>
      </w:r>
    </w:p>
    <w:p w:rsidR="00D6628E" w:rsidRDefault="00D6628E" w:rsidP="00D6628E">
      <w:pPr>
        <w:pStyle w:val="AbstractBody"/>
        <w:numPr>
          <w:ilvl w:val="0"/>
          <w:numId w:val="16"/>
        </w:numPr>
        <w:rPr>
          <w:rFonts w:asciiTheme="minorHAnsi" w:hAnsiTheme="minorHAnsi"/>
        </w:rPr>
      </w:pPr>
      <w:r>
        <w:rPr>
          <w:rFonts w:asciiTheme="minorHAnsi" w:hAnsiTheme="minorHAnsi"/>
        </w:rPr>
        <w:t xml:space="preserve">Solid-liquid interfacial energies and mean diffusion distances </w:t>
      </w:r>
      <w:proofErr w:type="gramStart"/>
      <w:r>
        <w:rPr>
          <w:rFonts w:asciiTheme="minorHAnsi" w:hAnsiTheme="minorHAnsi"/>
        </w:rPr>
        <w:t>have been estimated</w:t>
      </w:r>
      <w:proofErr w:type="gramEnd"/>
      <w:r>
        <w:rPr>
          <w:rFonts w:asciiTheme="minorHAnsi" w:hAnsiTheme="minorHAnsi"/>
        </w:rPr>
        <w:t>.</w:t>
      </w:r>
    </w:p>
    <w:p w:rsidR="00D6628E" w:rsidRPr="00D6628E" w:rsidRDefault="00D6628E" w:rsidP="00D6628E">
      <w:pPr>
        <w:pStyle w:val="AbstractBody"/>
        <w:numPr>
          <w:ilvl w:val="0"/>
          <w:numId w:val="16"/>
        </w:numPr>
        <w:rPr>
          <w:rFonts w:asciiTheme="minorHAnsi" w:hAnsiTheme="minorHAnsi"/>
        </w:rPr>
      </w:pPr>
      <w:r>
        <w:rPr>
          <w:rFonts w:asciiTheme="minorHAnsi" w:hAnsiTheme="minorHAnsi"/>
        </w:rPr>
        <w:t xml:space="preserve">The relevance of bulk diffusion </w:t>
      </w:r>
      <w:r w:rsidR="003637BD">
        <w:rPr>
          <w:rFonts w:asciiTheme="minorHAnsi" w:hAnsiTheme="minorHAnsi"/>
        </w:rPr>
        <w:t xml:space="preserve">study </w:t>
      </w:r>
      <w:r>
        <w:rPr>
          <w:rFonts w:asciiTheme="minorHAnsi" w:hAnsiTheme="minorHAnsi"/>
        </w:rPr>
        <w:t>suggest</w:t>
      </w:r>
      <w:r w:rsidR="003637BD">
        <w:rPr>
          <w:rFonts w:asciiTheme="minorHAnsi" w:hAnsiTheme="minorHAnsi"/>
        </w:rPr>
        <w:t>s</w:t>
      </w:r>
      <w:r>
        <w:rPr>
          <w:rFonts w:asciiTheme="minorHAnsi" w:hAnsiTheme="minorHAnsi"/>
        </w:rPr>
        <w:t xml:space="preserve"> surface integration as the limiting-step.</w:t>
      </w:r>
    </w:p>
    <w:p w:rsidR="00704BDF" w:rsidRPr="00A15B93" w:rsidRDefault="00704BDF" w:rsidP="00704BDF">
      <w:pPr>
        <w:snapToGrid w:val="0"/>
        <w:spacing w:after="120"/>
        <w:jc w:val="center"/>
        <w:rPr>
          <w:rFonts w:eastAsia="宋体"/>
          <w:bCs/>
          <w:i/>
          <w:iCs/>
          <w:color w:val="0000FF"/>
          <w:sz w:val="20"/>
          <w:lang w:val="en-US" w:eastAsia="zh-CN"/>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3637BD" w:rsidRPr="00E657A1" w:rsidRDefault="003637BD" w:rsidP="002D2A37">
      <w:pPr>
        <w:snapToGrid w:val="0"/>
        <w:spacing w:after="120"/>
        <w:rPr>
          <w:rFonts w:asciiTheme="minorHAnsi" w:eastAsia="MS PGothic" w:hAnsiTheme="minorHAnsi"/>
          <w:color w:val="000000"/>
          <w:sz w:val="22"/>
          <w:szCs w:val="22"/>
          <w:lang w:val="en-US"/>
        </w:rPr>
      </w:pPr>
      <w:r w:rsidRPr="00E657A1">
        <w:rPr>
          <w:rFonts w:asciiTheme="minorHAnsi" w:eastAsia="MS PGothic" w:hAnsiTheme="minorHAnsi"/>
          <w:color w:val="000000"/>
          <w:sz w:val="22"/>
          <w:szCs w:val="22"/>
          <w:lang w:val="en-US"/>
        </w:rPr>
        <w:t>Crystallization is</w:t>
      </w:r>
      <w:r w:rsidR="009251A8" w:rsidRPr="00E657A1">
        <w:rPr>
          <w:rFonts w:asciiTheme="minorHAnsi" w:eastAsia="MS PGothic" w:hAnsiTheme="minorHAnsi"/>
          <w:color w:val="000000"/>
          <w:sz w:val="22"/>
          <w:szCs w:val="22"/>
          <w:lang w:val="en-US"/>
        </w:rPr>
        <w:t xml:space="preserve"> the bottleneck unit operation in the separation of solids in the pharmaceutical industry and it </w:t>
      </w:r>
      <w:proofErr w:type="gramStart"/>
      <w:r w:rsidR="009251A8" w:rsidRPr="00E657A1">
        <w:rPr>
          <w:rFonts w:asciiTheme="minorHAnsi" w:eastAsia="MS PGothic" w:hAnsiTheme="minorHAnsi"/>
          <w:color w:val="000000"/>
          <w:sz w:val="22"/>
          <w:szCs w:val="22"/>
          <w:lang w:val="en-US"/>
        </w:rPr>
        <w:t>can be</w:t>
      </w:r>
      <w:r w:rsidRPr="00E657A1">
        <w:rPr>
          <w:rFonts w:asciiTheme="minorHAnsi" w:eastAsia="MS PGothic" w:hAnsiTheme="minorHAnsi"/>
          <w:color w:val="000000"/>
          <w:sz w:val="22"/>
          <w:szCs w:val="22"/>
          <w:lang w:val="en-US"/>
        </w:rPr>
        <w:t xml:space="preserve"> envisaged</w:t>
      </w:r>
      <w:proofErr w:type="gramEnd"/>
      <w:r w:rsidRPr="00E657A1">
        <w:rPr>
          <w:rFonts w:asciiTheme="minorHAnsi" w:eastAsia="MS PGothic" w:hAnsiTheme="minorHAnsi"/>
          <w:color w:val="000000"/>
          <w:sz w:val="22"/>
          <w:szCs w:val="22"/>
          <w:lang w:val="en-US"/>
        </w:rPr>
        <w:t xml:space="preserve"> as a two-step process: nucleation and crystal growth. Both steps contribute to the final particle size distribution of the crystallization outcome</w:t>
      </w:r>
      <w:r w:rsidR="00A6304B" w:rsidRPr="00E657A1">
        <w:rPr>
          <w:rFonts w:asciiTheme="minorHAnsi" w:eastAsia="MS PGothic" w:hAnsiTheme="minorHAnsi"/>
          <w:color w:val="000000"/>
          <w:sz w:val="22"/>
          <w:szCs w:val="22"/>
          <w:lang w:val="en-US"/>
        </w:rPr>
        <w:t xml:space="preserve"> </w:t>
      </w:r>
      <w:r w:rsidR="00080993">
        <w:rPr>
          <w:rFonts w:asciiTheme="minorHAnsi" w:eastAsia="MS PGothic" w:hAnsiTheme="minorHAnsi"/>
          <w:color w:val="000000"/>
          <w:sz w:val="22"/>
          <w:szCs w:val="22"/>
          <w:lang w:val="en-US"/>
        </w:rPr>
        <w:t>but</w:t>
      </w:r>
      <w:r w:rsidR="00A6304B" w:rsidRPr="00E657A1">
        <w:rPr>
          <w:rFonts w:asciiTheme="minorHAnsi" w:eastAsia="MS PGothic" w:hAnsiTheme="minorHAnsi"/>
          <w:color w:val="000000"/>
          <w:sz w:val="22"/>
          <w:szCs w:val="22"/>
          <w:lang w:val="en-US"/>
        </w:rPr>
        <w:t xml:space="preserve"> </w:t>
      </w:r>
      <w:proofErr w:type="gramStart"/>
      <w:r w:rsidR="00711F3C" w:rsidRPr="00E657A1">
        <w:rPr>
          <w:rFonts w:asciiTheme="minorHAnsi" w:eastAsia="MS PGothic" w:hAnsiTheme="minorHAnsi"/>
          <w:color w:val="000000"/>
          <w:sz w:val="22"/>
          <w:szCs w:val="22"/>
          <w:lang w:val="en-US"/>
        </w:rPr>
        <w:t>are</w:t>
      </w:r>
      <w:r w:rsidR="00BC6963" w:rsidRPr="00E657A1">
        <w:rPr>
          <w:rFonts w:asciiTheme="minorHAnsi" w:eastAsia="MS PGothic" w:hAnsiTheme="minorHAnsi"/>
          <w:color w:val="000000"/>
          <w:sz w:val="22"/>
          <w:szCs w:val="22"/>
          <w:lang w:val="en-US"/>
        </w:rPr>
        <w:t xml:space="preserve"> </w:t>
      </w:r>
      <w:r w:rsidR="00711F3C" w:rsidRPr="00E657A1">
        <w:rPr>
          <w:rFonts w:asciiTheme="minorHAnsi" w:eastAsia="MS PGothic" w:hAnsiTheme="minorHAnsi"/>
          <w:color w:val="000000"/>
          <w:sz w:val="22"/>
          <w:szCs w:val="22"/>
          <w:lang w:val="en-US"/>
        </w:rPr>
        <w:t>insufficiently</w:t>
      </w:r>
      <w:r w:rsidR="00BC6963" w:rsidRPr="00E657A1">
        <w:rPr>
          <w:rFonts w:asciiTheme="minorHAnsi" w:eastAsia="MS PGothic" w:hAnsiTheme="minorHAnsi"/>
          <w:color w:val="000000"/>
          <w:sz w:val="22"/>
          <w:szCs w:val="22"/>
          <w:lang w:val="en-US"/>
        </w:rPr>
        <w:t xml:space="preserve"> understood</w:t>
      </w:r>
      <w:proofErr w:type="gramEnd"/>
      <w:r w:rsidR="00711F3C" w:rsidRPr="00E657A1">
        <w:rPr>
          <w:rFonts w:asciiTheme="minorHAnsi" w:eastAsia="MS PGothic" w:hAnsiTheme="minorHAnsi"/>
          <w:color w:val="000000"/>
          <w:sz w:val="22"/>
          <w:szCs w:val="22"/>
          <w:lang w:val="en-US"/>
        </w:rPr>
        <w:t xml:space="preserve">. </w:t>
      </w:r>
      <w:r w:rsidR="00BC6963" w:rsidRPr="00E657A1">
        <w:rPr>
          <w:rFonts w:asciiTheme="minorHAnsi" w:eastAsia="MS PGothic" w:hAnsiTheme="minorHAnsi"/>
          <w:color w:val="000000"/>
          <w:sz w:val="22"/>
          <w:szCs w:val="22"/>
          <w:lang w:val="en-US"/>
        </w:rPr>
        <w:t>The nature of the solute-solvent intra and intermolecular interactions</w:t>
      </w:r>
      <w:r w:rsidR="00711F3C" w:rsidRPr="00E657A1">
        <w:rPr>
          <w:rFonts w:asciiTheme="minorHAnsi" w:eastAsia="MS PGothic" w:hAnsiTheme="minorHAnsi"/>
          <w:color w:val="000000"/>
          <w:sz w:val="22"/>
          <w:szCs w:val="22"/>
          <w:lang w:val="en-US"/>
        </w:rPr>
        <w:t xml:space="preserve"> </w:t>
      </w:r>
      <w:r w:rsidR="00BC6963" w:rsidRPr="00E657A1">
        <w:rPr>
          <w:rFonts w:asciiTheme="minorHAnsi" w:eastAsia="MS PGothic" w:hAnsiTheme="minorHAnsi"/>
          <w:color w:val="000000"/>
          <w:sz w:val="22"/>
          <w:szCs w:val="22"/>
          <w:lang w:val="en-US"/>
        </w:rPr>
        <w:t>influences both nucleation and growth</w:t>
      </w:r>
      <w:r w:rsidR="00711F3C" w:rsidRPr="00E657A1">
        <w:rPr>
          <w:rFonts w:asciiTheme="minorHAnsi" w:eastAsia="MS PGothic" w:hAnsiTheme="minorHAnsi"/>
          <w:color w:val="000000"/>
          <w:sz w:val="22"/>
          <w:szCs w:val="22"/>
          <w:lang w:val="en-US"/>
        </w:rPr>
        <w:t>. It is hence</w:t>
      </w:r>
      <w:r w:rsidR="00BC6963" w:rsidRPr="00E657A1">
        <w:rPr>
          <w:rFonts w:asciiTheme="minorHAnsi" w:eastAsia="MS PGothic" w:hAnsiTheme="minorHAnsi"/>
          <w:color w:val="000000"/>
          <w:sz w:val="22"/>
          <w:szCs w:val="22"/>
          <w:lang w:val="en-US"/>
        </w:rPr>
        <w:t xml:space="preserve"> expectable that molecules with a relative ease of nucleation in a given solvent will also show </w:t>
      </w:r>
      <w:r w:rsidR="00711F3C" w:rsidRPr="00E657A1">
        <w:rPr>
          <w:rFonts w:asciiTheme="minorHAnsi" w:eastAsia="MS PGothic" w:hAnsiTheme="minorHAnsi"/>
          <w:color w:val="000000"/>
          <w:sz w:val="22"/>
          <w:szCs w:val="22"/>
          <w:lang w:val="en-US"/>
        </w:rPr>
        <w:t>a growth</w:t>
      </w:r>
      <w:r w:rsidR="00BC6963" w:rsidRPr="00E657A1">
        <w:rPr>
          <w:rFonts w:asciiTheme="minorHAnsi" w:eastAsia="MS PGothic" w:hAnsiTheme="minorHAnsi"/>
          <w:color w:val="000000"/>
          <w:sz w:val="22"/>
          <w:szCs w:val="22"/>
          <w:lang w:val="en-US"/>
        </w:rPr>
        <w:t xml:space="preserve"> facility. Very often, however, nucleation experiments do not allow for separating the effects of the </w:t>
      </w:r>
      <w:r w:rsidR="00711F3C" w:rsidRPr="00E657A1">
        <w:rPr>
          <w:rFonts w:asciiTheme="minorHAnsi" w:eastAsia="MS PGothic" w:hAnsiTheme="minorHAnsi"/>
          <w:color w:val="000000"/>
          <w:sz w:val="22"/>
          <w:szCs w:val="22"/>
          <w:lang w:val="en-US"/>
        </w:rPr>
        <w:t>steps of</w:t>
      </w:r>
      <w:r w:rsidR="00BC6963" w:rsidRPr="00E657A1">
        <w:rPr>
          <w:rFonts w:asciiTheme="minorHAnsi" w:eastAsia="MS PGothic" w:hAnsiTheme="minorHAnsi"/>
          <w:color w:val="000000"/>
          <w:sz w:val="22"/>
          <w:szCs w:val="22"/>
          <w:lang w:val="en-US"/>
        </w:rPr>
        <w:t xml:space="preserve"> new particles formation from those of </w:t>
      </w:r>
      <w:r w:rsidR="00080993">
        <w:rPr>
          <w:rFonts w:asciiTheme="minorHAnsi" w:eastAsia="MS PGothic" w:hAnsiTheme="minorHAnsi"/>
          <w:color w:val="000000"/>
          <w:sz w:val="22"/>
          <w:szCs w:val="22"/>
          <w:lang w:val="en-US"/>
        </w:rPr>
        <w:t xml:space="preserve">pure </w:t>
      </w:r>
      <w:r w:rsidR="00BC6963" w:rsidRPr="00E657A1">
        <w:rPr>
          <w:rFonts w:asciiTheme="minorHAnsi" w:eastAsia="MS PGothic" w:hAnsiTheme="minorHAnsi"/>
          <w:color w:val="000000"/>
          <w:sz w:val="22"/>
          <w:szCs w:val="22"/>
          <w:lang w:val="en-US"/>
        </w:rPr>
        <w:t xml:space="preserve">growth </w:t>
      </w:r>
      <w:r w:rsidR="00711F3C" w:rsidRPr="00E657A1">
        <w:rPr>
          <w:rFonts w:asciiTheme="minorHAnsi" w:eastAsia="MS PGothic" w:hAnsiTheme="minorHAnsi"/>
          <w:color w:val="000000"/>
          <w:sz w:val="22"/>
          <w:szCs w:val="22"/>
          <w:lang w:val="en-US"/>
        </w:rPr>
        <w:t>because</w:t>
      </w:r>
      <w:r w:rsidR="00BC6963" w:rsidRPr="00E657A1">
        <w:rPr>
          <w:rFonts w:asciiTheme="minorHAnsi" w:eastAsia="MS PGothic" w:hAnsiTheme="minorHAnsi"/>
          <w:color w:val="000000"/>
          <w:sz w:val="22"/>
          <w:szCs w:val="22"/>
          <w:lang w:val="en-US"/>
        </w:rPr>
        <w:t xml:space="preserve"> the nucleation outcome can </w:t>
      </w:r>
      <w:r w:rsidR="00080993">
        <w:rPr>
          <w:rFonts w:asciiTheme="minorHAnsi" w:eastAsia="MS PGothic" w:hAnsiTheme="minorHAnsi"/>
          <w:color w:val="000000"/>
          <w:sz w:val="22"/>
          <w:szCs w:val="22"/>
          <w:lang w:val="en-US"/>
        </w:rPr>
        <w:t xml:space="preserve">only </w:t>
      </w:r>
      <w:r w:rsidR="00BC6963" w:rsidRPr="00E657A1">
        <w:rPr>
          <w:rFonts w:asciiTheme="minorHAnsi" w:eastAsia="MS PGothic" w:hAnsiTheme="minorHAnsi"/>
          <w:color w:val="000000"/>
          <w:sz w:val="22"/>
          <w:szCs w:val="22"/>
          <w:lang w:val="en-US"/>
        </w:rPr>
        <w:t xml:space="preserve">be evaluated </w:t>
      </w:r>
      <w:r w:rsidR="00711F3C" w:rsidRPr="00E657A1">
        <w:rPr>
          <w:rFonts w:asciiTheme="minorHAnsi" w:eastAsia="MS PGothic" w:hAnsiTheme="minorHAnsi"/>
          <w:color w:val="000000"/>
          <w:sz w:val="22"/>
          <w:szCs w:val="22"/>
          <w:lang w:val="en-US"/>
        </w:rPr>
        <w:t xml:space="preserve">when </w:t>
      </w:r>
      <w:r w:rsidR="00BC6963" w:rsidRPr="00E657A1">
        <w:rPr>
          <w:rFonts w:asciiTheme="minorHAnsi" w:eastAsia="MS PGothic" w:hAnsiTheme="minorHAnsi"/>
          <w:color w:val="000000"/>
          <w:sz w:val="22"/>
          <w:szCs w:val="22"/>
          <w:lang w:val="en-US"/>
        </w:rPr>
        <w:t>the solids have grown to a certain size</w:t>
      </w:r>
      <w:r w:rsidR="00E657A1">
        <w:rPr>
          <w:rFonts w:asciiTheme="minorHAnsi" w:eastAsia="MS PGothic" w:hAnsiTheme="minorHAnsi"/>
          <w:color w:val="000000"/>
          <w:sz w:val="22"/>
          <w:szCs w:val="22"/>
          <w:lang w:val="en-US"/>
        </w:rPr>
        <w:t xml:space="preserve"> </w:t>
      </w:r>
      <w:r w:rsidR="00BC6963" w:rsidRPr="00E657A1">
        <w:rPr>
          <w:rFonts w:asciiTheme="minorHAnsi" w:hAnsiTheme="minorHAnsi"/>
          <w:sz w:val="22"/>
          <w:szCs w:val="22"/>
        </w:rPr>
        <w:fldChar w:fldCharType="begin" w:fldLock="1"/>
      </w:r>
      <w:r w:rsidR="00BB2136">
        <w:rPr>
          <w:rFonts w:asciiTheme="minorHAnsi" w:hAnsiTheme="minorHAnsi"/>
          <w:sz w:val="22"/>
          <w:szCs w:val="22"/>
        </w:rPr>
        <w:instrText>ADDIN CSL_CITATION {"citationItems":[{"id":"ITEM-1","itemData":{"DOI":"10.1039/C5SC00522A","ISSN":"2041-6520","abstract":"&lt;p&gt;To further our understanding of the role of solution chemistry in directing nucleation processes new experimental and computational data are presented on the solution and crystallisation chemistry of tolfenamic acid (TA), a benchmark polymorphic compound.&lt;/p&gt;","author":[{"dropping-particle":"","family":"Du","given":"W.","non-dropping-particle":"","parse-names":false,"suffix":""},{"dropping-particle":"","family":"Cruz-Cabeza","given":"A. J.","non-dropping-particle":"","parse-names":false,"suffix":""},{"dropping-particle":"","family":"Woutersen","given":"S.","non-dropping-particle":"","parse-names":false,"suffix":""},{"dropping-particle":"","family":"Davey","given":"R. J.","non-dropping-particle":"","parse-names":false,"suffix":""},{"dropping-particle":"","family":"Yin","given":"Q.","non-dropping-particle":"","parse-names":false,"suffix":""}],"container-title":"Chemical Science","id":"ITEM-1","issue":"6","issued":{"date-parts":[["2015","5","18"]]},"page":"3515-3524","publisher":"The Royal Society of Chemistry","title":"Can the study of self-assembly in solution lead to a good model for the nucleation pathway? The case of tolfenamic acid.","type":"article-journal","volume":"6"},"uris":["http://www.mendeley.com/documents/?uuid=de8f9dd9-c275-32bc-8400-506081527ee2"]}],"mendeley":{"formattedCitation":"[1]","plainTextFormattedCitation":"[1]","previouslyFormattedCitation":"[1]"},"properties":{"noteIndex":0},"schema":"https://github.com/citation-style-language/schema/raw/master/csl-citation.json"}</w:instrText>
      </w:r>
      <w:r w:rsidR="00BC6963" w:rsidRPr="00E657A1">
        <w:rPr>
          <w:rFonts w:asciiTheme="minorHAnsi" w:hAnsiTheme="minorHAnsi"/>
          <w:sz w:val="22"/>
          <w:szCs w:val="22"/>
        </w:rPr>
        <w:fldChar w:fldCharType="separate"/>
      </w:r>
      <w:r w:rsidR="00E657A1" w:rsidRPr="00E657A1">
        <w:rPr>
          <w:rFonts w:asciiTheme="minorHAnsi" w:hAnsiTheme="minorHAnsi"/>
          <w:noProof/>
          <w:sz w:val="22"/>
          <w:szCs w:val="22"/>
        </w:rPr>
        <w:t>[1]</w:t>
      </w:r>
      <w:r w:rsidR="00BC6963" w:rsidRPr="00E657A1">
        <w:rPr>
          <w:rFonts w:asciiTheme="minorHAnsi" w:hAnsiTheme="minorHAnsi"/>
          <w:sz w:val="22"/>
          <w:szCs w:val="22"/>
        </w:rPr>
        <w:fldChar w:fldCharType="end"/>
      </w:r>
      <w:r w:rsidR="00BC6963" w:rsidRPr="00E657A1">
        <w:rPr>
          <w:rFonts w:asciiTheme="minorHAnsi" w:eastAsia="MS PGothic" w:hAnsiTheme="minorHAnsi"/>
          <w:color w:val="000000"/>
          <w:sz w:val="22"/>
          <w:szCs w:val="22"/>
          <w:lang w:val="en-US"/>
        </w:rPr>
        <w:t xml:space="preserve">. </w:t>
      </w:r>
      <w:r w:rsidRPr="00E657A1">
        <w:rPr>
          <w:rFonts w:asciiTheme="minorHAnsi" w:eastAsia="MS PGothic" w:hAnsiTheme="minorHAnsi"/>
          <w:color w:val="000000"/>
          <w:sz w:val="22"/>
          <w:szCs w:val="22"/>
          <w:lang w:val="en-US"/>
        </w:rPr>
        <w:t>The process of crystal growth comprises the diffusion of molecules from the bulk phase to the crystal surface</w:t>
      </w:r>
      <w:r w:rsidR="00711F3C" w:rsidRPr="00E657A1">
        <w:rPr>
          <w:rFonts w:asciiTheme="minorHAnsi" w:eastAsia="MS PGothic" w:hAnsiTheme="minorHAnsi"/>
          <w:color w:val="000000"/>
          <w:sz w:val="22"/>
          <w:szCs w:val="22"/>
          <w:lang w:val="en-US"/>
        </w:rPr>
        <w:t xml:space="preserve"> </w:t>
      </w:r>
      <w:r w:rsidRPr="00E657A1">
        <w:rPr>
          <w:rFonts w:asciiTheme="minorHAnsi" w:eastAsia="MS PGothic" w:hAnsiTheme="minorHAnsi"/>
          <w:color w:val="000000"/>
          <w:sz w:val="22"/>
          <w:szCs w:val="22"/>
          <w:lang w:val="en-US"/>
        </w:rPr>
        <w:t>and their subsequent integration into the crystals lattice</w:t>
      </w:r>
      <w:r w:rsidR="009251A8" w:rsidRPr="00E657A1">
        <w:rPr>
          <w:rFonts w:asciiTheme="minorHAnsi" w:eastAsia="MS PGothic" w:hAnsiTheme="minorHAnsi"/>
          <w:color w:val="000000"/>
          <w:sz w:val="22"/>
          <w:szCs w:val="22"/>
          <w:lang w:val="en-US"/>
        </w:rPr>
        <w:t>.</w:t>
      </w:r>
      <w:r w:rsidR="00711F3C" w:rsidRPr="00E657A1">
        <w:rPr>
          <w:rFonts w:asciiTheme="minorHAnsi" w:eastAsia="MS PGothic" w:hAnsiTheme="minorHAnsi"/>
          <w:color w:val="000000"/>
          <w:sz w:val="22"/>
          <w:szCs w:val="22"/>
          <w:lang w:val="en-US"/>
        </w:rPr>
        <w:t xml:space="preserve"> </w:t>
      </w:r>
      <w:r w:rsidR="00B16E07" w:rsidRPr="00E657A1">
        <w:rPr>
          <w:rFonts w:asciiTheme="minorHAnsi" w:eastAsia="MS PGothic" w:hAnsiTheme="minorHAnsi"/>
          <w:color w:val="000000"/>
          <w:sz w:val="22"/>
          <w:szCs w:val="22"/>
          <w:lang w:val="en-US"/>
        </w:rPr>
        <w:t xml:space="preserve">There are several mechanisms that can describe the surface integration step, e.g. the </w:t>
      </w:r>
      <w:r w:rsidR="00A6304B" w:rsidRPr="00E657A1">
        <w:rPr>
          <w:rFonts w:asciiTheme="minorHAnsi" w:eastAsia="MS PGothic" w:hAnsiTheme="minorHAnsi"/>
          <w:color w:val="000000"/>
          <w:sz w:val="22"/>
          <w:szCs w:val="22"/>
          <w:lang w:val="en-US"/>
        </w:rPr>
        <w:t>Burton Cabrera Frank (BCF)</w:t>
      </w:r>
      <w:r w:rsidR="009251A8" w:rsidRPr="00E657A1">
        <w:rPr>
          <w:rFonts w:asciiTheme="minorHAnsi" w:eastAsia="MS PGothic" w:hAnsiTheme="minorHAnsi"/>
          <w:color w:val="000000"/>
          <w:sz w:val="22"/>
          <w:szCs w:val="22"/>
          <w:lang w:val="en-US"/>
        </w:rPr>
        <w:t xml:space="preserve"> or screw dislocations mechanism, </w:t>
      </w:r>
      <w:r w:rsidR="00A6304B" w:rsidRPr="00E657A1">
        <w:rPr>
          <w:rFonts w:asciiTheme="minorHAnsi" w:eastAsia="MS PGothic" w:hAnsiTheme="minorHAnsi"/>
          <w:color w:val="000000"/>
          <w:sz w:val="22"/>
          <w:szCs w:val="22"/>
          <w:lang w:val="en-US"/>
        </w:rPr>
        <w:t xml:space="preserve">and </w:t>
      </w:r>
      <w:r w:rsidR="009251A8" w:rsidRPr="00E657A1">
        <w:rPr>
          <w:rFonts w:asciiTheme="minorHAnsi" w:eastAsia="MS PGothic" w:hAnsiTheme="minorHAnsi"/>
          <w:color w:val="000000"/>
          <w:sz w:val="22"/>
          <w:szCs w:val="22"/>
          <w:lang w:val="en-US"/>
        </w:rPr>
        <w:t>B</w:t>
      </w:r>
      <w:r w:rsidR="00A6304B" w:rsidRPr="00E657A1">
        <w:rPr>
          <w:rFonts w:asciiTheme="minorHAnsi" w:eastAsia="MS PGothic" w:hAnsiTheme="minorHAnsi"/>
          <w:color w:val="000000"/>
          <w:sz w:val="22"/>
          <w:szCs w:val="22"/>
          <w:lang w:val="en-US"/>
        </w:rPr>
        <w:t>irth and Spread (B+S)</w:t>
      </w:r>
      <w:r w:rsidR="009251A8" w:rsidRPr="00E657A1">
        <w:rPr>
          <w:rFonts w:asciiTheme="minorHAnsi" w:eastAsia="MS PGothic" w:hAnsiTheme="minorHAnsi"/>
          <w:color w:val="000000"/>
          <w:sz w:val="22"/>
          <w:szCs w:val="22"/>
          <w:lang w:val="en-US"/>
        </w:rPr>
        <w:t xml:space="preserve"> or two-dimensional nucleation mechanism</w:t>
      </w:r>
      <w:r w:rsidR="00E657A1">
        <w:rPr>
          <w:rFonts w:asciiTheme="minorHAnsi" w:eastAsia="MS PGothic" w:hAnsiTheme="minorHAnsi"/>
          <w:color w:val="000000"/>
          <w:sz w:val="22"/>
          <w:szCs w:val="22"/>
          <w:lang w:val="en-US"/>
        </w:rPr>
        <w:t xml:space="preserve"> </w:t>
      </w:r>
      <w:r w:rsidR="00CC478E" w:rsidRPr="00E657A1">
        <w:rPr>
          <w:rFonts w:asciiTheme="minorHAnsi" w:eastAsia="MS PGothic" w:hAnsiTheme="minorHAnsi"/>
          <w:color w:val="000000"/>
          <w:sz w:val="22"/>
          <w:szCs w:val="22"/>
          <w:lang w:val="en-US"/>
        </w:rPr>
        <w:fldChar w:fldCharType="begin" w:fldLock="1"/>
      </w:r>
      <w:r w:rsidR="00BB2136">
        <w:rPr>
          <w:rFonts w:asciiTheme="minorHAnsi" w:eastAsia="MS PGothic" w:hAnsiTheme="minorHAnsi"/>
          <w:color w:val="000000"/>
          <w:sz w:val="22"/>
          <w:szCs w:val="22"/>
          <w:lang w:val="en-US"/>
        </w:rPr>
        <w:instrText>ADDIN CSL_CITATION {"citationItems":[{"id":"ITEM-1","itemData":{"ISBN":"0824745116","abstract":"2nd ed., rev. and expanded.","author":[{"dropping-particle":"","family":"Mersmann","given":"Alfons.","non-dropping-particle":"","parse-names":false,"suffix":""}],"id":"ITEM-1","issued":{"date-parts":[["2001"]]},"number-of-pages":"832","publisher":"Marcel Dekker","title":"Crystallization technology handbook","type":"book"},"uris":["http://www.mendeley.com/documents/?uuid=83cbc31e-2c17-357f-ab87-d5fadc16e6ea"]}],"mendeley":{"formattedCitation":"[2]","plainTextFormattedCitation":"[2]","previouslyFormattedCitation":"[2]"},"properties":{"noteIndex":0},"schema":"https://github.com/citation-style-language/schema/raw/master/csl-citation.json"}</w:instrText>
      </w:r>
      <w:r w:rsidR="00CC478E" w:rsidRPr="00E657A1">
        <w:rPr>
          <w:rFonts w:asciiTheme="minorHAnsi" w:eastAsia="MS PGothic" w:hAnsiTheme="minorHAnsi"/>
          <w:color w:val="000000"/>
          <w:sz w:val="22"/>
          <w:szCs w:val="22"/>
          <w:lang w:val="en-US"/>
        </w:rPr>
        <w:fldChar w:fldCharType="separate"/>
      </w:r>
      <w:r w:rsidR="00E657A1" w:rsidRPr="00E657A1">
        <w:rPr>
          <w:rFonts w:asciiTheme="minorHAnsi" w:eastAsia="MS PGothic" w:hAnsiTheme="minorHAnsi"/>
          <w:noProof/>
          <w:color w:val="000000"/>
          <w:sz w:val="22"/>
          <w:szCs w:val="22"/>
          <w:lang w:val="en-US"/>
        </w:rPr>
        <w:t>[2]</w:t>
      </w:r>
      <w:r w:rsidR="00CC478E" w:rsidRPr="00E657A1">
        <w:rPr>
          <w:rFonts w:asciiTheme="minorHAnsi" w:eastAsia="MS PGothic" w:hAnsiTheme="minorHAnsi"/>
          <w:color w:val="000000"/>
          <w:sz w:val="22"/>
          <w:szCs w:val="22"/>
          <w:lang w:val="en-US"/>
        </w:rPr>
        <w:fldChar w:fldCharType="end"/>
      </w:r>
      <w:r w:rsidR="00A6304B" w:rsidRPr="00E657A1">
        <w:rPr>
          <w:rFonts w:asciiTheme="minorHAnsi" w:eastAsia="MS PGothic" w:hAnsiTheme="minorHAnsi"/>
          <w:color w:val="000000"/>
          <w:sz w:val="22"/>
          <w:szCs w:val="22"/>
          <w:lang w:val="en-US"/>
        </w:rPr>
        <w:t xml:space="preserve">. </w:t>
      </w:r>
      <w:r w:rsidR="009251A8" w:rsidRPr="00E657A1">
        <w:rPr>
          <w:rFonts w:asciiTheme="minorHAnsi" w:eastAsia="MS PGothic" w:hAnsiTheme="minorHAnsi"/>
          <w:color w:val="000000"/>
          <w:sz w:val="22"/>
          <w:szCs w:val="22"/>
          <w:lang w:val="en-US"/>
        </w:rPr>
        <w:t>Additionally</w:t>
      </w:r>
      <w:r w:rsidR="00A6304B" w:rsidRPr="00E657A1">
        <w:rPr>
          <w:rFonts w:asciiTheme="minorHAnsi" w:eastAsia="MS PGothic" w:hAnsiTheme="minorHAnsi"/>
          <w:color w:val="000000"/>
          <w:sz w:val="22"/>
          <w:szCs w:val="22"/>
          <w:lang w:val="en-US"/>
        </w:rPr>
        <w:t xml:space="preserve">, empirical power law equations are useful because </w:t>
      </w:r>
      <w:r w:rsidR="003047FC" w:rsidRPr="00E657A1">
        <w:rPr>
          <w:rFonts w:asciiTheme="minorHAnsi" w:eastAsia="MS PGothic" w:hAnsiTheme="minorHAnsi"/>
          <w:color w:val="000000"/>
          <w:sz w:val="22"/>
          <w:szCs w:val="22"/>
          <w:lang w:val="en-US"/>
        </w:rPr>
        <w:t xml:space="preserve">they </w:t>
      </w:r>
      <w:proofErr w:type="gramStart"/>
      <w:r w:rsidR="003047FC" w:rsidRPr="00E657A1">
        <w:rPr>
          <w:rFonts w:asciiTheme="minorHAnsi" w:eastAsia="MS PGothic" w:hAnsiTheme="minorHAnsi"/>
          <w:color w:val="000000"/>
          <w:sz w:val="22"/>
          <w:szCs w:val="22"/>
          <w:lang w:val="en-US"/>
        </w:rPr>
        <w:t>can be applied</w:t>
      </w:r>
      <w:proofErr w:type="gramEnd"/>
      <w:r w:rsidR="003047FC" w:rsidRPr="00E657A1">
        <w:rPr>
          <w:rFonts w:asciiTheme="minorHAnsi" w:eastAsia="MS PGothic" w:hAnsiTheme="minorHAnsi"/>
          <w:color w:val="000000"/>
          <w:sz w:val="22"/>
          <w:szCs w:val="22"/>
          <w:lang w:val="en-US"/>
        </w:rPr>
        <w:t xml:space="preserve"> in a wider range of supersaturations</w:t>
      </w:r>
      <w:r w:rsidR="009251A8" w:rsidRPr="00E657A1">
        <w:rPr>
          <w:rFonts w:asciiTheme="minorHAnsi" w:eastAsia="MS PGothic" w:hAnsiTheme="minorHAnsi"/>
          <w:color w:val="000000"/>
          <w:sz w:val="22"/>
          <w:szCs w:val="22"/>
          <w:lang w:val="en-US"/>
        </w:rPr>
        <w:t>. This study focuses the growth of six different active pharmaceutical ingredients (APIs) in the same solvent aiming to shed light to some fundamental physicochemical aspects influencing the crystal growth</w:t>
      </w:r>
      <w:r w:rsidR="00080993">
        <w:rPr>
          <w:rFonts w:asciiTheme="minorHAnsi" w:eastAsia="MS PGothic" w:hAnsiTheme="minorHAnsi"/>
          <w:color w:val="000000"/>
          <w:sz w:val="22"/>
          <w:szCs w:val="22"/>
          <w:lang w:val="en-US"/>
        </w:rPr>
        <w:t xml:space="preserve"> kinetics</w:t>
      </w:r>
      <w:r w:rsidR="009251A8" w:rsidRPr="00E657A1">
        <w:rPr>
          <w:rFonts w:asciiTheme="minorHAnsi" w:eastAsia="MS PGothic" w:hAnsiTheme="minorHAnsi"/>
          <w:color w:val="000000"/>
          <w:sz w:val="22"/>
          <w:szCs w:val="22"/>
          <w:lang w:val="en-US"/>
        </w:rPr>
        <w:t>.</w:t>
      </w:r>
    </w:p>
    <w:p w:rsidR="00704BDF" w:rsidRPr="008D0BEB" w:rsidRDefault="00704BDF" w:rsidP="00C867B1">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704BDF" w:rsidRPr="00127B05" w:rsidRDefault="00D36DA8" w:rsidP="00127B05">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Isothermal seeded desupersaturation experiments </w:t>
      </w:r>
      <w:r w:rsidR="00127B05">
        <w:rPr>
          <w:rFonts w:asciiTheme="minorHAnsi" w:eastAsia="MS PGothic" w:hAnsiTheme="minorHAnsi"/>
          <w:color w:val="000000"/>
          <w:sz w:val="22"/>
          <w:szCs w:val="22"/>
          <w:lang w:val="en-US"/>
        </w:rPr>
        <w:t xml:space="preserve">in methanol </w:t>
      </w:r>
      <w:proofErr w:type="gramStart"/>
      <w:r>
        <w:rPr>
          <w:rFonts w:asciiTheme="minorHAnsi" w:eastAsia="MS PGothic" w:hAnsiTheme="minorHAnsi"/>
          <w:color w:val="000000"/>
          <w:sz w:val="22"/>
          <w:szCs w:val="22"/>
          <w:lang w:val="en-US"/>
        </w:rPr>
        <w:t>were carried out</w:t>
      </w:r>
      <w:proofErr w:type="gramEnd"/>
      <w:r>
        <w:rPr>
          <w:rFonts w:asciiTheme="minorHAnsi" w:eastAsia="MS PGothic" w:hAnsiTheme="minorHAnsi"/>
          <w:color w:val="000000"/>
          <w:sz w:val="22"/>
          <w:szCs w:val="22"/>
          <w:lang w:val="en-US"/>
        </w:rPr>
        <w:t xml:space="preserve"> in the range of temperature 288-303 K and supersaturations below 1.32</w:t>
      </w:r>
      <w:r w:rsidR="00080993">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 xml:space="preserve">for </w:t>
      </w:r>
      <w:r w:rsidR="00127B05">
        <w:rPr>
          <w:rFonts w:asciiTheme="minorHAnsi" w:eastAsia="MS PGothic" w:hAnsiTheme="minorHAnsi"/>
          <w:color w:val="000000"/>
          <w:sz w:val="22"/>
          <w:szCs w:val="22"/>
          <w:lang w:val="en-US"/>
        </w:rPr>
        <w:t>Acetaminophen</w:t>
      </w:r>
      <w:r w:rsidR="004B713E">
        <w:rPr>
          <w:rFonts w:asciiTheme="minorHAnsi" w:eastAsia="MS PGothic" w:hAnsiTheme="minorHAnsi"/>
          <w:color w:val="000000"/>
          <w:sz w:val="22"/>
          <w:szCs w:val="22"/>
          <w:lang w:val="en-US"/>
        </w:rPr>
        <w:t xml:space="preserve"> (AAP)</w:t>
      </w:r>
      <w:r w:rsidR="00127B05">
        <w:rPr>
          <w:rFonts w:asciiTheme="minorHAnsi" w:eastAsia="MS PGothic" w:hAnsiTheme="minorHAnsi"/>
          <w:color w:val="000000"/>
          <w:sz w:val="22"/>
          <w:szCs w:val="22"/>
          <w:lang w:val="en-US"/>
        </w:rPr>
        <w:t>, Carbamazepine</w:t>
      </w:r>
      <w:r w:rsidR="004B713E">
        <w:rPr>
          <w:rFonts w:asciiTheme="minorHAnsi" w:eastAsia="MS PGothic" w:hAnsiTheme="minorHAnsi"/>
          <w:color w:val="000000"/>
          <w:sz w:val="22"/>
          <w:szCs w:val="22"/>
          <w:lang w:val="en-US"/>
        </w:rPr>
        <w:t xml:space="preserve"> (CBMZ)</w:t>
      </w:r>
      <w:r w:rsidR="00127B05">
        <w:rPr>
          <w:rFonts w:asciiTheme="minorHAnsi" w:eastAsia="MS PGothic" w:hAnsiTheme="minorHAnsi"/>
          <w:color w:val="000000"/>
          <w:sz w:val="22"/>
          <w:szCs w:val="22"/>
          <w:lang w:val="en-US"/>
        </w:rPr>
        <w:t>, Piracetam</w:t>
      </w:r>
      <w:r w:rsidR="004B713E">
        <w:rPr>
          <w:rFonts w:asciiTheme="minorHAnsi" w:eastAsia="MS PGothic" w:hAnsiTheme="minorHAnsi"/>
          <w:color w:val="000000"/>
          <w:sz w:val="22"/>
          <w:szCs w:val="22"/>
          <w:lang w:val="en-US"/>
        </w:rPr>
        <w:t xml:space="preserve"> (PCM)</w:t>
      </w:r>
      <w:r w:rsidR="00127B05">
        <w:rPr>
          <w:rFonts w:asciiTheme="minorHAnsi" w:eastAsia="MS PGothic" w:hAnsiTheme="minorHAnsi"/>
          <w:color w:val="000000"/>
          <w:sz w:val="22"/>
          <w:szCs w:val="22"/>
          <w:lang w:val="en-US"/>
        </w:rPr>
        <w:t xml:space="preserve">, </w:t>
      </w:r>
      <w:proofErr w:type="spellStart"/>
      <w:r w:rsidR="00127B05">
        <w:rPr>
          <w:rFonts w:asciiTheme="minorHAnsi" w:eastAsia="MS PGothic" w:hAnsiTheme="minorHAnsi"/>
          <w:color w:val="000000"/>
          <w:sz w:val="22"/>
          <w:szCs w:val="22"/>
          <w:lang w:val="en-US"/>
        </w:rPr>
        <w:t>Fenofifrate</w:t>
      </w:r>
      <w:proofErr w:type="spellEnd"/>
      <w:r w:rsidR="004B713E">
        <w:rPr>
          <w:rFonts w:asciiTheme="minorHAnsi" w:eastAsia="MS PGothic" w:hAnsiTheme="minorHAnsi"/>
          <w:color w:val="000000"/>
          <w:sz w:val="22"/>
          <w:szCs w:val="22"/>
          <w:lang w:val="en-US"/>
        </w:rPr>
        <w:t xml:space="preserve"> (FF)</w:t>
      </w:r>
      <w:r w:rsidR="00127B05">
        <w:rPr>
          <w:rFonts w:asciiTheme="minorHAnsi" w:eastAsia="MS PGothic" w:hAnsiTheme="minorHAnsi"/>
          <w:color w:val="000000"/>
          <w:sz w:val="22"/>
          <w:szCs w:val="22"/>
          <w:lang w:val="en-US"/>
        </w:rPr>
        <w:t xml:space="preserve">, </w:t>
      </w:r>
      <w:proofErr w:type="spellStart"/>
      <w:r w:rsidR="00127B05">
        <w:rPr>
          <w:rFonts w:asciiTheme="minorHAnsi" w:eastAsia="MS PGothic" w:hAnsiTheme="minorHAnsi"/>
          <w:color w:val="000000"/>
          <w:sz w:val="22"/>
          <w:szCs w:val="22"/>
          <w:lang w:val="en-US"/>
        </w:rPr>
        <w:t>Phenylbutazone</w:t>
      </w:r>
      <w:proofErr w:type="spellEnd"/>
      <w:r w:rsidR="00127B05">
        <w:rPr>
          <w:rFonts w:asciiTheme="minorHAnsi" w:eastAsia="MS PGothic" w:hAnsiTheme="minorHAnsi"/>
          <w:color w:val="000000"/>
          <w:sz w:val="22"/>
          <w:szCs w:val="22"/>
          <w:lang w:val="en-US"/>
        </w:rPr>
        <w:t xml:space="preserve"> </w:t>
      </w:r>
      <w:r w:rsidR="004B713E">
        <w:rPr>
          <w:rFonts w:asciiTheme="minorHAnsi" w:eastAsia="MS PGothic" w:hAnsiTheme="minorHAnsi"/>
          <w:color w:val="000000"/>
          <w:sz w:val="22"/>
          <w:szCs w:val="22"/>
          <w:lang w:val="en-US"/>
        </w:rPr>
        <w:t xml:space="preserve">(PBZ) </w:t>
      </w:r>
      <w:r w:rsidR="00127B05">
        <w:rPr>
          <w:rFonts w:asciiTheme="minorHAnsi" w:eastAsia="MS PGothic" w:hAnsiTheme="minorHAnsi"/>
          <w:color w:val="000000"/>
          <w:sz w:val="22"/>
          <w:szCs w:val="22"/>
          <w:lang w:val="en-US"/>
        </w:rPr>
        <w:t>and Risperidone</w:t>
      </w:r>
      <w:r w:rsidR="004B713E">
        <w:rPr>
          <w:rFonts w:asciiTheme="minorHAnsi" w:eastAsia="MS PGothic" w:hAnsiTheme="minorHAnsi"/>
          <w:color w:val="000000"/>
          <w:sz w:val="22"/>
          <w:szCs w:val="22"/>
          <w:lang w:val="en-US"/>
        </w:rPr>
        <w:t xml:space="preserve"> </w:t>
      </w:r>
      <w:r w:rsidR="004B713E">
        <w:rPr>
          <w:rFonts w:asciiTheme="minorHAnsi" w:eastAsia="MS PGothic" w:hAnsiTheme="minorHAnsi"/>
          <w:color w:val="000000"/>
          <w:sz w:val="22"/>
          <w:szCs w:val="22"/>
          <w:lang w:val="en-US"/>
        </w:rPr>
        <w:lastRenderedPageBreak/>
        <w:t>(RIS)</w:t>
      </w:r>
      <w:r w:rsidR="00127B05">
        <w:rPr>
          <w:rFonts w:asciiTheme="minorHAnsi" w:eastAsia="MS PGothic" w:hAnsiTheme="minorHAnsi"/>
          <w:color w:val="000000"/>
          <w:sz w:val="22"/>
          <w:szCs w:val="22"/>
          <w:lang w:val="en-US"/>
        </w:rPr>
        <w:t xml:space="preserve">. </w:t>
      </w:r>
      <w:r w:rsidR="004B713E">
        <w:rPr>
          <w:rFonts w:asciiTheme="minorHAnsi" w:eastAsia="MS PGothic" w:hAnsiTheme="minorHAnsi"/>
          <w:color w:val="000000"/>
          <w:sz w:val="22"/>
          <w:szCs w:val="22"/>
          <w:lang w:val="en-US"/>
        </w:rPr>
        <w:t xml:space="preserve">The seed size was 100-180 </w:t>
      </w:r>
      <w:proofErr w:type="spellStart"/>
      <w:r w:rsidR="004B713E">
        <w:rPr>
          <w:rFonts w:ascii="Times New Roman" w:eastAsia="MS PGothic" w:hAnsi="Times New Roman"/>
          <w:color w:val="000000"/>
          <w:sz w:val="22"/>
          <w:szCs w:val="22"/>
          <w:lang w:val="en-US"/>
        </w:rPr>
        <w:t>μ</w:t>
      </w:r>
      <w:r w:rsidR="004B713E" w:rsidRPr="004B713E">
        <w:rPr>
          <w:rFonts w:asciiTheme="minorHAnsi" w:eastAsia="MS PGothic" w:hAnsiTheme="minorHAnsi"/>
          <w:color w:val="000000"/>
          <w:sz w:val="22"/>
          <w:szCs w:val="22"/>
          <w:lang w:val="en-US"/>
        </w:rPr>
        <w:t>m</w:t>
      </w:r>
      <w:proofErr w:type="spellEnd"/>
      <w:r w:rsidR="004B713E" w:rsidRPr="004B713E">
        <w:rPr>
          <w:rFonts w:asciiTheme="minorHAnsi" w:eastAsia="MS PGothic" w:hAnsiTheme="minorHAnsi"/>
          <w:color w:val="000000"/>
          <w:sz w:val="22"/>
          <w:szCs w:val="22"/>
          <w:lang w:val="en-US"/>
        </w:rPr>
        <w:t xml:space="preserve"> </w:t>
      </w:r>
      <w:r w:rsidR="004B713E">
        <w:rPr>
          <w:rFonts w:asciiTheme="minorHAnsi" w:eastAsia="MS PGothic" w:hAnsiTheme="minorHAnsi"/>
          <w:color w:val="000000"/>
          <w:sz w:val="22"/>
          <w:szCs w:val="22"/>
          <w:lang w:val="en-US"/>
        </w:rPr>
        <w:t>and the stirring speed</w:t>
      </w:r>
      <w:r w:rsidR="009208F3">
        <w:rPr>
          <w:rFonts w:asciiTheme="minorHAnsi" w:eastAsia="MS PGothic" w:hAnsiTheme="minorHAnsi"/>
          <w:color w:val="000000"/>
          <w:sz w:val="22"/>
          <w:szCs w:val="22"/>
          <w:lang w:val="en-US"/>
        </w:rPr>
        <w:t xml:space="preserve"> 250 rpm</w:t>
      </w:r>
      <w:r w:rsidR="004B713E">
        <w:rPr>
          <w:rFonts w:asciiTheme="minorHAnsi" w:eastAsia="MS PGothic" w:hAnsiTheme="minorHAnsi"/>
          <w:color w:val="000000"/>
          <w:sz w:val="22"/>
          <w:szCs w:val="22"/>
          <w:lang w:val="en-US"/>
        </w:rPr>
        <w:t xml:space="preserve">. </w:t>
      </w:r>
      <w:r w:rsidR="00127B05">
        <w:rPr>
          <w:rFonts w:asciiTheme="minorHAnsi" w:eastAsia="MS PGothic" w:hAnsiTheme="minorHAnsi"/>
          <w:color w:val="000000"/>
          <w:sz w:val="22"/>
          <w:szCs w:val="22"/>
          <w:lang w:val="en-US"/>
        </w:rPr>
        <w:t xml:space="preserve">The crystallizer </w:t>
      </w:r>
      <w:r w:rsidR="009208F3">
        <w:rPr>
          <w:rFonts w:asciiTheme="minorHAnsi" w:eastAsia="MS PGothic" w:hAnsiTheme="minorHAnsi"/>
          <w:color w:val="000000"/>
          <w:sz w:val="22"/>
          <w:szCs w:val="22"/>
          <w:lang w:val="en-US"/>
        </w:rPr>
        <w:t>(</w:t>
      </w:r>
      <w:r w:rsidR="00127B05">
        <w:rPr>
          <w:rFonts w:asciiTheme="minorHAnsi" w:eastAsia="MS PGothic" w:hAnsiTheme="minorHAnsi"/>
          <w:color w:val="000000"/>
          <w:sz w:val="22"/>
          <w:szCs w:val="22"/>
          <w:lang w:val="en-US"/>
        </w:rPr>
        <w:t>Easy</w:t>
      </w:r>
      <w:r w:rsidR="00127B05" w:rsidRPr="00127B05">
        <w:rPr>
          <w:rFonts w:asciiTheme="minorHAnsi" w:eastAsia="MS PGothic" w:hAnsiTheme="minorHAnsi"/>
          <w:color w:val="000000"/>
          <w:sz w:val="22"/>
          <w:szCs w:val="22"/>
          <w:lang w:val="en-US"/>
        </w:rPr>
        <w:t>max</w:t>
      </w:r>
      <w:r w:rsidR="009208F3">
        <w:rPr>
          <w:rFonts w:asciiTheme="minorHAnsi" w:eastAsia="MS PGothic" w:hAnsiTheme="minorHAnsi"/>
          <w:color w:val="000000"/>
          <w:sz w:val="22"/>
          <w:szCs w:val="22"/>
          <w:lang w:val="en-US"/>
        </w:rPr>
        <w:t>402,</w:t>
      </w:r>
      <w:r w:rsidR="00127B05" w:rsidRPr="00127B05">
        <w:rPr>
          <w:rFonts w:asciiTheme="minorHAnsi" w:eastAsia="MS PGothic" w:hAnsiTheme="minorHAnsi"/>
          <w:color w:val="000000"/>
          <w:sz w:val="22"/>
          <w:szCs w:val="22"/>
          <w:lang w:val="en-US"/>
        </w:rPr>
        <w:t xml:space="preserve"> </w:t>
      </w:r>
      <w:proofErr w:type="spellStart"/>
      <w:r w:rsidR="00127B05" w:rsidRPr="00127B05">
        <w:rPr>
          <w:rFonts w:asciiTheme="minorHAnsi" w:eastAsia="MS PGothic" w:hAnsiTheme="minorHAnsi"/>
          <w:color w:val="000000"/>
          <w:sz w:val="22"/>
          <w:szCs w:val="22"/>
          <w:lang w:val="en-US"/>
        </w:rPr>
        <w:t>Mettler</w:t>
      </w:r>
      <w:proofErr w:type="spellEnd"/>
      <w:r w:rsidR="00127B05" w:rsidRPr="00127B05">
        <w:rPr>
          <w:rFonts w:asciiTheme="minorHAnsi" w:eastAsia="MS PGothic" w:hAnsiTheme="minorHAnsi"/>
          <w:color w:val="000000"/>
          <w:sz w:val="22"/>
          <w:szCs w:val="22"/>
          <w:lang w:val="en-US"/>
        </w:rPr>
        <w:t xml:space="preserve"> Toledo) </w:t>
      </w:r>
      <w:r w:rsidR="009208F3">
        <w:rPr>
          <w:rFonts w:asciiTheme="minorHAnsi" w:eastAsia="MS PGothic" w:hAnsiTheme="minorHAnsi"/>
          <w:color w:val="000000"/>
          <w:sz w:val="22"/>
          <w:szCs w:val="22"/>
          <w:lang w:val="en-US"/>
        </w:rPr>
        <w:t xml:space="preserve">was </w:t>
      </w:r>
      <w:r w:rsidR="00127B05" w:rsidRPr="00127B05">
        <w:rPr>
          <w:rFonts w:asciiTheme="minorHAnsi" w:eastAsia="MS PGothic" w:hAnsiTheme="minorHAnsi"/>
          <w:color w:val="000000"/>
          <w:sz w:val="22"/>
          <w:szCs w:val="22"/>
          <w:lang w:val="en-US"/>
        </w:rPr>
        <w:t xml:space="preserve">equipped with an </w:t>
      </w:r>
      <w:r w:rsidR="00127B05" w:rsidRPr="00127B05">
        <w:rPr>
          <w:rFonts w:asciiTheme="minorHAnsi" w:eastAsia="MS PGothic" w:hAnsiTheme="minorHAnsi"/>
          <w:i/>
          <w:color w:val="000000"/>
          <w:sz w:val="22"/>
          <w:szCs w:val="22"/>
          <w:lang w:val="en-US"/>
        </w:rPr>
        <w:t>in-situ</w:t>
      </w:r>
      <w:r w:rsidR="00127B05">
        <w:rPr>
          <w:rFonts w:asciiTheme="minorHAnsi" w:eastAsia="MS PGothic" w:hAnsiTheme="minorHAnsi"/>
          <w:color w:val="000000"/>
          <w:sz w:val="22"/>
          <w:szCs w:val="22"/>
          <w:lang w:val="en-US"/>
        </w:rPr>
        <w:t xml:space="preserve"> </w:t>
      </w:r>
      <w:r w:rsidR="00127B05" w:rsidRPr="00127B05">
        <w:rPr>
          <w:rFonts w:asciiTheme="minorHAnsi" w:eastAsia="MS PGothic" w:hAnsiTheme="minorHAnsi"/>
          <w:color w:val="000000"/>
          <w:sz w:val="22"/>
          <w:szCs w:val="22"/>
          <w:lang w:val="en-US"/>
        </w:rPr>
        <w:t>IR probe (ReactIR15) to monitor the liquid concentration at any time and a FBRM probe (Particle track G400)  to track the number of counts and their size distribution.</w:t>
      </w:r>
      <w:r w:rsidR="00127B05">
        <w:rPr>
          <w:rFonts w:asciiTheme="minorHAnsi" w:eastAsia="MS PGothic" w:hAnsiTheme="minorHAnsi"/>
          <w:color w:val="000000"/>
          <w:sz w:val="22"/>
          <w:szCs w:val="22"/>
          <w:lang w:val="en-US"/>
        </w:rPr>
        <w:t xml:space="preserve"> After growth experiments, the crystals </w:t>
      </w:r>
      <w:proofErr w:type="gramStart"/>
      <w:r w:rsidR="00127B05">
        <w:rPr>
          <w:rFonts w:asciiTheme="minorHAnsi" w:eastAsia="MS PGothic" w:hAnsiTheme="minorHAnsi"/>
          <w:color w:val="000000"/>
          <w:sz w:val="22"/>
          <w:szCs w:val="22"/>
          <w:lang w:val="en-US"/>
        </w:rPr>
        <w:t>were harvested</w:t>
      </w:r>
      <w:proofErr w:type="gramEnd"/>
      <w:r w:rsidR="00127B05">
        <w:rPr>
          <w:rFonts w:asciiTheme="minorHAnsi" w:eastAsia="MS PGothic" w:hAnsiTheme="minorHAnsi"/>
          <w:color w:val="000000"/>
          <w:sz w:val="22"/>
          <w:szCs w:val="22"/>
          <w:lang w:val="en-US"/>
        </w:rPr>
        <w:t xml:space="preserve">, dried and characterized by PXRD, SEM and </w:t>
      </w:r>
      <w:r w:rsidR="009208F3">
        <w:rPr>
          <w:rFonts w:asciiTheme="minorHAnsi" w:eastAsia="MS PGothic" w:hAnsiTheme="minorHAnsi"/>
          <w:color w:val="000000"/>
          <w:sz w:val="22"/>
          <w:szCs w:val="22"/>
          <w:lang w:val="en-US"/>
        </w:rPr>
        <w:t xml:space="preserve">in </w:t>
      </w:r>
      <w:r w:rsidR="00127B05">
        <w:rPr>
          <w:rFonts w:asciiTheme="minorHAnsi" w:eastAsia="MS PGothic" w:hAnsiTheme="minorHAnsi"/>
          <w:color w:val="000000"/>
          <w:sz w:val="22"/>
          <w:szCs w:val="22"/>
          <w:lang w:val="en-US"/>
        </w:rPr>
        <w:t>a particle size and shape analyzer</w:t>
      </w:r>
      <w:r w:rsidR="009208F3">
        <w:rPr>
          <w:rFonts w:asciiTheme="minorHAnsi" w:eastAsia="MS PGothic" w:hAnsiTheme="minorHAnsi"/>
          <w:color w:val="000000"/>
          <w:sz w:val="22"/>
          <w:szCs w:val="22"/>
          <w:lang w:val="en-US"/>
        </w:rPr>
        <w:t xml:space="preserve"> (G3 morphology)</w:t>
      </w:r>
      <w:r w:rsidR="00127B05">
        <w:rPr>
          <w:rFonts w:asciiTheme="minorHAnsi" w:eastAsia="MS PGothic" w:hAnsiTheme="minorHAnsi"/>
          <w:color w:val="000000"/>
          <w:sz w:val="22"/>
          <w:szCs w:val="22"/>
          <w:lang w:val="en-US"/>
        </w:rPr>
        <w:t>.</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0F05F8" w:rsidRPr="00E657A1" w:rsidRDefault="00E97D58" w:rsidP="00704BDF">
      <w:pPr>
        <w:snapToGrid w:val="0"/>
        <w:spacing w:after="120"/>
        <w:rPr>
          <w:rFonts w:asciiTheme="minorHAnsi" w:eastAsia="MS PGothic" w:hAnsiTheme="minorHAnsi"/>
          <w:color w:val="000000"/>
          <w:sz w:val="22"/>
          <w:szCs w:val="22"/>
          <w:lang w:val="en-US"/>
        </w:rPr>
      </w:pPr>
      <w:r w:rsidRPr="00E657A1">
        <w:rPr>
          <w:rFonts w:asciiTheme="minorHAnsi" w:eastAsia="MS PGothic" w:hAnsiTheme="minorHAnsi"/>
          <w:color w:val="000000"/>
          <w:sz w:val="22"/>
          <w:szCs w:val="22"/>
          <w:lang w:val="en-US"/>
        </w:rPr>
        <w:t xml:space="preserve">The crystallographic habit of </w:t>
      </w:r>
      <w:proofErr w:type="gramStart"/>
      <w:r w:rsidRPr="00E657A1">
        <w:rPr>
          <w:rFonts w:asciiTheme="minorHAnsi" w:eastAsia="MS PGothic" w:hAnsiTheme="minorHAnsi"/>
          <w:color w:val="000000"/>
          <w:sz w:val="22"/>
          <w:szCs w:val="22"/>
          <w:lang w:val="en-US"/>
        </w:rPr>
        <w:t>all the</w:t>
      </w:r>
      <w:proofErr w:type="gramEnd"/>
      <w:r w:rsidRPr="00E657A1">
        <w:rPr>
          <w:rFonts w:asciiTheme="minorHAnsi" w:eastAsia="MS PGothic" w:hAnsiTheme="minorHAnsi"/>
          <w:color w:val="000000"/>
          <w:sz w:val="22"/>
          <w:szCs w:val="22"/>
          <w:lang w:val="en-US"/>
        </w:rPr>
        <w:t xml:space="preserve"> API studied is similar except for PBZ where a needle shape-like habit is distinguished. </w:t>
      </w:r>
      <w:r w:rsidR="00127B05" w:rsidRPr="00E657A1">
        <w:rPr>
          <w:rFonts w:asciiTheme="minorHAnsi" w:eastAsia="MS PGothic" w:hAnsiTheme="minorHAnsi"/>
          <w:color w:val="000000"/>
          <w:sz w:val="22"/>
          <w:szCs w:val="22"/>
          <w:lang w:val="en-US"/>
        </w:rPr>
        <w:t xml:space="preserve">Experimental desupersaturation data </w:t>
      </w:r>
      <w:proofErr w:type="gramStart"/>
      <w:r w:rsidR="00127B05" w:rsidRPr="00E657A1">
        <w:rPr>
          <w:rFonts w:asciiTheme="minorHAnsi" w:eastAsia="MS PGothic" w:hAnsiTheme="minorHAnsi"/>
          <w:color w:val="000000"/>
          <w:sz w:val="22"/>
          <w:szCs w:val="22"/>
          <w:lang w:val="en-US"/>
        </w:rPr>
        <w:t xml:space="preserve">was </w:t>
      </w:r>
      <w:r w:rsidR="00C20F7A">
        <w:rPr>
          <w:rFonts w:asciiTheme="minorHAnsi" w:eastAsia="MS PGothic" w:hAnsiTheme="minorHAnsi"/>
          <w:color w:val="000000"/>
          <w:sz w:val="22"/>
          <w:szCs w:val="22"/>
          <w:lang w:val="en-US"/>
        </w:rPr>
        <w:t>modeled</w:t>
      </w:r>
      <w:proofErr w:type="gramEnd"/>
      <w:r w:rsidR="00127B05" w:rsidRPr="00E657A1">
        <w:rPr>
          <w:rFonts w:asciiTheme="minorHAnsi" w:eastAsia="MS PGothic" w:hAnsiTheme="minorHAnsi"/>
          <w:color w:val="000000"/>
          <w:sz w:val="22"/>
          <w:szCs w:val="22"/>
          <w:lang w:val="en-US"/>
        </w:rPr>
        <w:t xml:space="preserve"> </w:t>
      </w:r>
      <w:r w:rsidR="00C20F7A">
        <w:rPr>
          <w:rFonts w:asciiTheme="minorHAnsi" w:eastAsia="MS PGothic" w:hAnsiTheme="minorHAnsi"/>
          <w:color w:val="000000"/>
          <w:sz w:val="22"/>
          <w:szCs w:val="22"/>
          <w:lang w:val="en-US"/>
        </w:rPr>
        <w:t>using</w:t>
      </w:r>
      <w:r w:rsidR="00127B05" w:rsidRPr="00E657A1">
        <w:rPr>
          <w:rFonts w:asciiTheme="minorHAnsi" w:eastAsia="MS PGothic" w:hAnsiTheme="minorHAnsi"/>
          <w:color w:val="000000"/>
          <w:sz w:val="22"/>
          <w:szCs w:val="22"/>
          <w:lang w:val="en-US"/>
        </w:rPr>
        <w:t xml:space="preserve"> p</w:t>
      </w:r>
      <w:r w:rsidR="00C20F7A">
        <w:rPr>
          <w:rFonts w:asciiTheme="minorHAnsi" w:eastAsia="MS PGothic" w:hAnsiTheme="minorHAnsi"/>
          <w:color w:val="000000"/>
          <w:sz w:val="22"/>
          <w:szCs w:val="22"/>
          <w:lang w:val="en-US"/>
        </w:rPr>
        <w:t xml:space="preserve">ower law equations (Fig.1a), BCF and </w:t>
      </w:r>
      <w:r w:rsidR="00127B05" w:rsidRPr="00E657A1">
        <w:rPr>
          <w:rFonts w:asciiTheme="minorHAnsi" w:eastAsia="MS PGothic" w:hAnsiTheme="minorHAnsi"/>
          <w:color w:val="000000"/>
          <w:sz w:val="22"/>
          <w:szCs w:val="22"/>
          <w:lang w:val="en-US"/>
        </w:rPr>
        <w:t xml:space="preserve">B+S </w:t>
      </w:r>
      <w:r w:rsidR="00C20F7A">
        <w:rPr>
          <w:rFonts w:asciiTheme="minorHAnsi" w:eastAsia="MS PGothic" w:hAnsiTheme="minorHAnsi"/>
          <w:color w:val="000000"/>
          <w:sz w:val="22"/>
          <w:szCs w:val="22"/>
          <w:lang w:val="en-US"/>
        </w:rPr>
        <w:t>theories</w:t>
      </w:r>
      <w:r w:rsidR="00127B05" w:rsidRPr="00E657A1">
        <w:rPr>
          <w:rFonts w:asciiTheme="minorHAnsi" w:eastAsia="MS PGothic" w:hAnsiTheme="minorHAnsi"/>
          <w:color w:val="000000"/>
          <w:sz w:val="22"/>
          <w:szCs w:val="22"/>
          <w:lang w:val="en-US"/>
        </w:rPr>
        <w:t>. The fitting of power law equation was remarkably good and the involved parameters suggested that the growth is mainly surface integration controlled</w:t>
      </w:r>
      <w:r w:rsidR="009208F3">
        <w:rPr>
          <w:rFonts w:asciiTheme="minorHAnsi" w:eastAsia="MS PGothic" w:hAnsiTheme="minorHAnsi"/>
          <w:color w:val="000000"/>
          <w:sz w:val="22"/>
          <w:szCs w:val="22"/>
          <w:lang w:val="en-US"/>
        </w:rPr>
        <w:t xml:space="preserve"> for the studied API’s</w:t>
      </w:r>
      <w:r w:rsidR="00127B05" w:rsidRPr="00E657A1">
        <w:rPr>
          <w:rFonts w:asciiTheme="minorHAnsi" w:eastAsia="MS PGothic" w:hAnsiTheme="minorHAnsi"/>
          <w:color w:val="000000"/>
          <w:sz w:val="22"/>
          <w:szCs w:val="22"/>
          <w:lang w:val="en-US"/>
        </w:rPr>
        <w:t xml:space="preserve"> within the explored experimental conditions. </w:t>
      </w:r>
      <w:r w:rsidR="004B713E" w:rsidRPr="00E657A1">
        <w:rPr>
          <w:rFonts w:asciiTheme="minorHAnsi" w:eastAsia="MS PGothic" w:hAnsiTheme="minorHAnsi"/>
          <w:color w:val="000000"/>
          <w:sz w:val="22"/>
          <w:szCs w:val="22"/>
          <w:lang w:val="en-US"/>
        </w:rPr>
        <w:t xml:space="preserve">The BCF model provided faintly better fitting than the B+S </w:t>
      </w:r>
      <w:r w:rsidR="009208F3">
        <w:rPr>
          <w:rFonts w:asciiTheme="minorHAnsi" w:eastAsia="MS PGothic" w:hAnsiTheme="minorHAnsi"/>
          <w:color w:val="000000"/>
          <w:sz w:val="22"/>
          <w:szCs w:val="22"/>
          <w:lang w:val="en-US"/>
        </w:rPr>
        <w:t>one</w:t>
      </w:r>
      <w:r w:rsidR="004B713E" w:rsidRPr="00E657A1">
        <w:rPr>
          <w:rFonts w:asciiTheme="minorHAnsi" w:eastAsia="MS PGothic" w:hAnsiTheme="minorHAnsi"/>
          <w:color w:val="000000"/>
          <w:sz w:val="22"/>
          <w:szCs w:val="22"/>
          <w:lang w:val="en-US"/>
        </w:rPr>
        <w:t xml:space="preserve"> being therefore more likely this mechanism to govern. At the same supersaturation and temperature (Fig.1b) the crystal growth rates decreased in the order</w:t>
      </w:r>
      <w:r w:rsidR="000F05F8" w:rsidRPr="00E657A1">
        <w:rPr>
          <w:rFonts w:asciiTheme="minorHAnsi" w:eastAsia="MS PGothic" w:hAnsiTheme="minorHAnsi"/>
          <w:color w:val="000000"/>
          <w:sz w:val="22"/>
          <w:szCs w:val="22"/>
          <w:lang w:val="en-US"/>
        </w:rPr>
        <w:t xml:space="preserve"> </w:t>
      </w:r>
      <w:r w:rsidR="009208F3">
        <w:rPr>
          <w:rFonts w:asciiTheme="minorHAnsi" w:eastAsia="MS PGothic" w:hAnsiTheme="minorHAnsi"/>
          <w:color w:val="000000"/>
          <w:sz w:val="22"/>
          <w:szCs w:val="22"/>
          <w:lang w:val="en-US"/>
        </w:rPr>
        <w:t>PCM&gt;FF&gt;AAP&gt; PBZ&gt;RIS&gt;</w:t>
      </w:r>
      <w:r w:rsidR="000F05F8" w:rsidRPr="00E657A1">
        <w:rPr>
          <w:rFonts w:asciiTheme="minorHAnsi" w:eastAsia="MS PGothic" w:hAnsiTheme="minorHAnsi"/>
          <w:color w:val="000000"/>
          <w:sz w:val="22"/>
          <w:szCs w:val="22"/>
          <w:lang w:val="en-US"/>
        </w:rPr>
        <w:t>CBMZ. From the B+S model</w:t>
      </w:r>
      <w:r w:rsidRPr="00E657A1">
        <w:rPr>
          <w:rFonts w:asciiTheme="minorHAnsi" w:eastAsia="MS PGothic" w:hAnsiTheme="minorHAnsi"/>
          <w:color w:val="000000"/>
          <w:sz w:val="22"/>
          <w:szCs w:val="22"/>
          <w:lang w:val="en-US"/>
        </w:rPr>
        <w:t>,</w:t>
      </w:r>
      <w:r w:rsidR="000F05F8" w:rsidRPr="00E657A1">
        <w:rPr>
          <w:rFonts w:asciiTheme="minorHAnsi" w:eastAsia="MS PGothic" w:hAnsiTheme="minorHAnsi"/>
          <w:color w:val="000000"/>
          <w:sz w:val="22"/>
          <w:szCs w:val="22"/>
          <w:lang w:val="en-US"/>
        </w:rPr>
        <w:t xml:space="preserve"> the estimated solid-liquid interfacial energies (</w:t>
      </w:r>
      <w:proofErr w:type="spellStart"/>
      <w:r w:rsidR="000F05F8" w:rsidRPr="00E657A1">
        <w:rPr>
          <w:rFonts w:asciiTheme="minorHAnsi" w:eastAsia="MS PGothic" w:hAnsiTheme="minorHAnsi"/>
          <w:color w:val="000000"/>
          <w:sz w:val="22"/>
          <w:szCs w:val="22"/>
          <w:lang w:val="en-US"/>
        </w:rPr>
        <w:t>γ</w:t>
      </w:r>
      <w:r w:rsidR="000F05F8" w:rsidRPr="00E657A1">
        <w:rPr>
          <w:rFonts w:asciiTheme="minorHAnsi" w:eastAsia="MS PGothic" w:hAnsiTheme="minorHAnsi"/>
          <w:color w:val="000000"/>
          <w:sz w:val="22"/>
          <w:szCs w:val="22"/>
          <w:vertAlign w:val="subscript"/>
          <w:lang w:val="en-US"/>
        </w:rPr>
        <w:t>sl</w:t>
      </w:r>
      <w:proofErr w:type="spellEnd"/>
      <w:r w:rsidR="000F05F8" w:rsidRPr="00E657A1">
        <w:rPr>
          <w:rFonts w:asciiTheme="minorHAnsi" w:eastAsia="MS PGothic" w:hAnsiTheme="minorHAnsi"/>
          <w:color w:val="000000"/>
          <w:sz w:val="22"/>
          <w:szCs w:val="22"/>
          <w:lang w:val="en-US"/>
        </w:rPr>
        <w:t xml:space="preserve">) and mean surface diffusion distances ranged 0.82-1.55 </w:t>
      </w:r>
      <w:proofErr w:type="spellStart"/>
      <w:r w:rsidR="000F05F8" w:rsidRPr="00E657A1">
        <w:rPr>
          <w:rFonts w:asciiTheme="minorHAnsi" w:eastAsia="MS PGothic" w:hAnsiTheme="minorHAnsi"/>
          <w:color w:val="000000"/>
          <w:sz w:val="22"/>
          <w:szCs w:val="22"/>
          <w:lang w:val="en-US"/>
        </w:rPr>
        <w:t>mJ</w:t>
      </w:r>
      <w:proofErr w:type="spellEnd"/>
      <w:r w:rsidR="000F05F8" w:rsidRPr="00E657A1">
        <w:rPr>
          <w:rFonts w:asciiTheme="minorHAnsi" w:eastAsia="MS PGothic" w:hAnsiTheme="minorHAnsi"/>
          <w:color w:val="000000"/>
          <w:sz w:val="22"/>
          <w:szCs w:val="22"/>
          <w:lang w:val="en-US"/>
        </w:rPr>
        <w:t>/m</w:t>
      </w:r>
      <w:r w:rsidR="000F05F8" w:rsidRPr="00E657A1">
        <w:rPr>
          <w:rFonts w:asciiTheme="minorHAnsi" w:eastAsia="MS PGothic" w:hAnsiTheme="minorHAnsi"/>
          <w:color w:val="000000"/>
          <w:sz w:val="22"/>
          <w:szCs w:val="22"/>
          <w:vertAlign w:val="superscript"/>
          <w:lang w:val="en-US"/>
        </w:rPr>
        <w:t>2</w:t>
      </w:r>
      <w:r w:rsidR="000F05F8" w:rsidRPr="00E657A1">
        <w:rPr>
          <w:rFonts w:asciiTheme="minorHAnsi" w:eastAsia="MS PGothic" w:hAnsiTheme="minorHAnsi"/>
          <w:color w:val="000000"/>
          <w:sz w:val="22"/>
          <w:szCs w:val="22"/>
          <w:lang w:val="en-US"/>
        </w:rPr>
        <w:t xml:space="preserve"> and 6.66</w:t>
      </w:r>
      <w:r w:rsidR="000F05F8" w:rsidRPr="00E657A1">
        <w:rPr>
          <w:rFonts w:ascii="微软雅黑" w:eastAsia="微软雅黑" w:hAnsi="微软雅黑" w:cs="微软雅黑" w:hint="eastAsia"/>
          <w:color w:val="000000"/>
          <w:sz w:val="22"/>
          <w:szCs w:val="22"/>
          <w:lang w:val="en-US"/>
        </w:rPr>
        <w:t>‧</w:t>
      </w:r>
      <w:r w:rsidR="000F05F8" w:rsidRPr="00E657A1">
        <w:rPr>
          <w:rFonts w:asciiTheme="minorHAnsi" w:eastAsia="MS PGothic" w:hAnsiTheme="minorHAnsi"/>
          <w:color w:val="000000"/>
          <w:sz w:val="22"/>
          <w:szCs w:val="22"/>
          <w:lang w:val="en-US"/>
        </w:rPr>
        <w:t>10</w:t>
      </w:r>
      <w:r w:rsidR="000F05F8" w:rsidRPr="00E657A1">
        <w:rPr>
          <w:rFonts w:asciiTheme="minorHAnsi" w:eastAsia="MS PGothic" w:hAnsiTheme="minorHAnsi"/>
          <w:color w:val="000000"/>
          <w:sz w:val="22"/>
          <w:szCs w:val="22"/>
          <w:vertAlign w:val="superscript"/>
          <w:lang w:val="en-US"/>
        </w:rPr>
        <w:noBreakHyphen/>
        <w:t>9</w:t>
      </w:r>
      <w:r w:rsidR="000F05F8" w:rsidRPr="00E657A1">
        <w:rPr>
          <w:rFonts w:asciiTheme="minorHAnsi" w:eastAsia="MS PGothic" w:hAnsiTheme="minorHAnsi"/>
          <w:color w:val="000000"/>
          <w:sz w:val="22"/>
          <w:szCs w:val="22"/>
          <w:lang w:val="en-US"/>
        </w:rPr>
        <w:t>-6.52</w:t>
      </w:r>
      <w:r w:rsidR="000F05F8" w:rsidRPr="00E657A1">
        <w:rPr>
          <w:rFonts w:ascii="微软雅黑" w:eastAsia="微软雅黑" w:hAnsi="微软雅黑" w:cs="微软雅黑" w:hint="eastAsia"/>
          <w:color w:val="000000"/>
          <w:sz w:val="22"/>
          <w:szCs w:val="22"/>
          <w:lang w:val="en-US"/>
        </w:rPr>
        <w:t>‧</w:t>
      </w:r>
      <w:r w:rsidR="000F05F8" w:rsidRPr="00E657A1">
        <w:rPr>
          <w:rFonts w:asciiTheme="minorHAnsi" w:eastAsia="MS PGothic" w:hAnsiTheme="minorHAnsi"/>
          <w:color w:val="000000"/>
          <w:sz w:val="22"/>
          <w:szCs w:val="22"/>
          <w:lang w:val="en-US"/>
        </w:rPr>
        <w:t>10</w:t>
      </w:r>
      <w:r w:rsidR="00C20F7A">
        <w:rPr>
          <w:rFonts w:asciiTheme="minorHAnsi" w:eastAsia="MS PGothic" w:hAnsiTheme="minorHAnsi"/>
          <w:color w:val="000000"/>
          <w:sz w:val="22"/>
          <w:szCs w:val="22"/>
          <w:vertAlign w:val="superscript"/>
          <w:lang w:val="en-US"/>
        </w:rPr>
        <w:noBreakHyphen/>
        <w:t>8</w:t>
      </w:r>
      <w:r w:rsidR="000F05F8" w:rsidRPr="00E657A1">
        <w:rPr>
          <w:rFonts w:asciiTheme="minorHAnsi" w:eastAsia="MS PGothic" w:hAnsiTheme="minorHAnsi"/>
          <w:color w:val="000000"/>
          <w:sz w:val="22"/>
          <w:szCs w:val="22"/>
          <w:vertAlign w:val="superscript"/>
          <w:lang w:val="en-US"/>
        </w:rPr>
        <w:t xml:space="preserve"> </w:t>
      </w:r>
      <w:r w:rsidR="000F05F8" w:rsidRPr="00E657A1">
        <w:rPr>
          <w:rFonts w:asciiTheme="minorHAnsi" w:eastAsia="MS PGothic" w:hAnsiTheme="minorHAnsi"/>
          <w:color w:val="000000"/>
          <w:sz w:val="22"/>
          <w:szCs w:val="22"/>
          <w:lang w:val="en-US"/>
        </w:rPr>
        <w:t xml:space="preserve">m, respectively. </w:t>
      </w:r>
      <w:proofErr w:type="spellStart"/>
      <w:r w:rsidR="000F05F8" w:rsidRPr="00E657A1">
        <w:rPr>
          <w:rFonts w:asciiTheme="minorHAnsi" w:eastAsia="MS PGothic" w:hAnsiTheme="minorHAnsi"/>
          <w:color w:val="000000"/>
          <w:sz w:val="22"/>
          <w:szCs w:val="22"/>
          <w:lang w:val="en-US"/>
        </w:rPr>
        <w:t>γ</w:t>
      </w:r>
      <w:r w:rsidR="000F05F8" w:rsidRPr="00E657A1">
        <w:rPr>
          <w:rFonts w:asciiTheme="minorHAnsi" w:eastAsia="MS PGothic" w:hAnsiTheme="minorHAnsi"/>
          <w:color w:val="000000"/>
          <w:sz w:val="22"/>
          <w:szCs w:val="22"/>
          <w:vertAlign w:val="subscript"/>
          <w:lang w:val="en-US"/>
        </w:rPr>
        <w:t>sl</w:t>
      </w:r>
      <w:proofErr w:type="spellEnd"/>
      <w:r w:rsidR="000F05F8" w:rsidRPr="00E657A1">
        <w:rPr>
          <w:rFonts w:asciiTheme="minorHAnsi" w:eastAsia="MS PGothic" w:hAnsiTheme="minorHAnsi"/>
          <w:color w:val="000000"/>
          <w:sz w:val="22"/>
          <w:szCs w:val="22"/>
          <w:lang w:val="en-US"/>
        </w:rPr>
        <w:t xml:space="preserve"> values are comparable to those determined by nucleation experiments</w:t>
      </w:r>
      <w:r w:rsidR="00E657A1" w:rsidRPr="00E657A1">
        <w:rPr>
          <w:rFonts w:asciiTheme="minorHAnsi" w:eastAsia="MS PGothic" w:hAnsiTheme="minorHAnsi"/>
          <w:color w:val="000000"/>
          <w:sz w:val="22"/>
          <w:szCs w:val="22"/>
          <w:lang w:val="en-US"/>
        </w:rPr>
        <w:t xml:space="preserve"> </w:t>
      </w:r>
      <w:r w:rsidR="000F05F8" w:rsidRPr="00E657A1">
        <w:rPr>
          <w:rFonts w:asciiTheme="minorHAnsi" w:hAnsiTheme="minorHAnsi"/>
          <w:sz w:val="22"/>
          <w:szCs w:val="22"/>
        </w:rPr>
        <w:fldChar w:fldCharType="begin" w:fldLock="1"/>
      </w:r>
      <w:r w:rsidR="00BB2136">
        <w:rPr>
          <w:rFonts w:asciiTheme="minorHAnsi" w:hAnsiTheme="minorHAnsi"/>
          <w:sz w:val="22"/>
          <w:szCs w:val="22"/>
          <w:lang w:val="en-IE"/>
        </w:rPr>
        <w:instrText>ADDIN CSL_CITATION {"citationItems":[{"id":"ITEM-1","itemData":{"DOI":"10.1021/acs.cgd.8b01302","abstract":"The crystallization of seven active pharmaceutical ingredients (APIs) (acetaminophen (AAP), carbamaze-pine (CBMZ), caffeine (CAF), phenylbutazone (PBZ), risperidone (RIS), clozapine base (CPB), and fenofibrate (FF)) was studied in the absence and presence of micro-crystalline cellulose (MCC) which acted as a heterosurface. Two of the active pharmaceutical ingredients (APIs), namely, AAP and CBMZ, possess hydrogen bond donor (HBD) and hydrogen bond acceptor (HBA) functionalities, whereas the other five possess HBA functionality only. Density functional theory (DFT) and molecular dynamics calculations complemented the experimental study. The smallest nucleation rate enhancement was observed for CBMZ at 1.4 times, and the largest was observed for FF at 16 times. For all the APIs studied, the interfacial energy was similar for crystallizations performed in the presence and absence of the heterosurface. By contrast, the pre-exponential factor was larger by a factor of ca. 2 and more for crystallizations carried out in the presence of the heterosurface. Arising from this study, a model of heterogeneous crystallization was developed wherein two influencing factors were identified. The first involves the issue of hydrogen bond complementarity between heterosurface and API. Hence, a HBD rich heterosurface will provide a hydrogen-bond mediated option for API cluster formation that would otherwise not be specifically available in solution to APIs possessing HBAs only. The second factor identified is that the lifetime of the hydrogen bond made by an individual API molecule or small API cluster with the heterosurface is up to 1000 times longer than (i) the lifetime of API−API interactions in a solution phase, or (ii) the time required for an API molecule to add to a growing crystal. This lifetime effect arises from the greater stability of an adsorbed species, and this extended lifetime increases the probability that other molecules or small clusters of the API in solution will add to the already adsorbed or attached species, thus encouraging the heterogeneous route to crystallization.","author":[{"dropping-particle":"","family":"Verma","given":"Vivek","non-dropping-particle":"","parse-names":false,"suffix":""},{"dropping-particle":"","family":"Zeglinski","given":"Jacek","non-dropping-particle":"","parse-names":false,"suffix":""},{"dropping-particle":"","family":"Hudson","given":"Sarah","non-dropping-particle":"","parse-names":false,"suffix":""},{"dropping-particle":"","family":"Davern","given":"Peter","non-dropping-particle":"","parse-names":false,"suffix":""},{"dropping-particle":"","family":"Hodnett","given":"Benjamin K","non-dropping-particle":"","parse-names":false,"suffix":""}],"id":"ITEM-1","issued":{"date-parts":[["0"]]},"title":"Dependence of Heterogeneous Nucleation on Hydrogen Bonding Lifetime and Complementarity","type":"article-journal"},"uris":["http://www.mendeley.com/documents/?uuid=eaadc8c5-4c73-3cf2-b477-5f21ce64cbde"]}],"mendeley":{"formattedCitation":"[3]","plainTextFormattedCitation":"[3]","previouslyFormattedCitation":"[3]"},"properties":{"noteIndex":0},"schema":"https://github.com/citation-style-language/schema/raw/master/csl-citation.json"}</w:instrText>
      </w:r>
      <w:r w:rsidR="000F05F8" w:rsidRPr="00E657A1">
        <w:rPr>
          <w:rFonts w:asciiTheme="minorHAnsi" w:hAnsiTheme="minorHAnsi"/>
          <w:sz w:val="22"/>
          <w:szCs w:val="22"/>
        </w:rPr>
        <w:fldChar w:fldCharType="separate"/>
      </w:r>
      <w:r w:rsidR="00E657A1" w:rsidRPr="00E657A1">
        <w:rPr>
          <w:rFonts w:asciiTheme="minorHAnsi" w:hAnsiTheme="minorHAnsi"/>
          <w:noProof/>
          <w:sz w:val="22"/>
          <w:szCs w:val="22"/>
          <w:lang w:val="en-IE"/>
        </w:rPr>
        <w:t>[3]</w:t>
      </w:r>
      <w:r w:rsidR="000F05F8" w:rsidRPr="00E657A1">
        <w:rPr>
          <w:rFonts w:asciiTheme="minorHAnsi" w:hAnsiTheme="minorHAnsi"/>
          <w:sz w:val="22"/>
          <w:szCs w:val="22"/>
        </w:rPr>
        <w:fldChar w:fldCharType="end"/>
      </w:r>
      <w:r w:rsidRPr="00E657A1">
        <w:rPr>
          <w:rFonts w:asciiTheme="minorHAnsi" w:eastAsia="MS PGothic" w:hAnsiTheme="minorHAnsi"/>
          <w:color w:val="000000"/>
          <w:sz w:val="22"/>
          <w:szCs w:val="22"/>
          <w:lang w:val="en-US"/>
        </w:rPr>
        <w:t xml:space="preserve"> but do not follow the relative growth order mentioned</w:t>
      </w:r>
      <w:r w:rsidR="009208F3">
        <w:rPr>
          <w:rFonts w:asciiTheme="minorHAnsi" w:eastAsia="MS PGothic" w:hAnsiTheme="minorHAnsi"/>
          <w:color w:val="000000"/>
          <w:sz w:val="22"/>
          <w:szCs w:val="22"/>
          <w:lang w:val="en-US"/>
        </w:rPr>
        <w:t>,</w:t>
      </w:r>
      <w:r w:rsidRPr="00E657A1">
        <w:rPr>
          <w:rFonts w:asciiTheme="minorHAnsi" w:eastAsia="MS PGothic" w:hAnsiTheme="minorHAnsi"/>
          <w:color w:val="000000"/>
          <w:sz w:val="22"/>
          <w:szCs w:val="22"/>
          <w:lang w:val="en-US"/>
        </w:rPr>
        <w:t xml:space="preserve"> suggesting that there are more factors at play. Interesting and coherent correlations between growth rates, solubility, molecular volume, mass transfer coefficients and </w:t>
      </w:r>
      <w:r w:rsidR="009208F3">
        <w:rPr>
          <w:rFonts w:asciiTheme="minorHAnsi" w:eastAsia="MS PGothic" w:hAnsiTheme="minorHAnsi"/>
          <w:color w:val="000000"/>
          <w:sz w:val="22"/>
          <w:szCs w:val="22"/>
          <w:lang w:val="en-US"/>
        </w:rPr>
        <w:t xml:space="preserve">crystal </w:t>
      </w:r>
      <w:r w:rsidRPr="00E657A1">
        <w:rPr>
          <w:rFonts w:asciiTheme="minorHAnsi" w:eastAsia="MS PGothic" w:hAnsiTheme="minorHAnsi"/>
          <w:color w:val="000000"/>
          <w:sz w:val="22"/>
          <w:szCs w:val="22"/>
          <w:lang w:val="en-US"/>
        </w:rPr>
        <w:t xml:space="preserve">lattice energies </w:t>
      </w:r>
      <w:proofErr w:type="gramStart"/>
      <w:r w:rsidRPr="00E657A1">
        <w:rPr>
          <w:rFonts w:asciiTheme="minorHAnsi" w:eastAsia="MS PGothic" w:hAnsiTheme="minorHAnsi"/>
          <w:color w:val="000000"/>
          <w:sz w:val="22"/>
          <w:szCs w:val="22"/>
          <w:lang w:val="en-US"/>
        </w:rPr>
        <w:t>have been found</w:t>
      </w:r>
      <w:proofErr w:type="gramEnd"/>
      <w:r w:rsidR="009208F3">
        <w:rPr>
          <w:rFonts w:asciiTheme="minorHAnsi" w:eastAsia="MS PGothic" w:hAnsiTheme="minorHAnsi"/>
          <w:color w:val="000000"/>
          <w:sz w:val="22"/>
          <w:szCs w:val="22"/>
          <w:lang w:val="en-US"/>
        </w:rPr>
        <w:t>,</w:t>
      </w:r>
      <w:r w:rsidRPr="00E657A1">
        <w:rPr>
          <w:rFonts w:asciiTheme="minorHAnsi" w:eastAsia="MS PGothic" w:hAnsiTheme="minorHAnsi"/>
          <w:color w:val="000000"/>
          <w:sz w:val="22"/>
          <w:szCs w:val="22"/>
          <w:lang w:val="en-US"/>
        </w:rPr>
        <w:t xml:space="preserve"> which </w:t>
      </w:r>
      <w:r w:rsidR="00BC6F43" w:rsidRPr="00E657A1">
        <w:rPr>
          <w:rFonts w:asciiTheme="minorHAnsi" w:eastAsia="MS PGothic" w:hAnsiTheme="minorHAnsi"/>
          <w:color w:val="000000"/>
          <w:sz w:val="22"/>
          <w:szCs w:val="22"/>
          <w:lang w:val="en-US"/>
        </w:rPr>
        <w:t xml:space="preserve">allows for rationalizing the crystal growth </w:t>
      </w:r>
      <w:r w:rsidR="009208F3">
        <w:rPr>
          <w:rFonts w:asciiTheme="minorHAnsi" w:eastAsia="MS PGothic" w:hAnsiTheme="minorHAnsi"/>
          <w:color w:val="000000"/>
          <w:sz w:val="22"/>
          <w:szCs w:val="22"/>
          <w:lang w:val="en-US"/>
        </w:rPr>
        <w:t>kinetic</w:t>
      </w:r>
      <w:r w:rsidR="00BC6F43" w:rsidRPr="00E657A1">
        <w:rPr>
          <w:rFonts w:asciiTheme="minorHAnsi" w:eastAsia="MS PGothic" w:hAnsiTheme="minorHAnsi"/>
          <w:color w:val="000000"/>
          <w:sz w:val="22"/>
          <w:szCs w:val="22"/>
          <w:lang w:val="en-US"/>
        </w:rPr>
        <w:t xml:space="preserve"> behavior observed. </w:t>
      </w:r>
      <w:r w:rsidRPr="00E657A1">
        <w:rPr>
          <w:rFonts w:asciiTheme="minorHAnsi" w:eastAsia="MS PGothic" w:hAnsiTheme="minorHAnsi"/>
          <w:color w:val="000000"/>
          <w:sz w:val="22"/>
          <w:szCs w:val="22"/>
          <w:lang w:val="en-US"/>
        </w:rPr>
        <w:t xml:space="preserve">  </w:t>
      </w:r>
    </w:p>
    <w:p w:rsidR="00127B05" w:rsidRPr="008D0BEB" w:rsidRDefault="00127B05" w:rsidP="00704BDF">
      <w:pPr>
        <w:snapToGrid w:val="0"/>
        <w:spacing w:after="120"/>
        <w:rPr>
          <w:rFonts w:asciiTheme="minorHAnsi" w:eastAsia="MS PGothic" w:hAnsiTheme="minorHAnsi"/>
          <w:color w:val="000000"/>
          <w:sz w:val="22"/>
          <w:szCs w:val="22"/>
        </w:rPr>
      </w:pPr>
      <w:r w:rsidRPr="003F260F">
        <w:rPr>
          <w:noProof/>
          <w:lang w:val="en-IE" w:eastAsia="zh-CN"/>
        </w:rPr>
        <w:drawing>
          <wp:inline distT="0" distB="0" distL="0" distR="0" wp14:anchorId="77EFE6F3" wp14:editId="497BFF00">
            <wp:extent cx="2742600" cy="1890215"/>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r="66179" b="49779"/>
                    <a:stretch/>
                  </pic:blipFill>
                  <pic:spPr bwMode="auto">
                    <a:xfrm>
                      <a:off x="0" y="0"/>
                      <a:ext cx="2765018" cy="1905666"/>
                    </a:xfrm>
                    <a:prstGeom prst="rect">
                      <a:avLst/>
                    </a:prstGeom>
                    <a:noFill/>
                    <a:ln>
                      <a:noFill/>
                    </a:ln>
                    <a:extLst>
                      <a:ext uri="{53640926-AAD7-44D8-BBD7-CCE9431645EC}">
                        <a14:shadowObscured xmlns:a14="http://schemas.microsoft.com/office/drawing/2010/main"/>
                      </a:ext>
                    </a:extLst>
                  </pic:spPr>
                </pic:pic>
              </a:graphicData>
            </a:graphic>
          </wp:inline>
        </w:drawing>
      </w:r>
      <w:r w:rsidRPr="00127B05">
        <w:rPr>
          <w:rFonts w:eastAsia="MS PGothic"/>
          <w:noProof/>
          <w:lang w:val="en-IE" w:eastAsia="zh-CN"/>
        </w:rPr>
        <w:drawing>
          <wp:inline distT="0" distB="0" distL="0" distR="0">
            <wp:extent cx="2708874" cy="18840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1776" cy="1906963"/>
                    </a:xfrm>
                    <a:prstGeom prst="rect">
                      <a:avLst/>
                    </a:prstGeom>
                    <a:noFill/>
                    <a:ln>
                      <a:noFill/>
                    </a:ln>
                  </pic:spPr>
                </pic:pic>
              </a:graphicData>
            </a:graphic>
          </wp:inline>
        </w:drawing>
      </w:r>
    </w:p>
    <w:p w:rsidR="00704BDF" w:rsidRPr="00DE0019" w:rsidRDefault="00704BDF" w:rsidP="00704BDF">
      <w:pPr>
        <w:snapToGrid w:val="0"/>
        <w:spacing w:after="120"/>
        <w:jc w:val="center"/>
        <w:rPr>
          <w:rFonts w:asciiTheme="minorHAnsi" w:eastAsia="MS PGothic" w:hAnsiTheme="minorHAnsi"/>
          <w:color w:val="000000"/>
          <w:szCs w:val="18"/>
          <w:lang w:val="en-US"/>
        </w:rPr>
      </w:pPr>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r w:rsidR="00BC6F43">
        <w:rPr>
          <w:rFonts w:asciiTheme="minorHAnsi" w:hAnsiTheme="minorHAnsi"/>
          <w:lang w:val="en-US"/>
        </w:rPr>
        <w:t xml:space="preserve">(a) </w:t>
      </w:r>
      <w:r w:rsidR="00BC6F43">
        <w:rPr>
          <w:rFonts w:asciiTheme="minorHAnsi" w:eastAsia="MS PGothic" w:hAnsiTheme="minorHAnsi"/>
          <w:color w:val="000000"/>
          <w:szCs w:val="18"/>
          <w:lang w:val="en-US"/>
        </w:rPr>
        <w:t>Example of the fitting provided by power law equation for AAP experiments at dif</w:t>
      </w:r>
      <w:r w:rsidR="009208F3">
        <w:rPr>
          <w:rFonts w:asciiTheme="minorHAnsi" w:eastAsia="MS PGothic" w:hAnsiTheme="minorHAnsi"/>
          <w:color w:val="000000"/>
          <w:szCs w:val="18"/>
          <w:lang w:val="en-US"/>
        </w:rPr>
        <w:t>f</w:t>
      </w:r>
      <w:r w:rsidR="00BC6F43">
        <w:rPr>
          <w:rFonts w:asciiTheme="minorHAnsi" w:eastAsia="MS PGothic" w:hAnsiTheme="minorHAnsi"/>
          <w:color w:val="000000"/>
          <w:szCs w:val="18"/>
          <w:lang w:val="en-US"/>
        </w:rPr>
        <w:t>erent temperatures. (b)</w:t>
      </w:r>
      <w:r w:rsidR="009208F3">
        <w:rPr>
          <w:rFonts w:asciiTheme="minorHAnsi" w:eastAsia="MS PGothic" w:hAnsiTheme="minorHAnsi"/>
          <w:color w:val="000000"/>
          <w:szCs w:val="18"/>
          <w:lang w:val="en-US"/>
        </w:rPr>
        <w:t> </w:t>
      </w:r>
      <w:r w:rsidR="00BC6F43">
        <w:rPr>
          <w:rFonts w:asciiTheme="minorHAnsi" w:eastAsia="MS PGothic" w:hAnsiTheme="minorHAnsi"/>
          <w:color w:val="000000"/>
          <w:szCs w:val="18"/>
          <w:lang w:val="en-US"/>
        </w:rPr>
        <w:t>Comparison of growth rates obtained at 298 K for the different API studied.</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704BDF" w:rsidRPr="008D0BEB" w:rsidRDefault="00BC6F43"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The power law equation and the BCF model provided the best fit to the experimental </w:t>
      </w:r>
      <w:bookmarkStart w:id="0" w:name="_GoBack"/>
      <w:bookmarkEnd w:id="0"/>
      <w:r>
        <w:rPr>
          <w:rFonts w:asciiTheme="minorHAnsi" w:eastAsia="MS PGothic" w:hAnsiTheme="minorHAnsi"/>
          <w:color w:val="000000"/>
          <w:sz w:val="22"/>
          <w:szCs w:val="22"/>
          <w:lang w:val="en-US"/>
        </w:rPr>
        <w:t xml:space="preserve">desupersaturation data for the six </w:t>
      </w:r>
      <w:proofErr w:type="gramStart"/>
      <w:r>
        <w:rPr>
          <w:rFonts w:asciiTheme="minorHAnsi" w:eastAsia="MS PGothic" w:hAnsiTheme="minorHAnsi"/>
          <w:color w:val="000000"/>
          <w:sz w:val="22"/>
          <w:szCs w:val="22"/>
          <w:lang w:val="en-US"/>
        </w:rPr>
        <w:t>API’s</w:t>
      </w:r>
      <w:proofErr w:type="gramEnd"/>
      <w:r>
        <w:rPr>
          <w:rFonts w:asciiTheme="minorHAnsi" w:eastAsia="MS PGothic" w:hAnsiTheme="minorHAnsi"/>
          <w:color w:val="000000"/>
          <w:sz w:val="22"/>
          <w:szCs w:val="22"/>
          <w:lang w:val="en-US"/>
        </w:rPr>
        <w:t xml:space="preserve"> studied in methanol. The crystal growth rates decreased in the order </w:t>
      </w:r>
      <w:r w:rsidR="00BA066E">
        <w:rPr>
          <w:rFonts w:asciiTheme="minorHAnsi" w:eastAsia="MS PGothic" w:hAnsiTheme="minorHAnsi"/>
          <w:color w:val="000000"/>
          <w:sz w:val="22"/>
          <w:szCs w:val="22"/>
          <w:lang w:val="en-US"/>
        </w:rPr>
        <w:t>PCM&gt;FF&gt;AAP&gt;</w:t>
      </w:r>
      <w:r w:rsidRPr="000F05F8">
        <w:rPr>
          <w:rFonts w:asciiTheme="minorHAnsi" w:eastAsia="MS PGothic" w:hAnsiTheme="minorHAnsi"/>
          <w:color w:val="000000"/>
          <w:sz w:val="22"/>
          <w:szCs w:val="22"/>
          <w:lang w:val="en-US"/>
        </w:rPr>
        <w:t>P</w:t>
      </w:r>
      <w:r w:rsidR="00BA066E">
        <w:rPr>
          <w:rFonts w:asciiTheme="minorHAnsi" w:eastAsia="MS PGothic" w:hAnsiTheme="minorHAnsi"/>
          <w:color w:val="000000"/>
          <w:sz w:val="22"/>
          <w:szCs w:val="22"/>
          <w:lang w:val="en-US"/>
        </w:rPr>
        <w:t>BZ&gt;RIS&gt;</w:t>
      </w:r>
      <w:r w:rsidRPr="000F05F8">
        <w:rPr>
          <w:rFonts w:asciiTheme="minorHAnsi" w:eastAsia="MS PGothic" w:hAnsiTheme="minorHAnsi"/>
          <w:color w:val="000000"/>
          <w:sz w:val="22"/>
          <w:szCs w:val="22"/>
          <w:lang w:val="en-US"/>
        </w:rPr>
        <w:t>CBMZ</w:t>
      </w:r>
      <w:r>
        <w:rPr>
          <w:rFonts w:asciiTheme="minorHAnsi" w:eastAsia="MS PGothic" w:hAnsiTheme="minorHAnsi"/>
          <w:color w:val="000000"/>
          <w:sz w:val="22"/>
          <w:szCs w:val="22"/>
          <w:lang w:val="en-US"/>
        </w:rPr>
        <w:t xml:space="preserve">, which can be </w:t>
      </w:r>
      <w:r w:rsidR="00BA066E">
        <w:rPr>
          <w:rFonts w:asciiTheme="minorHAnsi" w:eastAsia="MS PGothic" w:hAnsiTheme="minorHAnsi"/>
          <w:color w:val="000000"/>
          <w:sz w:val="22"/>
          <w:szCs w:val="22"/>
          <w:lang w:val="en-US"/>
        </w:rPr>
        <w:t>cor</w:t>
      </w:r>
      <w:r>
        <w:rPr>
          <w:rFonts w:asciiTheme="minorHAnsi" w:eastAsia="MS PGothic" w:hAnsiTheme="minorHAnsi"/>
          <w:color w:val="000000"/>
          <w:sz w:val="22"/>
          <w:szCs w:val="22"/>
          <w:lang w:val="en-US"/>
        </w:rPr>
        <w:t xml:space="preserve">related to </w:t>
      </w:r>
      <w:r w:rsidR="00BA066E">
        <w:rPr>
          <w:rFonts w:asciiTheme="minorHAnsi" w:eastAsia="MS PGothic" w:hAnsiTheme="minorHAnsi"/>
          <w:color w:val="000000"/>
          <w:sz w:val="22"/>
          <w:szCs w:val="22"/>
          <w:lang w:val="en-US"/>
        </w:rPr>
        <w:t xml:space="preserve">fundamental </w:t>
      </w:r>
      <w:r>
        <w:rPr>
          <w:rFonts w:asciiTheme="minorHAnsi" w:eastAsia="MS PGothic" w:hAnsiTheme="minorHAnsi"/>
          <w:color w:val="000000"/>
          <w:sz w:val="22"/>
          <w:szCs w:val="22"/>
          <w:lang w:val="en-US"/>
        </w:rPr>
        <w:t xml:space="preserve">physicochemical properties as solubility, mass transfer coefficients, molecular volume and </w:t>
      </w:r>
      <w:r w:rsidR="00BA066E">
        <w:rPr>
          <w:rFonts w:asciiTheme="minorHAnsi" w:eastAsia="MS PGothic" w:hAnsiTheme="minorHAnsi"/>
          <w:color w:val="000000"/>
          <w:sz w:val="22"/>
          <w:szCs w:val="22"/>
          <w:lang w:val="en-US"/>
        </w:rPr>
        <w:t xml:space="preserve">crystal </w:t>
      </w:r>
      <w:r>
        <w:rPr>
          <w:rFonts w:asciiTheme="minorHAnsi" w:eastAsia="MS PGothic" w:hAnsiTheme="minorHAnsi"/>
          <w:color w:val="000000"/>
          <w:sz w:val="22"/>
          <w:szCs w:val="22"/>
          <w:lang w:val="en-US"/>
        </w:rPr>
        <w:t xml:space="preserve">lattice energies. </w:t>
      </w:r>
    </w:p>
    <w:p w:rsidR="00704BDF" w:rsidRPr="008D0BEB" w:rsidRDefault="00704BDF" w:rsidP="00704BDF">
      <w:pPr>
        <w:snapToGrid w:val="0"/>
        <w:spacing w:before="240" w:line="300" w:lineRule="auto"/>
        <w:rPr>
          <w:rFonts w:asciiTheme="minorHAnsi" w:eastAsia="宋体" w:hAnsiTheme="minorHAnsi"/>
          <w:b/>
          <w:bCs/>
          <w:color w:val="000000"/>
          <w:sz w:val="20"/>
          <w:lang w:val="en-US" w:eastAsia="zh-CN"/>
        </w:rPr>
      </w:pPr>
      <w:r w:rsidRPr="008D0BEB">
        <w:rPr>
          <w:rFonts w:asciiTheme="minorHAnsi" w:eastAsia="MS PGothic" w:hAnsiTheme="minorHAnsi"/>
          <w:b/>
          <w:bCs/>
          <w:color w:val="000000"/>
          <w:sz w:val="20"/>
          <w:lang w:val="en-US"/>
        </w:rPr>
        <w:t xml:space="preserve">References </w:t>
      </w:r>
      <w:r w:rsidR="008D0BEB">
        <w:rPr>
          <w:rFonts w:asciiTheme="minorHAnsi" w:eastAsia="MS PGothic" w:hAnsiTheme="minorHAnsi"/>
          <w:b/>
          <w:bCs/>
          <w:color w:val="000000"/>
          <w:sz w:val="20"/>
          <w:lang w:val="en-US"/>
        </w:rPr>
        <w:t xml:space="preserve"> </w:t>
      </w:r>
    </w:p>
    <w:p w:rsidR="00BB2136" w:rsidRPr="00F30E86" w:rsidRDefault="00E657A1" w:rsidP="00BB2136">
      <w:pPr>
        <w:widowControl w:val="0"/>
        <w:autoSpaceDE w:val="0"/>
        <w:autoSpaceDN w:val="0"/>
        <w:adjustRightInd w:val="0"/>
        <w:spacing w:line="240" w:lineRule="auto"/>
        <w:ind w:left="426" w:hanging="426"/>
        <w:rPr>
          <w:rFonts w:asciiTheme="minorHAnsi" w:hAnsiTheme="minorHAnsi"/>
          <w:noProof/>
          <w:sz w:val="20"/>
        </w:rPr>
      </w:pPr>
      <w:r w:rsidRPr="00F30E86">
        <w:rPr>
          <w:rFonts w:asciiTheme="minorHAnsi" w:eastAsia="宋体" w:hAnsiTheme="minorHAnsi"/>
          <w:sz w:val="20"/>
          <w:lang w:eastAsia="zh-CN"/>
        </w:rPr>
        <w:fldChar w:fldCharType="begin" w:fldLock="1"/>
      </w:r>
      <w:r w:rsidRPr="00F30E86">
        <w:rPr>
          <w:rFonts w:asciiTheme="minorHAnsi" w:eastAsia="宋体" w:hAnsiTheme="minorHAnsi"/>
          <w:sz w:val="20"/>
          <w:lang w:eastAsia="zh-CN"/>
        </w:rPr>
        <w:instrText xml:space="preserve">ADDIN Mendeley Bibliography CSL_BIBLIOGRAPHY </w:instrText>
      </w:r>
      <w:r w:rsidRPr="00F30E86">
        <w:rPr>
          <w:rFonts w:asciiTheme="minorHAnsi" w:eastAsia="宋体" w:hAnsiTheme="minorHAnsi"/>
          <w:sz w:val="20"/>
          <w:lang w:eastAsia="zh-CN"/>
        </w:rPr>
        <w:fldChar w:fldCharType="separate"/>
      </w:r>
      <w:r w:rsidR="00BB2136" w:rsidRPr="00F30E86">
        <w:rPr>
          <w:rFonts w:asciiTheme="minorHAnsi" w:hAnsiTheme="minorHAnsi"/>
          <w:noProof/>
        </w:rPr>
        <w:t>[1]</w:t>
      </w:r>
      <w:r w:rsidR="00BB2136" w:rsidRPr="00F30E86">
        <w:rPr>
          <w:rFonts w:asciiTheme="minorHAnsi" w:hAnsiTheme="minorHAnsi"/>
          <w:noProof/>
          <w:sz w:val="20"/>
        </w:rPr>
        <w:tab/>
        <w:t xml:space="preserve">W. Du, A. J. Cruz-Cabeza, S. Woutersen, R. J. Davey, and Q. Yin, </w:t>
      </w:r>
      <w:r w:rsidR="00BB2136" w:rsidRPr="00F30E86">
        <w:rPr>
          <w:rFonts w:asciiTheme="minorHAnsi" w:hAnsiTheme="minorHAnsi"/>
          <w:iCs/>
          <w:noProof/>
          <w:sz w:val="20"/>
        </w:rPr>
        <w:t>Chem. Sci.</w:t>
      </w:r>
      <w:r w:rsidR="00BB2136" w:rsidRPr="00F30E86">
        <w:rPr>
          <w:rFonts w:asciiTheme="minorHAnsi" w:hAnsiTheme="minorHAnsi"/>
          <w:noProof/>
          <w:sz w:val="20"/>
        </w:rPr>
        <w:t>, 6; 6 (2015) 3515–3524.</w:t>
      </w:r>
    </w:p>
    <w:p w:rsidR="00BB2136" w:rsidRPr="00F30E86" w:rsidRDefault="00BB2136" w:rsidP="00BB2136">
      <w:pPr>
        <w:widowControl w:val="0"/>
        <w:autoSpaceDE w:val="0"/>
        <w:autoSpaceDN w:val="0"/>
        <w:adjustRightInd w:val="0"/>
        <w:spacing w:line="240" w:lineRule="auto"/>
        <w:ind w:left="426" w:hanging="426"/>
        <w:rPr>
          <w:rFonts w:asciiTheme="minorHAnsi" w:hAnsiTheme="minorHAnsi"/>
          <w:noProof/>
          <w:sz w:val="20"/>
        </w:rPr>
      </w:pPr>
      <w:r w:rsidRPr="00F30E86">
        <w:rPr>
          <w:rFonts w:asciiTheme="minorHAnsi" w:hAnsiTheme="minorHAnsi"/>
          <w:noProof/>
        </w:rPr>
        <w:t>[2]</w:t>
      </w:r>
      <w:r w:rsidRPr="00F30E86">
        <w:rPr>
          <w:rFonts w:asciiTheme="minorHAnsi" w:hAnsiTheme="minorHAnsi"/>
          <w:noProof/>
          <w:sz w:val="20"/>
        </w:rPr>
        <w:tab/>
        <w:t xml:space="preserve">A. Mersmann, </w:t>
      </w:r>
      <w:r w:rsidRPr="00F30E86">
        <w:rPr>
          <w:rFonts w:asciiTheme="minorHAnsi" w:hAnsiTheme="minorHAnsi"/>
          <w:iCs/>
          <w:noProof/>
          <w:sz w:val="20"/>
        </w:rPr>
        <w:t>Crystallization technology handbook</w:t>
      </w:r>
      <w:r w:rsidRPr="00F30E86">
        <w:rPr>
          <w:rFonts w:asciiTheme="minorHAnsi" w:hAnsiTheme="minorHAnsi"/>
          <w:noProof/>
          <w:sz w:val="20"/>
        </w:rPr>
        <w:t>. 2</w:t>
      </w:r>
      <w:r w:rsidRPr="00F30E86">
        <w:rPr>
          <w:rFonts w:asciiTheme="minorHAnsi" w:hAnsiTheme="minorHAnsi"/>
          <w:noProof/>
          <w:sz w:val="20"/>
          <w:vertAlign w:val="superscript"/>
        </w:rPr>
        <w:t>nd</w:t>
      </w:r>
      <w:r w:rsidRPr="00F30E86">
        <w:rPr>
          <w:rFonts w:asciiTheme="minorHAnsi" w:hAnsiTheme="minorHAnsi"/>
          <w:noProof/>
          <w:sz w:val="20"/>
        </w:rPr>
        <w:t xml:space="preserve"> ed., Marcel Dekker, New York, 2001.</w:t>
      </w:r>
    </w:p>
    <w:p w:rsidR="00704BDF" w:rsidRPr="00704BDF" w:rsidRDefault="00BB2136" w:rsidP="00F30E86">
      <w:pPr>
        <w:widowControl w:val="0"/>
        <w:autoSpaceDE w:val="0"/>
        <w:autoSpaceDN w:val="0"/>
        <w:adjustRightInd w:val="0"/>
        <w:spacing w:line="240" w:lineRule="auto"/>
        <w:ind w:left="426" w:hanging="426"/>
        <w:rPr>
          <w:rFonts w:asciiTheme="minorHAnsi" w:eastAsia="宋体" w:hAnsiTheme="minorHAnsi"/>
          <w:sz w:val="22"/>
          <w:szCs w:val="22"/>
          <w:lang w:eastAsia="zh-CN"/>
        </w:rPr>
      </w:pPr>
      <w:r w:rsidRPr="00F30E86">
        <w:rPr>
          <w:rFonts w:asciiTheme="minorHAnsi" w:hAnsiTheme="minorHAnsi"/>
          <w:noProof/>
        </w:rPr>
        <w:t>[3]</w:t>
      </w:r>
      <w:r w:rsidRPr="00F30E86">
        <w:rPr>
          <w:rFonts w:asciiTheme="minorHAnsi" w:hAnsiTheme="minorHAnsi"/>
          <w:noProof/>
          <w:sz w:val="20"/>
        </w:rPr>
        <w:tab/>
      </w:r>
      <w:r w:rsidRPr="00F30E86">
        <w:rPr>
          <w:rFonts w:asciiTheme="minorHAnsi" w:hAnsiTheme="minorHAnsi"/>
          <w:noProof/>
          <w:spacing w:val="-4"/>
          <w:sz w:val="20"/>
        </w:rPr>
        <w:t xml:space="preserve">V. Verma, J. Zeglinski, S. Hudson, P. Davern, and B. K. Hodnett, </w:t>
      </w:r>
      <w:r w:rsidRPr="00F30E86">
        <w:rPr>
          <w:rStyle w:val="HTMLCite"/>
          <w:rFonts w:asciiTheme="minorHAnsi" w:hAnsiTheme="minorHAnsi"/>
          <w:i w:val="0"/>
          <w:color w:val="000000"/>
          <w:spacing w:val="-4"/>
          <w:sz w:val="20"/>
          <w:shd w:val="clear" w:color="auto" w:fill="FFFFFF"/>
        </w:rPr>
        <w:t>Cryst. Growth Des</w:t>
      </w:r>
      <w:r w:rsidRPr="00F30E86">
        <w:rPr>
          <w:rStyle w:val="HTMLCite"/>
          <w:rFonts w:asciiTheme="minorHAnsi" w:hAnsiTheme="minorHAnsi"/>
          <w:color w:val="000000"/>
          <w:spacing w:val="-4"/>
          <w:sz w:val="20"/>
          <w:shd w:val="clear" w:color="auto" w:fill="FFFFFF"/>
        </w:rPr>
        <w:t>.</w:t>
      </w:r>
      <w:r w:rsidRPr="00F30E86">
        <w:rPr>
          <w:rFonts w:asciiTheme="minorHAnsi" w:hAnsiTheme="minorHAnsi"/>
          <w:color w:val="000000"/>
          <w:spacing w:val="-4"/>
          <w:sz w:val="20"/>
          <w:shd w:val="clear" w:color="auto" w:fill="FFFFFF"/>
        </w:rPr>
        <w:t xml:space="preserve">, </w:t>
      </w:r>
      <w:r w:rsidRPr="00F30E86">
        <w:rPr>
          <w:rStyle w:val="citationvolume"/>
          <w:rFonts w:asciiTheme="minorHAnsi" w:hAnsiTheme="minorHAnsi"/>
          <w:iCs/>
          <w:color w:val="000000"/>
          <w:spacing w:val="-4"/>
          <w:sz w:val="20"/>
          <w:shd w:val="clear" w:color="auto" w:fill="FFFFFF"/>
        </w:rPr>
        <w:t>18</w:t>
      </w:r>
      <w:r w:rsidR="00F30E86">
        <w:rPr>
          <w:rFonts w:asciiTheme="minorHAnsi" w:hAnsiTheme="minorHAnsi"/>
          <w:color w:val="000000"/>
          <w:spacing w:val="-4"/>
          <w:sz w:val="20"/>
          <w:shd w:val="clear" w:color="auto" w:fill="FFFFFF"/>
        </w:rPr>
        <w:t>; 11</w:t>
      </w:r>
      <w:r w:rsidRPr="00F30E86">
        <w:rPr>
          <w:rFonts w:asciiTheme="minorHAnsi" w:hAnsiTheme="minorHAnsi"/>
          <w:color w:val="000000"/>
          <w:spacing w:val="-4"/>
          <w:sz w:val="20"/>
          <w:shd w:val="clear" w:color="auto" w:fill="FFFFFF"/>
        </w:rPr>
        <w:t> </w:t>
      </w:r>
      <w:r w:rsidR="00F30E86">
        <w:rPr>
          <w:rFonts w:asciiTheme="minorHAnsi" w:hAnsiTheme="minorHAnsi"/>
          <w:color w:val="000000"/>
          <w:spacing w:val="-4"/>
          <w:sz w:val="20"/>
          <w:shd w:val="clear" w:color="auto" w:fill="FFFFFF"/>
        </w:rPr>
        <w:t>(</w:t>
      </w:r>
      <w:r w:rsidRPr="00F30E86">
        <w:rPr>
          <w:rStyle w:val="citationyear"/>
          <w:rFonts w:asciiTheme="minorHAnsi" w:hAnsiTheme="minorHAnsi"/>
          <w:bCs/>
          <w:color w:val="000000"/>
          <w:spacing w:val="-4"/>
          <w:sz w:val="20"/>
          <w:shd w:val="clear" w:color="auto" w:fill="FFFFFF"/>
        </w:rPr>
        <w:t>2018</w:t>
      </w:r>
      <w:r w:rsidR="00F30E86">
        <w:rPr>
          <w:rStyle w:val="citationyear"/>
          <w:rFonts w:asciiTheme="minorHAnsi" w:hAnsiTheme="minorHAnsi"/>
          <w:bCs/>
          <w:color w:val="000000"/>
          <w:spacing w:val="-4"/>
          <w:sz w:val="20"/>
          <w:shd w:val="clear" w:color="auto" w:fill="FFFFFF"/>
        </w:rPr>
        <w:t>)</w:t>
      </w:r>
      <w:r w:rsidRPr="00F30E86">
        <w:rPr>
          <w:rFonts w:asciiTheme="minorHAnsi" w:hAnsiTheme="minorHAnsi"/>
          <w:color w:val="000000"/>
          <w:spacing w:val="-4"/>
          <w:sz w:val="20"/>
          <w:shd w:val="clear" w:color="auto" w:fill="FFFFFF"/>
        </w:rPr>
        <w:t>, 7158–7172.</w:t>
      </w:r>
      <w:r w:rsidR="00E657A1" w:rsidRPr="00F30E86">
        <w:rPr>
          <w:rFonts w:asciiTheme="minorHAnsi" w:eastAsia="宋体" w:hAnsiTheme="minorHAnsi"/>
          <w:sz w:val="20"/>
          <w:lang w:eastAsia="zh-CN"/>
        </w:rPr>
        <w:fldChar w:fldCharType="end"/>
      </w:r>
    </w:p>
    <w:sectPr w:rsidR="00704BDF" w:rsidRPr="00704BD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D48" w:rsidRDefault="000C0D48" w:rsidP="004F5E36">
      <w:r>
        <w:separator/>
      </w:r>
    </w:p>
  </w:endnote>
  <w:endnote w:type="continuationSeparator" w:id="0">
    <w:p w:rsidR="000C0D48" w:rsidRDefault="000C0D48"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微软雅黑">
    <w:altName w:val="Microsoft YaHei"/>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D48" w:rsidRDefault="000C0D48" w:rsidP="004F5E36">
      <w:r>
        <w:separator/>
      </w:r>
    </w:p>
  </w:footnote>
  <w:footnote w:type="continuationSeparator" w:id="0">
    <w:p w:rsidR="000C0D48" w:rsidRDefault="000C0D48"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162" w:rsidRDefault="00594E9F">
    <w:pPr>
      <w:pStyle w:val="Header"/>
    </w:pPr>
    <w:r>
      <w:rPr>
        <w:noProof/>
        <w:lang w:val="en-IE" w:eastAsia="zh-CN"/>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en-IE" w:eastAsia="zh-CN"/>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BDF" w:rsidRPr="00DE0019" w:rsidRDefault="00704BDF" w:rsidP="00704BDF">
    <w:pPr>
      <w:ind w:left="-426" w:right="-285"/>
      <w:jc w:val="center"/>
      <w:rPr>
        <w:rFonts w:asciiTheme="minorHAnsi" w:hAnsiTheme="minorHAnsi"/>
        <w:b/>
        <w:i/>
        <w:color w:val="002060"/>
        <w:sz w:val="24"/>
        <w:szCs w:val="24"/>
        <w:lang w:val="en-US"/>
      </w:rPr>
    </w:pPr>
    <w:r>
      <w:rPr>
        <w:noProof/>
        <w:lang w:val="en-IE" w:eastAsia="zh-CN"/>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Header"/>
    </w:pPr>
  </w:p>
  <w:p w:rsidR="00704BDF" w:rsidRDefault="00704BDF">
    <w:pPr>
      <w:pStyle w:val="Header"/>
    </w:pPr>
    <w:r>
      <w:rPr>
        <w:noProof/>
        <w:lang w:val="en-IE" w:eastAsia="zh-CN"/>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3148D"/>
    <w:rsid w:val="00062A9A"/>
    <w:rsid w:val="00080993"/>
    <w:rsid w:val="000A03B2"/>
    <w:rsid w:val="000C0D48"/>
    <w:rsid w:val="000D34BE"/>
    <w:rsid w:val="000E36F1"/>
    <w:rsid w:val="000E3A73"/>
    <w:rsid w:val="000E414A"/>
    <w:rsid w:val="000F05F8"/>
    <w:rsid w:val="00127B05"/>
    <w:rsid w:val="0013121F"/>
    <w:rsid w:val="00134DE4"/>
    <w:rsid w:val="00150E59"/>
    <w:rsid w:val="00184AD6"/>
    <w:rsid w:val="001B65C1"/>
    <w:rsid w:val="001C684B"/>
    <w:rsid w:val="001D53FC"/>
    <w:rsid w:val="001F2EC7"/>
    <w:rsid w:val="002065DB"/>
    <w:rsid w:val="002447EF"/>
    <w:rsid w:val="00251550"/>
    <w:rsid w:val="0027221A"/>
    <w:rsid w:val="00275B61"/>
    <w:rsid w:val="002D1F12"/>
    <w:rsid w:val="002D2A37"/>
    <w:rsid w:val="003009B7"/>
    <w:rsid w:val="0030469C"/>
    <w:rsid w:val="003047FC"/>
    <w:rsid w:val="003637BD"/>
    <w:rsid w:val="003723D4"/>
    <w:rsid w:val="003A7D1C"/>
    <w:rsid w:val="0046164A"/>
    <w:rsid w:val="00462DCD"/>
    <w:rsid w:val="004B713E"/>
    <w:rsid w:val="004D1162"/>
    <w:rsid w:val="004E4DD6"/>
    <w:rsid w:val="004F5E36"/>
    <w:rsid w:val="005119A5"/>
    <w:rsid w:val="005278B7"/>
    <w:rsid w:val="005346C8"/>
    <w:rsid w:val="00594E9F"/>
    <w:rsid w:val="005B61E6"/>
    <w:rsid w:val="005C77E1"/>
    <w:rsid w:val="005D6A2F"/>
    <w:rsid w:val="005E1A82"/>
    <w:rsid w:val="005F0A28"/>
    <w:rsid w:val="005F0E5E"/>
    <w:rsid w:val="00620DEE"/>
    <w:rsid w:val="00625639"/>
    <w:rsid w:val="0064184D"/>
    <w:rsid w:val="00660E3E"/>
    <w:rsid w:val="00661A25"/>
    <w:rsid w:val="00662E74"/>
    <w:rsid w:val="006A58D2"/>
    <w:rsid w:val="006C5579"/>
    <w:rsid w:val="00704BDF"/>
    <w:rsid w:val="00711F3C"/>
    <w:rsid w:val="00736B13"/>
    <w:rsid w:val="007447F3"/>
    <w:rsid w:val="007661C8"/>
    <w:rsid w:val="007C1A8B"/>
    <w:rsid w:val="007D52CD"/>
    <w:rsid w:val="007E757E"/>
    <w:rsid w:val="00813288"/>
    <w:rsid w:val="008168FC"/>
    <w:rsid w:val="008479A2"/>
    <w:rsid w:val="0087637F"/>
    <w:rsid w:val="008A1512"/>
    <w:rsid w:val="008D0BEB"/>
    <w:rsid w:val="008E566E"/>
    <w:rsid w:val="00901EB6"/>
    <w:rsid w:val="009208F3"/>
    <w:rsid w:val="009251A8"/>
    <w:rsid w:val="009450CE"/>
    <w:rsid w:val="0095164B"/>
    <w:rsid w:val="00996483"/>
    <w:rsid w:val="009E788A"/>
    <w:rsid w:val="00A1763D"/>
    <w:rsid w:val="00A17CEC"/>
    <w:rsid w:val="00A27EF0"/>
    <w:rsid w:val="00A6304B"/>
    <w:rsid w:val="00A76EFC"/>
    <w:rsid w:val="00A9626B"/>
    <w:rsid w:val="00A97F29"/>
    <w:rsid w:val="00AB0964"/>
    <w:rsid w:val="00AE377D"/>
    <w:rsid w:val="00B16E07"/>
    <w:rsid w:val="00B61DBF"/>
    <w:rsid w:val="00BA066E"/>
    <w:rsid w:val="00BB2136"/>
    <w:rsid w:val="00BC30C9"/>
    <w:rsid w:val="00BC6963"/>
    <w:rsid w:val="00BC6F43"/>
    <w:rsid w:val="00BE3E58"/>
    <w:rsid w:val="00C01616"/>
    <w:rsid w:val="00C0162B"/>
    <w:rsid w:val="00C20F7A"/>
    <w:rsid w:val="00C345B1"/>
    <w:rsid w:val="00C40142"/>
    <w:rsid w:val="00C57182"/>
    <w:rsid w:val="00C655FD"/>
    <w:rsid w:val="00C867B1"/>
    <w:rsid w:val="00C94434"/>
    <w:rsid w:val="00CA1C95"/>
    <w:rsid w:val="00CA4403"/>
    <w:rsid w:val="00CA5A9C"/>
    <w:rsid w:val="00CC3B64"/>
    <w:rsid w:val="00CC478E"/>
    <w:rsid w:val="00CD5FE2"/>
    <w:rsid w:val="00D02B4C"/>
    <w:rsid w:val="00D36DA8"/>
    <w:rsid w:val="00D6628E"/>
    <w:rsid w:val="00D84576"/>
    <w:rsid w:val="00DE0019"/>
    <w:rsid w:val="00DE264A"/>
    <w:rsid w:val="00E041E7"/>
    <w:rsid w:val="00E23CA1"/>
    <w:rsid w:val="00E409A8"/>
    <w:rsid w:val="00E657A1"/>
    <w:rsid w:val="00E7209D"/>
    <w:rsid w:val="00E97D58"/>
    <w:rsid w:val="00EA50E1"/>
    <w:rsid w:val="00EE0131"/>
    <w:rsid w:val="00F30C64"/>
    <w:rsid w:val="00F30E86"/>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1112B0"/>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locked/>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BalloonText">
    <w:name w:val="Balloon Text"/>
    <w:basedOn w:val="Normal"/>
    <w:link w:val="BalloonTextChar"/>
    <w:uiPriority w:val="99"/>
    <w:semiHidden/>
    <w:unhideWhenUsed/>
    <w:lock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Normal"/>
    <w:next w:val="Normal"/>
    <w:uiPriority w:val="37"/>
    <w:semiHidden/>
    <w:unhideWhenUsed/>
    <w:rsid w:val="0003148D"/>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lock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
    <w:name w:val="List"/>
    <w:basedOn w:val="Normal"/>
    <w:uiPriority w:val="99"/>
    <w:semiHidden/>
    <w:unhideWhenUsed/>
    <w:locked/>
    <w:rsid w:val="0003148D"/>
    <w:pPr>
      <w:ind w:left="283" w:hanging="283"/>
      <w:contextualSpacing/>
    </w:pPr>
  </w:style>
  <w:style w:type="paragraph" w:styleId="List2">
    <w:name w:val="List 2"/>
    <w:basedOn w:val="Normal"/>
    <w:uiPriority w:val="99"/>
    <w:semiHidden/>
    <w:unhideWhenUsed/>
    <w:locked/>
    <w:rsid w:val="0003148D"/>
    <w:pPr>
      <w:ind w:left="566" w:hanging="283"/>
      <w:contextualSpacing/>
    </w:pPr>
  </w:style>
  <w:style w:type="paragraph" w:styleId="List3">
    <w:name w:val="List 3"/>
    <w:basedOn w:val="Normal"/>
    <w:uiPriority w:val="99"/>
    <w:semiHidden/>
    <w:unhideWhenUsed/>
    <w:locked/>
    <w:rsid w:val="0003148D"/>
    <w:pPr>
      <w:ind w:left="849" w:hanging="283"/>
      <w:contextualSpacing/>
    </w:pPr>
  </w:style>
  <w:style w:type="paragraph" w:styleId="List4">
    <w:name w:val="List 4"/>
    <w:basedOn w:val="Normal"/>
    <w:uiPriority w:val="99"/>
    <w:semiHidden/>
    <w:unhideWhenUsed/>
    <w:locked/>
    <w:rsid w:val="0003148D"/>
    <w:pPr>
      <w:ind w:left="1132" w:hanging="283"/>
      <w:contextualSpacing/>
    </w:pPr>
  </w:style>
  <w:style w:type="paragraph" w:styleId="List5">
    <w:name w:val="List 5"/>
    <w:basedOn w:val="Normal"/>
    <w:uiPriority w:val="99"/>
    <w:semiHidden/>
    <w:unhideWhenUsed/>
    <w:locked/>
    <w:rsid w:val="0003148D"/>
    <w:pPr>
      <w:ind w:left="1415" w:hanging="283"/>
      <w:contextualSpacing/>
    </w:pPr>
  </w:style>
  <w:style w:type="paragraph" w:styleId="ListContinue">
    <w:name w:val="List Continue"/>
    <w:basedOn w:val="Normal"/>
    <w:uiPriority w:val="99"/>
    <w:semiHidden/>
    <w:unhideWhenUsed/>
    <w:locked/>
    <w:rsid w:val="0003148D"/>
    <w:pPr>
      <w:spacing w:after="120"/>
      <w:ind w:left="283"/>
      <w:contextualSpacing/>
    </w:pPr>
  </w:style>
  <w:style w:type="paragraph" w:styleId="ListContinue2">
    <w:name w:val="List Continue 2"/>
    <w:basedOn w:val="Normal"/>
    <w:uiPriority w:val="99"/>
    <w:semiHidden/>
    <w:unhideWhenUsed/>
    <w:locked/>
    <w:rsid w:val="0003148D"/>
    <w:pPr>
      <w:spacing w:after="120"/>
      <w:ind w:left="566"/>
      <w:contextualSpacing/>
    </w:pPr>
  </w:style>
  <w:style w:type="paragraph" w:styleId="ListContinue3">
    <w:name w:val="List Continue 3"/>
    <w:basedOn w:val="Normal"/>
    <w:uiPriority w:val="99"/>
    <w:semiHidden/>
    <w:unhideWhenUsed/>
    <w:locked/>
    <w:rsid w:val="0003148D"/>
    <w:pPr>
      <w:spacing w:after="120"/>
      <w:ind w:left="849"/>
      <w:contextualSpacing/>
    </w:pPr>
  </w:style>
  <w:style w:type="paragraph" w:styleId="ListContinue4">
    <w:name w:val="List Continue 4"/>
    <w:basedOn w:val="Normal"/>
    <w:uiPriority w:val="99"/>
    <w:semiHidden/>
    <w:unhideWhenUsed/>
    <w:locked/>
    <w:rsid w:val="0003148D"/>
    <w:pPr>
      <w:spacing w:after="120"/>
      <w:ind w:left="1132"/>
      <w:contextualSpacing/>
    </w:pPr>
  </w:style>
  <w:style w:type="paragraph" w:styleId="List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har"/>
    <w:uiPriority w:val="99"/>
    <w:semiHidden/>
    <w:unhideWhenUsed/>
    <w:lock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lock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lock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lock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ofFigures">
    <w:name w:val="table of figures"/>
    <w:basedOn w:val="Normal"/>
    <w:next w:val="Normal"/>
    <w:uiPriority w:val="99"/>
    <w:semiHidden/>
    <w:unhideWhenUsed/>
    <w:locked/>
    <w:rsid w:val="0003148D"/>
  </w:style>
  <w:style w:type="paragraph" w:styleId="TableofAuthorities">
    <w:name w:val="table of authorities"/>
    <w:basedOn w:val="Normal"/>
    <w:next w:val="Normal"/>
    <w:uiPriority w:val="99"/>
    <w:semiHidden/>
    <w:unhideWhenUsed/>
    <w:locked/>
    <w:rsid w:val="0003148D"/>
    <w:pPr>
      <w:ind w:left="220" w:hanging="220"/>
    </w:pPr>
  </w:style>
  <w:style w:type="paragraph" w:styleId="EnvelopeAddress">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lock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lock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lock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Number">
    <w:name w:val="List Number"/>
    <w:basedOn w:val="Normal"/>
    <w:uiPriority w:val="99"/>
    <w:semiHidden/>
    <w:unhideWhenUsed/>
    <w:locked/>
    <w:rsid w:val="0003148D"/>
    <w:pPr>
      <w:numPr>
        <w:numId w:val="2"/>
      </w:numPr>
      <w:contextualSpacing/>
    </w:pPr>
  </w:style>
  <w:style w:type="paragraph" w:styleId="ListNumber2">
    <w:name w:val="List Number 2"/>
    <w:basedOn w:val="Normal"/>
    <w:uiPriority w:val="99"/>
    <w:semiHidden/>
    <w:unhideWhenUsed/>
    <w:locked/>
    <w:rsid w:val="0003148D"/>
    <w:pPr>
      <w:numPr>
        <w:numId w:val="3"/>
      </w:numPr>
      <w:contextualSpacing/>
    </w:pPr>
  </w:style>
  <w:style w:type="paragraph" w:styleId="ListNumber3">
    <w:name w:val="List Number 3"/>
    <w:basedOn w:val="Normal"/>
    <w:uiPriority w:val="99"/>
    <w:semiHidden/>
    <w:unhideWhenUsed/>
    <w:locked/>
    <w:rsid w:val="0003148D"/>
    <w:pPr>
      <w:numPr>
        <w:numId w:val="4"/>
      </w:numPr>
      <w:contextualSpacing/>
    </w:pPr>
  </w:style>
  <w:style w:type="paragraph" w:styleId="ListNumber4">
    <w:name w:val="List Number 4"/>
    <w:basedOn w:val="Normal"/>
    <w:uiPriority w:val="99"/>
    <w:semiHidden/>
    <w:unhideWhenUsed/>
    <w:locked/>
    <w:rsid w:val="0003148D"/>
    <w:pPr>
      <w:numPr>
        <w:numId w:val="5"/>
      </w:numPr>
      <w:contextualSpacing/>
    </w:pPr>
  </w:style>
  <w:style w:type="paragraph" w:styleId="ListNumber5">
    <w:name w:val="List Number 5"/>
    <w:basedOn w:val="Normal"/>
    <w:uiPriority w:val="99"/>
    <w:semiHidden/>
    <w:unhideWhenUsed/>
    <w:locked/>
    <w:rsid w:val="0003148D"/>
    <w:pPr>
      <w:numPr>
        <w:numId w:val="6"/>
      </w:numPr>
      <w:contextualSpacing/>
    </w:pPr>
  </w:style>
  <w:style w:type="paragraph" w:styleId="HTMLPreformatted">
    <w:name w:val="HTML Preformatted"/>
    <w:basedOn w:val="Normal"/>
    <w:link w:val="HTMLPreformattedChar"/>
    <w:uiPriority w:val="99"/>
    <w:semiHidden/>
    <w:unhideWhenUsed/>
    <w:lock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lock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lock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lock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locked/>
    <w:rsid w:val="0003148D"/>
    <w:pPr>
      <w:numPr>
        <w:numId w:val="7"/>
      </w:numPr>
      <w:contextualSpacing/>
    </w:pPr>
  </w:style>
  <w:style w:type="paragraph" w:styleId="ListBullet2">
    <w:name w:val="List Bullet 2"/>
    <w:basedOn w:val="Normal"/>
    <w:uiPriority w:val="99"/>
    <w:semiHidden/>
    <w:unhideWhenUsed/>
    <w:locked/>
    <w:rsid w:val="0003148D"/>
    <w:pPr>
      <w:numPr>
        <w:numId w:val="8"/>
      </w:numPr>
      <w:contextualSpacing/>
    </w:pPr>
  </w:style>
  <w:style w:type="paragraph" w:styleId="ListBullet3">
    <w:name w:val="List Bullet 3"/>
    <w:basedOn w:val="Normal"/>
    <w:uiPriority w:val="99"/>
    <w:semiHidden/>
    <w:unhideWhenUsed/>
    <w:locked/>
    <w:rsid w:val="0003148D"/>
    <w:pPr>
      <w:numPr>
        <w:numId w:val="9"/>
      </w:numPr>
      <w:contextualSpacing/>
    </w:pPr>
  </w:style>
  <w:style w:type="paragraph" w:styleId="ListBullet4">
    <w:name w:val="List Bullet 4"/>
    <w:basedOn w:val="Normal"/>
    <w:uiPriority w:val="99"/>
    <w:semiHidden/>
    <w:unhideWhenUsed/>
    <w:locked/>
    <w:rsid w:val="0003148D"/>
    <w:pPr>
      <w:numPr>
        <w:numId w:val="10"/>
      </w:numPr>
      <w:contextualSpacing/>
    </w:pPr>
  </w:style>
  <w:style w:type="paragraph" w:styleId="ListBullet5">
    <w:name w:val="List Bullet 5"/>
    <w:basedOn w:val="Normal"/>
    <w:uiPriority w:val="99"/>
    <w:semiHidden/>
    <w:unhideWhenUsed/>
    <w:locked/>
    <w:rsid w:val="0003148D"/>
    <w:pPr>
      <w:numPr>
        <w:numId w:val="11"/>
      </w:numPr>
      <w:contextualSpacing/>
    </w:pPr>
  </w:style>
  <w:style w:type="paragraph" w:styleId="BodyTextIndent2">
    <w:name w:val="Body Text Indent 2"/>
    <w:basedOn w:val="Normal"/>
    <w:link w:val="BodyTextIndent2Char"/>
    <w:uiPriority w:val="99"/>
    <w:semiHidden/>
    <w:unhideWhenUsed/>
    <w:lock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lock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locked/>
    <w:rsid w:val="0003148D"/>
    <w:pPr>
      <w:ind w:left="720"/>
    </w:pPr>
  </w:style>
  <w:style w:type="paragraph" w:styleId="CommentText">
    <w:name w:val="annotation text"/>
    <w:basedOn w:val="Normal"/>
    <w:link w:val="CommentTextChar"/>
    <w:uiPriority w:val="99"/>
    <w:semiHidden/>
    <w:unhideWhenUsed/>
    <w:locked/>
    <w:rsid w:val="0003148D"/>
    <w:pPr>
      <w:spacing w:line="240" w:lineRule="auto"/>
    </w:pPr>
  </w:style>
  <w:style w:type="character" w:customStyle="1" w:styleId="CommentTextChar">
    <w:name w:val="Comment Text Char"/>
    <w:basedOn w:val="DefaultParagraphFont"/>
    <w:link w:val="CommentText"/>
    <w:uiPriority w:val="99"/>
    <w:semiHidden/>
    <w:rsid w:val="0003148D"/>
    <w:rPr>
      <w:sz w:val="20"/>
      <w:szCs w:val="20"/>
    </w:rPr>
  </w:style>
  <w:style w:type="paragraph" w:styleId="CommentSubject">
    <w:name w:val="annotation subject"/>
    <w:basedOn w:val="CommentText"/>
    <w:next w:val="CommentText"/>
    <w:link w:val="CommentSubjectChar"/>
    <w:uiPriority w:val="99"/>
    <w:semiHidden/>
    <w:unhideWhenUsed/>
    <w:lock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locked/>
    <w:rsid w:val="0003148D"/>
    <w:pPr>
      <w:spacing w:after="100"/>
    </w:pPr>
  </w:style>
  <w:style w:type="paragraph" w:styleId="TOC2">
    <w:name w:val="toc 2"/>
    <w:basedOn w:val="Normal"/>
    <w:next w:val="Normal"/>
    <w:autoRedefine/>
    <w:uiPriority w:val="39"/>
    <w:semiHidden/>
    <w:unhideWhenUsed/>
    <w:locked/>
    <w:rsid w:val="0003148D"/>
    <w:pPr>
      <w:spacing w:after="100"/>
      <w:ind w:left="220"/>
    </w:pPr>
  </w:style>
  <w:style w:type="paragraph" w:styleId="TOC3">
    <w:name w:val="toc 3"/>
    <w:basedOn w:val="Normal"/>
    <w:next w:val="Normal"/>
    <w:autoRedefine/>
    <w:uiPriority w:val="39"/>
    <w:semiHidden/>
    <w:unhideWhenUsed/>
    <w:locked/>
    <w:rsid w:val="0003148D"/>
    <w:pPr>
      <w:spacing w:after="100"/>
      <w:ind w:left="440"/>
    </w:pPr>
  </w:style>
  <w:style w:type="paragraph" w:styleId="TOC4">
    <w:name w:val="toc 4"/>
    <w:basedOn w:val="Normal"/>
    <w:next w:val="Normal"/>
    <w:autoRedefine/>
    <w:uiPriority w:val="39"/>
    <w:semiHidden/>
    <w:unhideWhenUsed/>
    <w:locked/>
    <w:rsid w:val="0003148D"/>
    <w:pPr>
      <w:spacing w:after="100"/>
      <w:ind w:left="660"/>
    </w:pPr>
  </w:style>
  <w:style w:type="paragraph" w:styleId="TOC5">
    <w:name w:val="toc 5"/>
    <w:basedOn w:val="Normal"/>
    <w:next w:val="Normal"/>
    <w:autoRedefine/>
    <w:uiPriority w:val="39"/>
    <w:semiHidden/>
    <w:unhideWhenUsed/>
    <w:locked/>
    <w:rsid w:val="0003148D"/>
    <w:pPr>
      <w:spacing w:after="100"/>
      <w:ind w:left="880"/>
    </w:pPr>
  </w:style>
  <w:style w:type="paragraph" w:styleId="TOC6">
    <w:name w:val="toc 6"/>
    <w:basedOn w:val="Normal"/>
    <w:next w:val="Normal"/>
    <w:autoRedefine/>
    <w:uiPriority w:val="39"/>
    <w:semiHidden/>
    <w:unhideWhenUsed/>
    <w:locked/>
    <w:rsid w:val="0003148D"/>
    <w:pPr>
      <w:spacing w:after="100"/>
      <w:ind w:left="1100"/>
    </w:pPr>
  </w:style>
  <w:style w:type="paragraph" w:styleId="TOC7">
    <w:name w:val="toc 7"/>
    <w:basedOn w:val="Normal"/>
    <w:next w:val="Normal"/>
    <w:autoRedefine/>
    <w:uiPriority w:val="39"/>
    <w:semiHidden/>
    <w:unhideWhenUsed/>
    <w:locked/>
    <w:rsid w:val="0003148D"/>
    <w:pPr>
      <w:spacing w:after="100"/>
      <w:ind w:left="1320"/>
    </w:pPr>
  </w:style>
  <w:style w:type="paragraph" w:styleId="TOC8">
    <w:name w:val="toc 8"/>
    <w:basedOn w:val="Normal"/>
    <w:next w:val="Normal"/>
    <w:autoRedefine/>
    <w:uiPriority w:val="39"/>
    <w:semiHidden/>
    <w:unhideWhenUsed/>
    <w:locked/>
    <w:rsid w:val="0003148D"/>
    <w:pPr>
      <w:spacing w:after="100"/>
      <w:ind w:left="1540"/>
    </w:pPr>
  </w:style>
  <w:style w:type="paragraph" w:styleId="TOC9">
    <w:name w:val="toc 9"/>
    <w:basedOn w:val="Normal"/>
    <w:next w:val="Normal"/>
    <w:autoRedefine/>
    <w:uiPriority w:val="39"/>
    <w:semiHidden/>
    <w:unhideWhenUsed/>
    <w:locked/>
    <w:rsid w:val="0003148D"/>
    <w:pPr>
      <w:spacing w:after="100"/>
      <w:ind w:left="1760"/>
    </w:pPr>
  </w:style>
  <w:style w:type="paragraph" w:styleId="BlockText">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lock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lock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lock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Header">
    <w:name w:val="header"/>
    <w:basedOn w:val="Normal"/>
    <w:link w:val="HeaderChar"/>
    <w:uiPriority w:val="99"/>
    <w:unhideWhenUsed/>
    <w:lock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lock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character" w:styleId="HTMLCite">
    <w:name w:val="HTML Cite"/>
    <w:basedOn w:val="DefaultParagraphFont"/>
    <w:uiPriority w:val="99"/>
    <w:semiHidden/>
    <w:unhideWhenUsed/>
    <w:locked/>
    <w:rsid w:val="00BB2136"/>
    <w:rPr>
      <w:i/>
      <w:iCs/>
    </w:rPr>
  </w:style>
  <w:style w:type="character" w:customStyle="1" w:styleId="citationyear">
    <w:name w:val="citation_year"/>
    <w:basedOn w:val="DefaultParagraphFont"/>
    <w:rsid w:val="00BB2136"/>
  </w:style>
  <w:style w:type="character" w:customStyle="1" w:styleId="citationvolume">
    <w:name w:val="citation_volume"/>
    <w:basedOn w:val="DefaultParagraphFont"/>
    <w:rsid w:val="00BB21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92FF0-2682-45AD-8986-10FEAB3F5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Pages>
  <Words>1666</Words>
  <Characters>9497</Characters>
  <Application>Microsoft Office Word</Application>
  <DocSecurity>0</DocSecurity>
  <Lines>79</Lines>
  <Paragraphs>22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11141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Rodrigo.Soto</cp:lastModifiedBy>
  <cp:revision>6</cp:revision>
  <cp:lastPrinted>2015-05-12T18:31:00Z</cp:lastPrinted>
  <dcterms:created xsi:type="dcterms:W3CDTF">2019-02-21T17:37:00Z</dcterms:created>
  <dcterms:modified xsi:type="dcterms:W3CDTF">2019-02-25T15:30:00Z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32f1efd0-3d8a-3339-922c-5219de5fd0a3</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vt:lpwstr>
  </property>
  <property fmtid="{D5CDD505-2E9C-101B-9397-08002B2CF9AE}" pid="9" name="Mendeley Recent Style Id 2_1">
    <vt:lpwstr>http://www.zotero.org/styles/chemical-engineering-journal</vt:lpwstr>
  </property>
  <property fmtid="{D5CDD505-2E9C-101B-9397-08002B2CF9AE}" pid="10" name="Mendeley Recent Style Name 2_1">
    <vt:lpwstr>Chemical Engineering Journal</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16th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http://www.zotero.org/styles/crystal-growth-and-design</vt:lpwstr>
  </property>
  <property fmtid="{D5CDD505-2E9C-101B-9397-08002B2CF9AE}" pid="16" name="Mendeley Recent Style Name 5_1">
    <vt:lpwstr>Crystal Growth &amp; Design</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