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E61393" w:rsidRDefault="00E61393" w:rsidP="00E61393">
      <w:pPr>
        <w:jc w:val="center"/>
        <w:outlineLvl w:val="0"/>
        <w:rPr>
          <w:rFonts w:asciiTheme="minorHAnsi" w:eastAsiaTheme="majorEastAsia" w:hAnsiTheme="minorHAnsi" w:cstheme="minorHAnsi"/>
          <w:b/>
          <w:bCs/>
          <w:spacing w:val="5"/>
          <w:sz w:val="28"/>
          <w:szCs w:val="28"/>
          <w:lang w:val="en-US"/>
        </w:rPr>
      </w:pPr>
      <w:r w:rsidRPr="00E61393">
        <w:rPr>
          <w:rFonts w:asciiTheme="minorHAnsi" w:eastAsiaTheme="majorEastAsia" w:hAnsiTheme="minorHAnsi" w:cstheme="minorHAnsi"/>
          <w:b/>
          <w:bCs/>
          <w:spacing w:val="5"/>
          <w:sz w:val="28"/>
          <w:szCs w:val="28"/>
        </w:rPr>
        <w:t xml:space="preserve">Mild fractionation of hydrophilic and hydrophobic components from </w:t>
      </w:r>
      <w:proofErr w:type="spellStart"/>
      <w:r w:rsidRPr="00E61393">
        <w:rPr>
          <w:rFonts w:asciiTheme="minorHAnsi" w:eastAsiaTheme="majorEastAsia" w:hAnsiTheme="minorHAnsi" w:cstheme="minorHAnsi"/>
          <w:b/>
          <w:bCs/>
          <w:i/>
          <w:spacing w:val="5"/>
          <w:sz w:val="28"/>
          <w:szCs w:val="28"/>
        </w:rPr>
        <w:t>Neochloris</w:t>
      </w:r>
      <w:proofErr w:type="spellEnd"/>
      <w:r w:rsidRPr="00E61393">
        <w:rPr>
          <w:rFonts w:asciiTheme="minorHAnsi" w:eastAsiaTheme="majorEastAsia" w:hAnsiTheme="minorHAnsi" w:cstheme="minorHAnsi"/>
          <w:b/>
          <w:bCs/>
          <w:i/>
          <w:spacing w:val="5"/>
          <w:sz w:val="28"/>
          <w:szCs w:val="28"/>
        </w:rPr>
        <w:t xml:space="preserve"> </w:t>
      </w:r>
      <w:proofErr w:type="spellStart"/>
      <w:r w:rsidRPr="00E61393">
        <w:rPr>
          <w:rFonts w:asciiTheme="minorHAnsi" w:eastAsiaTheme="majorEastAsia" w:hAnsiTheme="minorHAnsi" w:cstheme="minorHAnsi"/>
          <w:b/>
          <w:bCs/>
          <w:i/>
          <w:spacing w:val="5"/>
          <w:sz w:val="28"/>
          <w:szCs w:val="28"/>
        </w:rPr>
        <w:t>oleoabundans</w:t>
      </w:r>
      <w:proofErr w:type="spellEnd"/>
      <w:r w:rsidRPr="00E61393">
        <w:rPr>
          <w:rFonts w:asciiTheme="minorHAnsi" w:eastAsiaTheme="majorEastAsia" w:hAnsiTheme="minorHAnsi" w:cstheme="minorHAnsi"/>
          <w:b/>
          <w:bCs/>
          <w:spacing w:val="5"/>
          <w:sz w:val="28"/>
          <w:szCs w:val="28"/>
        </w:rPr>
        <w:t xml:space="preserve"> using ionic liquids</w:t>
      </w:r>
      <w:r w:rsidR="00253542">
        <w:rPr>
          <w:rFonts w:asciiTheme="minorHAnsi" w:eastAsia="MS PGothic" w:hAnsiTheme="minorHAnsi"/>
          <w:b/>
          <w:bCs/>
          <w:sz w:val="28"/>
          <w:szCs w:val="28"/>
          <w:lang w:val="en-US"/>
        </w:rPr>
        <w:t>.</w:t>
      </w:r>
    </w:p>
    <w:p w:rsidR="00DE0019" w:rsidRPr="00DE0019" w:rsidRDefault="00E61393"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Michel Eppink</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Corjan van den Berg</w:t>
      </w:r>
      <w:r w:rsidRPr="00E61393">
        <w:rPr>
          <w:rFonts w:eastAsia="SimSun" w:cs="Arial"/>
          <w:color w:val="000000"/>
          <w:szCs w:val="18"/>
          <w:vertAlign w:val="superscript"/>
          <w:lang w:val="en-US" w:eastAsia="zh-CN"/>
        </w:rPr>
        <w:t>1</w:t>
      </w:r>
      <w:r>
        <w:rPr>
          <w:rFonts w:asciiTheme="minorHAnsi" w:eastAsia="SimSun" w:hAnsiTheme="minorHAnsi"/>
          <w:color w:val="000000"/>
          <w:sz w:val="24"/>
          <w:szCs w:val="24"/>
          <w:lang w:val="en-US" w:eastAsia="zh-CN"/>
        </w:rPr>
        <w:t>,</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Rene Wijffels</w:t>
      </w:r>
      <w:r w:rsidRPr="00E61393">
        <w:rPr>
          <w:rFonts w:eastAsia="SimSun" w:cs="Arial"/>
          <w:color w:val="000000"/>
          <w:szCs w:val="18"/>
          <w:vertAlign w:val="superscript"/>
          <w:lang w:val="en-US" w:eastAsia="zh-CN"/>
        </w:rPr>
        <w:t>1</w:t>
      </w:r>
      <w:r w:rsidRPr="00E61393">
        <w:rPr>
          <w:rFonts w:asciiTheme="minorHAnsi" w:eastAsia="SimSun" w:hAnsiTheme="minorHAnsi"/>
          <w:color w:val="000000"/>
          <w:sz w:val="24"/>
          <w:szCs w:val="24"/>
          <w:vertAlign w:val="superscript"/>
          <w:lang w:val="en-US" w:eastAsia="zh-CN"/>
        </w:rPr>
        <w:t>,</w:t>
      </w:r>
      <w:r w:rsidR="00704BDF" w:rsidRPr="00A15B93">
        <w:rPr>
          <w:rFonts w:eastAsia="SimSun"/>
          <w:color w:val="000000"/>
          <w:vertAlign w:val="superscript"/>
          <w:lang w:val="en-US" w:eastAsia="zh-CN"/>
        </w:rPr>
        <w:t>2</w:t>
      </w:r>
    </w:p>
    <w:p w:rsidR="00704BDF" w:rsidRPr="00E61393" w:rsidRDefault="00704BDF" w:rsidP="00E61393">
      <w:pPr>
        <w:spacing w:line="480" w:lineRule="auto"/>
        <w:rPr>
          <w:rFonts w:asciiTheme="minorHAnsi" w:hAnsiTheme="minorHAnsi" w:cs="Arial"/>
          <w:sz w:val="22"/>
          <w:szCs w:val="22"/>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E61393">
        <w:rPr>
          <w:rFonts w:asciiTheme="minorHAnsi" w:eastAsia="MS PGothic" w:hAnsiTheme="minorHAnsi"/>
          <w:i/>
          <w:iCs/>
          <w:color w:val="000000"/>
          <w:sz w:val="20"/>
          <w:lang w:val="en-US"/>
        </w:rPr>
        <w:t xml:space="preserve">Bioprocess Engineering, </w:t>
      </w:r>
      <w:proofErr w:type="spellStart"/>
      <w:r w:rsidR="00E61393">
        <w:rPr>
          <w:rFonts w:asciiTheme="minorHAnsi" w:eastAsia="MS PGothic" w:hAnsiTheme="minorHAnsi"/>
          <w:i/>
          <w:iCs/>
          <w:color w:val="000000"/>
          <w:sz w:val="20"/>
          <w:lang w:val="en-US"/>
        </w:rPr>
        <w:t>Wageningen</w:t>
      </w:r>
      <w:proofErr w:type="spellEnd"/>
      <w:r w:rsidR="00E61393">
        <w:rPr>
          <w:rFonts w:asciiTheme="minorHAnsi" w:eastAsia="MS PGothic" w:hAnsiTheme="minorHAnsi"/>
          <w:i/>
          <w:iCs/>
          <w:color w:val="000000"/>
          <w:sz w:val="20"/>
          <w:lang w:val="en-US"/>
        </w:rPr>
        <w:t xml:space="preserve"> University, 6700 AA, </w:t>
      </w:r>
      <w:proofErr w:type="spellStart"/>
      <w:r w:rsidR="00E61393">
        <w:rPr>
          <w:rFonts w:asciiTheme="minorHAnsi" w:eastAsia="MS PGothic" w:hAnsiTheme="minorHAnsi"/>
          <w:i/>
          <w:iCs/>
          <w:color w:val="000000"/>
          <w:sz w:val="20"/>
          <w:lang w:val="en-US"/>
        </w:rPr>
        <w:t>Wageningen</w:t>
      </w:r>
      <w:proofErr w:type="spellEnd"/>
      <w:r w:rsidR="00E61393">
        <w:rPr>
          <w:rFonts w:asciiTheme="minorHAnsi" w:eastAsia="MS PGothic" w:hAnsiTheme="minorHAnsi"/>
          <w:i/>
          <w:iCs/>
          <w:color w:val="000000"/>
          <w:sz w:val="20"/>
          <w:lang w:val="en-US"/>
        </w:rPr>
        <w:t>, The Netherlands</w:t>
      </w:r>
      <w:r w:rsidRPr="00DE0019">
        <w:rPr>
          <w:rFonts w:asciiTheme="minorHAnsi" w:eastAsia="MS PGothic" w:hAnsiTheme="minorHAnsi"/>
          <w:i/>
          <w:iCs/>
          <w:color w:val="000000"/>
          <w:sz w:val="20"/>
          <w:lang w:val="en-US"/>
        </w:rPr>
        <w:t xml:space="preserve">; 2 </w:t>
      </w:r>
      <w:r w:rsidR="00E61393" w:rsidRPr="00E61393">
        <w:rPr>
          <w:rStyle w:val="N1AuthorAddressChar"/>
          <w:rFonts w:asciiTheme="minorHAnsi" w:hAnsiTheme="minorHAnsi" w:cstheme="minorHAnsi"/>
          <w:i/>
          <w:sz w:val="20"/>
          <w:szCs w:val="20"/>
        </w:rPr>
        <w:t xml:space="preserve">Nord University, N-8049, </w:t>
      </w:r>
      <w:proofErr w:type="spellStart"/>
      <w:r w:rsidR="00E61393" w:rsidRPr="00E61393">
        <w:rPr>
          <w:rStyle w:val="N1AuthorAddressChar"/>
          <w:rFonts w:asciiTheme="minorHAnsi" w:hAnsiTheme="minorHAnsi" w:cstheme="minorHAnsi"/>
          <w:i/>
          <w:sz w:val="20"/>
          <w:szCs w:val="20"/>
        </w:rPr>
        <w:t>Bodø</w:t>
      </w:r>
      <w:proofErr w:type="spellEnd"/>
      <w:r w:rsidR="00E61393" w:rsidRPr="00E61393">
        <w:rPr>
          <w:rStyle w:val="N1AuthorAddressChar"/>
          <w:rFonts w:asciiTheme="minorHAnsi" w:hAnsiTheme="minorHAnsi" w:cstheme="minorHAnsi"/>
          <w:i/>
          <w:sz w:val="20"/>
          <w:szCs w:val="20"/>
        </w:rPr>
        <w:t>, Norway</w:t>
      </w:r>
      <w:r w:rsidR="00DE0019" w:rsidRPr="00E61393">
        <w:rPr>
          <w:rFonts w:asciiTheme="minorHAnsi" w:eastAsia="MS PGothic" w:hAnsiTheme="minorHAnsi" w:cstheme="minorHAnsi"/>
          <w:i/>
          <w:iCs/>
          <w:color w:val="000000"/>
          <w:sz w:val="20"/>
          <w:lang w:val="en-US"/>
        </w:rPr>
        <w:t xml:space="preserve">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E61393">
        <w:rPr>
          <w:rFonts w:asciiTheme="minorHAnsi" w:eastAsia="MS PGothic" w:hAnsiTheme="minorHAnsi"/>
          <w:bCs/>
          <w:i/>
          <w:iCs/>
          <w:sz w:val="20"/>
          <w:lang w:val="en-US"/>
        </w:rPr>
        <w:t>michel.eppink</w:t>
      </w:r>
      <w:r w:rsidRPr="00DE0019">
        <w:rPr>
          <w:rFonts w:asciiTheme="minorHAnsi" w:eastAsia="MS PGothic" w:hAnsiTheme="minorHAnsi"/>
          <w:bCs/>
          <w:i/>
          <w:iCs/>
          <w:sz w:val="20"/>
          <w:lang w:val="en-US"/>
        </w:rPr>
        <w:t>@</w:t>
      </w:r>
      <w:r w:rsidR="00E61393">
        <w:rPr>
          <w:rFonts w:asciiTheme="minorHAnsi" w:eastAsia="MS PGothic" w:hAnsiTheme="minorHAnsi"/>
          <w:bCs/>
          <w:i/>
          <w:iCs/>
          <w:sz w:val="20"/>
          <w:lang w:val="en-US"/>
        </w:rPr>
        <w:t>wur.nl</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E61393" w:rsidP="00704BDF">
      <w:pPr>
        <w:pStyle w:val="AbstractBody"/>
        <w:numPr>
          <w:ilvl w:val="0"/>
          <w:numId w:val="16"/>
        </w:numPr>
        <w:rPr>
          <w:rFonts w:asciiTheme="minorHAnsi" w:hAnsiTheme="minorHAnsi"/>
        </w:rPr>
      </w:pPr>
      <w:proofErr w:type="spellStart"/>
      <w:r>
        <w:rPr>
          <w:rFonts w:asciiTheme="minorHAnsi" w:hAnsiTheme="minorHAnsi"/>
        </w:rPr>
        <w:t>Cyphos</w:t>
      </w:r>
      <w:proofErr w:type="spellEnd"/>
      <w:r>
        <w:rPr>
          <w:rFonts w:asciiTheme="minorHAnsi" w:hAnsiTheme="minorHAnsi"/>
        </w:rPr>
        <w:t xml:space="preserve"> 108 is able to </w:t>
      </w:r>
      <w:proofErr w:type="spellStart"/>
      <w:r>
        <w:rPr>
          <w:rFonts w:asciiTheme="minorHAnsi" w:hAnsiTheme="minorHAnsi"/>
        </w:rPr>
        <w:t>permeabilize</w:t>
      </w:r>
      <w:proofErr w:type="spellEnd"/>
      <w:r>
        <w:rPr>
          <w:rFonts w:asciiTheme="minorHAnsi" w:hAnsiTheme="minorHAnsi"/>
        </w:rPr>
        <w:t xml:space="preserve"> the cells</w:t>
      </w:r>
      <w:r w:rsidR="00253542">
        <w:rPr>
          <w:rFonts w:asciiTheme="minorHAnsi" w:hAnsiTheme="minorHAnsi"/>
        </w:rPr>
        <w:t xml:space="preserve">. </w:t>
      </w:r>
    </w:p>
    <w:p w:rsidR="00704BDF" w:rsidRPr="00EC66CC" w:rsidRDefault="00E61393" w:rsidP="00704BDF">
      <w:pPr>
        <w:pStyle w:val="AbstractBody"/>
        <w:numPr>
          <w:ilvl w:val="0"/>
          <w:numId w:val="16"/>
        </w:numPr>
        <w:rPr>
          <w:rFonts w:asciiTheme="minorHAnsi" w:hAnsiTheme="minorHAnsi"/>
        </w:rPr>
      </w:pPr>
      <w:r>
        <w:rPr>
          <w:rFonts w:asciiTheme="minorHAnsi" w:hAnsiTheme="minorHAnsi"/>
        </w:rPr>
        <w:t>Lipids are extracted from intact cells</w:t>
      </w:r>
      <w:r w:rsidR="00704BDF" w:rsidRPr="00EC66CC">
        <w:rPr>
          <w:rFonts w:asciiTheme="minorHAnsi" w:hAnsiTheme="minorHAnsi"/>
        </w:rPr>
        <w:t xml:space="preserve">. </w:t>
      </w:r>
    </w:p>
    <w:p w:rsidR="00704BDF" w:rsidRPr="00EC66CC" w:rsidRDefault="00E61393" w:rsidP="00704BDF">
      <w:pPr>
        <w:pStyle w:val="AbstractBody"/>
        <w:numPr>
          <w:ilvl w:val="0"/>
          <w:numId w:val="16"/>
        </w:numPr>
        <w:rPr>
          <w:rFonts w:asciiTheme="minorHAnsi" w:hAnsiTheme="minorHAnsi"/>
        </w:rPr>
      </w:pPr>
      <w:r>
        <w:rPr>
          <w:rFonts w:asciiTheme="minorHAnsi" w:hAnsiTheme="minorHAnsi"/>
        </w:rPr>
        <w:t>Proteins and carbohydrates are recovered after cell disruption</w:t>
      </w:r>
      <w:r w:rsidR="00704BDF" w:rsidRPr="00EC66CC">
        <w:rPr>
          <w:rFonts w:asciiTheme="minorHAnsi" w:hAnsiTheme="minorHAnsi"/>
        </w:rPr>
        <w:t xml:space="preserve"> </w:t>
      </w:r>
    </w:p>
    <w:p w:rsidR="00704BDF" w:rsidRPr="00EC66CC" w:rsidRDefault="00E61393" w:rsidP="00704BDF">
      <w:pPr>
        <w:pStyle w:val="AbstractBody"/>
        <w:numPr>
          <w:ilvl w:val="0"/>
          <w:numId w:val="16"/>
        </w:numPr>
        <w:rPr>
          <w:rFonts w:asciiTheme="minorHAnsi" w:hAnsiTheme="minorHAnsi"/>
        </w:rPr>
      </w:pPr>
      <w:r>
        <w:rPr>
          <w:rFonts w:asciiTheme="minorHAnsi" w:hAnsiTheme="minorHAnsi"/>
        </w:rPr>
        <w:t>Hydrophobic and hydrophilic compounds can be efficiently separated</w:t>
      </w:r>
      <w:r w:rsidR="00704BDF" w:rsidRPr="00EC66CC">
        <w:rPr>
          <w:rFonts w:asciiTheme="minorHAnsi" w:hAnsiTheme="minorHAnsi"/>
        </w:rPr>
        <w:t>.</w:t>
      </w:r>
    </w:p>
    <w:p w:rsidR="00704BDF" w:rsidRPr="00253542" w:rsidRDefault="00704BDF" w:rsidP="00704BDF">
      <w:pPr>
        <w:snapToGrid w:val="0"/>
        <w:spacing w:after="120"/>
        <w:jc w:val="center"/>
        <w:rPr>
          <w:rFonts w:eastAsia="SimSun"/>
          <w:bCs/>
          <w:i/>
          <w:iCs/>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5D3F5B" w:rsidRDefault="005D3F5B" w:rsidP="005D3F5B">
      <w:pPr>
        <w:spacing w:line="360" w:lineRule="auto"/>
        <w:rPr>
          <w:rFonts w:asciiTheme="minorHAnsi" w:hAnsiTheme="minorHAnsi" w:cstheme="minorHAnsi"/>
          <w:sz w:val="22"/>
          <w:szCs w:val="22"/>
        </w:rPr>
      </w:pPr>
      <w:r w:rsidRPr="005D3F5B">
        <w:rPr>
          <w:rFonts w:asciiTheme="minorHAnsi" w:hAnsiTheme="minorHAnsi" w:cstheme="minorHAnsi"/>
          <w:sz w:val="22"/>
          <w:szCs w:val="22"/>
        </w:rPr>
        <w:t xml:space="preserve">Microalgae are promising </w:t>
      </w:r>
      <w:proofErr w:type="spellStart"/>
      <w:r w:rsidRPr="005D3F5B">
        <w:rPr>
          <w:rFonts w:asciiTheme="minorHAnsi" w:hAnsiTheme="minorHAnsi" w:cstheme="minorHAnsi"/>
          <w:sz w:val="22"/>
          <w:szCs w:val="22"/>
        </w:rPr>
        <w:t>feedstocks</w:t>
      </w:r>
      <w:proofErr w:type="spellEnd"/>
      <w:r w:rsidRPr="005D3F5B">
        <w:rPr>
          <w:rFonts w:asciiTheme="minorHAnsi" w:hAnsiTheme="minorHAnsi" w:cstheme="minorHAnsi"/>
          <w:sz w:val="22"/>
          <w:szCs w:val="22"/>
        </w:rPr>
        <w:t xml:space="preserve"> for biofuel production. These photosynthetic microorganism have high lipid productivity and do not compete for arable land when compared to terrestrial oleaginous crops. Microalgae have a very tough cell wall and thus require energy intensive unit operations to break open the cell and release the intracellular content. Apart from lipids, microalgae are also good sources for proteins, carbohydrates and pigments. Utilization of these value added co-products for food, cosmetics, health and chemicals would help in making the process economically feasible. </w:t>
      </w:r>
    </w:p>
    <w:p w:rsidR="00704BDF" w:rsidRPr="005D3F5B" w:rsidRDefault="005D3F5B" w:rsidP="005D3F5B">
      <w:pPr>
        <w:spacing w:line="360" w:lineRule="auto"/>
        <w:rPr>
          <w:rFonts w:asciiTheme="minorHAnsi" w:hAnsiTheme="minorHAnsi" w:cstheme="minorHAnsi"/>
          <w:sz w:val="22"/>
          <w:szCs w:val="22"/>
          <w:lang w:val="en-US"/>
        </w:rPr>
      </w:pPr>
      <w:r w:rsidRPr="005D3F5B">
        <w:rPr>
          <w:rFonts w:asciiTheme="minorHAnsi" w:hAnsiTheme="minorHAnsi" w:cstheme="minorHAnsi"/>
          <w:sz w:val="22"/>
          <w:szCs w:val="22"/>
        </w:rPr>
        <w:t>The primary objective of this article is to fractionate the algal biomass into a hydrophobic fraction (lipids) using mild pre-treatment at low temperature with an aqueous solution of ionic liquid and keep the microalgae intact followed by cell disruption to obtain the hydrophilic fraction (proteins, carbohydrates) in their functional state</w:t>
      </w:r>
      <w:r w:rsidR="00704BDF" w:rsidRPr="008D0BEB">
        <w:rPr>
          <w:rFonts w:asciiTheme="minorHAnsi" w:eastAsia="MS PGothic" w:hAnsiTheme="minorHAnsi"/>
          <w:color w:val="000000"/>
          <w:sz w:val="22"/>
          <w:szCs w:val="22"/>
          <w:lang w:val="en-US"/>
        </w:rPr>
        <w:t>.</w:t>
      </w:r>
      <w:r w:rsidR="00617D4E">
        <w:rPr>
          <w:rFonts w:asciiTheme="minorHAnsi" w:eastAsia="MS PGothic" w:hAnsiTheme="minorHAnsi"/>
          <w:color w:val="000000"/>
          <w:sz w:val="22"/>
          <w:szCs w:val="22"/>
          <w:lang w:val="en-US"/>
        </w:rPr>
        <w:t xml:space="preserve"> [Calibri 11].</w:t>
      </w:r>
      <w:bookmarkStart w:id="0" w:name="_GoBack"/>
      <w:bookmarkEnd w:id="0"/>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253542" w:rsidRDefault="00253542" w:rsidP="00253542">
      <w:pPr>
        <w:spacing w:line="360" w:lineRule="auto"/>
        <w:rPr>
          <w:rFonts w:asciiTheme="minorHAnsi" w:hAnsiTheme="minorHAnsi" w:cstheme="minorHAnsi"/>
          <w:sz w:val="22"/>
          <w:szCs w:val="22"/>
        </w:rPr>
      </w:pPr>
      <w:r w:rsidRPr="00253542">
        <w:rPr>
          <w:rFonts w:asciiTheme="minorHAnsi" w:hAnsiTheme="minorHAnsi" w:cstheme="minorHAnsi"/>
          <w:i/>
          <w:sz w:val="22"/>
          <w:szCs w:val="22"/>
        </w:rPr>
        <w:t xml:space="preserve">N. </w:t>
      </w:r>
      <w:proofErr w:type="spellStart"/>
      <w:r w:rsidRPr="00253542">
        <w:rPr>
          <w:rFonts w:asciiTheme="minorHAnsi" w:hAnsiTheme="minorHAnsi" w:cstheme="minorHAnsi"/>
          <w:i/>
          <w:sz w:val="22"/>
          <w:szCs w:val="22"/>
        </w:rPr>
        <w:t>oleoabundans</w:t>
      </w:r>
      <w:proofErr w:type="spellEnd"/>
      <w:r w:rsidRPr="00253542">
        <w:rPr>
          <w:rFonts w:asciiTheme="minorHAnsi" w:hAnsiTheme="minorHAnsi" w:cstheme="minorHAnsi"/>
          <w:sz w:val="22"/>
          <w:szCs w:val="22"/>
        </w:rPr>
        <w:t xml:space="preserve"> cells ~10 mg of cells (freeze dried and/or fresh cells) were treated with 1.5 ml of aqueous solution of IL at 45°C for 30 minutes. Fresh and freeze dried cells used in the study were from different batches. The studies were conducted with 2 different ILs BMIM DBP and TBP SO4 (see Table 1). The influence of IL concentrations (40, 80) % w/w on extraction efficiency of lipids was investigated. The amount of lipids extracted in the IL phase was determined by measuring the residual amount of lip</w:t>
      </w:r>
      <w:r>
        <w:rPr>
          <w:rFonts w:asciiTheme="minorHAnsi" w:hAnsiTheme="minorHAnsi" w:cstheme="minorHAnsi"/>
          <w:sz w:val="22"/>
          <w:szCs w:val="22"/>
        </w:rPr>
        <w:t>ids remaining in the cells</w:t>
      </w:r>
      <w:r w:rsidR="00704BDF" w:rsidRPr="00253542">
        <w:rPr>
          <w:rFonts w:asciiTheme="minorHAnsi" w:eastAsia="MS PGothic" w:hAnsiTheme="minorHAnsi" w:cstheme="minorHAnsi"/>
          <w:color w:val="000000"/>
          <w:sz w:val="22"/>
          <w:szCs w:val="22"/>
          <w:lang w:val="en-US"/>
        </w:rPr>
        <w:t>. [Calibri 11].</w:t>
      </w:r>
    </w:p>
    <w:tbl>
      <w:tblPr>
        <w:tblStyle w:val="LightShading1"/>
        <w:tblW w:w="0" w:type="auto"/>
        <w:tblInd w:w="108" w:type="dxa"/>
        <w:tblLayout w:type="fixed"/>
        <w:tblLook w:val="0620" w:firstRow="1" w:lastRow="0" w:firstColumn="0" w:lastColumn="0" w:noHBand="1" w:noVBand="1"/>
      </w:tblPr>
      <w:tblGrid>
        <w:gridCol w:w="1120"/>
        <w:gridCol w:w="5011"/>
        <w:gridCol w:w="2320"/>
      </w:tblGrid>
      <w:tr w:rsidR="00361B51" w:rsidRPr="00361B51" w:rsidTr="00610792">
        <w:trPr>
          <w:cnfStyle w:val="100000000000" w:firstRow="1" w:lastRow="0" w:firstColumn="0" w:lastColumn="0" w:oddVBand="0" w:evenVBand="0" w:oddHBand="0" w:evenHBand="0" w:firstRowFirstColumn="0" w:firstRowLastColumn="0" w:lastRowFirstColumn="0" w:lastRowLastColumn="0"/>
          <w:trHeight w:val="512"/>
        </w:trPr>
        <w:tc>
          <w:tcPr>
            <w:tcW w:w="1120" w:type="dxa"/>
          </w:tcPr>
          <w:p w:rsidR="00361B51" w:rsidRPr="00361B51" w:rsidRDefault="00361B51" w:rsidP="00610792">
            <w:pPr>
              <w:keepNext/>
              <w:keepLines/>
              <w:jc w:val="center"/>
              <w:rPr>
                <w:rFonts w:asciiTheme="minorHAnsi" w:hAnsiTheme="minorHAnsi" w:cstheme="minorHAnsi"/>
                <w:b w:val="0"/>
                <w:sz w:val="22"/>
                <w:szCs w:val="22"/>
              </w:rPr>
            </w:pPr>
            <w:r w:rsidRPr="00361B51">
              <w:rPr>
                <w:rFonts w:asciiTheme="minorHAnsi" w:hAnsiTheme="minorHAnsi" w:cstheme="minorHAnsi"/>
                <w:sz w:val="22"/>
                <w:szCs w:val="22"/>
              </w:rPr>
              <w:lastRenderedPageBreak/>
              <w:t>Sr. No.</w:t>
            </w:r>
          </w:p>
        </w:tc>
        <w:tc>
          <w:tcPr>
            <w:tcW w:w="5011" w:type="dxa"/>
          </w:tcPr>
          <w:p w:rsidR="00361B51" w:rsidRPr="00361B51" w:rsidRDefault="00361B51" w:rsidP="00610792">
            <w:pPr>
              <w:keepNext/>
              <w:keepLines/>
              <w:jc w:val="center"/>
              <w:rPr>
                <w:rFonts w:asciiTheme="minorHAnsi" w:hAnsiTheme="minorHAnsi" w:cstheme="minorHAnsi"/>
                <w:b w:val="0"/>
                <w:sz w:val="22"/>
                <w:szCs w:val="22"/>
              </w:rPr>
            </w:pPr>
            <w:r w:rsidRPr="00361B51">
              <w:rPr>
                <w:rFonts w:asciiTheme="minorHAnsi" w:hAnsiTheme="minorHAnsi" w:cstheme="minorHAnsi"/>
                <w:sz w:val="22"/>
                <w:szCs w:val="22"/>
              </w:rPr>
              <w:t>Ionic Liquid Names</w:t>
            </w:r>
          </w:p>
        </w:tc>
        <w:tc>
          <w:tcPr>
            <w:tcW w:w="2320" w:type="dxa"/>
          </w:tcPr>
          <w:p w:rsidR="00361B51" w:rsidRPr="00361B51" w:rsidRDefault="00361B51" w:rsidP="00610792">
            <w:pPr>
              <w:keepNext/>
              <w:keepLines/>
              <w:jc w:val="center"/>
              <w:rPr>
                <w:rFonts w:asciiTheme="minorHAnsi" w:hAnsiTheme="minorHAnsi" w:cstheme="minorHAnsi"/>
                <w:b w:val="0"/>
                <w:sz w:val="22"/>
                <w:szCs w:val="22"/>
              </w:rPr>
            </w:pPr>
            <w:r w:rsidRPr="00361B51">
              <w:rPr>
                <w:rFonts w:asciiTheme="minorHAnsi" w:hAnsiTheme="minorHAnsi" w:cstheme="minorHAnsi"/>
                <w:sz w:val="22"/>
                <w:szCs w:val="22"/>
              </w:rPr>
              <w:t>Abbreviations</w:t>
            </w:r>
          </w:p>
        </w:tc>
      </w:tr>
      <w:tr w:rsidR="00361B51" w:rsidRPr="00361B51" w:rsidTr="00610792">
        <w:trPr>
          <w:trHeight w:val="512"/>
        </w:trPr>
        <w:tc>
          <w:tcPr>
            <w:tcW w:w="1120" w:type="dxa"/>
          </w:tcPr>
          <w:p w:rsidR="00361B51" w:rsidRPr="00361B51" w:rsidRDefault="00361B51" w:rsidP="00610792">
            <w:pPr>
              <w:keepNext/>
              <w:keepLines/>
              <w:jc w:val="center"/>
              <w:rPr>
                <w:rFonts w:asciiTheme="minorHAnsi" w:hAnsiTheme="minorHAnsi" w:cstheme="minorHAnsi"/>
                <w:sz w:val="22"/>
                <w:szCs w:val="22"/>
              </w:rPr>
            </w:pPr>
            <w:r w:rsidRPr="00361B51">
              <w:rPr>
                <w:rFonts w:asciiTheme="minorHAnsi" w:hAnsiTheme="minorHAnsi" w:cstheme="minorHAnsi"/>
                <w:sz w:val="22"/>
                <w:szCs w:val="22"/>
              </w:rPr>
              <w:t>1</w:t>
            </w:r>
          </w:p>
        </w:tc>
        <w:tc>
          <w:tcPr>
            <w:tcW w:w="5011" w:type="dxa"/>
          </w:tcPr>
          <w:p w:rsidR="00361B51" w:rsidRPr="00361B51" w:rsidRDefault="00361B51" w:rsidP="00610792">
            <w:pPr>
              <w:keepNext/>
              <w:keepLines/>
              <w:jc w:val="center"/>
              <w:rPr>
                <w:rFonts w:asciiTheme="minorHAnsi" w:hAnsiTheme="minorHAnsi" w:cstheme="minorHAnsi"/>
                <w:sz w:val="22"/>
                <w:szCs w:val="22"/>
              </w:rPr>
            </w:pPr>
            <w:proofErr w:type="spellStart"/>
            <w:r w:rsidRPr="00361B51">
              <w:rPr>
                <w:rFonts w:asciiTheme="minorHAnsi" w:hAnsiTheme="minorHAnsi" w:cstheme="minorHAnsi"/>
                <w:sz w:val="22"/>
                <w:szCs w:val="22"/>
              </w:rPr>
              <w:t>Tributylmethylphosphonium</w:t>
            </w:r>
            <w:proofErr w:type="spellEnd"/>
            <w:r w:rsidRPr="00361B51">
              <w:rPr>
                <w:rFonts w:asciiTheme="minorHAnsi" w:hAnsiTheme="minorHAnsi" w:cstheme="minorHAnsi"/>
                <w:sz w:val="22"/>
                <w:szCs w:val="22"/>
              </w:rPr>
              <w:t xml:space="preserve"> methyl </w:t>
            </w:r>
            <w:proofErr w:type="spellStart"/>
            <w:r w:rsidRPr="00361B51">
              <w:rPr>
                <w:rFonts w:asciiTheme="minorHAnsi" w:hAnsiTheme="minorHAnsi" w:cstheme="minorHAnsi"/>
                <w:sz w:val="22"/>
                <w:szCs w:val="22"/>
              </w:rPr>
              <w:t>sulfate</w:t>
            </w:r>
            <w:proofErr w:type="spellEnd"/>
            <w:r w:rsidRPr="00361B51">
              <w:rPr>
                <w:rFonts w:asciiTheme="minorHAnsi" w:hAnsiTheme="minorHAnsi" w:cstheme="minorHAnsi"/>
                <w:sz w:val="22"/>
                <w:szCs w:val="22"/>
              </w:rPr>
              <w:t xml:space="preserve"> (</w:t>
            </w:r>
            <w:proofErr w:type="spellStart"/>
            <w:r w:rsidRPr="00361B51">
              <w:rPr>
                <w:rFonts w:asciiTheme="minorHAnsi" w:hAnsiTheme="minorHAnsi" w:cstheme="minorHAnsi"/>
                <w:sz w:val="22"/>
                <w:szCs w:val="22"/>
              </w:rPr>
              <w:t>Cyphos</w:t>
            </w:r>
            <w:proofErr w:type="spellEnd"/>
            <w:r w:rsidRPr="00361B51">
              <w:rPr>
                <w:rFonts w:asciiTheme="minorHAnsi" w:hAnsiTheme="minorHAnsi" w:cstheme="minorHAnsi"/>
                <w:sz w:val="22"/>
                <w:szCs w:val="22"/>
              </w:rPr>
              <w:t xml:space="preserve"> 108) &gt; 95 %</w:t>
            </w:r>
          </w:p>
        </w:tc>
        <w:tc>
          <w:tcPr>
            <w:tcW w:w="2320" w:type="dxa"/>
          </w:tcPr>
          <w:p w:rsidR="00361B51" w:rsidRPr="00361B51" w:rsidRDefault="00361B51" w:rsidP="00610792">
            <w:pPr>
              <w:keepNext/>
              <w:keepLines/>
              <w:jc w:val="center"/>
              <w:rPr>
                <w:rFonts w:asciiTheme="minorHAnsi" w:hAnsiTheme="minorHAnsi" w:cstheme="minorHAnsi"/>
                <w:sz w:val="22"/>
                <w:szCs w:val="22"/>
              </w:rPr>
            </w:pPr>
            <w:r w:rsidRPr="00361B51">
              <w:rPr>
                <w:rFonts w:asciiTheme="minorHAnsi" w:hAnsiTheme="minorHAnsi" w:cstheme="minorHAnsi"/>
                <w:sz w:val="22"/>
                <w:szCs w:val="22"/>
              </w:rPr>
              <w:t>TBP SO4</w:t>
            </w:r>
          </w:p>
        </w:tc>
      </w:tr>
      <w:tr w:rsidR="00361B51" w:rsidRPr="00361B51" w:rsidTr="00610792">
        <w:trPr>
          <w:trHeight w:val="512"/>
        </w:trPr>
        <w:tc>
          <w:tcPr>
            <w:tcW w:w="1120" w:type="dxa"/>
          </w:tcPr>
          <w:p w:rsidR="00361B51" w:rsidRPr="00361B51" w:rsidRDefault="00361B51" w:rsidP="00610792">
            <w:pPr>
              <w:keepNext/>
              <w:keepLines/>
              <w:jc w:val="center"/>
              <w:rPr>
                <w:rFonts w:asciiTheme="minorHAnsi" w:hAnsiTheme="minorHAnsi" w:cstheme="minorHAnsi"/>
                <w:sz w:val="22"/>
                <w:szCs w:val="22"/>
              </w:rPr>
            </w:pPr>
            <w:r w:rsidRPr="00361B51">
              <w:rPr>
                <w:rFonts w:asciiTheme="minorHAnsi" w:hAnsiTheme="minorHAnsi" w:cstheme="minorHAnsi"/>
                <w:sz w:val="22"/>
                <w:szCs w:val="22"/>
              </w:rPr>
              <w:t>2</w:t>
            </w:r>
          </w:p>
        </w:tc>
        <w:tc>
          <w:tcPr>
            <w:tcW w:w="5011" w:type="dxa"/>
          </w:tcPr>
          <w:p w:rsidR="00361B51" w:rsidRPr="00361B51" w:rsidRDefault="00361B51" w:rsidP="00610792">
            <w:pPr>
              <w:keepNext/>
              <w:keepLines/>
              <w:jc w:val="center"/>
              <w:rPr>
                <w:rFonts w:asciiTheme="minorHAnsi" w:hAnsiTheme="minorHAnsi" w:cstheme="minorHAnsi"/>
                <w:sz w:val="22"/>
                <w:szCs w:val="22"/>
              </w:rPr>
            </w:pPr>
            <w:r w:rsidRPr="00361B51">
              <w:rPr>
                <w:rFonts w:asciiTheme="minorHAnsi" w:hAnsiTheme="minorHAnsi" w:cstheme="minorHAnsi"/>
                <w:sz w:val="22"/>
                <w:szCs w:val="22"/>
              </w:rPr>
              <w:t xml:space="preserve">1-Butyl-3-methylimidazolium </w:t>
            </w:r>
            <w:proofErr w:type="spellStart"/>
            <w:r w:rsidRPr="00361B51">
              <w:rPr>
                <w:rFonts w:asciiTheme="minorHAnsi" w:hAnsiTheme="minorHAnsi" w:cstheme="minorHAnsi"/>
                <w:sz w:val="22"/>
                <w:szCs w:val="22"/>
              </w:rPr>
              <w:t>dibutylphosphate</w:t>
            </w:r>
            <w:proofErr w:type="spellEnd"/>
            <w:r w:rsidRPr="00361B51">
              <w:rPr>
                <w:rFonts w:asciiTheme="minorHAnsi" w:hAnsiTheme="minorHAnsi" w:cstheme="minorHAnsi"/>
                <w:sz w:val="22"/>
                <w:szCs w:val="22"/>
              </w:rPr>
              <w:t xml:space="preserve"> 97 %</w:t>
            </w:r>
          </w:p>
        </w:tc>
        <w:tc>
          <w:tcPr>
            <w:tcW w:w="2320" w:type="dxa"/>
          </w:tcPr>
          <w:p w:rsidR="00361B51" w:rsidRPr="00361B51" w:rsidRDefault="00361B51" w:rsidP="00610792">
            <w:pPr>
              <w:keepNext/>
              <w:keepLines/>
              <w:jc w:val="center"/>
              <w:rPr>
                <w:rFonts w:asciiTheme="minorHAnsi" w:hAnsiTheme="minorHAnsi" w:cstheme="minorHAnsi"/>
                <w:sz w:val="22"/>
                <w:szCs w:val="22"/>
              </w:rPr>
            </w:pPr>
            <w:r w:rsidRPr="00361B51">
              <w:rPr>
                <w:rFonts w:asciiTheme="minorHAnsi" w:hAnsiTheme="minorHAnsi" w:cstheme="minorHAnsi"/>
                <w:sz w:val="22"/>
                <w:szCs w:val="22"/>
              </w:rPr>
              <w:t>BMIM DBP</w:t>
            </w:r>
          </w:p>
        </w:tc>
      </w:tr>
    </w:tbl>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361B51" w:rsidRDefault="00361B51" w:rsidP="00361B51">
      <w:pPr>
        <w:spacing w:line="360" w:lineRule="auto"/>
        <w:rPr>
          <w:rFonts w:asciiTheme="minorHAnsi" w:hAnsiTheme="minorHAnsi" w:cstheme="minorHAnsi"/>
          <w:sz w:val="22"/>
          <w:szCs w:val="22"/>
        </w:rPr>
      </w:pPr>
      <w:r w:rsidRPr="00361B51">
        <w:rPr>
          <w:rFonts w:asciiTheme="minorHAnsi" w:hAnsiTheme="minorHAnsi" w:cstheme="minorHAnsi"/>
          <w:sz w:val="22"/>
          <w:szCs w:val="22"/>
        </w:rPr>
        <w:t xml:space="preserve">Two classes of ILs (see Table 1) were studied. Pre-treatment with </w:t>
      </w:r>
      <w:proofErr w:type="spellStart"/>
      <w:r w:rsidRPr="00361B51">
        <w:rPr>
          <w:rFonts w:asciiTheme="minorHAnsi" w:hAnsiTheme="minorHAnsi" w:cstheme="minorHAnsi"/>
          <w:sz w:val="22"/>
          <w:szCs w:val="22"/>
        </w:rPr>
        <w:t>imidazolium</w:t>
      </w:r>
      <w:proofErr w:type="spellEnd"/>
      <w:r w:rsidRPr="00361B51">
        <w:rPr>
          <w:rFonts w:asciiTheme="minorHAnsi" w:hAnsiTheme="minorHAnsi" w:cstheme="minorHAnsi"/>
          <w:sz w:val="22"/>
          <w:szCs w:val="22"/>
        </w:rPr>
        <w:t xml:space="preserve"> (BMIM DBP) based ionic liquid showed better lipid extraction efficiency and </w:t>
      </w:r>
      <w:proofErr w:type="spellStart"/>
      <w:r w:rsidRPr="00361B51">
        <w:rPr>
          <w:rFonts w:asciiTheme="minorHAnsi" w:hAnsiTheme="minorHAnsi" w:cstheme="minorHAnsi"/>
          <w:sz w:val="22"/>
          <w:szCs w:val="22"/>
        </w:rPr>
        <w:t>phosphonium</w:t>
      </w:r>
      <w:proofErr w:type="spellEnd"/>
      <w:r w:rsidRPr="00361B51">
        <w:rPr>
          <w:rFonts w:asciiTheme="minorHAnsi" w:hAnsiTheme="minorHAnsi" w:cstheme="minorHAnsi"/>
          <w:sz w:val="22"/>
          <w:szCs w:val="22"/>
        </w:rPr>
        <w:t xml:space="preserve"> (TBP SO4) based ionic liquids showed low extraction efficiency but could have impact on the cell wall and hence selected for further studies. Lipid extraction efficiency of aqueous IL solutions at different concentrations (40, 80) % w/w were studied at temperat</w:t>
      </w:r>
      <w:r w:rsidR="007F61C3">
        <w:rPr>
          <w:rFonts w:asciiTheme="minorHAnsi" w:hAnsiTheme="minorHAnsi" w:cstheme="minorHAnsi"/>
          <w:sz w:val="22"/>
          <w:szCs w:val="22"/>
        </w:rPr>
        <w:t>ure of 45°C (see figure 1</w:t>
      </w:r>
      <w:r w:rsidRPr="00361B51">
        <w:rPr>
          <w:rFonts w:asciiTheme="minorHAnsi" w:hAnsiTheme="minorHAnsi" w:cstheme="minorHAnsi"/>
          <w:sz w:val="22"/>
          <w:szCs w:val="22"/>
        </w:rPr>
        <w:t>). In this study, lipids represent the fatty acid methyl ester content that could be converted to biodiesel. As the concentration of IL increases from 40% w/w to 80% w/w at 45°C, the amount of lipid extracted increases from 2.61% to 9.89% per mg of biomass for BMIM DBP and from 1.28% to 3.27% per mg of biomass for TBP SO</w:t>
      </w:r>
      <w:r w:rsidRPr="00361B51">
        <w:rPr>
          <w:rFonts w:asciiTheme="minorHAnsi" w:hAnsiTheme="minorHAnsi" w:cstheme="minorHAnsi"/>
          <w:sz w:val="22"/>
          <w:szCs w:val="22"/>
          <w:vertAlign w:val="subscript"/>
        </w:rPr>
        <w:t>4.</w:t>
      </w:r>
      <w:r w:rsidRPr="00361B51">
        <w:rPr>
          <w:rFonts w:asciiTheme="minorHAnsi" w:hAnsiTheme="minorHAnsi" w:cstheme="minorHAnsi"/>
          <w:sz w:val="22"/>
          <w:szCs w:val="22"/>
        </w:rPr>
        <w:t xml:space="preserve"> This increase in extraction capacity could be attributed to the increase in hydrophobicity of the IL solution. IL solutions under mild conditions were able to extract lipids from intact microalgae cells. Based on the results in figure 3, BMIM DBP could </w:t>
      </w:r>
      <w:proofErr w:type="spellStart"/>
      <w:r w:rsidRPr="00361B51">
        <w:rPr>
          <w:rFonts w:asciiTheme="minorHAnsi" w:hAnsiTheme="minorHAnsi" w:cstheme="minorHAnsi"/>
          <w:sz w:val="22"/>
          <w:szCs w:val="22"/>
        </w:rPr>
        <w:t>permeabilise</w:t>
      </w:r>
      <w:proofErr w:type="spellEnd"/>
      <w:r w:rsidRPr="00361B51">
        <w:rPr>
          <w:rFonts w:asciiTheme="minorHAnsi" w:hAnsiTheme="minorHAnsi" w:cstheme="minorHAnsi"/>
          <w:sz w:val="22"/>
          <w:szCs w:val="22"/>
        </w:rPr>
        <w:t xml:space="preserve"> the cells and extract lipids better than TBP SO4 indicating that the cation and anion influences the extraction effici</w:t>
      </w:r>
      <w:r w:rsidR="007F61C3">
        <w:rPr>
          <w:rFonts w:asciiTheme="minorHAnsi" w:hAnsiTheme="minorHAnsi" w:cstheme="minorHAnsi"/>
          <w:sz w:val="22"/>
          <w:szCs w:val="22"/>
        </w:rPr>
        <w:t>ency, but to a different degree</w:t>
      </w:r>
      <w:r w:rsidRPr="00361B51">
        <w:rPr>
          <w:rFonts w:asciiTheme="minorHAnsi" w:hAnsiTheme="minorHAnsi" w:cstheme="minorHAnsi"/>
          <w:sz w:val="22"/>
          <w:szCs w:val="22"/>
        </w:rPr>
        <w:t xml:space="preserve">. Although, TBP SO4 shows low lipid extraction efficiency, it might still have an influence on the cell wall. The hypothesis is that the hydrogen bonding network of the cell wall is disrupted leading to the formation of pores through which lipids can leak-out. ILs are known to solubilize natural polymers such as cellulose and pectin by direct IL interaction. </w:t>
      </w:r>
      <w:r w:rsidR="00704BDF" w:rsidRPr="00253542">
        <w:rPr>
          <w:rFonts w:asciiTheme="minorHAnsi" w:eastAsia="MS PGothic" w:hAnsiTheme="minorHAnsi" w:cstheme="minorHAnsi"/>
          <w:color w:val="000000"/>
          <w:sz w:val="22"/>
          <w:szCs w:val="22"/>
        </w:rPr>
        <w:t>[Calibri 11].</w:t>
      </w:r>
    </w:p>
    <w:p w:rsidR="00704BDF" w:rsidRPr="00DE0019" w:rsidRDefault="00361B51" w:rsidP="00704BDF">
      <w:pPr>
        <w:snapToGrid w:val="0"/>
        <w:spacing w:after="120"/>
        <w:jc w:val="center"/>
        <w:rPr>
          <w:rFonts w:asciiTheme="minorHAnsi" w:eastAsia="MS PGothic" w:hAnsiTheme="minorHAnsi"/>
          <w:color w:val="000000"/>
        </w:rPr>
      </w:pPr>
      <w:r>
        <w:rPr>
          <w:noProof/>
          <w:lang w:val="en-US"/>
        </w:rPr>
        <w:drawing>
          <wp:inline distT="0" distB="0" distL="0" distR="0" wp14:anchorId="0F41D2C8" wp14:editId="6B4003B1">
            <wp:extent cx="4456573" cy="2438400"/>
            <wp:effectExtent l="0" t="0" r="1270" b="0"/>
            <wp:docPr id="6" name="Picture 6" descr="I:\M3_revised giures18may2018\F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3_revised giures18may2018\FA-I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5316" cy="2465069"/>
                    </a:xfrm>
                    <a:prstGeom prst="rect">
                      <a:avLst/>
                    </a:prstGeom>
                    <a:noFill/>
                    <a:ln>
                      <a:noFill/>
                    </a:ln>
                  </pic:spPr>
                </pic:pic>
              </a:graphicData>
            </a:graphic>
          </wp:inline>
        </w:drawing>
      </w:r>
    </w:p>
    <w:p w:rsidR="00704BDF" w:rsidRPr="00361B51" w:rsidRDefault="00704BDF" w:rsidP="00361B51">
      <w:pPr>
        <w:spacing w:line="360" w:lineRule="auto"/>
        <w:jc w:val="center"/>
        <w:rPr>
          <w:rFonts w:asciiTheme="minorHAnsi" w:hAnsiTheme="minorHAnsi" w:cstheme="minorHAnsi"/>
          <w:noProof/>
          <w:lang w:eastAsia="en-GB"/>
        </w:rPr>
      </w:pPr>
      <w:r w:rsidRPr="00361B51">
        <w:rPr>
          <w:rFonts w:asciiTheme="minorHAnsi" w:eastAsia="MS PGothic" w:hAnsiTheme="minorHAnsi" w:cstheme="minorHAnsi"/>
          <w:b/>
          <w:color w:val="000000"/>
          <w:szCs w:val="18"/>
          <w:lang w:val="en-US"/>
        </w:rPr>
        <w:t>Figure 1</w:t>
      </w:r>
      <w:r w:rsidRPr="00361B51">
        <w:rPr>
          <w:rFonts w:asciiTheme="minorHAnsi" w:eastAsia="MS PGothic" w:hAnsiTheme="minorHAnsi" w:cstheme="minorHAnsi"/>
          <w:b/>
          <w:color w:val="000000"/>
          <w:szCs w:val="18"/>
          <w:lang w:val="en-US" w:eastAsia="ko-KR"/>
        </w:rPr>
        <w:t>.</w:t>
      </w:r>
      <w:r w:rsidRPr="00361B51">
        <w:rPr>
          <w:rFonts w:asciiTheme="minorHAnsi" w:eastAsia="MS PGothic" w:hAnsiTheme="minorHAnsi" w:cstheme="minorHAnsi"/>
          <w:color w:val="000000"/>
          <w:szCs w:val="18"/>
          <w:lang w:val="en-US"/>
        </w:rPr>
        <w:t xml:space="preserve"> </w:t>
      </w:r>
      <w:r w:rsidR="00361B51" w:rsidRPr="00361B51">
        <w:rPr>
          <w:rFonts w:asciiTheme="minorHAnsi" w:hAnsiTheme="minorHAnsi" w:cstheme="minorHAnsi"/>
          <w:noProof/>
          <w:lang w:eastAsia="en-GB"/>
        </w:rPr>
        <w:t>Effect of IL concentration on extraction of lipids at 45</w:t>
      </w:r>
      <w:r w:rsidR="00361B51" w:rsidRPr="00361B51">
        <w:rPr>
          <w:rFonts w:asciiTheme="minorHAnsi" w:hAnsiTheme="minorHAnsi" w:cstheme="minorHAnsi"/>
        </w:rPr>
        <w:t>°C</w:t>
      </w:r>
      <w:r w:rsidRPr="00361B51">
        <w:rPr>
          <w:rFonts w:asciiTheme="minorHAnsi" w:hAnsiTheme="minorHAnsi" w:cstheme="minorHAnsi"/>
          <w:lang w:val="en-US"/>
        </w:rPr>
        <w:t xml:space="preserve"> </w:t>
      </w:r>
      <w:r w:rsidRPr="00361B51">
        <w:rPr>
          <w:rFonts w:asciiTheme="minorHAnsi" w:eastAsia="MS PGothic" w:hAnsiTheme="minorHAnsi" w:cstheme="minorHAnsi"/>
          <w:color w:val="000000"/>
          <w:szCs w:val="18"/>
          <w:lang w:val="en-US"/>
        </w:rPr>
        <w:t>Caption. [Calibri 9].</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lastRenderedPageBreak/>
        <w:t>4. Conclusion</w:t>
      </w:r>
      <w:r w:rsidRPr="008D0BEB">
        <w:rPr>
          <w:rFonts w:asciiTheme="minorHAnsi" w:eastAsia="MS PGothic" w:hAnsiTheme="minorHAnsi"/>
          <w:b/>
          <w:bCs/>
          <w:color w:val="000000"/>
          <w:sz w:val="22"/>
          <w:szCs w:val="22"/>
          <w:lang w:val="en-US" w:eastAsia="ko-KR"/>
        </w:rPr>
        <w:t>s</w:t>
      </w:r>
    </w:p>
    <w:p w:rsidR="00704BDF" w:rsidRPr="00253542" w:rsidRDefault="00253542" w:rsidP="00253542">
      <w:pPr>
        <w:spacing w:line="360" w:lineRule="auto"/>
        <w:rPr>
          <w:rFonts w:asciiTheme="minorHAnsi" w:hAnsiTheme="minorHAnsi" w:cstheme="minorHAnsi"/>
          <w:sz w:val="22"/>
          <w:szCs w:val="22"/>
        </w:rPr>
      </w:pPr>
      <w:r w:rsidRPr="00253542">
        <w:rPr>
          <w:rFonts w:asciiTheme="minorHAnsi" w:hAnsiTheme="minorHAnsi" w:cstheme="minorHAnsi"/>
          <w:sz w:val="22"/>
          <w:szCs w:val="22"/>
        </w:rPr>
        <w:t xml:space="preserve">In this article, pre-treatment of </w:t>
      </w:r>
      <w:r w:rsidRPr="00253542">
        <w:rPr>
          <w:rFonts w:asciiTheme="minorHAnsi" w:hAnsiTheme="minorHAnsi" w:cstheme="minorHAnsi"/>
          <w:i/>
          <w:sz w:val="22"/>
          <w:szCs w:val="22"/>
        </w:rPr>
        <w:t xml:space="preserve">N. </w:t>
      </w:r>
      <w:proofErr w:type="spellStart"/>
      <w:r w:rsidRPr="00253542">
        <w:rPr>
          <w:rFonts w:asciiTheme="minorHAnsi" w:hAnsiTheme="minorHAnsi" w:cstheme="minorHAnsi"/>
          <w:i/>
          <w:sz w:val="22"/>
          <w:szCs w:val="22"/>
        </w:rPr>
        <w:t>oleoabundans</w:t>
      </w:r>
      <w:proofErr w:type="spellEnd"/>
      <w:r w:rsidRPr="00253542">
        <w:rPr>
          <w:rFonts w:asciiTheme="minorHAnsi" w:hAnsiTheme="minorHAnsi" w:cstheme="minorHAnsi"/>
          <w:sz w:val="22"/>
          <w:szCs w:val="22"/>
        </w:rPr>
        <w:t xml:space="preserve"> using ILs and subsequent fractionation into hydrophilic and hydrophobic components was studied for both fresh and freeze dried biomass. Additionally, the lipid extraction efficiency of aqueous IL solution under different concentration conditions were studied. We have demonstrated that aqueous solution of </w:t>
      </w:r>
      <w:proofErr w:type="spellStart"/>
      <w:r w:rsidRPr="00253542">
        <w:rPr>
          <w:rFonts w:asciiTheme="minorHAnsi" w:hAnsiTheme="minorHAnsi" w:cstheme="minorHAnsi"/>
          <w:sz w:val="22"/>
          <w:szCs w:val="22"/>
        </w:rPr>
        <w:t>imidazolium</w:t>
      </w:r>
      <w:proofErr w:type="spellEnd"/>
      <w:r w:rsidRPr="00253542">
        <w:rPr>
          <w:rFonts w:asciiTheme="minorHAnsi" w:hAnsiTheme="minorHAnsi" w:cstheme="minorHAnsi"/>
          <w:sz w:val="22"/>
          <w:szCs w:val="22"/>
        </w:rPr>
        <w:t xml:space="preserve"> and </w:t>
      </w:r>
      <w:proofErr w:type="spellStart"/>
      <w:r w:rsidRPr="00253542">
        <w:rPr>
          <w:rFonts w:asciiTheme="minorHAnsi" w:hAnsiTheme="minorHAnsi" w:cstheme="minorHAnsi"/>
          <w:sz w:val="22"/>
          <w:szCs w:val="22"/>
        </w:rPr>
        <w:t>phosphonium</w:t>
      </w:r>
      <w:proofErr w:type="spellEnd"/>
      <w:r w:rsidRPr="00253542">
        <w:rPr>
          <w:rFonts w:asciiTheme="minorHAnsi" w:hAnsiTheme="minorHAnsi" w:cstheme="minorHAnsi"/>
          <w:sz w:val="22"/>
          <w:szCs w:val="22"/>
        </w:rPr>
        <w:t xml:space="preserve"> based ILs was able to extract lipids from intact microalgae, albeit to a different degree. We have also shown that pre-treatment of microalgae with BMIM DBP and TBP SO4 at low concentration (40% w/w) results in </w:t>
      </w:r>
      <w:proofErr w:type="spellStart"/>
      <w:r w:rsidRPr="00253542">
        <w:rPr>
          <w:rFonts w:asciiTheme="minorHAnsi" w:hAnsiTheme="minorHAnsi" w:cstheme="minorHAnsi"/>
          <w:sz w:val="22"/>
          <w:szCs w:val="22"/>
        </w:rPr>
        <w:t>permeabilisation</w:t>
      </w:r>
      <w:proofErr w:type="spellEnd"/>
      <w:r w:rsidRPr="00253542">
        <w:rPr>
          <w:rFonts w:asciiTheme="minorHAnsi" w:hAnsiTheme="minorHAnsi" w:cstheme="minorHAnsi"/>
          <w:sz w:val="22"/>
          <w:szCs w:val="22"/>
        </w:rPr>
        <w:t xml:space="preserve"> of cells. The biomass can then be fractionated into hydrophilic and hydrophobic components whereby the proteins were recovered without losing their nativity. The recovery of total fatty acids was ~68% and that of proteins and carbohydrates was ~ 80% and 77% respectively of the total amount present in the cells, after pre- treatment</w:t>
      </w:r>
      <w:r w:rsidR="007F61C3">
        <w:rPr>
          <w:rFonts w:asciiTheme="minorHAnsi" w:hAnsiTheme="minorHAnsi" w:cstheme="minorHAnsi"/>
          <w:sz w:val="22"/>
          <w:szCs w:val="22"/>
        </w:rPr>
        <w:t xml:space="preserve"> of fresh biomass with TBP SO4.</w:t>
      </w:r>
      <w:r w:rsidR="00704BDF" w:rsidRPr="008D0BEB">
        <w:rPr>
          <w:rFonts w:asciiTheme="minorHAnsi" w:eastAsia="MS PGothic" w:hAnsiTheme="minorHAnsi"/>
          <w:color w:val="000000"/>
          <w:sz w:val="22"/>
          <w:szCs w:val="22"/>
          <w:lang w:val="en-US"/>
        </w:rPr>
        <w:t xml:space="preserve"> [Calibri 11].</w:t>
      </w:r>
    </w:p>
    <w:p w:rsidR="00704BDF" w:rsidRPr="008D0BEB" w:rsidRDefault="007F61C3"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r w:rsidR="008D0BEB">
        <w:rPr>
          <w:rFonts w:asciiTheme="minorHAnsi" w:eastAsia="MS PGothic" w:hAnsiTheme="minorHAnsi"/>
          <w:b/>
          <w:bCs/>
          <w:color w:val="000000"/>
          <w:sz w:val="20"/>
          <w:lang w:val="en-US"/>
        </w:rPr>
        <w:t xml:space="preserve"> [Calibri 10]</w:t>
      </w:r>
    </w:p>
    <w:p w:rsidR="00361B51" w:rsidRPr="00617D4E" w:rsidRDefault="00361B51" w:rsidP="00361B51">
      <w:pPr>
        <w:rPr>
          <w:rFonts w:asciiTheme="minorHAnsi" w:hAnsiTheme="minorHAnsi" w:cstheme="minorHAnsi"/>
          <w:noProof/>
          <w:sz w:val="20"/>
        </w:rPr>
      </w:pPr>
      <w:bookmarkStart w:id="1" w:name="_ENREF_1"/>
      <w:r w:rsidRPr="00617D4E">
        <w:rPr>
          <w:rFonts w:asciiTheme="minorHAnsi" w:hAnsiTheme="minorHAnsi" w:cstheme="minorHAnsi"/>
          <w:noProof/>
          <w:sz w:val="20"/>
        </w:rPr>
        <w:t xml:space="preserve">[1] Wijffels, R. H., Barbosa, M. J., An outlook on microalgal biofuels. </w:t>
      </w:r>
      <w:r w:rsidRPr="00617D4E">
        <w:rPr>
          <w:rFonts w:asciiTheme="minorHAnsi" w:hAnsiTheme="minorHAnsi" w:cstheme="minorHAnsi"/>
          <w:i/>
          <w:noProof/>
          <w:sz w:val="20"/>
        </w:rPr>
        <w:t xml:space="preserve">Science </w:t>
      </w:r>
      <w:r w:rsidRPr="00617D4E">
        <w:rPr>
          <w:rFonts w:asciiTheme="minorHAnsi" w:hAnsiTheme="minorHAnsi" w:cstheme="minorHAnsi"/>
          <w:noProof/>
          <w:sz w:val="20"/>
        </w:rPr>
        <w:t xml:space="preserve">2010, </w:t>
      </w:r>
      <w:r w:rsidRPr="00617D4E">
        <w:rPr>
          <w:rFonts w:asciiTheme="minorHAnsi" w:hAnsiTheme="minorHAnsi" w:cstheme="minorHAnsi"/>
          <w:i/>
          <w:noProof/>
          <w:sz w:val="20"/>
        </w:rPr>
        <w:t>329</w:t>
      </w:r>
      <w:r w:rsidRPr="00617D4E">
        <w:rPr>
          <w:rFonts w:asciiTheme="minorHAnsi" w:hAnsiTheme="minorHAnsi" w:cstheme="minorHAnsi"/>
          <w:noProof/>
          <w:sz w:val="20"/>
        </w:rPr>
        <w:t>, 796-799.</w:t>
      </w:r>
      <w:bookmarkEnd w:id="1"/>
    </w:p>
    <w:p w:rsidR="00617D4E" w:rsidRPr="00617D4E" w:rsidRDefault="00617D4E" w:rsidP="00361B51">
      <w:pPr>
        <w:rPr>
          <w:rFonts w:asciiTheme="minorHAnsi" w:hAnsiTheme="minorHAnsi" w:cstheme="minorHAnsi"/>
          <w:i/>
          <w:noProof/>
          <w:sz w:val="20"/>
        </w:rPr>
      </w:pPr>
      <w:bookmarkStart w:id="2" w:name="_ENREF_2"/>
      <w:r w:rsidRPr="00617D4E">
        <w:rPr>
          <w:rFonts w:asciiTheme="minorHAnsi" w:hAnsiTheme="minorHAnsi" w:cstheme="minorHAnsi"/>
          <w:noProof/>
          <w:sz w:val="20"/>
        </w:rPr>
        <w:t xml:space="preserve">[2] Wijffels, R. H., Barboas, M. J., Eppink, M. H. M., Microalgae for the production of bulk chemicals and biofuels. </w:t>
      </w:r>
      <w:r w:rsidRPr="00617D4E">
        <w:rPr>
          <w:rFonts w:asciiTheme="minorHAnsi" w:hAnsiTheme="minorHAnsi" w:cstheme="minorHAnsi"/>
          <w:i/>
          <w:sz w:val="20"/>
        </w:rPr>
        <w:t xml:space="preserve">Biofuels, </w:t>
      </w:r>
      <w:proofErr w:type="spellStart"/>
      <w:r w:rsidRPr="00617D4E">
        <w:rPr>
          <w:rFonts w:asciiTheme="minorHAnsi" w:hAnsiTheme="minorHAnsi" w:cstheme="minorHAnsi"/>
          <w:i/>
          <w:sz w:val="20"/>
        </w:rPr>
        <w:t>Bioprod</w:t>
      </w:r>
      <w:proofErr w:type="spellEnd"/>
      <w:r w:rsidRPr="00617D4E">
        <w:rPr>
          <w:rFonts w:asciiTheme="minorHAnsi" w:hAnsiTheme="minorHAnsi" w:cstheme="minorHAnsi"/>
          <w:i/>
          <w:sz w:val="20"/>
        </w:rPr>
        <w:t xml:space="preserve">. </w:t>
      </w:r>
      <w:proofErr w:type="spellStart"/>
      <w:r w:rsidRPr="00617D4E">
        <w:rPr>
          <w:rFonts w:asciiTheme="minorHAnsi" w:hAnsiTheme="minorHAnsi" w:cstheme="minorHAnsi"/>
          <w:i/>
          <w:sz w:val="20"/>
        </w:rPr>
        <w:t>Bioref</w:t>
      </w:r>
      <w:proofErr w:type="spellEnd"/>
      <w:r w:rsidRPr="00617D4E">
        <w:rPr>
          <w:rFonts w:asciiTheme="minorHAnsi" w:hAnsiTheme="minorHAnsi" w:cstheme="minorHAnsi"/>
          <w:i/>
          <w:sz w:val="20"/>
        </w:rPr>
        <w:t xml:space="preserve">., </w:t>
      </w:r>
      <w:r w:rsidRPr="00617D4E">
        <w:rPr>
          <w:rFonts w:asciiTheme="minorHAnsi" w:hAnsiTheme="minorHAnsi" w:cstheme="minorHAnsi"/>
          <w:sz w:val="20"/>
        </w:rPr>
        <w:t xml:space="preserve">2010, </w:t>
      </w:r>
      <w:r w:rsidRPr="00617D4E">
        <w:rPr>
          <w:rFonts w:asciiTheme="minorHAnsi" w:hAnsiTheme="minorHAnsi" w:cstheme="minorHAnsi"/>
          <w:sz w:val="20"/>
        </w:rPr>
        <w:t>4, 287-295</w:t>
      </w:r>
      <w:r w:rsidRPr="00617D4E">
        <w:rPr>
          <w:rFonts w:asciiTheme="minorHAnsi" w:hAnsiTheme="minorHAnsi" w:cstheme="minorHAnsi"/>
          <w:sz w:val="20"/>
        </w:rPr>
        <w:t>.</w:t>
      </w:r>
    </w:p>
    <w:p w:rsidR="00361B51" w:rsidRPr="00617D4E" w:rsidRDefault="00617D4E" w:rsidP="00361B51">
      <w:pPr>
        <w:rPr>
          <w:rFonts w:asciiTheme="minorHAnsi" w:hAnsiTheme="minorHAnsi" w:cstheme="minorHAnsi"/>
          <w:noProof/>
          <w:sz w:val="20"/>
        </w:rPr>
      </w:pPr>
      <w:r w:rsidRPr="00617D4E">
        <w:rPr>
          <w:rFonts w:asciiTheme="minorHAnsi" w:hAnsiTheme="minorHAnsi" w:cstheme="minorHAnsi"/>
          <w:noProof/>
          <w:sz w:val="20"/>
        </w:rPr>
        <w:t>[3</w:t>
      </w:r>
      <w:r w:rsidR="00361B51" w:rsidRPr="00617D4E">
        <w:rPr>
          <w:rFonts w:asciiTheme="minorHAnsi" w:hAnsiTheme="minorHAnsi" w:cstheme="minorHAnsi"/>
          <w:noProof/>
          <w:sz w:val="20"/>
        </w:rPr>
        <w:t>] Vanthoor-Koopmans, M., Wijffels, R. H., Barbosa, M. J., Eppink, M. H</w:t>
      </w:r>
      <w:r w:rsidRPr="00617D4E">
        <w:rPr>
          <w:rFonts w:asciiTheme="minorHAnsi" w:hAnsiTheme="minorHAnsi" w:cstheme="minorHAnsi"/>
          <w:noProof/>
          <w:sz w:val="20"/>
        </w:rPr>
        <w:t>. M</w:t>
      </w:r>
      <w:r w:rsidR="00361B51" w:rsidRPr="00617D4E">
        <w:rPr>
          <w:rFonts w:asciiTheme="minorHAnsi" w:hAnsiTheme="minorHAnsi" w:cstheme="minorHAnsi"/>
          <w:noProof/>
          <w:sz w:val="20"/>
        </w:rPr>
        <w:t xml:space="preserve">., Biorefinery of microalgae for food and fuel. </w:t>
      </w:r>
      <w:r w:rsidR="00361B51" w:rsidRPr="00617D4E">
        <w:rPr>
          <w:rFonts w:asciiTheme="minorHAnsi" w:hAnsiTheme="minorHAnsi" w:cstheme="minorHAnsi"/>
          <w:i/>
          <w:noProof/>
          <w:sz w:val="20"/>
        </w:rPr>
        <w:t xml:space="preserve">Bioresource Technology </w:t>
      </w:r>
      <w:r w:rsidR="00361B51" w:rsidRPr="00617D4E">
        <w:rPr>
          <w:rFonts w:asciiTheme="minorHAnsi" w:hAnsiTheme="minorHAnsi" w:cstheme="minorHAnsi"/>
          <w:noProof/>
          <w:sz w:val="20"/>
        </w:rPr>
        <w:t xml:space="preserve">2012, </w:t>
      </w:r>
      <w:r w:rsidR="00361B51" w:rsidRPr="00617D4E">
        <w:rPr>
          <w:rFonts w:asciiTheme="minorHAnsi" w:hAnsiTheme="minorHAnsi" w:cstheme="minorHAnsi"/>
          <w:i/>
          <w:noProof/>
          <w:sz w:val="20"/>
        </w:rPr>
        <w:t>135</w:t>
      </w:r>
      <w:r w:rsidR="00361B51" w:rsidRPr="00617D4E">
        <w:rPr>
          <w:rFonts w:asciiTheme="minorHAnsi" w:hAnsiTheme="minorHAnsi" w:cstheme="minorHAnsi"/>
          <w:noProof/>
          <w:sz w:val="20"/>
        </w:rPr>
        <w:t>, 142-149.</w:t>
      </w:r>
      <w:bookmarkStart w:id="3" w:name="_ENREF_16"/>
      <w:bookmarkEnd w:id="2"/>
    </w:p>
    <w:p w:rsidR="00361B51" w:rsidRPr="00617D4E" w:rsidRDefault="00617D4E" w:rsidP="00361B51">
      <w:pPr>
        <w:rPr>
          <w:rFonts w:asciiTheme="minorHAnsi" w:hAnsiTheme="minorHAnsi" w:cstheme="minorHAnsi"/>
          <w:noProof/>
          <w:sz w:val="20"/>
        </w:rPr>
      </w:pPr>
      <w:r w:rsidRPr="00617D4E">
        <w:rPr>
          <w:rFonts w:asciiTheme="minorHAnsi" w:hAnsiTheme="minorHAnsi" w:cstheme="minorHAnsi"/>
          <w:noProof/>
          <w:sz w:val="20"/>
        </w:rPr>
        <w:t>[4</w:t>
      </w:r>
      <w:r w:rsidR="00361B51" w:rsidRPr="00617D4E">
        <w:rPr>
          <w:rFonts w:asciiTheme="minorHAnsi" w:hAnsiTheme="minorHAnsi" w:cstheme="minorHAnsi"/>
          <w:noProof/>
          <w:sz w:val="20"/>
        </w:rPr>
        <w:t>] Desai, R. K., Monteillet, H., Li, X., Schuur, B.</w:t>
      </w:r>
      <w:r w:rsidR="00361B51" w:rsidRPr="00617D4E">
        <w:rPr>
          <w:rFonts w:asciiTheme="minorHAnsi" w:hAnsiTheme="minorHAnsi" w:cstheme="minorHAnsi"/>
          <w:i/>
          <w:noProof/>
          <w:sz w:val="20"/>
        </w:rPr>
        <w:t>, et al.</w:t>
      </w:r>
      <w:r w:rsidR="00361B51" w:rsidRPr="00617D4E">
        <w:rPr>
          <w:rFonts w:asciiTheme="minorHAnsi" w:hAnsiTheme="minorHAnsi" w:cstheme="minorHAnsi"/>
          <w:noProof/>
          <w:sz w:val="20"/>
        </w:rPr>
        <w:t xml:space="preserve">, One-step mild biorefinery of functional biomolecules from microalgae extracts. </w:t>
      </w:r>
      <w:r w:rsidR="00361B51" w:rsidRPr="00617D4E">
        <w:rPr>
          <w:rFonts w:asciiTheme="minorHAnsi" w:hAnsiTheme="minorHAnsi" w:cstheme="minorHAnsi"/>
          <w:i/>
          <w:noProof/>
          <w:sz w:val="20"/>
        </w:rPr>
        <w:t xml:space="preserve">Reaction Chemistry &amp; Engineering </w:t>
      </w:r>
      <w:r w:rsidR="00361B51" w:rsidRPr="00617D4E">
        <w:rPr>
          <w:rFonts w:asciiTheme="minorHAnsi" w:hAnsiTheme="minorHAnsi" w:cstheme="minorHAnsi"/>
          <w:noProof/>
          <w:sz w:val="20"/>
        </w:rPr>
        <w:t xml:space="preserve">2018, </w:t>
      </w:r>
      <w:r w:rsidR="00361B51" w:rsidRPr="00617D4E">
        <w:rPr>
          <w:rFonts w:asciiTheme="minorHAnsi" w:hAnsiTheme="minorHAnsi" w:cstheme="minorHAnsi"/>
          <w:i/>
          <w:noProof/>
          <w:sz w:val="20"/>
        </w:rPr>
        <w:t>3</w:t>
      </w:r>
      <w:r w:rsidR="00361B51" w:rsidRPr="00617D4E">
        <w:rPr>
          <w:rFonts w:asciiTheme="minorHAnsi" w:hAnsiTheme="minorHAnsi" w:cstheme="minorHAnsi"/>
          <w:noProof/>
          <w:sz w:val="20"/>
        </w:rPr>
        <w:t>, 182-187.</w:t>
      </w:r>
      <w:bookmarkEnd w:id="3"/>
    </w:p>
    <w:p w:rsidR="00361B51" w:rsidRPr="00617D4E" w:rsidRDefault="00617D4E" w:rsidP="00361B51">
      <w:pPr>
        <w:rPr>
          <w:rFonts w:asciiTheme="minorHAnsi" w:hAnsiTheme="minorHAnsi" w:cstheme="minorHAnsi"/>
          <w:noProof/>
          <w:sz w:val="20"/>
        </w:rPr>
      </w:pPr>
      <w:bookmarkStart w:id="4" w:name="_ENREF_21"/>
      <w:r w:rsidRPr="00617D4E">
        <w:rPr>
          <w:rFonts w:asciiTheme="minorHAnsi" w:hAnsiTheme="minorHAnsi" w:cstheme="minorHAnsi"/>
          <w:noProof/>
          <w:sz w:val="20"/>
        </w:rPr>
        <w:t>[5</w:t>
      </w:r>
      <w:r w:rsidR="00361B51" w:rsidRPr="00617D4E">
        <w:rPr>
          <w:rFonts w:asciiTheme="minorHAnsi" w:hAnsiTheme="minorHAnsi" w:cstheme="minorHAnsi"/>
          <w:noProof/>
          <w:sz w:val="20"/>
        </w:rPr>
        <w:t xml:space="preserve">] Desai, R. K., Streefland, M., Wijffels, R. H., Eppink, M. H. M., Novel astaxanthin extraction from Haematococcus pluvialis using cell permeabilising ionic liquids. </w:t>
      </w:r>
      <w:r w:rsidR="00361B51" w:rsidRPr="00617D4E">
        <w:rPr>
          <w:rFonts w:asciiTheme="minorHAnsi" w:hAnsiTheme="minorHAnsi" w:cstheme="minorHAnsi"/>
          <w:i/>
          <w:noProof/>
          <w:sz w:val="20"/>
        </w:rPr>
        <w:t xml:space="preserve">Green Chemistry </w:t>
      </w:r>
      <w:r w:rsidR="00361B51" w:rsidRPr="00617D4E">
        <w:rPr>
          <w:rFonts w:asciiTheme="minorHAnsi" w:hAnsiTheme="minorHAnsi" w:cstheme="minorHAnsi"/>
          <w:noProof/>
          <w:sz w:val="20"/>
        </w:rPr>
        <w:t>2016.</w:t>
      </w:r>
      <w:bookmarkEnd w:id="4"/>
    </w:p>
    <w:p w:rsidR="00704BDF" w:rsidRPr="00617D4E" w:rsidRDefault="00617D4E" w:rsidP="00361B51">
      <w:pPr>
        <w:rPr>
          <w:rFonts w:asciiTheme="minorHAnsi" w:hAnsiTheme="minorHAnsi" w:cstheme="minorHAnsi"/>
          <w:noProof/>
          <w:sz w:val="20"/>
        </w:rPr>
      </w:pPr>
      <w:bookmarkStart w:id="5" w:name="_ENREF_22"/>
      <w:r w:rsidRPr="00617D4E">
        <w:rPr>
          <w:rFonts w:asciiTheme="minorHAnsi" w:hAnsiTheme="minorHAnsi" w:cstheme="minorHAnsi"/>
          <w:noProof/>
          <w:sz w:val="20"/>
        </w:rPr>
        <w:t>[6</w:t>
      </w:r>
      <w:r w:rsidR="00361B51" w:rsidRPr="00617D4E">
        <w:rPr>
          <w:rFonts w:asciiTheme="minorHAnsi" w:hAnsiTheme="minorHAnsi" w:cstheme="minorHAnsi"/>
          <w:noProof/>
          <w:sz w:val="20"/>
        </w:rPr>
        <w:t xml:space="preserve">] Desai, R. K., Streefland, M., Wijffels, R. H., Eppink, M. H. M., Extraction and stability of selected proteins in ionic liquid based aqueous two phase systems. </w:t>
      </w:r>
      <w:r w:rsidR="00361B51" w:rsidRPr="00617D4E">
        <w:rPr>
          <w:rFonts w:asciiTheme="minorHAnsi" w:hAnsiTheme="minorHAnsi" w:cstheme="minorHAnsi"/>
          <w:i/>
          <w:noProof/>
          <w:sz w:val="20"/>
        </w:rPr>
        <w:t xml:space="preserve">Green Chemistry </w:t>
      </w:r>
      <w:r w:rsidR="00361B51" w:rsidRPr="00617D4E">
        <w:rPr>
          <w:rFonts w:asciiTheme="minorHAnsi" w:hAnsiTheme="minorHAnsi" w:cstheme="minorHAnsi"/>
          <w:noProof/>
          <w:sz w:val="20"/>
        </w:rPr>
        <w:t xml:space="preserve">2014, </w:t>
      </w:r>
      <w:r w:rsidR="00361B51" w:rsidRPr="00617D4E">
        <w:rPr>
          <w:rFonts w:asciiTheme="minorHAnsi" w:hAnsiTheme="minorHAnsi" w:cstheme="minorHAnsi"/>
          <w:i/>
          <w:noProof/>
          <w:sz w:val="20"/>
        </w:rPr>
        <w:t>16</w:t>
      </w:r>
      <w:r w:rsidR="00361B51" w:rsidRPr="00617D4E">
        <w:rPr>
          <w:rFonts w:asciiTheme="minorHAnsi" w:hAnsiTheme="minorHAnsi" w:cstheme="minorHAnsi"/>
          <w:noProof/>
          <w:sz w:val="20"/>
        </w:rPr>
        <w:t>, 2670-2679.</w:t>
      </w:r>
      <w:bookmarkEnd w:id="5"/>
    </w:p>
    <w:sectPr w:rsidR="00704BDF" w:rsidRPr="00617D4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D4B" w:rsidRDefault="00063D4B" w:rsidP="004F5E36">
      <w:r>
        <w:separator/>
      </w:r>
    </w:p>
  </w:endnote>
  <w:endnote w:type="continuationSeparator" w:id="0">
    <w:p w:rsidR="00063D4B" w:rsidRDefault="00063D4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D4B" w:rsidRDefault="00063D4B" w:rsidP="004F5E36">
      <w:r>
        <w:separator/>
      </w:r>
    </w:p>
  </w:footnote>
  <w:footnote w:type="continuationSeparator" w:id="0">
    <w:p w:rsidR="00063D4B" w:rsidRDefault="00063D4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63D4B"/>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53542"/>
    <w:rsid w:val="0027221A"/>
    <w:rsid w:val="00275B61"/>
    <w:rsid w:val="002D1F12"/>
    <w:rsid w:val="003009B7"/>
    <w:rsid w:val="0030469C"/>
    <w:rsid w:val="00361B51"/>
    <w:rsid w:val="003723D4"/>
    <w:rsid w:val="003A7D1C"/>
    <w:rsid w:val="0046164A"/>
    <w:rsid w:val="00462DCD"/>
    <w:rsid w:val="004D1162"/>
    <w:rsid w:val="004E4DD6"/>
    <w:rsid w:val="004F563B"/>
    <w:rsid w:val="004F5E36"/>
    <w:rsid w:val="005119A5"/>
    <w:rsid w:val="005278B7"/>
    <w:rsid w:val="005346C8"/>
    <w:rsid w:val="00560EE1"/>
    <w:rsid w:val="00594E9F"/>
    <w:rsid w:val="005B61E6"/>
    <w:rsid w:val="005C77E1"/>
    <w:rsid w:val="005D3F5B"/>
    <w:rsid w:val="005D6A2F"/>
    <w:rsid w:val="005E1A82"/>
    <w:rsid w:val="005F0A28"/>
    <w:rsid w:val="005F0E5E"/>
    <w:rsid w:val="00617D4E"/>
    <w:rsid w:val="00620DEE"/>
    <w:rsid w:val="00625639"/>
    <w:rsid w:val="006366F8"/>
    <w:rsid w:val="0064184D"/>
    <w:rsid w:val="00660E3E"/>
    <w:rsid w:val="00662E74"/>
    <w:rsid w:val="006B01AC"/>
    <w:rsid w:val="006C5579"/>
    <w:rsid w:val="00704BDF"/>
    <w:rsid w:val="00736B13"/>
    <w:rsid w:val="007447F3"/>
    <w:rsid w:val="007661C8"/>
    <w:rsid w:val="007D52CD"/>
    <w:rsid w:val="007F61C3"/>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61DBF"/>
    <w:rsid w:val="00BC30C9"/>
    <w:rsid w:val="00BE3E58"/>
    <w:rsid w:val="00C01616"/>
    <w:rsid w:val="00C0162B"/>
    <w:rsid w:val="00C345B1"/>
    <w:rsid w:val="00C40142"/>
    <w:rsid w:val="00C51D8F"/>
    <w:rsid w:val="00C57182"/>
    <w:rsid w:val="00C655FD"/>
    <w:rsid w:val="00C81474"/>
    <w:rsid w:val="00C94434"/>
    <w:rsid w:val="00CA1C95"/>
    <w:rsid w:val="00CA5A9C"/>
    <w:rsid w:val="00CC3F4B"/>
    <w:rsid w:val="00CD5FE2"/>
    <w:rsid w:val="00D02B4C"/>
    <w:rsid w:val="00D84576"/>
    <w:rsid w:val="00DE0019"/>
    <w:rsid w:val="00DE264A"/>
    <w:rsid w:val="00E041E7"/>
    <w:rsid w:val="00E23CA1"/>
    <w:rsid w:val="00E409A8"/>
    <w:rsid w:val="00E47211"/>
    <w:rsid w:val="00E473B9"/>
    <w:rsid w:val="00E61393"/>
    <w:rsid w:val="00E7209D"/>
    <w:rsid w:val="00EA50E1"/>
    <w:rsid w:val="00EA566E"/>
    <w:rsid w:val="00EE0131"/>
    <w:rsid w:val="00F30C64"/>
    <w:rsid w:val="00F56931"/>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7609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customStyle="1" w:styleId="N1AuthorAddressChar">
    <w:name w:val="N1 Author Address Char"/>
    <w:link w:val="N1AuthorAddress"/>
    <w:locked/>
    <w:rsid w:val="00E61393"/>
    <w:rPr>
      <w:rFonts w:ascii="Times New Roman" w:eastAsia="Calibri" w:hAnsi="Times New Roman" w:cs="Times New Roman"/>
      <w:w w:val="105"/>
      <w:sz w:val="16"/>
      <w:szCs w:val="16"/>
      <w:lang w:val="en-GB"/>
    </w:rPr>
  </w:style>
  <w:style w:type="paragraph" w:customStyle="1" w:styleId="N1AuthorAddress">
    <w:name w:val="N1 Author Address"/>
    <w:basedOn w:val="Normal"/>
    <w:link w:val="N1AuthorAddressChar"/>
    <w:qFormat/>
    <w:rsid w:val="00E61393"/>
    <w:pPr>
      <w:tabs>
        <w:tab w:val="clear" w:pos="7100"/>
      </w:tabs>
      <w:spacing w:line="180" w:lineRule="exact"/>
    </w:pPr>
    <w:rPr>
      <w:rFonts w:ascii="Times New Roman" w:eastAsia="Calibri" w:hAnsi="Times New Roman"/>
      <w:w w:val="105"/>
      <w:sz w:val="16"/>
      <w:szCs w:val="16"/>
    </w:rPr>
  </w:style>
  <w:style w:type="character" w:styleId="Hyperlink">
    <w:name w:val="Hyperlink"/>
    <w:basedOn w:val="DefaultParagraphFont"/>
    <w:uiPriority w:val="99"/>
    <w:semiHidden/>
    <w:unhideWhenUsed/>
    <w:locked/>
    <w:rsid w:val="005D3F5B"/>
    <w:rPr>
      <w:color w:val="0000FF" w:themeColor="hyperlink"/>
      <w:u w:val="single"/>
    </w:rPr>
  </w:style>
  <w:style w:type="table" w:customStyle="1" w:styleId="LightShading1">
    <w:name w:val="Light Shading1"/>
    <w:basedOn w:val="TableNormal"/>
    <w:next w:val="LightShading"/>
    <w:uiPriority w:val="60"/>
    <w:rsid w:val="00361B51"/>
    <w:pPr>
      <w:spacing w:after="0" w:line="240" w:lineRule="auto"/>
    </w:pPr>
    <w:rPr>
      <w:color w:val="000000"/>
      <w:lang w:val="en-I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locked/>
    <w:rsid w:val="00361B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71592">
      <w:bodyDiv w:val="1"/>
      <w:marLeft w:val="0"/>
      <w:marRight w:val="0"/>
      <w:marTop w:val="0"/>
      <w:marBottom w:val="0"/>
      <w:divBdr>
        <w:top w:val="none" w:sz="0" w:space="0" w:color="auto"/>
        <w:left w:val="none" w:sz="0" w:space="0" w:color="auto"/>
        <w:bottom w:val="none" w:sz="0" w:space="0" w:color="auto"/>
        <w:right w:val="none" w:sz="0" w:space="0" w:color="auto"/>
      </w:divBdr>
    </w:div>
    <w:div w:id="1727023019">
      <w:bodyDiv w:val="1"/>
      <w:marLeft w:val="0"/>
      <w:marRight w:val="0"/>
      <w:marTop w:val="0"/>
      <w:marBottom w:val="0"/>
      <w:divBdr>
        <w:top w:val="none" w:sz="0" w:space="0" w:color="auto"/>
        <w:left w:val="none" w:sz="0" w:space="0" w:color="auto"/>
        <w:bottom w:val="none" w:sz="0" w:space="0" w:color="auto"/>
        <w:right w:val="none" w:sz="0" w:space="0" w:color="auto"/>
      </w:divBdr>
    </w:div>
    <w:div w:id="1772167127">
      <w:bodyDiv w:val="1"/>
      <w:marLeft w:val="0"/>
      <w:marRight w:val="0"/>
      <w:marTop w:val="0"/>
      <w:marBottom w:val="0"/>
      <w:divBdr>
        <w:top w:val="none" w:sz="0" w:space="0" w:color="auto"/>
        <w:left w:val="none" w:sz="0" w:space="0" w:color="auto"/>
        <w:bottom w:val="none" w:sz="0" w:space="0" w:color="auto"/>
        <w:right w:val="none" w:sz="0" w:space="0" w:color="auto"/>
      </w:divBdr>
    </w:div>
    <w:div w:id="19151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83CB4-C878-475D-BFD8-6D13968D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896</Words>
  <Characters>5111</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Michel Eppink</cp:lastModifiedBy>
  <cp:revision>5</cp:revision>
  <cp:lastPrinted>2015-05-12T18:31:00Z</cp:lastPrinted>
  <dcterms:created xsi:type="dcterms:W3CDTF">2019-02-15T10:54:00Z</dcterms:created>
  <dcterms:modified xsi:type="dcterms:W3CDTF">2019-02-24T17:00:00Z</dcterms:modified>
</cp:coreProperties>
</file>