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43D4B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07206554" w14:textId="281DCAF3" w:rsidR="00704BDF" w:rsidRPr="00DE0019" w:rsidRDefault="00047DA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Analysis </w:t>
      </w:r>
      <w:r w:rsidR="00F536C4">
        <w:rPr>
          <w:rFonts w:asciiTheme="minorHAnsi" w:eastAsia="MS PGothic" w:hAnsiTheme="minorHAnsi"/>
          <w:b/>
          <w:bCs/>
          <w:sz w:val="28"/>
          <w:szCs w:val="28"/>
          <w:lang w:val="en-US"/>
        </w:rPr>
        <w:t>of gas-liquid mass transfer around ascending microbubbles</w:t>
      </w:r>
    </w:p>
    <w:p w14:paraId="00DBFD65" w14:textId="77777777" w:rsidR="00DE0019" w:rsidRPr="00D948D7" w:rsidRDefault="00D948D7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D948D7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Audrey Devatine</w:t>
      </w:r>
      <w:r w:rsidR="00704BDF" w:rsidRPr="00D948D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r w:rsidR="00736B13" w:rsidRPr="00D948D7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Pr="00D948D7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Carine Julcour</w:t>
      </w:r>
      <w:r w:rsidRPr="006925B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Pr="00D948D7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Anne-Marie Billet</w:t>
      </w:r>
      <w:r w:rsidR="006925B9" w:rsidRPr="006925B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</w:p>
    <w:p w14:paraId="1294AFCF" w14:textId="77777777" w:rsidR="00A153A9" w:rsidRPr="00A153A9" w:rsidRDefault="00A153A9" w:rsidP="00704BDF">
      <w:pPr>
        <w:snapToGrid w:val="0"/>
        <w:jc w:val="center"/>
        <w:rPr>
          <w:rFonts w:asciiTheme="minorHAnsi" w:hAnsiTheme="minorHAnsi"/>
          <w:bCs/>
          <w:i/>
          <w:sz w:val="20"/>
          <w:lang w:val="fr-FR"/>
        </w:rPr>
      </w:pPr>
      <w:r w:rsidRPr="00A153A9">
        <w:rPr>
          <w:rFonts w:asciiTheme="minorHAnsi" w:hAnsiTheme="minorHAnsi"/>
          <w:bCs/>
          <w:i/>
          <w:sz w:val="20"/>
          <w:vertAlign w:val="superscript"/>
          <w:lang w:val="fr-FR"/>
        </w:rPr>
        <w:t>1</w:t>
      </w:r>
      <w:r w:rsidRPr="00A153A9">
        <w:rPr>
          <w:rFonts w:asciiTheme="minorHAnsi" w:hAnsiTheme="minorHAnsi"/>
          <w:bCs/>
          <w:i/>
          <w:sz w:val="20"/>
          <w:lang w:val="fr-FR"/>
        </w:rPr>
        <w:t>Laboratoire de Génie Chimique, Université de Toulouse, CNRS, INPT, UPS, Toulouse, France</w:t>
      </w:r>
    </w:p>
    <w:p w14:paraId="6D2960CE" w14:textId="77777777" w:rsidR="00704BDF" w:rsidRPr="003C2ABF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</w:rPr>
      </w:pPr>
      <w:r w:rsidRPr="003C2ABF">
        <w:rPr>
          <w:rFonts w:asciiTheme="minorHAnsi" w:eastAsia="MS PGothic" w:hAnsiTheme="minorHAnsi"/>
          <w:bCs/>
          <w:i/>
          <w:iCs/>
          <w:color w:val="000000"/>
          <w:sz w:val="20"/>
        </w:rPr>
        <w:t>*Corresponding author</w:t>
      </w:r>
      <w:r w:rsidRPr="003C2ABF">
        <w:rPr>
          <w:rFonts w:asciiTheme="minorHAnsi" w:eastAsia="MS PGothic" w:hAnsiTheme="minorHAnsi"/>
          <w:bCs/>
          <w:i/>
          <w:iCs/>
          <w:sz w:val="20"/>
          <w:lang w:eastAsia="ko-KR"/>
        </w:rPr>
        <w:t>:</w:t>
      </w:r>
      <w:r w:rsidRPr="003C2ABF">
        <w:rPr>
          <w:rFonts w:asciiTheme="minorHAnsi" w:eastAsia="MS PGothic" w:hAnsiTheme="minorHAnsi"/>
          <w:bCs/>
          <w:i/>
          <w:iCs/>
          <w:sz w:val="20"/>
        </w:rPr>
        <w:t xml:space="preserve"> </w:t>
      </w:r>
      <w:r w:rsidR="00D948D7" w:rsidRPr="003C2ABF">
        <w:rPr>
          <w:rFonts w:asciiTheme="minorHAnsi" w:eastAsia="MS PGothic" w:hAnsiTheme="minorHAnsi"/>
          <w:bCs/>
          <w:i/>
          <w:iCs/>
          <w:sz w:val="20"/>
        </w:rPr>
        <w:t>audrey.devatine@ensiacet.fr</w:t>
      </w:r>
    </w:p>
    <w:p w14:paraId="6773A48D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A7C920F" w14:textId="1C0054AE" w:rsidR="00F536C4" w:rsidRDefault="00F536C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Experimental device </w:t>
      </w:r>
      <w:r w:rsidR="008705C2">
        <w:rPr>
          <w:rFonts w:asciiTheme="minorHAnsi" w:hAnsiTheme="minorHAnsi"/>
        </w:rPr>
        <w:t xml:space="preserve">that generates a </w:t>
      </w:r>
      <w:r w:rsidR="003B537D">
        <w:rPr>
          <w:rFonts w:asciiTheme="minorHAnsi" w:hAnsiTheme="minorHAnsi"/>
        </w:rPr>
        <w:t>chain</w:t>
      </w:r>
      <w:r w:rsidR="008705C2">
        <w:rPr>
          <w:rFonts w:asciiTheme="minorHAnsi" w:hAnsiTheme="minorHAnsi"/>
        </w:rPr>
        <w:t xml:space="preserve"> of </w:t>
      </w:r>
      <w:r w:rsidR="00A241EC">
        <w:rPr>
          <w:rFonts w:asciiTheme="minorHAnsi" w:hAnsiTheme="minorHAnsi"/>
        </w:rPr>
        <w:t xml:space="preserve">individual </w:t>
      </w:r>
      <w:r w:rsidR="00F82BAA">
        <w:rPr>
          <w:rFonts w:asciiTheme="minorHAnsi" w:hAnsiTheme="minorHAnsi"/>
        </w:rPr>
        <w:t xml:space="preserve">sub-millimeter </w:t>
      </w:r>
      <w:r w:rsidR="008705C2">
        <w:rPr>
          <w:rFonts w:asciiTheme="minorHAnsi" w:hAnsiTheme="minorHAnsi"/>
        </w:rPr>
        <w:t>bubbles</w:t>
      </w:r>
    </w:p>
    <w:p w14:paraId="77FC254F" w14:textId="47CCCA33" w:rsidR="008705C2" w:rsidRDefault="008705C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Coupl</w:t>
      </w:r>
      <w:r w:rsidR="007119F3">
        <w:rPr>
          <w:rFonts w:asciiTheme="minorHAnsi" w:hAnsiTheme="minorHAnsi"/>
        </w:rPr>
        <w:t>e</w:t>
      </w:r>
      <w:r w:rsidR="003B537D">
        <w:rPr>
          <w:rFonts w:asciiTheme="minorHAnsi" w:hAnsiTheme="minorHAnsi"/>
        </w:rPr>
        <w:t>d experimental techniques: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ombroscopy</w:t>
      </w:r>
      <w:proofErr w:type="spellEnd"/>
      <w:r>
        <w:rPr>
          <w:rFonts w:asciiTheme="minorHAnsi" w:hAnsiTheme="minorHAnsi"/>
        </w:rPr>
        <w:t xml:space="preserve"> </w:t>
      </w:r>
      <w:r w:rsidR="003B537D">
        <w:rPr>
          <w:rFonts w:asciiTheme="minorHAnsi" w:hAnsiTheme="minorHAnsi"/>
        </w:rPr>
        <w:t>and</w:t>
      </w:r>
      <w:r>
        <w:rPr>
          <w:rFonts w:asciiTheme="minorHAnsi" w:hAnsiTheme="minorHAnsi"/>
        </w:rPr>
        <w:t xml:space="preserve"> </w:t>
      </w:r>
      <w:r w:rsidR="00742056">
        <w:rPr>
          <w:rFonts w:asciiTheme="minorHAnsi" w:hAnsiTheme="minorHAnsi"/>
        </w:rPr>
        <w:t xml:space="preserve">optical </w:t>
      </w:r>
      <w:r w:rsidR="003B537D">
        <w:rPr>
          <w:rFonts w:asciiTheme="minorHAnsi" w:hAnsiTheme="minorHAnsi"/>
        </w:rPr>
        <w:t>recording</w:t>
      </w:r>
      <w:r w:rsidR="00742056">
        <w:rPr>
          <w:rFonts w:asciiTheme="minorHAnsi" w:hAnsiTheme="minorHAnsi"/>
        </w:rPr>
        <w:t xml:space="preserve"> of dissolved oxygen </w:t>
      </w:r>
      <w:r w:rsidR="00566E3F">
        <w:rPr>
          <w:rFonts w:asciiTheme="minorHAnsi" w:hAnsiTheme="minorHAnsi"/>
        </w:rPr>
        <w:t>concentration</w:t>
      </w:r>
    </w:p>
    <w:p w14:paraId="1F303C11" w14:textId="4EDE56DC" w:rsidR="00704BDF" w:rsidRPr="00EC66CC" w:rsidRDefault="008C1AB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Mass transfer model accounting for the composition variation of </w:t>
      </w:r>
      <w:r w:rsidR="00A241EC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rising bubbles </w:t>
      </w:r>
    </w:p>
    <w:p w14:paraId="187D0F1A" w14:textId="6E073A20" w:rsidR="00704BDF" w:rsidRDefault="00F82BAA" w:rsidP="004B384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Evaluation</w:t>
      </w:r>
      <w:r w:rsidR="00F536C4">
        <w:rPr>
          <w:rFonts w:asciiTheme="minorHAnsi" w:hAnsiTheme="minorHAnsi"/>
        </w:rPr>
        <w:t xml:space="preserve"> </w:t>
      </w:r>
      <w:r w:rsidR="008C1AB5">
        <w:rPr>
          <w:rFonts w:asciiTheme="minorHAnsi" w:hAnsiTheme="minorHAnsi"/>
        </w:rPr>
        <w:t xml:space="preserve">and analysis </w:t>
      </w:r>
      <w:r w:rsidR="00F536C4">
        <w:rPr>
          <w:rFonts w:asciiTheme="minorHAnsi" w:hAnsiTheme="minorHAnsi"/>
        </w:rPr>
        <w:t xml:space="preserve">of the </w:t>
      </w:r>
      <w:r w:rsidR="00F2771A">
        <w:rPr>
          <w:rFonts w:asciiTheme="minorHAnsi" w:hAnsiTheme="minorHAnsi"/>
        </w:rPr>
        <w:t>liquid</w:t>
      </w:r>
      <w:r>
        <w:rPr>
          <w:rFonts w:asciiTheme="minorHAnsi" w:hAnsiTheme="minorHAnsi"/>
        </w:rPr>
        <w:t>-</w:t>
      </w:r>
      <w:r w:rsidR="00F2771A">
        <w:rPr>
          <w:rFonts w:asciiTheme="minorHAnsi" w:hAnsiTheme="minorHAnsi"/>
        </w:rPr>
        <w:t xml:space="preserve">side </w:t>
      </w:r>
      <w:r w:rsidR="00F536C4">
        <w:rPr>
          <w:rFonts w:asciiTheme="minorHAnsi" w:hAnsiTheme="minorHAnsi"/>
        </w:rPr>
        <w:t>mass transfer coefficient</w:t>
      </w:r>
      <w:r>
        <w:rPr>
          <w:rFonts w:asciiTheme="minorHAnsi" w:hAnsiTheme="minorHAnsi"/>
        </w:rPr>
        <w:t xml:space="preserve"> </w:t>
      </w:r>
      <w:r w:rsidR="003B537D">
        <w:rPr>
          <w:rFonts w:asciiTheme="minorHAnsi" w:hAnsiTheme="minorHAnsi"/>
        </w:rPr>
        <w:t>associated to</w:t>
      </w:r>
      <w:r>
        <w:rPr>
          <w:rFonts w:asciiTheme="minorHAnsi" w:hAnsiTheme="minorHAnsi"/>
        </w:rPr>
        <w:t xml:space="preserve"> microbubbles</w:t>
      </w:r>
    </w:p>
    <w:p w14:paraId="10B91165" w14:textId="77777777" w:rsidR="004B3844" w:rsidRPr="004B3844" w:rsidRDefault="004B3844" w:rsidP="00BC3871">
      <w:pPr>
        <w:pStyle w:val="AbstractBody"/>
        <w:ind w:left="0"/>
        <w:rPr>
          <w:rFonts w:asciiTheme="minorHAnsi" w:hAnsiTheme="minorHAnsi"/>
        </w:rPr>
      </w:pPr>
    </w:p>
    <w:p w14:paraId="26DD04F8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B90DB3E" w14:textId="5DBCEF6E" w:rsidR="00C054E7" w:rsidRDefault="00F536C4" w:rsidP="00F536C4">
      <w:pPr>
        <w:rPr>
          <w:rFonts w:asciiTheme="minorHAnsi" w:hAnsiTheme="minorHAnsi" w:cstheme="minorHAnsi"/>
          <w:sz w:val="22"/>
          <w:szCs w:val="22"/>
        </w:rPr>
      </w:pPr>
      <w:r w:rsidRPr="00BE2B5E">
        <w:rPr>
          <w:rFonts w:asciiTheme="minorHAnsi" w:hAnsiTheme="minorHAnsi" w:cstheme="minorHAnsi"/>
          <w:sz w:val="22"/>
          <w:szCs w:val="22"/>
        </w:rPr>
        <w:t xml:space="preserve">Gas-liquid transfer using micro bubbles (i.e. smaller than 1 mm) is a specific operation which is encountered for instance in wine processing or </w:t>
      </w:r>
      <w:r w:rsidR="00F2771A">
        <w:rPr>
          <w:rFonts w:asciiTheme="minorHAnsi" w:hAnsiTheme="minorHAnsi" w:cstheme="minorHAnsi"/>
          <w:sz w:val="22"/>
          <w:szCs w:val="22"/>
        </w:rPr>
        <w:t xml:space="preserve">for oxygenation of </w:t>
      </w:r>
      <w:r w:rsidRPr="00BE2B5E">
        <w:rPr>
          <w:rFonts w:asciiTheme="minorHAnsi" w:hAnsiTheme="minorHAnsi" w:cstheme="minorHAnsi"/>
          <w:sz w:val="22"/>
          <w:szCs w:val="22"/>
        </w:rPr>
        <w:t xml:space="preserve">stress sensitive cell culture. </w:t>
      </w:r>
      <w:r w:rsidR="008705C2">
        <w:rPr>
          <w:rFonts w:asciiTheme="minorHAnsi" w:hAnsiTheme="minorHAnsi" w:cstheme="minorHAnsi"/>
          <w:sz w:val="22"/>
          <w:szCs w:val="22"/>
        </w:rPr>
        <w:t>However</w:t>
      </w:r>
      <w:r w:rsidRPr="00BE2B5E">
        <w:rPr>
          <w:rFonts w:asciiTheme="minorHAnsi" w:hAnsiTheme="minorHAnsi" w:cstheme="minorHAnsi"/>
          <w:sz w:val="22"/>
          <w:szCs w:val="22"/>
        </w:rPr>
        <w:t xml:space="preserve">, mass transfer performance obtained with </w:t>
      </w:r>
      <w:r w:rsidR="008705C2">
        <w:rPr>
          <w:rFonts w:asciiTheme="minorHAnsi" w:hAnsiTheme="minorHAnsi" w:cstheme="minorHAnsi"/>
          <w:sz w:val="22"/>
          <w:szCs w:val="22"/>
        </w:rPr>
        <w:t>a</w:t>
      </w:r>
      <w:r w:rsidR="008705C2" w:rsidRPr="00BE2B5E">
        <w:rPr>
          <w:rFonts w:asciiTheme="minorHAnsi" w:hAnsiTheme="minorHAnsi" w:cstheme="minorHAnsi"/>
          <w:sz w:val="22"/>
          <w:szCs w:val="22"/>
        </w:rPr>
        <w:t xml:space="preserve"> </w:t>
      </w:r>
      <w:r w:rsidRPr="00BE2B5E">
        <w:rPr>
          <w:rFonts w:asciiTheme="minorHAnsi" w:hAnsiTheme="minorHAnsi" w:cstheme="minorHAnsi"/>
          <w:sz w:val="22"/>
          <w:szCs w:val="22"/>
        </w:rPr>
        <w:t>swarm of microbubbles has been rare</w:t>
      </w:r>
      <w:r w:rsidR="00474FE9">
        <w:rPr>
          <w:rFonts w:asciiTheme="minorHAnsi" w:hAnsiTheme="minorHAnsi" w:cstheme="minorHAnsi"/>
          <w:sz w:val="22"/>
          <w:szCs w:val="22"/>
        </w:rPr>
        <w:t>ly studied (</w:t>
      </w:r>
      <w:proofErr w:type="spellStart"/>
      <w:r w:rsidR="00E03170">
        <w:rPr>
          <w:rFonts w:asciiTheme="minorHAnsi" w:hAnsiTheme="minorHAnsi" w:cstheme="minorHAnsi"/>
          <w:sz w:val="22"/>
          <w:szCs w:val="22"/>
        </w:rPr>
        <w:t>Chiciuc</w:t>
      </w:r>
      <w:proofErr w:type="spellEnd"/>
      <w:r w:rsidR="00E03170">
        <w:rPr>
          <w:rFonts w:asciiTheme="minorHAnsi" w:hAnsiTheme="minorHAnsi" w:cstheme="minorHAnsi"/>
          <w:sz w:val="22"/>
          <w:szCs w:val="22"/>
        </w:rPr>
        <w:t xml:space="preserve"> et al., 2010; </w:t>
      </w:r>
      <w:r w:rsidR="0098228E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Devatine et al., 2013</w:t>
      </w:r>
      <w:r w:rsidRPr="00BE2B5E">
        <w:rPr>
          <w:rFonts w:asciiTheme="minorHAnsi" w:hAnsiTheme="minorHAnsi" w:cstheme="minorHAnsi"/>
          <w:sz w:val="22"/>
          <w:szCs w:val="22"/>
        </w:rPr>
        <w:t>) and</w:t>
      </w:r>
      <w:r w:rsidR="0049638A">
        <w:rPr>
          <w:rFonts w:asciiTheme="minorHAnsi" w:hAnsiTheme="minorHAnsi" w:cstheme="minorHAnsi"/>
          <w:sz w:val="22"/>
          <w:szCs w:val="22"/>
        </w:rPr>
        <w:t xml:space="preserve"> available </w:t>
      </w:r>
      <w:r w:rsidR="00A85C00">
        <w:rPr>
          <w:rFonts w:asciiTheme="minorHAnsi" w:hAnsiTheme="minorHAnsi" w:cstheme="minorHAnsi"/>
          <w:sz w:val="22"/>
          <w:szCs w:val="22"/>
        </w:rPr>
        <w:t>correlations for</w:t>
      </w:r>
      <w:r w:rsidRPr="00BE2B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05C2">
        <w:rPr>
          <w:rFonts w:asciiTheme="minorHAnsi" w:hAnsiTheme="minorHAnsi" w:cstheme="minorHAnsi"/>
          <w:sz w:val="22"/>
          <w:szCs w:val="22"/>
        </w:rPr>
        <w:t>millimet</w:t>
      </w:r>
      <w:r w:rsidR="0049638A">
        <w:rPr>
          <w:rFonts w:asciiTheme="minorHAnsi" w:hAnsiTheme="minorHAnsi" w:cstheme="minorHAnsi"/>
          <w:sz w:val="22"/>
          <w:szCs w:val="22"/>
        </w:rPr>
        <w:t>er</w:t>
      </w:r>
      <w:proofErr w:type="spellEnd"/>
      <w:r w:rsidR="008705C2">
        <w:rPr>
          <w:rFonts w:asciiTheme="minorHAnsi" w:hAnsiTheme="minorHAnsi" w:cstheme="minorHAnsi"/>
          <w:sz w:val="22"/>
          <w:szCs w:val="22"/>
        </w:rPr>
        <w:t>-sized</w:t>
      </w:r>
      <w:r w:rsidR="008705C2" w:rsidRPr="00BE2B5E">
        <w:rPr>
          <w:rFonts w:asciiTheme="minorHAnsi" w:hAnsiTheme="minorHAnsi" w:cstheme="minorHAnsi"/>
          <w:sz w:val="22"/>
          <w:szCs w:val="22"/>
        </w:rPr>
        <w:t xml:space="preserve"> </w:t>
      </w:r>
      <w:r w:rsidRPr="00BE2B5E">
        <w:rPr>
          <w:rFonts w:asciiTheme="minorHAnsi" w:hAnsiTheme="minorHAnsi" w:cstheme="minorHAnsi"/>
          <w:sz w:val="22"/>
          <w:szCs w:val="22"/>
        </w:rPr>
        <w:t>bubbles</w:t>
      </w:r>
      <w:r w:rsidR="00A85C00">
        <w:rPr>
          <w:rFonts w:asciiTheme="minorHAnsi" w:hAnsiTheme="minorHAnsi" w:cstheme="minorHAnsi"/>
          <w:sz w:val="22"/>
          <w:szCs w:val="22"/>
        </w:rPr>
        <w:t xml:space="preserve"> are usually extrapolated</w:t>
      </w:r>
      <w:r w:rsidR="00492D7F">
        <w:rPr>
          <w:rFonts w:asciiTheme="minorHAnsi" w:hAnsiTheme="minorHAnsi" w:cstheme="minorHAnsi"/>
          <w:sz w:val="22"/>
          <w:szCs w:val="22"/>
        </w:rPr>
        <w:t xml:space="preserve"> to this case</w:t>
      </w:r>
      <w:r w:rsidRPr="00BE2B5E">
        <w:rPr>
          <w:rFonts w:asciiTheme="minorHAnsi" w:hAnsiTheme="minorHAnsi" w:cstheme="minorHAnsi"/>
          <w:sz w:val="22"/>
          <w:szCs w:val="22"/>
        </w:rPr>
        <w:t xml:space="preserve">. In this work, we have designed a </w:t>
      </w:r>
      <w:r w:rsidR="0049638A">
        <w:rPr>
          <w:rFonts w:asciiTheme="minorHAnsi" w:hAnsiTheme="minorHAnsi" w:cstheme="minorHAnsi"/>
          <w:sz w:val="22"/>
          <w:szCs w:val="22"/>
        </w:rPr>
        <w:t>dedicated</w:t>
      </w:r>
      <w:r w:rsidR="0049638A" w:rsidRPr="00BE2B5E">
        <w:rPr>
          <w:rFonts w:asciiTheme="minorHAnsi" w:hAnsiTheme="minorHAnsi" w:cstheme="minorHAnsi"/>
          <w:sz w:val="22"/>
          <w:szCs w:val="22"/>
        </w:rPr>
        <w:t xml:space="preserve"> </w:t>
      </w:r>
      <w:r w:rsidRPr="00BE2B5E">
        <w:rPr>
          <w:rFonts w:asciiTheme="minorHAnsi" w:hAnsiTheme="minorHAnsi" w:cstheme="minorHAnsi"/>
          <w:sz w:val="22"/>
          <w:szCs w:val="22"/>
        </w:rPr>
        <w:t xml:space="preserve">device </w:t>
      </w:r>
      <w:r w:rsidR="0049638A">
        <w:rPr>
          <w:rFonts w:asciiTheme="minorHAnsi" w:hAnsiTheme="minorHAnsi" w:cstheme="minorHAnsi"/>
          <w:sz w:val="22"/>
          <w:szCs w:val="22"/>
        </w:rPr>
        <w:t>allowing</w:t>
      </w:r>
      <w:r w:rsidRPr="00BE2B5E">
        <w:rPr>
          <w:rFonts w:asciiTheme="minorHAnsi" w:hAnsiTheme="minorHAnsi" w:cstheme="minorHAnsi"/>
          <w:sz w:val="22"/>
          <w:szCs w:val="22"/>
        </w:rPr>
        <w:t xml:space="preserve"> stud</w:t>
      </w:r>
      <w:r w:rsidR="00047DA5">
        <w:rPr>
          <w:rFonts w:asciiTheme="minorHAnsi" w:hAnsiTheme="minorHAnsi" w:cstheme="minorHAnsi"/>
          <w:sz w:val="22"/>
          <w:szCs w:val="22"/>
        </w:rPr>
        <w:t>ying</w:t>
      </w:r>
      <w:r w:rsidRPr="00BE2B5E">
        <w:rPr>
          <w:rFonts w:asciiTheme="minorHAnsi" w:hAnsiTheme="minorHAnsi" w:cstheme="minorHAnsi"/>
          <w:sz w:val="22"/>
          <w:szCs w:val="22"/>
        </w:rPr>
        <w:t xml:space="preserve"> mass transfer around a single ascending microbubble</w:t>
      </w:r>
      <w:r w:rsidR="00A241EC">
        <w:rPr>
          <w:rFonts w:asciiTheme="minorHAnsi" w:hAnsiTheme="minorHAnsi" w:cstheme="minorHAnsi"/>
          <w:sz w:val="22"/>
          <w:szCs w:val="22"/>
        </w:rPr>
        <w:t>.</w:t>
      </w:r>
      <w:r w:rsidRPr="00BE2B5E">
        <w:rPr>
          <w:rFonts w:asciiTheme="minorHAnsi" w:hAnsiTheme="minorHAnsi" w:cstheme="minorHAnsi"/>
          <w:sz w:val="22"/>
          <w:szCs w:val="22"/>
        </w:rPr>
        <w:t xml:space="preserve"> </w:t>
      </w:r>
      <w:r w:rsidR="005F255C">
        <w:rPr>
          <w:rFonts w:asciiTheme="minorHAnsi" w:hAnsiTheme="minorHAnsi" w:cstheme="minorHAnsi"/>
          <w:sz w:val="22"/>
          <w:szCs w:val="22"/>
        </w:rPr>
        <w:t>T</w:t>
      </w:r>
      <w:r w:rsidRPr="00BE2B5E">
        <w:rPr>
          <w:rFonts w:asciiTheme="minorHAnsi" w:hAnsiTheme="minorHAnsi" w:cstheme="minorHAnsi"/>
          <w:sz w:val="22"/>
          <w:szCs w:val="22"/>
        </w:rPr>
        <w:t xml:space="preserve">he </w:t>
      </w:r>
      <w:r w:rsidR="000A26B3" w:rsidRPr="00BE2B5E">
        <w:rPr>
          <w:rFonts w:asciiTheme="minorHAnsi" w:hAnsiTheme="minorHAnsi" w:cstheme="minorHAnsi"/>
          <w:sz w:val="22"/>
          <w:szCs w:val="22"/>
        </w:rPr>
        <w:t>liquid</w:t>
      </w:r>
      <w:r w:rsidR="000A26B3">
        <w:rPr>
          <w:rFonts w:asciiTheme="minorHAnsi" w:hAnsiTheme="minorHAnsi" w:cstheme="minorHAnsi"/>
          <w:sz w:val="22"/>
          <w:szCs w:val="22"/>
        </w:rPr>
        <w:t>-</w:t>
      </w:r>
      <w:r w:rsidR="00F2771A">
        <w:rPr>
          <w:rFonts w:asciiTheme="minorHAnsi" w:hAnsiTheme="minorHAnsi" w:cstheme="minorHAnsi"/>
          <w:sz w:val="22"/>
          <w:szCs w:val="22"/>
        </w:rPr>
        <w:t xml:space="preserve">side </w:t>
      </w:r>
      <w:r w:rsidRPr="00BE2B5E">
        <w:rPr>
          <w:rFonts w:asciiTheme="minorHAnsi" w:hAnsiTheme="minorHAnsi" w:cstheme="minorHAnsi"/>
          <w:sz w:val="22"/>
          <w:szCs w:val="22"/>
        </w:rPr>
        <w:t>mass tran</w:t>
      </w:r>
      <w:r w:rsidR="00F2771A">
        <w:rPr>
          <w:rFonts w:asciiTheme="minorHAnsi" w:hAnsiTheme="minorHAnsi" w:cstheme="minorHAnsi"/>
          <w:sz w:val="22"/>
          <w:szCs w:val="22"/>
        </w:rPr>
        <w:t>s</w:t>
      </w:r>
      <w:r w:rsidRPr="00BE2B5E">
        <w:rPr>
          <w:rFonts w:asciiTheme="minorHAnsi" w:hAnsiTheme="minorHAnsi" w:cstheme="minorHAnsi"/>
          <w:sz w:val="22"/>
          <w:szCs w:val="22"/>
        </w:rPr>
        <w:t xml:space="preserve">fer coefficient </w:t>
      </w:r>
      <w:proofErr w:type="gramStart"/>
      <w:r w:rsidR="006925B9">
        <w:rPr>
          <w:rFonts w:asciiTheme="minorHAnsi" w:hAnsiTheme="minorHAnsi" w:cstheme="minorHAnsi"/>
          <w:sz w:val="22"/>
          <w:szCs w:val="22"/>
        </w:rPr>
        <w:t>i</w:t>
      </w:r>
      <w:r w:rsidRPr="00BE2B5E">
        <w:rPr>
          <w:rFonts w:asciiTheme="minorHAnsi" w:hAnsiTheme="minorHAnsi" w:cstheme="minorHAnsi"/>
          <w:sz w:val="22"/>
          <w:szCs w:val="22"/>
        </w:rPr>
        <w:t xml:space="preserve">s </w:t>
      </w:r>
      <w:r w:rsidR="005F255C">
        <w:rPr>
          <w:rFonts w:asciiTheme="minorHAnsi" w:hAnsiTheme="minorHAnsi" w:cstheme="minorHAnsi"/>
          <w:sz w:val="22"/>
          <w:szCs w:val="22"/>
        </w:rPr>
        <w:t xml:space="preserve">then </w:t>
      </w:r>
      <w:r w:rsidRPr="00BE2B5E">
        <w:rPr>
          <w:rFonts w:asciiTheme="minorHAnsi" w:hAnsiTheme="minorHAnsi" w:cstheme="minorHAnsi"/>
          <w:sz w:val="22"/>
          <w:szCs w:val="22"/>
        </w:rPr>
        <w:t>obtained</w:t>
      </w:r>
      <w:proofErr w:type="gramEnd"/>
      <w:r w:rsidRPr="00BE2B5E">
        <w:rPr>
          <w:rFonts w:asciiTheme="minorHAnsi" w:hAnsiTheme="minorHAnsi" w:cstheme="minorHAnsi"/>
          <w:sz w:val="22"/>
          <w:szCs w:val="22"/>
        </w:rPr>
        <w:t xml:space="preserve"> by </w:t>
      </w:r>
      <w:r w:rsidR="005F255C">
        <w:rPr>
          <w:rFonts w:asciiTheme="minorHAnsi" w:hAnsiTheme="minorHAnsi" w:cstheme="minorHAnsi"/>
          <w:sz w:val="22"/>
          <w:szCs w:val="22"/>
        </w:rPr>
        <w:t>interpreting</w:t>
      </w:r>
      <w:r w:rsidR="005F255C" w:rsidRPr="00BE2B5E">
        <w:rPr>
          <w:rFonts w:asciiTheme="minorHAnsi" w:hAnsiTheme="minorHAnsi" w:cstheme="minorHAnsi"/>
          <w:sz w:val="22"/>
          <w:szCs w:val="22"/>
        </w:rPr>
        <w:t xml:space="preserve"> </w:t>
      </w:r>
      <w:r w:rsidRPr="00BE2B5E">
        <w:rPr>
          <w:rFonts w:asciiTheme="minorHAnsi" w:hAnsiTheme="minorHAnsi" w:cstheme="minorHAnsi"/>
          <w:sz w:val="22"/>
          <w:szCs w:val="22"/>
        </w:rPr>
        <w:t xml:space="preserve">the experimental results with a </w:t>
      </w:r>
      <w:r w:rsidR="000A26B3">
        <w:rPr>
          <w:rFonts w:asciiTheme="minorHAnsi" w:hAnsiTheme="minorHAnsi" w:cstheme="minorHAnsi"/>
          <w:sz w:val="22"/>
          <w:szCs w:val="22"/>
        </w:rPr>
        <w:t>convenient</w:t>
      </w:r>
      <w:r w:rsidR="000A26B3" w:rsidRPr="00BE2B5E">
        <w:rPr>
          <w:rFonts w:asciiTheme="minorHAnsi" w:hAnsiTheme="minorHAnsi" w:cstheme="minorHAnsi"/>
          <w:sz w:val="22"/>
          <w:szCs w:val="22"/>
        </w:rPr>
        <w:t xml:space="preserve"> </w:t>
      </w:r>
      <w:r w:rsidRPr="00BE2B5E">
        <w:rPr>
          <w:rFonts w:asciiTheme="minorHAnsi" w:hAnsiTheme="minorHAnsi" w:cstheme="minorHAnsi"/>
          <w:sz w:val="22"/>
          <w:szCs w:val="22"/>
        </w:rPr>
        <w:t>model. The resulting values of the liquid</w:t>
      </w:r>
      <w:r w:rsidR="00A85C00">
        <w:rPr>
          <w:rFonts w:asciiTheme="minorHAnsi" w:hAnsiTheme="minorHAnsi" w:cstheme="minorHAnsi"/>
          <w:sz w:val="22"/>
          <w:szCs w:val="22"/>
        </w:rPr>
        <w:t>-</w:t>
      </w:r>
      <w:r w:rsidRPr="00BE2B5E">
        <w:rPr>
          <w:rFonts w:asciiTheme="minorHAnsi" w:hAnsiTheme="minorHAnsi" w:cstheme="minorHAnsi"/>
          <w:sz w:val="22"/>
          <w:szCs w:val="22"/>
        </w:rPr>
        <w:t xml:space="preserve">mass transfer coefficient </w:t>
      </w:r>
      <w:proofErr w:type="gramStart"/>
      <w:r w:rsidRPr="00BE2B5E">
        <w:rPr>
          <w:rFonts w:asciiTheme="minorHAnsi" w:hAnsiTheme="minorHAnsi" w:cstheme="minorHAnsi"/>
          <w:sz w:val="22"/>
          <w:szCs w:val="22"/>
        </w:rPr>
        <w:t>are compared</w:t>
      </w:r>
      <w:proofErr w:type="gramEnd"/>
      <w:r w:rsidRPr="00BE2B5E">
        <w:rPr>
          <w:rFonts w:asciiTheme="minorHAnsi" w:hAnsiTheme="minorHAnsi" w:cstheme="minorHAnsi"/>
          <w:sz w:val="22"/>
          <w:szCs w:val="22"/>
        </w:rPr>
        <w:t xml:space="preserve"> with </w:t>
      </w:r>
      <w:r w:rsidR="0049638A">
        <w:rPr>
          <w:rFonts w:asciiTheme="minorHAnsi" w:hAnsiTheme="minorHAnsi" w:cstheme="minorHAnsi"/>
          <w:sz w:val="22"/>
          <w:szCs w:val="22"/>
        </w:rPr>
        <w:t>conventional</w:t>
      </w:r>
      <w:r w:rsidR="0049638A" w:rsidRPr="00BE2B5E">
        <w:rPr>
          <w:rFonts w:asciiTheme="minorHAnsi" w:hAnsiTheme="minorHAnsi" w:cstheme="minorHAnsi"/>
          <w:sz w:val="22"/>
          <w:szCs w:val="22"/>
        </w:rPr>
        <w:t xml:space="preserve"> </w:t>
      </w:r>
      <w:r w:rsidRPr="00BE2B5E">
        <w:rPr>
          <w:rFonts w:asciiTheme="minorHAnsi" w:hAnsiTheme="minorHAnsi" w:cstheme="minorHAnsi"/>
          <w:sz w:val="22"/>
          <w:szCs w:val="22"/>
        </w:rPr>
        <w:t xml:space="preserve">correlations </w:t>
      </w:r>
      <w:r w:rsidR="000A26B3">
        <w:rPr>
          <w:rFonts w:asciiTheme="minorHAnsi" w:hAnsiTheme="minorHAnsi" w:cstheme="minorHAnsi"/>
          <w:sz w:val="22"/>
          <w:szCs w:val="22"/>
        </w:rPr>
        <w:t>for</w:t>
      </w:r>
      <w:r w:rsidR="000A26B3" w:rsidRPr="00BE2B5E">
        <w:rPr>
          <w:rFonts w:asciiTheme="minorHAnsi" w:hAnsiTheme="minorHAnsi" w:cstheme="minorHAnsi"/>
          <w:sz w:val="22"/>
          <w:szCs w:val="22"/>
        </w:rPr>
        <w:t xml:space="preserve"> </w:t>
      </w:r>
      <w:r w:rsidRPr="00BE2B5E">
        <w:rPr>
          <w:rFonts w:asciiTheme="minorHAnsi" w:hAnsiTheme="minorHAnsi" w:cstheme="minorHAnsi"/>
          <w:sz w:val="22"/>
          <w:szCs w:val="22"/>
        </w:rPr>
        <w:t xml:space="preserve">mass transfer </w:t>
      </w:r>
      <w:r w:rsidR="00047DA5">
        <w:rPr>
          <w:rFonts w:asciiTheme="minorHAnsi" w:hAnsiTheme="minorHAnsi" w:cstheme="minorHAnsi"/>
          <w:sz w:val="22"/>
          <w:szCs w:val="22"/>
        </w:rPr>
        <w:t>around</w:t>
      </w:r>
      <w:r w:rsidR="00047DA5" w:rsidRPr="00BE2B5E">
        <w:rPr>
          <w:rFonts w:asciiTheme="minorHAnsi" w:hAnsiTheme="minorHAnsi" w:cstheme="minorHAnsi"/>
          <w:sz w:val="22"/>
          <w:szCs w:val="22"/>
        </w:rPr>
        <w:t xml:space="preserve"> </w:t>
      </w:r>
      <w:r w:rsidRPr="00BE2B5E">
        <w:rPr>
          <w:rFonts w:asciiTheme="minorHAnsi" w:hAnsiTheme="minorHAnsi" w:cstheme="minorHAnsi"/>
          <w:sz w:val="22"/>
          <w:szCs w:val="22"/>
        </w:rPr>
        <w:t xml:space="preserve">a </w:t>
      </w:r>
      <w:r w:rsidR="00492D7F">
        <w:rPr>
          <w:rFonts w:asciiTheme="minorHAnsi" w:hAnsiTheme="minorHAnsi" w:cstheme="minorHAnsi"/>
          <w:sz w:val="22"/>
          <w:szCs w:val="22"/>
        </w:rPr>
        <w:t>rigid</w:t>
      </w:r>
      <w:r w:rsidR="00492D7F" w:rsidRPr="00BE2B5E">
        <w:rPr>
          <w:rFonts w:asciiTheme="minorHAnsi" w:hAnsiTheme="minorHAnsi" w:cstheme="minorHAnsi"/>
          <w:sz w:val="22"/>
          <w:szCs w:val="22"/>
        </w:rPr>
        <w:t xml:space="preserve"> </w:t>
      </w:r>
      <w:r w:rsidRPr="00BE2B5E">
        <w:rPr>
          <w:rFonts w:asciiTheme="minorHAnsi" w:hAnsiTheme="minorHAnsi" w:cstheme="minorHAnsi"/>
          <w:sz w:val="22"/>
          <w:szCs w:val="22"/>
        </w:rPr>
        <w:t>sphere.</w:t>
      </w:r>
    </w:p>
    <w:p w14:paraId="0F61B604" w14:textId="53103E01" w:rsidR="006925B9" w:rsidRPr="00511E7C" w:rsidRDefault="006925B9" w:rsidP="00F536C4">
      <w:pPr>
        <w:rPr>
          <w:rFonts w:asciiTheme="minorHAnsi" w:hAnsiTheme="minorHAnsi" w:cstheme="minorHAnsi"/>
          <w:sz w:val="20"/>
        </w:rPr>
      </w:pPr>
    </w:p>
    <w:p w14:paraId="3290684F" w14:textId="1D23A8C3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8FE62A8" w14:textId="7C0E0240" w:rsidR="0055543F" w:rsidRDefault="00C054E7" w:rsidP="00BC3871">
      <w:pPr>
        <w:tabs>
          <w:tab w:val="clear" w:pos="7100"/>
        </w:tabs>
        <w:snapToGrid w:val="0"/>
        <w:spacing w:after="120"/>
        <w:ind w:right="4395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7E2057A0" wp14:editId="1D104F34">
            <wp:simplePos x="0" y="0"/>
            <wp:positionH relativeFrom="margin">
              <wp:posOffset>3232150</wp:posOffset>
            </wp:positionH>
            <wp:positionV relativeFrom="page">
              <wp:posOffset>6627495</wp:posOffset>
            </wp:positionV>
            <wp:extent cx="2675890" cy="2430780"/>
            <wp:effectExtent l="0" t="0" r="0" b="7620"/>
            <wp:wrapTight wrapText="bothSides">
              <wp:wrapPolygon edited="0">
                <wp:start x="9841" y="0"/>
                <wp:lineTo x="0" y="1016"/>
                <wp:lineTo x="0" y="18282"/>
                <wp:lineTo x="8919" y="18959"/>
                <wp:lineTo x="8919" y="19636"/>
                <wp:lineTo x="12302" y="21160"/>
                <wp:lineTo x="13686" y="21498"/>
                <wp:lineTo x="14762" y="21498"/>
                <wp:lineTo x="14916" y="21160"/>
                <wp:lineTo x="16454" y="19129"/>
                <wp:lineTo x="16454" y="18959"/>
                <wp:lineTo x="12917" y="16251"/>
                <wp:lineTo x="13840" y="16251"/>
                <wp:lineTo x="21067" y="13881"/>
                <wp:lineTo x="21221" y="12865"/>
                <wp:lineTo x="18145" y="11850"/>
                <wp:lineTo x="12917" y="10834"/>
                <wp:lineTo x="21374" y="10665"/>
                <wp:lineTo x="21374" y="2201"/>
                <wp:lineTo x="11379" y="0"/>
                <wp:lineTo x="9841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43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B5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exper</w:t>
      </w:r>
      <w:r w:rsidR="003C2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imental device </w:t>
      </w:r>
      <w:proofErr w:type="gramStart"/>
      <w:r w:rsidR="003C2ABF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A85C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illustrated</w:t>
      </w:r>
      <w:proofErr w:type="gramEnd"/>
      <w:r w:rsidR="003C2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85C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3C2ABF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BE2B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igure 1. </w:t>
      </w:r>
      <w:r w:rsidR="00A85C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consists in a </w:t>
      </w:r>
      <w:r w:rsidR="00BE2B5E">
        <w:rPr>
          <w:rFonts w:asciiTheme="minorHAnsi" w:eastAsia="MS PGothic" w:hAnsiTheme="minorHAnsi"/>
          <w:color w:val="000000"/>
          <w:sz w:val="22"/>
          <w:szCs w:val="22"/>
          <w:lang w:val="en-US"/>
        </w:rPr>
        <w:t>square transparent column</w:t>
      </w:r>
      <w:r w:rsidR="00A85C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1cm wide by 5cm high. Pure nitrogen or air </w:t>
      </w:r>
      <w:proofErr w:type="gramStart"/>
      <w:r w:rsidR="00A85C00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injected</w:t>
      </w:r>
      <w:proofErr w:type="gramEnd"/>
      <w:r w:rsidR="00A85C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the bottom</w:t>
      </w:r>
      <w:r w:rsidR="00BE2B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4963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via </w:t>
      </w:r>
      <w:r w:rsidR="00BE2B5E">
        <w:rPr>
          <w:rFonts w:asciiTheme="minorHAnsi" w:eastAsia="MS PGothic" w:hAnsiTheme="minorHAnsi"/>
          <w:color w:val="000000"/>
          <w:sz w:val="22"/>
          <w:szCs w:val="22"/>
          <w:lang w:val="en-US"/>
        </w:rPr>
        <w:t>a capillary (</w:t>
      </w:r>
      <w:r w:rsidR="006925B9">
        <w:rPr>
          <w:rFonts w:asciiTheme="minorHAnsi" w:eastAsia="MS PGothic" w:hAnsiTheme="minorHAnsi"/>
          <w:color w:val="000000"/>
          <w:sz w:val="22"/>
          <w:szCs w:val="22"/>
          <w:lang w:val="en-US"/>
        </w:rPr>
        <w:t>50 µ</w:t>
      </w:r>
      <w:r w:rsidR="00BE2B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 inner diameter) with a </w:t>
      </w:r>
      <w:r w:rsidR="00F2771A">
        <w:rPr>
          <w:rFonts w:asciiTheme="minorHAnsi" w:eastAsia="MS PGothic" w:hAnsiTheme="minorHAnsi"/>
          <w:color w:val="000000"/>
          <w:sz w:val="22"/>
          <w:szCs w:val="22"/>
          <w:lang w:val="en-US"/>
        </w:rPr>
        <w:t>beveled cut orifice</w:t>
      </w:r>
      <w:r w:rsidR="00A85C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</w:t>
      </w:r>
      <w:r w:rsidR="00196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generate </w:t>
      </w:r>
      <w:r w:rsidR="00BE2B5E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sub-</w:t>
      </w:r>
      <w:r w:rsidR="00A85C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millimeter </w:t>
      </w:r>
      <w:r w:rsidR="00BE2B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bubbles. The size </w:t>
      </w:r>
      <w:r w:rsidR="00196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generation frequency </w:t>
      </w:r>
      <w:r w:rsidR="00BE2B5E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the ascending microbubbles are determined from image analysi</w:t>
      </w:r>
      <w:r w:rsidR="00B12E95">
        <w:rPr>
          <w:rFonts w:asciiTheme="minorHAnsi" w:eastAsia="MS PGothic" w:hAnsiTheme="minorHAnsi"/>
          <w:color w:val="000000"/>
          <w:sz w:val="22"/>
          <w:szCs w:val="22"/>
          <w:lang w:val="en-US"/>
        </w:rPr>
        <w:t>s of video record</w:t>
      </w:r>
      <w:r w:rsidR="00196E6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12E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a fast</w:t>
      </w:r>
      <w:r w:rsidR="00BE2B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camera</w:t>
      </w:r>
      <w:r w:rsidR="00B12E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(Micron M20</w:t>
      </w:r>
      <w:r w:rsidR="004B38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– frame rate = 200 Hz</w:t>
      </w:r>
      <w:r w:rsidR="00B12E95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806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12E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Oxygen absorption or desorption experiments </w:t>
      </w:r>
      <w:proofErr w:type="gramStart"/>
      <w:r w:rsidR="00B12E95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performed</w:t>
      </w:r>
      <w:proofErr w:type="gramEnd"/>
      <w:r w:rsidR="00B12E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time evolution of the </w:t>
      </w:r>
      <w:r w:rsidR="005477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dissolved </w:t>
      </w:r>
      <w:r w:rsidR="00B12E95">
        <w:rPr>
          <w:rFonts w:asciiTheme="minorHAnsi" w:eastAsia="MS PGothic" w:hAnsiTheme="minorHAnsi"/>
          <w:color w:val="000000"/>
          <w:sz w:val="22"/>
          <w:szCs w:val="22"/>
          <w:lang w:val="en-US"/>
        </w:rPr>
        <w:t>oxygen concentration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12E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196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determined using </w:t>
      </w:r>
      <w:r w:rsidR="00BF5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1727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non-intrusive </w:t>
      </w:r>
      <w:r w:rsidR="00B12E95">
        <w:rPr>
          <w:rFonts w:asciiTheme="minorHAnsi" w:eastAsia="MS PGothic" w:hAnsiTheme="minorHAnsi"/>
          <w:color w:val="000000"/>
          <w:sz w:val="22"/>
          <w:szCs w:val="22"/>
          <w:lang w:val="en-US"/>
        </w:rPr>
        <w:t>optic</w:t>
      </w:r>
      <w:r w:rsidR="005477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 </w:t>
      </w:r>
      <w:r w:rsidR="00B12E95">
        <w:rPr>
          <w:rFonts w:asciiTheme="minorHAnsi" w:eastAsia="MS PGothic" w:hAnsiTheme="minorHAnsi"/>
          <w:color w:val="000000"/>
          <w:sz w:val="22"/>
          <w:szCs w:val="22"/>
          <w:lang w:val="en-US"/>
        </w:rPr>
        <w:t>sensor</w:t>
      </w:r>
      <w:r w:rsidR="00196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located</w:t>
      </w:r>
      <w:r w:rsidR="00B12E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the top of the column (</w:t>
      </w:r>
      <w:proofErr w:type="spellStart"/>
      <w:r w:rsidR="004B384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Presens</w:t>
      </w:r>
      <w:proofErr w:type="spellEnd"/>
      <w:r w:rsidR="004B38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– Pst3: 0-45 mg.</w:t>
      </w:r>
      <w:r w:rsidR="001727EC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4B3844" w:rsidRPr="004B384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E44FFF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</w:p>
    <w:p w14:paraId="021BBD92" w14:textId="77777777" w:rsidR="00511E7C" w:rsidRPr="00E9165C" w:rsidRDefault="0055543F" w:rsidP="0055543F">
      <w:pPr>
        <w:tabs>
          <w:tab w:val="clear" w:pos="7100"/>
        </w:tabs>
        <w:snapToGrid w:val="0"/>
        <w:spacing w:after="120"/>
        <w:ind w:left="4956" w:firstLine="708"/>
        <w:rPr>
          <w:rFonts w:asciiTheme="minorHAnsi" w:eastAsia="MS PGothic" w:hAnsiTheme="minorHAnsi"/>
          <w:color w:val="000000"/>
          <w:szCs w:val="18"/>
          <w:lang w:val="en-US"/>
        </w:rPr>
      </w:pPr>
      <w:r w:rsidRPr="00E9165C">
        <w:rPr>
          <w:rFonts w:asciiTheme="minorHAnsi" w:eastAsia="MS PGothic" w:hAnsiTheme="minorHAnsi"/>
          <w:b/>
          <w:color w:val="000000"/>
          <w:szCs w:val="18"/>
          <w:lang w:val="en-US"/>
        </w:rPr>
        <w:t>Figure 1.</w:t>
      </w:r>
      <w:r w:rsidRPr="00E9165C">
        <w:rPr>
          <w:rFonts w:asciiTheme="minorHAnsi" w:eastAsia="MS PGothic" w:hAnsiTheme="minorHAnsi"/>
          <w:color w:val="000000"/>
          <w:szCs w:val="18"/>
          <w:lang w:val="en-US"/>
        </w:rPr>
        <w:t xml:space="preserve"> Experimental device</w:t>
      </w:r>
      <w:r w:rsidR="00E9165C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4003EB17" w14:textId="77777777" w:rsidR="004924C3" w:rsidRPr="008D0BEB" w:rsidRDefault="004924C3" w:rsidP="004924C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Result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and discussion</w:t>
      </w:r>
    </w:p>
    <w:p w14:paraId="715EACB1" w14:textId="6119832F" w:rsidR="00837E25" w:rsidRDefault="00837E25" w:rsidP="007C016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 quasi-steady state</w:t>
      </w:r>
      <w:r w:rsidR="00196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one</w:t>
      </w:r>
      <w:r w:rsidR="008A5099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196E61">
        <w:rPr>
          <w:rFonts w:asciiTheme="minorHAnsi" w:eastAsia="MS PGothic" w:hAnsiTheme="minorHAnsi"/>
          <w:color w:val="000000"/>
          <w:sz w:val="22"/>
          <w:szCs w:val="22"/>
          <w:lang w:val="en-US"/>
        </w:rPr>
        <w:t>dimensional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</w:t>
      </w:r>
      <w:r w:rsidR="003A13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A5099">
        <w:rPr>
          <w:rFonts w:asciiTheme="minorHAnsi" w:eastAsia="MS PGothic" w:hAnsiTheme="minorHAnsi"/>
          <w:color w:val="000000"/>
          <w:sz w:val="22"/>
          <w:szCs w:val="22"/>
          <w:lang w:val="en-US"/>
        </w:rPr>
        <w:t>evalua</w:t>
      </w:r>
      <w:bookmarkStart w:id="0" w:name="_GoBack"/>
      <w:bookmarkEnd w:id="0"/>
      <w:r w:rsidR="008A5099">
        <w:rPr>
          <w:rFonts w:asciiTheme="minorHAnsi" w:eastAsia="MS PGothic" w:hAnsiTheme="minorHAnsi"/>
          <w:color w:val="000000"/>
          <w:sz w:val="22"/>
          <w:szCs w:val="22"/>
          <w:lang w:val="en-US"/>
        </w:rPr>
        <w:t>tes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</w:t>
      </w:r>
      <w:r w:rsidR="008A50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evolution of the bubble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composition during </w:t>
      </w:r>
      <w:r w:rsidR="00F05256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rise, thus </w:t>
      </w:r>
      <w:r w:rsidR="00B12E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92D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axial </w:t>
      </w:r>
      <w:r w:rsidR="00D05B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variation of </w:t>
      </w:r>
      <w:r w:rsidR="003D28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12E9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</w:t>
      </w:r>
      <w:r w:rsidR="00196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erfacial </w:t>
      </w:r>
      <w:r w:rsidR="003D28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concentration. </w:t>
      </w:r>
      <w:r w:rsidR="00492D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241EC">
        <w:rPr>
          <w:rFonts w:asciiTheme="minorHAnsi" w:eastAsia="MS PGothic" w:hAnsiTheme="minorHAnsi"/>
          <w:color w:val="000000"/>
          <w:sz w:val="22"/>
          <w:szCs w:val="22"/>
          <w:lang w:val="en-US"/>
        </w:rPr>
        <w:t>average</w:t>
      </w:r>
      <w:r w:rsidR="00492D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</w:t>
      </w:r>
      <w:r w:rsidR="003D28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3D28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then accounted </w:t>
      </w:r>
      <w:r w:rsidR="00FA5F28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proofErr w:type="gramEnd"/>
      <w:r w:rsidR="00FA5F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A509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mass balance describing the time-evolution of dissolved oxygen</w:t>
      </w:r>
      <w:r w:rsidR="00FE01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(DO)</w:t>
      </w:r>
      <w:r w:rsidR="008A50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liquid bulk</w:t>
      </w:r>
      <w:r w:rsidR="00FB1B1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is considered perfectly mixed</w:t>
      </w:r>
      <w:r w:rsidR="008A509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0F5B2719" w14:textId="14F6B9C9" w:rsidR="00BF5D30" w:rsidRPr="008705C2" w:rsidRDefault="00196E61" w:rsidP="003117D4">
      <w:pPr>
        <w:snapToGrid w:val="0"/>
        <w:spacing w:after="1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approach </w:t>
      </w:r>
      <w:r w:rsidR="00F052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gives access to </w:t>
      </w:r>
      <w:r w:rsidR="00B12E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D05B77">
        <w:rPr>
          <w:rFonts w:asciiTheme="minorHAnsi" w:eastAsia="MS PGothic" w:hAnsiTheme="minorHAnsi"/>
          <w:color w:val="000000"/>
          <w:sz w:val="22"/>
          <w:szCs w:val="22"/>
          <w:lang w:val="en-US"/>
        </w:rPr>
        <w:t>liquid-</w:t>
      </w:r>
      <w:r w:rsidR="00B12E95">
        <w:rPr>
          <w:rFonts w:asciiTheme="minorHAnsi" w:eastAsia="MS PGothic" w:hAnsiTheme="minorHAnsi"/>
          <w:color w:val="000000"/>
          <w:sz w:val="22"/>
          <w:szCs w:val="22"/>
          <w:lang w:val="en-US"/>
        </w:rPr>
        <w:t>side mass transfer coefficient</w:t>
      </w:r>
      <w:r w:rsidR="00EC40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EC407B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EC407B" w:rsidRPr="00EC407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L</w:t>
      </w:r>
      <w:proofErr w:type="spellEnd"/>
      <w:r w:rsidR="00FA5F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05B77">
        <w:rPr>
          <w:rFonts w:asciiTheme="minorHAnsi" w:eastAsia="MS PGothic" w:hAnsiTheme="minorHAnsi"/>
          <w:color w:val="000000"/>
          <w:sz w:val="22"/>
          <w:szCs w:val="22"/>
          <w:lang w:val="en-US"/>
        </w:rPr>
        <w:t>according to the following equation</w:t>
      </w:r>
      <w:r w:rsidR="00BB113E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C054E7">
        <w:rPr>
          <w:rFonts w:asciiTheme="minorHAnsi" w:hAnsiTheme="minorHAnsi"/>
          <w:sz w:val="22"/>
          <w:szCs w:val="22"/>
        </w:rPr>
        <w:tab/>
      </w:r>
      <w:r w:rsidR="0080732D" w:rsidRPr="003C2ABF">
        <w:rPr>
          <w:rFonts w:asciiTheme="minorHAnsi" w:hAnsiTheme="minorHAnsi"/>
          <w:position w:val="-30"/>
          <w:sz w:val="22"/>
          <w:szCs w:val="22"/>
        </w:rPr>
        <w:object w:dxaOrig="3480" w:dyaOrig="680" w14:anchorId="44D36E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3.6pt" o:ole="">
            <v:imagedata r:id="rId11" o:title=""/>
          </v:shape>
          <o:OLEObject Type="Embed" ProgID="Equation.3" ShapeID="_x0000_i1025" DrawAspect="Content" ObjectID="_1612356097" r:id="rId12"/>
        </w:object>
      </w:r>
      <w:r w:rsidR="0080732D" w:rsidRPr="008705C2">
        <w:rPr>
          <w:rFonts w:asciiTheme="minorHAnsi" w:hAnsiTheme="minorHAnsi"/>
          <w:sz w:val="22"/>
          <w:szCs w:val="22"/>
        </w:rPr>
        <w:tab/>
      </w:r>
    </w:p>
    <w:p w14:paraId="36F7A760" w14:textId="4C3F3CB0" w:rsidR="0080732D" w:rsidRPr="003C2ABF" w:rsidRDefault="0080732D" w:rsidP="00EC407B">
      <w:pPr>
        <w:tabs>
          <w:tab w:val="clear" w:pos="7100"/>
          <w:tab w:val="right" w:pos="851"/>
        </w:tabs>
        <w:rPr>
          <w:rFonts w:asciiTheme="minorHAnsi" w:hAnsiTheme="minorHAnsi"/>
          <w:sz w:val="22"/>
          <w:szCs w:val="22"/>
        </w:rPr>
      </w:pPr>
      <w:r w:rsidRPr="003C2ABF">
        <w:rPr>
          <w:rFonts w:asciiTheme="minorHAnsi" w:hAnsiTheme="minorHAnsi"/>
          <w:sz w:val="22"/>
          <w:szCs w:val="22"/>
        </w:rPr>
        <w:t>with</w:t>
      </w:r>
      <w:r w:rsidRPr="003C2ABF">
        <w:rPr>
          <w:rFonts w:asciiTheme="minorHAnsi" w:hAnsiTheme="minorHAnsi"/>
          <w:sz w:val="22"/>
          <w:szCs w:val="22"/>
        </w:rPr>
        <w:tab/>
      </w:r>
      <w:r w:rsidR="00EC407B">
        <w:rPr>
          <w:rFonts w:asciiTheme="minorHAnsi" w:hAnsiTheme="minorHAnsi"/>
          <w:sz w:val="22"/>
          <w:szCs w:val="22"/>
        </w:rPr>
        <w:t>k</w:t>
      </w:r>
      <w:r w:rsidR="00EC407B" w:rsidRPr="00EC407B">
        <w:rPr>
          <w:rFonts w:asciiTheme="minorHAnsi" w:hAnsiTheme="minorHAnsi"/>
          <w:sz w:val="22"/>
          <w:szCs w:val="22"/>
          <w:vertAlign w:val="subscript"/>
        </w:rPr>
        <w:t>L</w:t>
      </w:r>
      <w:r w:rsidRPr="003C2ABF">
        <w:rPr>
          <w:rFonts w:asciiTheme="minorHAnsi" w:hAnsiTheme="minorHAnsi"/>
          <w:sz w:val="22"/>
          <w:szCs w:val="22"/>
        </w:rPr>
        <w:tab/>
      </w:r>
      <w:r w:rsidR="0040605E" w:rsidRPr="003C2ABF">
        <w:rPr>
          <w:rFonts w:asciiTheme="minorHAnsi" w:eastAsia="MS PGothic" w:hAnsiTheme="minorHAnsi"/>
          <w:color w:val="000000"/>
          <w:sz w:val="22"/>
          <w:szCs w:val="22"/>
          <w:lang w:val="en-US"/>
        </w:rPr>
        <w:t>liquid</w:t>
      </w:r>
      <w:r w:rsidR="0040605E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3C2ABF" w:rsidRPr="003C2ABF">
        <w:rPr>
          <w:rFonts w:asciiTheme="minorHAnsi" w:eastAsia="MS PGothic" w:hAnsiTheme="minorHAnsi"/>
          <w:color w:val="000000"/>
          <w:sz w:val="22"/>
          <w:szCs w:val="22"/>
          <w:lang w:val="en-US"/>
        </w:rPr>
        <w:t>side mass transfer coefficient</w:t>
      </w:r>
      <w:r w:rsidR="003C2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(m.s</w:t>
      </w:r>
      <w:r w:rsidR="003C2ABF" w:rsidRPr="003C2AB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3C2ABF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</w:p>
    <w:p w14:paraId="55DCD7AE" w14:textId="3107FF7C" w:rsidR="00EC407B" w:rsidRPr="003C2ABF" w:rsidRDefault="00EC407B" w:rsidP="00EC407B">
      <w:pPr>
        <w:tabs>
          <w:tab w:val="clear" w:pos="7100"/>
        </w:tabs>
        <w:rPr>
          <w:rFonts w:asciiTheme="minorHAnsi" w:hAnsiTheme="minorHAnsi"/>
          <w:sz w:val="22"/>
          <w:szCs w:val="22"/>
        </w:rPr>
      </w:pPr>
      <w:r w:rsidRPr="003C2AB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H</w:t>
      </w:r>
      <w:r w:rsidRPr="00EC407B">
        <w:rPr>
          <w:rFonts w:asciiTheme="minorHAnsi" w:hAnsiTheme="minorHAnsi"/>
          <w:sz w:val="22"/>
          <w:szCs w:val="22"/>
          <w:vertAlign w:val="subscript"/>
        </w:rPr>
        <w:t>c</w:t>
      </w:r>
      <w:r w:rsidRPr="003C2ABF">
        <w:rPr>
          <w:rFonts w:asciiTheme="minorHAnsi" w:hAnsiTheme="minorHAnsi"/>
          <w:sz w:val="22"/>
          <w:szCs w:val="22"/>
        </w:rPr>
        <w:tab/>
        <w:t>Henry</w:t>
      </w:r>
      <w:r>
        <w:rPr>
          <w:rFonts w:asciiTheme="minorHAnsi" w:hAnsiTheme="minorHAnsi"/>
          <w:sz w:val="22"/>
          <w:szCs w:val="22"/>
        </w:rPr>
        <w:t>’s</w:t>
      </w:r>
      <w:r w:rsidRPr="003C2AB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constant </w:t>
      </w:r>
      <w:r w:rsidR="00F05256">
        <w:rPr>
          <w:rFonts w:asciiTheme="minorHAnsi" w:hAnsiTheme="minorHAnsi"/>
          <w:sz w:val="22"/>
          <w:szCs w:val="22"/>
        </w:rPr>
        <w:t>(</w:t>
      </w:r>
      <w:r w:rsidR="00A241EC" w:rsidRPr="003C2ABF">
        <w:rPr>
          <w:rFonts w:asciiTheme="minorHAnsi" w:hAnsiTheme="minorHAnsi"/>
          <w:sz w:val="22"/>
          <w:szCs w:val="22"/>
        </w:rPr>
        <w:t>referr</w:t>
      </w:r>
      <w:r w:rsidR="00A241EC">
        <w:rPr>
          <w:rFonts w:asciiTheme="minorHAnsi" w:hAnsiTheme="minorHAnsi"/>
          <w:sz w:val="22"/>
          <w:szCs w:val="22"/>
        </w:rPr>
        <w:t>ing</w:t>
      </w:r>
      <w:r w:rsidR="00A241EC" w:rsidRPr="003C2ABF">
        <w:rPr>
          <w:rFonts w:asciiTheme="minorHAnsi" w:hAnsiTheme="minorHAnsi"/>
          <w:sz w:val="22"/>
          <w:szCs w:val="22"/>
        </w:rPr>
        <w:t xml:space="preserve"> </w:t>
      </w:r>
      <w:r w:rsidRPr="003C2ABF">
        <w:rPr>
          <w:rFonts w:asciiTheme="minorHAnsi" w:hAnsiTheme="minorHAnsi"/>
          <w:sz w:val="22"/>
          <w:szCs w:val="22"/>
        </w:rPr>
        <w:t>to concentration</w:t>
      </w:r>
      <w:r w:rsidR="00511E7C">
        <w:rPr>
          <w:rFonts w:asciiTheme="minorHAnsi" w:hAnsiTheme="minorHAnsi"/>
          <w:sz w:val="22"/>
          <w:szCs w:val="22"/>
        </w:rPr>
        <w:t>s</w:t>
      </w:r>
      <w:r w:rsidR="00F05256">
        <w:rPr>
          <w:rFonts w:asciiTheme="minorHAnsi" w:hAnsiTheme="minorHAnsi"/>
          <w:sz w:val="22"/>
          <w:szCs w:val="22"/>
        </w:rPr>
        <w:t>)</w:t>
      </w:r>
    </w:p>
    <w:p w14:paraId="144B04D5" w14:textId="11D37F75" w:rsidR="0080732D" w:rsidRPr="003C2ABF" w:rsidRDefault="0080732D" w:rsidP="00EC407B">
      <w:pPr>
        <w:tabs>
          <w:tab w:val="clear" w:pos="7100"/>
        </w:tabs>
        <w:rPr>
          <w:rFonts w:asciiTheme="minorHAnsi" w:hAnsiTheme="minorHAnsi"/>
          <w:sz w:val="22"/>
          <w:szCs w:val="22"/>
        </w:rPr>
      </w:pPr>
      <w:r w:rsidRPr="003C2ABF">
        <w:rPr>
          <w:rFonts w:asciiTheme="minorHAnsi" w:hAnsiTheme="minorHAnsi"/>
          <w:sz w:val="22"/>
          <w:szCs w:val="22"/>
        </w:rPr>
        <w:tab/>
      </w:r>
      <w:r w:rsidR="00F05256">
        <w:rPr>
          <w:rFonts w:asciiTheme="minorHAnsi" w:hAnsiTheme="minorHAnsi"/>
          <w:sz w:val="22"/>
          <w:szCs w:val="22"/>
        </w:rPr>
        <w:t>V</w:t>
      </w:r>
      <w:r w:rsidR="00F05256">
        <w:rPr>
          <w:rFonts w:asciiTheme="minorHAnsi" w:hAnsiTheme="minorHAnsi"/>
          <w:sz w:val="22"/>
          <w:szCs w:val="22"/>
          <w:vertAlign w:val="subscript"/>
        </w:rPr>
        <w:t>L</w:t>
      </w:r>
      <w:r w:rsidRPr="003C2ABF">
        <w:rPr>
          <w:rFonts w:asciiTheme="minorHAnsi" w:hAnsiTheme="minorHAnsi"/>
          <w:sz w:val="22"/>
          <w:szCs w:val="22"/>
        </w:rPr>
        <w:tab/>
      </w:r>
      <w:r w:rsidR="00F05256">
        <w:rPr>
          <w:rFonts w:asciiTheme="minorHAnsi" w:hAnsiTheme="minorHAnsi"/>
          <w:sz w:val="22"/>
          <w:szCs w:val="22"/>
        </w:rPr>
        <w:t>liquid</w:t>
      </w:r>
      <w:r w:rsidR="00F05256" w:rsidRPr="003C2ABF">
        <w:rPr>
          <w:rFonts w:asciiTheme="minorHAnsi" w:hAnsiTheme="minorHAnsi"/>
          <w:sz w:val="22"/>
          <w:szCs w:val="22"/>
        </w:rPr>
        <w:t xml:space="preserve"> </w:t>
      </w:r>
      <w:r w:rsidR="003C2ABF" w:rsidRPr="003C2ABF">
        <w:rPr>
          <w:rFonts w:asciiTheme="minorHAnsi" w:hAnsiTheme="minorHAnsi"/>
          <w:sz w:val="22"/>
          <w:szCs w:val="22"/>
        </w:rPr>
        <w:t>volume</w:t>
      </w:r>
      <w:r w:rsidR="00F05256">
        <w:rPr>
          <w:rFonts w:asciiTheme="minorHAnsi" w:hAnsiTheme="minorHAnsi"/>
          <w:sz w:val="22"/>
          <w:szCs w:val="22"/>
        </w:rPr>
        <w:t xml:space="preserve"> in the cell</w:t>
      </w:r>
      <w:r w:rsidR="003C2ABF" w:rsidRPr="003C2ABF">
        <w:rPr>
          <w:rFonts w:asciiTheme="minorHAnsi" w:hAnsiTheme="minorHAnsi"/>
          <w:sz w:val="22"/>
          <w:szCs w:val="22"/>
        </w:rPr>
        <w:t xml:space="preserve"> (m</w:t>
      </w:r>
      <w:r w:rsidR="003C2ABF" w:rsidRPr="003C2ABF">
        <w:rPr>
          <w:rFonts w:asciiTheme="minorHAnsi" w:hAnsiTheme="minorHAnsi"/>
          <w:sz w:val="22"/>
          <w:szCs w:val="22"/>
          <w:vertAlign w:val="superscript"/>
        </w:rPr>
        <w:t>3</w:t>
      </w:r>
      <w:r w:rsidR="003C2ABF" w:rsidRPr="003C2ABF">
        <w:rPr>
          <w:rFonts w:asciiTheme="minorHAnsi" w:hAnsiTheme="minorHAnsi"/>
          <w:sz w:val="22"/>
          <w:szCs w:val="22"/>
        </w:rPr>
        <w:t>)</w:t>
      </w:r>
    </w:p>
    <w:p w14:paraId="1D0511F5" w14:textId="77777777" w:rsidR="00EC407B" w:rsidRDefault="003C2ABF" w:rsidP="00EC407B">
      <w:pPr>
        <w:tabs>
          <w:tab w:val="clear" w:pos="71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C407B">
        <w:rPr>
          <w:rFonts w:asciiTheme="minorHAnsi" w:hAnsiTheme="minorHAnsi"/>
          <w:sz w:val="22"/>
          <w:szCs w:val="22"/>
        </w:rPr>
        <w:t>A</w:t>
      </w:r>
      <w:r w:rsidR="00EC407B" w:rsidRPr="00EC407B">
        <w:rPr>
          <w:rFonts w:asciiTheme="minorHAnsi" w:hAnsiTheme="minorHAnsi"/>
          <w:sz w:val="22"/>
          <w:szCs w:val="22"/>
          <w:vertAlign w:val="subscript"/>
        </w:rPr>
        <w:t>b</w:t>
      </w:r>
      <w:r w:rsidR="0080732D" w:rsidRPr="003C2ABF">
        <w:rPr>
          <w:rFonts w:asciiTheme="minorHAnsi" w:hAnsiTheme="minorHAnsi"/>
          <w:sz w:val="22"/>
          <w:szCs w:val="22"/>
        </w:rPr>
        <w:tab/>
      </w:r>
      <w:r w:rsidRPr="003C2ABF">
        <w:rPr>
          <w:rFonts w:asciiTheme="minorHAnsi" w:hAnsiTheme="minorHAnsi"/>
          <w:sz w:val="22"/>
          <w:szCs w:val="22"/>
        </w:rPr>
        <w:t>bubble area (m</w:t>
      </w:r>
      <w:r w:rsidRPr="003C2ABF">
        <w:rPr>
          <w:rFonts w:asciiTheme="minorHAnsi" w:hAnsiTheme="minorHAnsi"/>
          <w:sz w:val="22"/>
          <w:szCs w:val="22"/>
          <w:vertAlign w:val="superscript"/>
        </w:rPr>
        <w:t>2</w:t>
      </w:r>
      <w:r w:rsidRPr="003C2ABF">
        <w:rPr>
          <w:rFonts w:asciiTheme="minorHAnsi" w:hAnsiTheme="minorHAnsi"/>
          <w:sz w:val="22"/>
          <w:szCs w:val="22"/>
        </w:rPr>
        <w:t>)</w:t>
      </w:r>
    </w:p>
    <w:p w14:paraId="668EAEC8" w14:textId="77777777" w:rsidR="00EC407B" w:rsidRPr="00EC407B" w:rsidRDefault="00EC407B" w:rsidP="00EC407B">
      <w:pPr>
        <w:tabs>
          <w:tab w:val="clear" w:pos="7100"/>
        </w:tabs>
        <w:ind w:firstLine="708"/>
        <w:rPr>
          <w:rFonts w:asciiTheme="minorHAnsi" w:hAnsiTheme="minorHAnsi"/>
          <w:sz w:val="22"/>
          <w:szCs w:val="22"/>
        </w:rPr>
      </w:pPr>
      <w:r w:rsidRPr="003C2ABF">
        <w:rPr>
          <w:rFonts w:asciiTheme="minorHAnsi" w:eastAsia="MS PGothic" w:hAnsiTheme="minorHAnsi"/>
          <w:color w:val="000000"/>
          <w:sz w:val="22"/>
          <w:szCs w:val="22"/>
        </w:rPr>
        <w:t>H</w:t>
      </w:r>
      <w:r w:rsidRPr="003C2ABF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L</w:t>
      </w:r>
      <w:r w:rsidRPr="003C2ABF">
        <w:rPr>
          <w:rFonts w:asciiTheme="minorHAnsi" w:eastAsia="MS PGothic" w:hAnsiTheme="minorHAnsi"/>
          <w:color w:val="000000"/>
          <w:sz w:val="22"/>
          <w:szCs w:val="22"/>
        </w:rPr>
        <w:tab/>
        <w:t>liquid heigh</w:t>
      </w:r>
      <w:r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Pr="003C2ABF">
        <w:rPr>
          <w:rFonts w:asciiTheme="minorHAnsi" w:eastAsia="MS PGothic" w:hAnsiTheme="minorHAnsi"/>
          <w:color w:val="000000"/>
          <w:sz w:val="22"/>
          <w:szCs w:val="22"/>
        </w:rPr>
        <w:t xml:space="preserve"> (m)</w:t>
      </w:r>
    </w:p>
    <w:p w14:paraId="0AD41323" w14:textId="79CD6C2A" w:rsidR="00EC407B" w:rsidRDefault="00F05256" w:rsidP="00EC407B">
      <w:pPr>
        <w:tabs>
          <w:tab w:val="left" w:pos="1418"/>
        </w:tabs>
        <w:ind w:firstLine="708"/>
        <w:rPr>
          <w:rFonts w:asciiTheme="minorHAnsi" w:hAnsiTheme="minorHAnsi"/>
          <w:sz w:val="22"/>
          <w:szCs w:val="22"/>
        </w:rPr>
      </w:pPr>
      <w:r>
        <w:rPr>
          <w:rFonts w:ascii="Symbol" w:hAnsi="Symbol"/>
          <w:sz w:val="22"/>
          <w:szCs w:val="22"/>
        </w:rPr>
        <w:t></w:t>
      </w:r>
      <w:r w:rsidR="00EC407B" w:rsidRPr="00EC407B">
        <w:rPr>
          <w:rFonts w:asciiTheme="minorHAnsi" w:hAnsiTheme="minorHAnsi"/>
          <w:sz w:val="22"/>
          <w:szCs w:val="22"/>
          <w:vertAlign w:val="subscript"/>
        </w:rPr>
        <w:t>b</w:t>
      </w:r>
      <w:r w:rsidR="0080732D" w:rsidRPr="003C2ABF">
        <w:rPr>
          <w:rFonts w:asciiTheme="minorHAnsi" w:hAnsiTheme="minorHAnsi"/>
          <w:sz w:val="22"/>
          <w:szCs w:val="22"/>
        </w:rPr>
        <w:tab/>
      </w:r>
      <w:r w:rsidR="003C2ABF" w:rsidRPr="003C2ABF">
        <w:rPr>
          <w:rFonts w:asciiTheme="minorHAnsi" w:hAnsiTheme="minorHAnsi"/>
          <w:sz w:val="22"/>
          <w:szCs w:val="22"/>
        </w:rPr>
        <w:t xml:space="preserve">bubble velocity </w:t>
      </w:r>
      <w:r w:rsidR="0080732D" w:rsidRPr="003C2ABF">
        <w:rPr>
          <w:rFonts w:asciiTheme="minorHAnsi" w:hAnsiTheme="minorHAnsi"/>
          <w:sz w:val="22"/>
          <w:szCs w:val="22"/>
        </w:rPr>
        <w:t>(m.s</w:t>
      </w:r>
      <w:r w:rsidR="0080732D" w:rsidRPr="003C2ABF">
        <w:rPr>
          <w:rFonts w:asciiTheme="minorHAnsi" w:hAnsiTheme="minorHAnsi"/>
          <w:sz w:val="22"/>
          <w:szCs w:val="22"/>
          <w:vertAlign w:val="superscript"/>
        </w:rPr>
        <w:t>-1</w:t>
      </w:r>
      <w:r w:rsidR="0080732D" w:rsidRPr="003C2ABF">
        <w:rPr>
          <w:rFonts w:asciiTheme="minorHAnsi" w:hAnsiTheme="minorHAnsi"/>
          <w:sz w:val="22"/>
          <w:szCs w:val="22"/>
        </w:rPr>
        <w:t>)</w:t>
      </w:r>
    </w:p>
    <w:p w14:paraId="04EEEF73" w14:textId="77777777" w:rsidR="00EC407B" w:rsidRPr="003C2ABF" w:rsidRDefault="00EC407B" w:rsidP="00EC407B">
      <w:pPr>
        <w:tabs>
          <w:tab w:val="left" w:pos="1418"/>
        </w:tabs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Pr="00EC407B">
        <w:rPr>
          <w:rFonts w:asciiTheme="minorHAnsi" w:hAnsiTheme="minorHAnsi"/>
          <w:sz w:val="22"/>
          <w:szCs w:val="22"/>
          <w:vertAlign w:val="subscript"/>
        </w:rPr>
        <w:t>b</w:t>
      </w:r>
      <w:r w:rsidRPr="003C2ABF">
        <w:rPr>
          <w:rFonts w:asciiTheme="minorHAnsi" w:hAnsiTheme="minorHAnsi"/>
          <w:sz w:val="22"/>
          <w:szCs w:val="22"/>
        </w:rPr>
        <w:tab/>
        <w:t>bubble volume (m</w:t>
      </w:r>
      <w:r w:rsidRPr="003C2ABF">
        <w:rPr>
          <w:rFonts w:asciiTheme="minorHAnsi" w:hAnsiTheme="minorHAnsi"/>
          <w:sz w:val="22"/>
          <w:szCs w:val="22"/>
          <w:vertAlign w:val="superscript"/>
        </w:rPr>
        <w:t>3</w:t>
      </w:r>
      <w:r w:rsidRPr="003C2ABF">
        <w:rPr>
          <w:rFonts w:asciiTheme="minorHAnsi" w:hAnsiTheme="minorHAnsi"/>
          <w:sz w:val="22"/>
          <w:szCs w:val="22"/>
        </w:rPr>
        <w:t>)</w:t>
      </w:r>
    </w:p>
    <w:p w14:paraId="5D64B810" w14:textId="77777777" w:rsidR="0080732D" w:rsidRPr="003C2ABF" w:rsidRDefault="0080732D" w:rsidP="00EC407B">
      <w:pPr>
        <w:tabs>
          <w:tab w:val="clear" w:pos="7100"/>
          <w:tab w:val="right" w:pos="851"/>
        </w:tabs>
        <w:snapToGrid w:val="0"/>
        <w:spacing w:after="120"/>
        <w:jc w:val="left"/>
        <w:rPr>
          <w:rFonts w:asciiTheme="minorHAnsi" w:eastAsia="MS PGothic" w:hAnsiTheme="minorHAnsi"/>
          <w:color w:val="000000"/>
          <w:sz w:val="22"/>
          <w:szCs w:val="22"/>
        </w:rPr>
      </w:pPr>
      <w:r w:rsidRPr="003C2ABF">
        <w:rPr>
          <w:rFonts w:asciiTheme="minorHAnsi" w:eastAsia="MS PGothic" w:hAnsiTheme="minorHAnsi"/>
          <w:color w:val="000000"/>
          <w:sz w:val="22"/>
          <w:szCs w:val="22"/>
        </w:rPr>
        <w:tab/>
      </w:r>
      <w:r w:rsidR="00EC407B">
        <w:rPr>
          <w:rFonts w:asciiTheme="minorHAnsi" w:eastAsia="MS PGothic" w:hAnsiTheme="minorHAnsi"/>
          <w:color w:val="000000"/>
          <w:sz w:val="22"/>
          <w:szCs w:val="22"/>
        </w:rPr>
        <w:t>r</w:t>
      </w:r>
      <w:r w:rsidR="00EC407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b</w:t>
      </w:r>
      <w:r w:rsidRPr="003C2ABF">
        <w:rPr>
          <w:rFonts w:asciiTheme="minorHAnsi" w:eastAsia="MS PGothic" w:hAnsiTheme="minorHAnsi"/>
          <w:color w:val="000000"/>
          <w:sz w:val="22"/>
          <w:szCs w:val="22"/>
        </w:rPr>
        <w:tab/>
      </w:r>
      <w:r w:rsidR="003C2ABF" w:rsidRPr="003C2ABF">
        <w:rPr>
          <w:rFonts w:asciiTheme="minorHAnsi" w:eastAsia="MS PGothic" w:hAnsiTheme="minorHAnsi"/>
          <w:color w:val="000000"/>
          <w:sz w:val="22"/>
          <w:szCs w:val="22"/>
        </w:rPr>
        <w:t>bubble frequency (s</w:t>
      </w:r>
      <w:r w:rsidR="003C2ABF" w:rsidRPr="00EC407B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3C2ABF" w:rsidRPr="003C2ABF">
        <w:rPr>
          <w:rFonts w:asciiTheme="minorHAnsi" w:eastAsia="MS PGothic" w:hAnsiTheme="minorHAnsi"/>
          <w:color w:val="000000"/>
          <w:sz w:val="22"/>
          <w:szCs w:val="22"/>
        </w:rPr>
        <w:t>)</w:t>
      </w:r>
    </w:p>
    <w:p w14:paraId="7BF61ADF" w14:textId="343A407A" w:rsidR="00410AA5" w:rsidRDefault="000009E0" w:rsidP="000009E0">
      <w:pPr>
        <w:tabs>
          <w:tab w:val="clear" w:pos="7100"/>
          <w:tab w:val="right" w:pos="851"/>
        </w:tabs>
        <w:snapToGrid w:val="0"/>
        <w:spacing w:after="1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ab/>
      </w:r>
      <w:r w:rsidRPr="00CC169A">
        <w:rPr>
          <w:rFonts w:asciiTheme="minorHAnsi" w:eastAsia="MS PGothic" w:hAnsiTheme="minorHAnsi"/>
          <w:color w:val="000000"/>
          <w:sz w:val="22"/>
          <w:szCs w:val="22"/>
        </w:rPr>
        <w:t>m</w:t>
      </w:r>
      <w:r w:rsidRPr="00CC169A">
        <w:rPr>
          <w:rFonts w:asciiTheme="minorHAnsi" w:eastAsia="MS PGothic" w:hAnsiTheme="minorHAnsi"/>
          <w:color w:val="000000"/>
          <w:sz w:val="22"/>
          <w:szCs w:val="22"/>
        </w:rPr>
        <w:tab/>
        <w:t xml:space="preserve">slope of </w:t>
      </w:r>
      <w:r w:rsidR="00511E7C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40605E">
        <w:rPr>
          <w:rFonts w:asciiTheme="minorHAnsi" w:eastAsia="MS PGothic" w:hAnsiTheme="minorHAnsi"/>
          <w:color w:val="000000"/>
          <w:sz w:val="22"/>
          <w:szCs w:val="22"/>
        </w:rPr>
        <w:t>regression</w:t>
      </w:r>
      <w:r w:rsidR="0040605E" w:rsidRPr="00CC169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CC169A">
        <w:rPr>
          <w:rFonts w:asciiTheme="minorHAnsi" w:eastAsia="MS PGothic" w:hAnsiTheme="minorHAnsi"/>
          <w:color w:val="000000"/>
          <w:sz w:val="22"/>
          <w:szCs w:val="22"/>
        </w:rPr>
        <w:t>line</w:t>
      </w:r>
      <w:r w:rsidR="0040605E">
        <w:rPr>
          <w:rFonts w:asciiTheme="minorHAnsi" w:eastAsia="MS PGothic" w:hAnsiTheme="minorHAnsi"/>
          <w:color w:val="000000"/>
          <w:sz w:val="22"/>
          <w:szCs w:val="22"/>
        </w:rPr>
        <w:t xml:space="preserve"> of </w:t>
      </w:r>
      <w:r w:rsidR="007D0AFD">
        <w:rPr>
          <w:rFonts w:asciiTheme="minorHAnsi" w:eastAsia="MS PGothic" w:hAnsiTheme="minorHAnsi"/>
          <w:color w:val="000000"/>
          <w:sz w:val="22"/>
          <w:szCs w:val="22"/>
        </w:rPr>
        <w:t>ln(C</w:t>
      </w:r>
      <w:r w:rsidR="007D0AFD" w:rsidRPr="007D0AFD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i</w:t>
      </w:r>
      <w:r w:rsidR="007D0AFD">
        <w:rPr>
          <w:rFonts w:asciiTheme="minorHAnsi" w:eastAsia="MS PGothic" w:hAnsiTheme="minorHAnsi"/>
          <w:color w:val="000000"/>
          <w:sz w:val="22"/>
          <w:szCs w:val="22"/>
        </w:rPr>
        <w:t>/C) = f(t)</w:t>
      </w:r>
      <w:r w:rsidR="00E276D0">
        <w:t xml:space="preserve"> </w:t>
      </w:r>
      <w:r w:rsidR="00E276D0" w:rsidRPr="004710C4">
        <w:rPr>
          <w:rFonts w:asciiTheme="minorHAnsi" w:hAnsiTheme="minorHAnsi"/>
          <w:sz w:val="22"/>
          <w:szCs w:val="22"/>
        </w:rPr>
        <w:t>for desorption experiment</w:t>
      </w:r>
    </w:p>
    <w:p w14:paraId="2B71CDC8" w14:textId="5C3D73C5" w:rsidR="004710C4" w:rsidRPr="004710C4" w:rsidRDefault="007D0AFD" w:rsidP="007D0AFD">
      <w:pPr>
        <w:tabs>
          <w:tab w:val="clear" w:pos="7100"/>
        </w:tabs>
        <w:autoSpaceDE w:val="0"/>
        <w:autoSpaceDN w:val="0"/>
        <w:adjustRightInd w:val="0"/>
        <w:spacing w:line="240" w:lineRule="auto"/>
        <w:ind w:right="-283"/>
        <w:jc w:val="left"/>
        <w:rPr>
          <w:rFonts w:asciiTheme="minorHAnsi" w:eastAsiaTheme="minorHAnsi" w:hAnsiTheme="minorHAnsi" w:cs="TimesNewRomanPSMT"/>
          <w:sz w:val="22"/>
          <w:szCs w:val="22"/>
        </w:rPr>
      </w:pPr>
      <w:r>
        <w:rPr>
          <w:rFonts w:asciiTheme="minorHAnsi" w:eastAsiaTheme="minorHAnsi" w:hAnsiTheme="minorHAnsi" w:cs="TimesNewRomanPS-BoldMT"/>
          <w:bCs/>
          <w:sz w:val="22"/>
          <w:szCs w:val="22"/>
        </w:rPr>
        <w:t>where</w:t>
      </w:r>
      <w:r>
        <w:rPr>
          <w:rFonts w:asciiTheme="minorHAnsi" w:eastAsiaTheme="minorHAnsi" w:hAnsiTheme="minorHAnsi" w:cs="TimesNewRomanPS-BoldMT"/>
          <w:bCs/>
          <w:sz w:val="22"/>
          <w:szCs w:val="22"/>
        </w:rPr>
        <w:tab/>
      </w:r>
      <w:r w:rsidR="004710C4" w:rsidRPr="004710C4">
        <w:rPr>
          <w:rFonts w:asciiTheme="minorHAnsi" w:eastAsiaTheme="minorHAnsi" w:hAnsiTheme="minorHAnsi" w:cs="TimesNewRomanPS-BoldMT"/>
          <w:bCs/>
          <w:sz w:val="22"/>
          <w:szCs w:val="22"/>
        </w:rPr>
        <w:t>C</w:t>
      </w:r>
      <w:r w:rsidR="004710C4" w:rsidRPr="004710C4">
        <w:rPr>
          <w:rFonts w:asciiTheme="minorHAnsi" w:eastAsiaTheme="minorHAnsi" w:hAnsiTheme="minorHAnsi" w:cs="TimesNewRomanPS-BoldMT"/>
          <w:bCs/>
          <w:sz w:val="22"/>
          <w:szCs w:val="22"/>
          <w:vertAlign w:val="subscript"/>
        </w:rPr>
        <w:t>i</w:t>
      </w:r>
      <w:r w:rsidR="004710C4" w:rsidRPr="004710C4">
        <w:rPr>
          <w:rFonts w:asciiTheme="minorHAnsi" w:eastAsiaTheme="minorHAnsi" w:hAnsiTheme="minorHAnsi" w:cs="TimesNewRomanPS-BoldMT"/>
          <w:bCs/>
          <w:sz w:val="22"/>
          <w:szCs w:val="22"/>
        </w:rPr>
        <w:tab/>
      </w:r>
      <w:r w:rsidR="00FE01EC">
        <w:rPr>
          <w:rFonts w:asciiTheme="minorHAnsi" w:eastAsiaTheme="minorHAnsi" w:hAnsiTheme="minorHAnsi" w:cs="TimesNewRomanPSMT"/>
          <w:sz w:val="22"/>
          <w:szCs w:val="22"/>
        </w:rPr>
        <w:t>DO</w:t>
      </w:r>
      <w:r w:rsidR="004710C4" w:rsidRPr="004710C4">
        <w:rPr>
          <w:rFonts w:asciiTheme="minorHAnsi" w:eastAsiaTheme="minorHAnsi" w:hAnsiTheme="minorHAnsi" w:cs="TimesNewRomanPSMT"/>
          <w:sz w:val="22"/>
          <w:szCs w:val="22"/>
        </w:rPr>
        <w:t xml:space="preserve"> concentration at initial time</w:t>
      </w:r>
      <w:r w:rsidR="004710C4">
        <w:rPr>
          <w:rFonts w:asciiTheme="minorHAnsi" w:eastAsiaTheme="minorHAnsi" w:hAnsiTheme="minorHAnsi" w:cs="TimesNewRomanPSMT"/>
          <w:sz w:val="22"/>
          <w:szCs w:val="22"/>
        </w:rPr>
        <w:t xml:space="preserve"> </w:t>
      </w:r>
      <w:r w:rsidR="004710C4" w:rsidRPr="004710C4">
        <w:rPr>
          <w:rFonts w:asciiTheme="minorHAnsi" w:eastAsiaTheme="minorHAnsi" w:hAnsiTheme="minorHAnsi" w:cs="TimesNewRomanPSMT"/>
          <w:sz w:val="22"/>
          <w:szCs w:val="22"/>
        </w:rPr>
        <w:t>(kg</w:t>
      </w:r>
      <w:r w:rsidR="006308DF">
        <w:rPr>
          <w:rFonts w:asciiTheme="minorHAnsi" w:eastAsiaTheme="minorHAnsi" w:hAnsiTheme="minorHAnsi" w:cs="TimesNewRomanPSMT"/>
          <w:sz w:val="22"/>
          <w:szCs w:val="22"/>
        </w:rPr>
        <w:t>.</w:t>
      </w:r>
      <w:r w:rsidR="004710C4" w:rsidRPr="004710C4">
        <w:rPr>
          <w:rFonts w:asciiTheme="minorHAnsi" w:eastAsiaTheme="minorHAnsi" w:hAnsiTheme="minorHAnsi" w:cs="TimesNewRomanPSMT"/>
          <w:sz w:val="22"/>
          <w:szCs w:val="22"/>
        </w:rPr>
        <w:t>m</w:t>
      </w:r>
      <w:r w:rsidR="006308DF" w:rsidRPr="00BC3871">
        <w:rPr>
          <w:rFonts w:asciiTheme="minorHAnsi" w:eastAsiaTheme="minorHAnsi" w:hAnsiTheme="minorHAnsi" w:cs="TimesNewRomanPSMT"/>
          <w:sz w:val="22"/>
          <w:szCs w:val="22"/>
          <w:vertAlign w:val="superscript"/>
        </w:rPr>
        <w:t>-</w:t>
      </w:r>
      <w:r w:rsidR="004710C4" w:rsidRPr="004710C4">
        <w:rPr>
          <w:rFonts w:asciiTheme="minorHAnsi" w:eastAsiaTheme="minorHAnsi" w:hAnsiTheme="minorHAnsi" w:cs="TimesNewRomanPSMT"/>
          <w:sz w:val="22"/>
          <w:szCs w:val="22"/>
          <w:vertAlign w:val="superscript"/>
        </w:rPr>
        <w:t>3</w:t>
      </w:r>
      <w:r w:rsidR="004710C4" w:rsidRPr="004710C4">
        <w:rPr>
          <w:rFonts w:asciiTheme="minorHAnsi" w:eastAsiaTheme="minorHAnsi" w:hAnsiTheme="minorHAnsi" w:cs="TimesNewRomanPSMT"/>
          <w:sz w:val="22"/>
          <w:szCs w:val="22"/>
        </w:rPr>
        <w:t>)</w:t>
      </w:r>
    </w:p>
    <w:p w14:paraId="47F0335E" w14:textId="3C8F395D" w:rsidR="004710C4" w:rsidRPr="004710C4" w:rsidRDefault="004710C4" w:rsidP="004710C4">
      <w:pPr>
        <w:tabs>
          <w:tab w:val="clear" w:pos="7100"/>
          <w:tab w:val="right" w:pos="567"/>
        </w:tabs>
        <w:snapToGrid w:val="0"/>
        <w:spacing w:after="120"/>
        <w:jc w:val="left"/>
        <w:rPr>
          <w:rFonts w:asciiTheme="minorHAnsi" w:eastAsia="MS PGothic" w:hAnsiTheme="minorHAnsi"/>
          <w:color w:val="000000"/>
          <w:sz w:val="22"/>
          <w:szCs w:val="22"/>
        </w:rPr>
      </w:pPr>
      <w:r w:rsidRPr="004710C4">
        <w:rPr>
          <w:rFonts w:asciiTheme="minorHAnsi" w:eastAsiaTheme="minorHAnsi" w:hAnsiTheme="minorHAnsi" w:cs="TimesNewRomanPSMT"/>
          <w:sz w:val="22"/>
          <w:szCs w:val="22"/>
        </w:rPr>
        <w:tab/>
      </w:r>
      <w:r w:rsidRPr="004710C4">
        <w:rPr>
          <w:rFonts w:asciiTheme="minorHAnsi" w:eastAsiaTheme="minorHAnsi" w:hAnsiTheme="minorHAnsi" w:cs="TimesNewRomanPSMT"/>
          <w:sz w:val="22"/>
          <w:szCs w:val="22"/>
        </w:rPr>
        <w:tab/>
      </w:r>
      <w:r w:rsidRPr="004710C4">
        <w:rPr>
          <w:rFonts w:asciiTheme="minorHAnsi" w:eastAsiaTheme="minorHAnsi" w:hAnsiTheme="minorHAnsi" w:cs="TimesNewRomanPS-BoldMT"/>
          <w:bCs/>
          <w:sz w:val="22"/>
          <w:szCs w:val="22"/>
        </w:rPr>
        <w:t>C</w:t>
      </w:r>
      <w:r w:rsidRPr="004710C4">
        <w:rPr>
          <w:rFonts w:asciiTheme="minorHAnsi" w:eastAsiaTheme="minorHAnsi" w:hAnsiTheme="minorHAnsi" w:cs="TimesNewRomanPS-BoldMT"/>
          <w:bCs/>
          <w:sz w:val="22"/>
          <w:szCs w:val="22"/>
        </w:rPr>
        <w:tab/>
      </w:r>
      <w:r w:rsidR="00FE01EC">
        <w:rPr>
          <w:rFonts w:asciiTheme="minorHAnsi" w:eastAsiaTheme="minorHAnsi" w:hAnsiTheme="minorHAnsi" w:cs="TimesNewRomanPSMT"/>
          <w:sz w:val="22"/>
          <w:szCs w:val="22"/>
        </w:rPr>
        <w:t>DO</w:t>
      </w:r>
      <w:r w:rsidRPr="004710C4">
        <w:rPr>
          <w:rFonts w:asciiTheme="minorHAnsi" w:eastAsiaTheme="minorHAnsi" w:hAnsiTheme="minorHAnsi" w:cs="TimesNewRomanPSMT"/>
          <w:sz w:val="22"/>
          <w:szCs w:val="22"/>
        </w:rPr>
        <w:t xml:space="preserve"> concentration (kg</w:t>
      </w:r>
      <w:r w:rsidR="006308DF">
        <w:rPr>
          <w:rFonts w:asciiTheme="minorHAnsi" w:eastAsiaTheme="minorHAnsi" w:hAnsiTheme="minorHAnsi" w:cs="TimesNewRomanPSMT"/>
          <w:sz w:val="22"/>
          <w:szCs w:val="22"/>
        </w:rPr>
        <w:t>.</w:t>
      </w:r>
      <w:r w:rsidRPr="004710C4">
        <w:rPr>
          <w:rFonts w:asciiTheme="minorHAnsi" w:eastAsiaTheme="minorHAnsi" w:hAnsiTheme="minorHAnsi" w:cs="TimesNewRomanPSMT"/>
          <w:sz w:val="22"/>
          <w:szCs w:val="22"/>
        </w:rPr>
        <w:t>m</w:t>
      </w:r>
      <w:r w:rsidR="006308DF" w:rsidRPr="00BC3871">
        <w:rPr>
          <w:rFonts w:asciiTheme="minorHAnsi" w:eastAsiaTheme="minorHAnsi" w:hAnsiTheme="minorHAnsi" w:cs="TimesNewRomanPSMT"/>
          <w:sz w:val="22"/>
          <w:szCs w:val="22"/>
          <w:vertAlign w:val="superscript"/>
        </w:rPr>
        <w:t>-</w:t>
      </w:r>
      <w:r w:rsidRPr="007D0AFD">
        <w:rPr>
          <w:rFonts w:asciiTheme="minorHAnsi" w:eastAsiaTheme="minorHAnsi" w:hAnsiTheme="minorHAnsi" w:cs="TimesNewRomanPSMT"/>
          <w:sz w:val="22"/>
          <w:szCs w:val="22"/>
          <w:vertAlign w:val="superscript"/>
        </w:rPr>
        <w:t>3</w:t>
      </w:r>
      <w:r w:rsidRPr="004710C4">
        <w:rPr>
          <w:rFonts w:asciiTheme="minorHAnsi" w:eastAsiaTheme="minorHAnsi" w:hAnsiTheme="minorHAnsi" w:cs="TimesNewRomanPSMT"/>
          <w:sz w:val="22"/>
          <w:szCs w:val="22"/>
        </w:rPr>
        <w:t>)</w:t>
      </w:r>
      <w:r w:rsidR="007D0AFD">
        <w:rPr>
          <w:rFonts w:asciiTheme="minorHAnsi" w:eastAsiaTheme="minorHAnsi" w:hAnsiTheme="minorHAnsi" w:cs="TimesNewRomanPSMT"/>
          <w:sz w:val="22"/>
          <w:szCs w:val="22"/>
        </w:rPr>
        <w:t xml:space="preserve"> during desorption</w:t>
      </w:r>
    </w:p>
    <w:p w14:paraId="64EF8273" w14:textId="1DD7029E" w:rsidR="00B12E95" w:rsidRPr="00A153A9" w:rsidRDefault="00B12E95" w:rsidP="007D0AF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A153A9">
        <w:rPr>
          <w:rFonts w:asciiTheme="minorHAnsi" w:eastAsia="MS PGothic" w:hAnsiTheme="minorHAnsi"/>
          <w:color w:val="000000"/>
          <w:sz w:val="22"/>
          <w:szCs w:val="22"/>
        </w:rPr>
        <w:t xml:space="preserve">An example of </w:t>
      </w:r>
      <w:r w:rsidR="005477F4" w:rsidRPr="00A153A9">
        <w:rPr>
          <w:rFonts w:asciiTheme="minorHAnsi" w:eastAsia="MS PGothic" w:hAnsiTheme="minorHAnsi"/>
          <w:color w:val="000000"/>
          <w:sz w:val="22"/>
          <w:szCs w:val="22"/>
        </w:rPr>
        <w:t>time</w:t>
      </w:r>
      <w:r w:rsidR="007119F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01B58">
        <w:rPr>
          <w:rFonts w:asciiTheme="minorHAnsi" w:eastAsia="MS PGothic" w:hAnsiTheme="minorHAnsi"/>
          <w:color w:val="000000"/>
          <w:sz w:val="22"/>
          <w:szCs w:val="22"/>
        </w:rPr>
        <w:t xml:space="preserve">evolution of </w:t>
      </w:r>
      <w:r w:rsidR="00BC3871">
        <w:rPr>
          <w:rFonts w:asciiTheme="minorHAnsi" w:eastAsia="MS PGothic" w:hAnsiTheme="minorHAnsi"/>
          <w:color w:val="000000"/>
          <w:sz w:val="22"/>
          <w:szCs w:val="22"/>
        </w:rPr>
        <w:t xml:space="preserve">DO </w:t>
      </w:r>
      <w:r w:rsidRPr="00A153A9">
        <w:rPr>
          <w:rFonts w:asciiTheme="minorHAnsi" w:eastAsia="MS PGothic" w:hAnsiTheme="minorHAnsi"/>
          <w:color w:val="000000"/>
          <w:sz w:val="22"/>
          <w:szCs w:val="22"/>
        </w:rPr>
        <w:t>concen</w:t>
      </w:r>
      <w:r w:rsidR="00EC407B">
        <w:rPr>
          <w:rFonts w:asciiTheme="minorHAnsi" w:eastAsia="MS PGothic" w:hAnsiTheme="minorHAnsi"/>
          <w:color w:val="000000"/>
          <w:sz w:val="22"/>
          <w:szCs w:val="22"/>
        </w:rPr>
        <w:t>tration</w:t>
      </w:r>
      <w:r w:rsidR="0040605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276D0">
        <w:rPr>
          <w:rFonts w:asciiTheme="minorHAnsi" w:eastAsia="MS PGothic" w:hAnsiTheme="minorHAnsi"/>
          <w:color w:val="000000"/>
          <w:sz w:val="22"/>
          <w:szCs w:val="22"/>
        </w:rPr>
        <w:t xml:space="preserve">is given </w:t>
      </w:r>
      <w:r w:rsidR="005477F4">
        <w:rPr>
          <w:rFonts w:asciiTheme="minorHAnsi" w:eastAsia="MS PGothic" w:hAnsiTheme="minorHAnsi"/>
          <w:color w:val="000000"/>
          <w:sz w:val="22"/>
          <w:szCs w:val="22"/>
        </w:rPr>
        <w:t xml:space="preserve">in </w:t>
      </w:r>
      <w:r w:rsidR="00E276D0">
        <w:rPr>
          <w:rFonts w:asciiTheme="minorHAnsi" w:eastAsia="MS PGothic" w:hAnsiTheme="minorHAnsi"/>
          <w:color w:val="000000"/>
          <w:sz w:val="22"/>
          <w:szCs w:val="22"/>
        </w:rPr>
        <w:t>F</w:t>
      </w:r>
      <w:r w:rsidR="0080732D" w:rsidRPr="00A153A9">
        <w:rPr>
          <w:rFonts w:asciiTheme="minorHAnsi" w:eastAsia="MS PGothic" w:hAnsiTheme="minorHAnsi"/>
          <w:color w:val="000000"/>
          <w:sz w:val="22"/>
          <w:szCs w:val="22"/>
        </w:rPr>
        <w:t>ig</w:t>
      </w:r>
      <w:r w:rsidR="00EC407B">
        <w:rPr>
          <w:rFonts w:asciiTheme="minorHAnsi" w:eastAsia="MS PGothic" w:hAnsiTheme="minorHAnsi"/>
          <w:color w:val="000000"/>
          <w:sz w:val="22"/>
          <w:szCs w:val="22"/>
        </w:rPr>
        <w:t xml:space="preserve">ure </w:t>
      </w:r>
      <w:r w:rsidR="0080732D" w:rsidRPr="00A153A9">
        <w:rPr>
          <w:rFonts w:asciiTheme="minorHAnsi" w:eastAsia="MS PGothic" w:hAnsiTheme="minorHAnsi"/>
          <w:color w:val="000000"/>
          <w:sz w:val="22"/>
          <w:szCs w:val="22"/>
        </w:rPr>
        <w:t>2</w:t>
      </w:r>
      <w:r w:rsidR="00511E7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01B58">
        <w:rPr>
          <w:rFonts w:asciiTheme="minorHAnsi" w:eastAsia="MS PGothic" w:hAnsiTheme="minorHAnsi"/>
          <w:color w:val="000000"/>
          <w:sz w:val="22"/>
          <w:szCs w:val="22"/>
        </w:rPr>
        <w:t xml:space="preserve">in the case of </w:t>
      </w:r>
      <w:r w:rsidR="00511E7C">
        <w:rPr>
          <w:rFonts w:asciiTheme="minorHAnsi" w:eastAsia="MS PGothic" w:hAnsiTheme="minorHAnsi"/>
          <w:color w:val="000000"/>
          <w:sz w:val="22"/>
          <w:szCs w:val="22"/>
        </w:rPr>
        <w:t>desorption by nitrogen bubbles</w:t>
      </w:r>
      <w:r w:rsidRPr="00A153A9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EC407B">
        <w:rPr>
          <w:rFonts w:asciiTheme="minorHAnsi" w:eastAsia="MS PGothic" w:hAnsiTheme="minorHAnsi"/>
          <w:color w:val="000000"/>
          <w:sz w:val="22"/>
          <w:szCs w:val="22"/>
        </w:rPr>
        <w:t xml:space="preserve"> Figure 3 </w:t>
      </w:r>
      <w:r w:rsidR="0040605E">
        <w:rPr>
          <w:rFonts w:asciiTheme="minorHAnsi" w:eastAsia="MS PGothic" w:hAnsiTheme="minorHAnsi"/>
          <w:color w:val="000000"/>
          <w:sz w:val="22"/>
          <w:szCs w:val="22"/>
        </w:rPr>
        <w:t xml:space="preserve">shows </w:t>
      </w:r>
      <w:r w:rsidR="00EC407B">
        <w:rPr>
          <w:rFonts w:asciiTheme="minorHAnsi" w:eastAsia="MS PGothic" w:hAnsiTheme="minorHAnsi"/>
          <w:color w:val="000000"/>
          <w:sz w:val="22"/>
          <w:szCs w:val="22"/>
        </w:rPr>
        <w:t>th</w:t>
      </w:r>
      <w:r w:rsidR="00511E7C">
        <w:rPr>
          <w:rFonts w:asciiTheme="minorHAnsi" w:eastAsia="MS PGothic" w:hAnsiTheme="minorHAnsi"/>
          <w:color w:val="000000"/>
          <w:sz w:val="22"/>
          <w:szCs w:val="22"/>
        </w:rPr>
        <w:t xml:space="preserve">e </w:t>
      </w:r>
      <w:r w:rsidR="0040605E">
        <w:rPr>
          <w:rFonts w:asciiTheme="minorHAnsi" w:eastAsia="MS PGothic" w:hAnsiTheme="minorHAnsi"/>
          <w:color w:val="000000"/>
          <w:sz w:val="22"/>
          <w:szCs w:val="22"/>
        </w:rPr>
        <w:t>linear regression</w:t>
      </w:r>
      <w:r w:rsidR="00511E7C">
        <w:rPr>
          <w:rFonts w:asciiTheme="minorHAnsi" w:eastAsia="MS PGothic" w:hAnsiTheme="minorHAnsi"/>
          <w:color w:val="000000"/>
          <w:sz w:val="22"/>
          <w:szCs w:val="22"/>
        </w:rPr>
        <w:t xml:space="preserve"> of </w:t>
      </w:r>
      <w:r w:rsidR="007C0162">
        <w:rPr>
          <w:rFonts w:asciiTheme="minorHAnsi" w:eastAsia="MS PGothic" w:hAnsiTheme="minorHAnsi"/>
          <w:color w:val="000000"/>
          <w:sz w:val="22"/>
          <w:szCs w:val="22"/>
        </w:rPr>
        <w:t>the</w:t>
      </w:r>
      <w:r w:rsidR="00492D7F">
        <w:rPr>
          <w:rFonts w:asciiTheme="minorHAnsi" w:eastAsia="MS PGothic" w:hAnsiTheme="minorHAnsi"/>
          <w:color w:val="000000"/>
          <w:sz w:val="22"/>
          <w:szCs w:val="22"/>
        </w:rPr>
        <w:t xml:space="preserve"> DO </w:t>
      </w:r>
      <w:r w:rsidR="0040605E">
        <w:rPr>
          <w:rFonts w:asciiTheme="minorHAnsi" w:eastAsia="MS PGothic" w:hAnsiTheme="minorHAnsi"/>
          <w:color w:val="000000"/>
          <w:sz w:val="22"/>
          <w:szCs w:val="22"/>
        </w:rPr>
        <w:t xml:space="preserve">data </w:t>
      </w:r>
      <w:r w:rsidR="00492D7F">
        <w:rPr>
          <w:rFonts w:asciiTheme="minorHAnsi" w:eastAsia="MS PGothic" w:hAnsiTheme="minorHAnsi"/>
          <w:color w:val="000000"/>
          <w:sz w:val="22"/>
          <w:szCs w:val="22"/>
        </w:rPr>
        <w:t>that gives</w:t>
      </w:r>
      <w:r w:rsidR="00EC407B">
        <w:rPr>
          <w:rFonts w:asciiTheme="minorHAnsi" w:eastAsia="MS PGothic" w:hAnsiTheme="minorHAnsi"/>
          <w:color w:val="000000"/>
          <w:sz w:val="22"/>
          <w:szCs w:val="22"/>
        </w:rPr>
        <w:t xml:space="preserve"> the </w:t>
      </w:r>
      <w:r w:rsidR="00511E7C">
        <w:rPr>
          <w:rFonts w:asciiTheme="minorHAnsi" w:eastAsia="MS PGothic" w:hAnsiTheme="minorHAnsi"/>
          <w:color w:val="000000"/>
          <w:sz w:val="22"/>
          <w:szCs w:val="22"/>
        </w:rPr>
        <w:t xml:space="preserve">slope m for use in </w:t>
      </w:r>
      <w:r w:rsidR="0040605E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7C0162">
        <w:rPr>
          <w:rFonts w:asciiTheme="minorHAnsi" w:eastAsia="MS PGothic" w:hAnsiTheme="minorHAnsi"/>
          <w:color w:val="000000"/>
          <w:sz w:val="22"/>
          <w:szCs w:val="22"/>
        </w:rPr>
        <w:t xml:space="preserve">above </w:t>
      </w:r>
      <w:r w:rsidR="00511E7C">
        <w:rPr>
          <w:rFonts w:asciiTheme="minorHAnsi" w:eastAsia="MS PGothic" w:hAnsiTheme="minorHAnsi"/>
          <w:color w:val="000000"/>
          <w:sz w:val="22"/>
          <w:szCs w:val="22"/>
        </w:rPr>
        <w:t>equation.</w:t>
      </w:r>
    </w:p>
    <w:p w14:paraId="536C65CB" w14:textId="6374EB9B" w:rsidR="00410AA5" w:rsidRPr="0080732D" w:rsidRDefault="00854117" w:rsidP="001A12C6">
      <w:pPr>
        <w:tabs>
          <w:tab w:val="clear" w:pos="7100"/>
          <w:tab w:val="right" w:pos="4111"/>
        </w:tabs>
        <w:snapToGrid w:val="0"/>
        <w:spacing w:after="120"/>
        <w:ind w:firstLine="284"/>
        <w:jc w:val="left"/>
        <w:rPr>
          <w:rFonts w:asciiTheme="minorHAnsi" w:eastAsia="MS PGothic" w:hAnsiTheme="minorHAnsi"/>
          <w:color w:val="000000"/>
          <w:sz w:val="22"/>
          <w:szCs w:val="22"/>
          <w:lang w:val="fr-FR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fr-FR" w:eastAsia="fr-FR"/>
        </w:rPr>
        <w:drawing>
          <wp:inline distT="0" distB="0" distL="0" distR="0" wp14:anchorId="11BA5F64" wp14:editId="2886A3A5">
            <wp:extent cx="1859280" cy="1193446"/>
            <wp:effectExtent l="0" t="0" r="762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796" cy="1209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0AFD">
        <w:rPr>
          <w:rFonts w:asciiTheme="minorHAnsi" w:eastAsia="MS PGothic" w:hAnsiTheme="minorHAnsi"/>
          <w:color w:val="000000"/>
          <w:sz w:val="22"/>
          <w:szCs w:val="22"/>
          <w:lang w:val="fr-FR"/>
        </w:rPr>
        <w:tab/>
      </w:r>
      <w:r w:rsidR="001A12C6">
        <w:rPr>
          <w:rFonts w:asciiTheme="minorHAnsi" w:eastAsia="MS PGothic" w:hAnsiTheme="minorHAnsi"/>
          <w:color w:val="000000"/>
          <w:sz w:val="22"/>
          <w:szCs w:val="22"/>
          <w:lang w:val="fr-FR"/>
        </w:rPr>
        <w:tab/>
      </w:r>
      <w:r w:rsidR="007D0AFD">
        <w:rPr>
          <w:rFonts w:asciiTheme="minorHAnsi" w:eastAsia="MS PGothic" w:hAnsiTheme="minorHAnsi"/>
          <w:color w:val="000000"/>
          <w:sz w:val="22"/>
          <w:szCs w:val="22"/>
          <w:lang w:val="fr-FR"/>
        </w:rPr>
        <w:tab/>
      </w:r>
      <w:r w:rsidR="001A12C6">
        <w:rPr>
          <w:rFonts w:asciiTheme="minorHAnsi" w:eastAsia="MS PGothic" w:hAnsiTheme="minorHAnsi"/>
          <w:noProof/>
          <w:color w:val="000000"/>
          <w:sz w:val="22"/>
          <w:szCs w:val="22"/>
          <w:lang w:val="fr-FR" w:eastAsia="fr-FR"/>
        </w:rPr>
        <w:drawing>
          <wp:inline distT="0" distB="0" distL="0" distR="0" wp14:anchorId="3AC4C00B" wp14:editId="76CEC7EC">
            <wp:extent cx="2010888" cy="1208760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40" cy="123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8A0BCB" w14:textId="5F6B658B" w:rsidR="00B12E95" w:rsidRPr="007D0AFD" w:rsidRDefault="004944D0" w:rsidP="001A12C6">
      <w:pPr>
        <w:tabs>
          <w:tab w:val="clear" w:pos="7100"/>
          <w:tab w:val="left" w:pos="3969"/>
        </w:tabs>
        <w:snapToGrid w:val="0"/>
        <w:spacing w:after="120"/>
        <w:ind w:firstLine="142"/>
        <w:jc w:val="left"/>
        <w:rPr>
          <w:rFonts w:asciiTheme="minorHAnsi" w:eastAsia="MS PGothic" w:hAnsiTheme="minorHAnsi"/>
          <w:color w:val="000000"/>
          <w:szCs w:val="18"/>
        </w:rPr>
      </w:pPr>
      <w:r w:rsidRPr="007D0AFD">
        <w:rPr>
          <w:rFonts w:asciiTheme="minorHAnsi" w:eastAsia="MS PGothic" w:hAnsiTheme="minorHAnsi"/>
          <w:b/>
          <w:color w:val="000000"/>
          <w:szCs w:val="18"/>
        </w:rPr>
        <w:t>Figure 2</w:t>
      </w:r>
      <w:r w:rsidR="007D0AFD" w:rsidRPr="007D0AFD">
        <w:rPr>
          <w:rFonts w:asciiTheme="minorHAnsi" w:eastAsia="MS PGothic" w:hAnsiTheme="minorHAnsi"/>
          <w:b/>
          <w:color w:val="000000"/>
          <w:szCs w:val="18"/>
        </w:rPr>
        <w:t>.</w:t>
      </w:r>
      <w:r w:rsidRPr="007D0AFD">
        <w:rPr>
          <w:rFonts w:asciiTheme="minorHAnsi" w:eastAsia="MS PGothic" w:hAnsiTheme="minorHAnsi"/>
          <w:color w:val="000000"/>
          <w:szCs w:val="18"/>
        </w:rPr>
        <w:t xml:space="preserve"> </w:t>
      </w:r>
      <w:r w:rsidR="00E276D0" w:rsidRPr="007D0AFD">
        <w:rPr>
          <w:rFonts w:asciiTheme="minorHAnsi" w:eastAsia="MS PGothic" w:hAnsiTheme="minorHAnsi"/>
          <w:color w:val="000000"/>
          <w:szCs w:val="18"/>
        </w:rPr>
        <w:t>Oxygen desorption by nitrogen bubbles</w:t>
      </w:r>
      <w:r w:rsidR="007D0AFD">
        <w:rPr>
          <w:rFonts w:asciiTheme="minorHAnsi" w:eastAsia="MS PGothic" w:hAnsiTheme="minorHAnsi"/>
          <w:color w:val="000000"/>
          <w:szCs w:val="18"/>
        </w:rPr>
        <w:t>.</w:t>
      </w:r>
      <w:r w:rsidR="007D0AFD">
        <w:rPr>
          <w:rFonts w:asciiTheme="minorHAnsi" w:eastAsia="MS PGothic" w:hAnsiTheme="minorHAnsi"/>
          <w:color w:val="000000"/>
          <w:szCs w:val="18"/>
        </w:rPr>
        <w:tab/>
      </w:r>
      <w:r w:rsidR="007D0AFD">
        <w:rPr>
          <w:rFonts w:asciiTheme="minorHAnsi" w:eastAsia="MS PGothic" w:hAnsiTheme="minorHAnsi"/>
          <w:color w:val="000000"/>
          <w:szCs w:val="18"/>
        </w:rPr>
        <w:tab/>
      </w:r>
      <w:r w:rsidR="001A12C6">
        <w:rPr>
          <w:rFonts w:asciiTheme="minorHAnsi" w:eastAsia="MS PGothic" w:hAnsiTheme="minorHAnsi"/>
          <w:color w:val="000000"/>
          <w:szCs w:val="18"/>
        </w:rPr>
        <w:tab/>
      </w:r>
      <w:r w:rsidR="007D0AFD" w:rsidRPr="007D0AFD">
        <w:rPr>
          <w:rFonts w:asciiTheme="minorHAnsi" w:eastAsia="MS PGothic" w:hAnsiTheme="minorHAnsi"/>
          <w:b/>
          <w:color w:val="000000"/>
          <w:szCs w:val="18"/>
        </w:rPr>
        <w:t xml:space="preserve">Figure </w:t>
      </w:r>
      <w:r w:rsidR="007D0AFD">
        <w:rPr>
          <w:rFonts w:asciiTheme="minorHAnsi" w:eastAsia="MS PGothic" w:hAnsiTheme="minorHAnsi"/>
          <w:b/>
          <w:color w:val="000000"/>
          <w:szCs w:val="18"/>
        </w:rPr>
        <w:t>3</w:t>
      </w:r>
      <w:r w:rsidR="007D0AFD" w:rsidRPr="007D0AFD">
        <w:rPr>
          <w:rFonts w:asciiTheme="minorHAnsi" w:eastAsia="MS PGothic" w:hAnsiTheme="minorHAnsi"/>
          <w:b/>
          <w:color w:val="000000"/>
          <w:szCs w:val="18"/>
        </w:rPr>
        <w:t>.</w:t>
      </w:r>
      <w:r w:rsidR="007D0AFD" w:rsidRPr="007D0AFD">
        <w:rPr>
          <w:rFonts w:asciiTheme="minorHAnsi" w:eastAsia="MS PGothic" w:hAnsiTheme="minorHAnsi"/>
          <w:color w:val="000000"/>
          <w:szCs w:val="18"/>
        </w:rPr>
        <w:t xml:space="preserve"> </w:t>
      </w:r>
      <w:r w:rsidR="007D0AFD">
        <w:rPr>
          <w:rFonts w:asciiTheme="minorHAnsi" w:eastAsia="MS PGothic" w:hAnsiTheme="minorHAnsi"/>
          <w:color w:val="000000"/>
          <w:szCs w:val="18"/>
        </w:rPr>
        <w:t>Mathematical processing of desorption data</w:t>
      </w:r>
      <w:r w:rsidR="007C0162">
        <w:rPr>
          <w:rFonts w:asciiTheme="minorHAnsi" w:eastAsia="MS PGothic" w:hAnsiTheme="minorHAnsi"/>
          <w:color w:val="000000"/>
          <w:szCs w:val="18"/>
        </w:rPr>
        <w:t>.</w:t>
      </w:r>
    </w:p>
    <w:p w14:paraId="4A4C0E2B" w14:textId="21D87E04" w:rsidR="00C054E7" w:rsidRPr="008D0BEB" w:rsidRDefault="00C054E7" w:rsidP="00C054E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Conclusion</w:t>
      </w:r>
      <w:r w:rsidR="003117D4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and perspectives</w:t>
      </w:r>
    </w:p>
    <w:p w14:paraId="6CF4F5B4" w14:textId="2EE7980D" w:rsidR="00410AA5" w:rsidRPr="00410AA5" w:rsidRDefault="008C1AB5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The</w:t>
      </w:r>
      <w:r w:rsidR="00410AA5" w:rsidRPr="00A153A9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 </w:t>
      </w:r>
      <w:r w:rsidR="007C0162" w:rsidRPr="00A153A9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liqu</w:t>
      </w:r>
      <w:r w:rsidR="007C0162" w:rsidRPr="00410AA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id</w:t>
      </w:r>
      <w:r w:rsidR="007C0162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-</w:t>
      </w:r>
      <w:r w:rsidR="00410AA5" w:rsidRPr="00410AA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side mass transfer coefficient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of individual</w:t>
      </w:r>
      <w:r w:rsidR="00410AA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ascending bubble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s</w:t>
      </w:r>
      <w:r w:rsidR="00410AA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A241EC" w:rsidRPr="00410AA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ha</w:t>
      </w:r>
      <w:r w:rsidR="00A241E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s</w:t>
      </w:r>
      <w:r w:rsidR="00A241EC" w:rsidRPr="00410AA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410AA5" w:rsidRPr="00410AA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been determined</w:t>
      </w:r>
      <w:r w:rsidR="00A241E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,</w:t>
      </w:r>
      <w:r w:rsidR="00410AA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A241E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showing a good</w:t>
      </w:r>
      <w:r w:rsidR="00410AA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agreement with </w:t>
      </w:r>
      <w:r w:rsidR="002A6DC4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that measured </w:t>
      </w:r>
      <w:r w:rsidR="007C0162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for</w:t>
      </w:r>
      <w:r w:rsidR="00410AA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a swarm of bubbles</w:t>
      </w:r>
      <w:r w:rsidR="0098228E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7C0162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in our previous works </w:t>
      </w:r>
      <w:r w:rsidR="0098228E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(Devatine et al., 2013</w:t>
      </w:r>
      <w:r w:rsidR="00F2771A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)</w:t>
      </w:r>
      <w:r w:rsidR="00410AA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. </w:t>
      </w:r>
      <w:r w:rsidR="007C0162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Moreover</w:t>
      </w:r>
      <w:r w:rsidR="00410AA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, these values </w:t>
      </w:r>
      <w:r w:rsidR="007C0162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are well fitted by</w:t>
      </w:r>
      <w:r w:rsidR="00410AA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conventional mass transfer correlation</w:t>
      </w:r>
      <w:r w:rsidR="007C0162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s</w:t>
      </w:r>
      <w:r w:rsidR="00410AA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B64137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established for</w:t>
      </w:r>
      <w:r w:rsidR="007C0162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rigid </w:t>
      </w:r>
      <w:r w:rsidR="00410AA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spheres.</w:t>
      </w:r>
    </w:p>
    <w:p w14:paraId="0C82F161" w14:textId="77777777" w:rsidR="00704BDF" w:rsidRPr="008D0BEB" w:rsidRDefault="00E03170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1672DACD" w14:textId="77777777" w:rsidR="00474FE9" w:rsidRPr="00E03170" w:rsidRDefault="00E03170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E03170">
        <w:rPr>
          <w:lang w:val="en-GB"/>
        </w:rPr>
        <w:t xml:space="preserve">I. </w:t>
      </w:r>
      <w:r w:rsidR="00474FE9" w:rsidRPr="00E03170">
        <w:rPr>
          <w:lang w:val="en-GB"/>
        </w:rPr>
        <w:t xml:space="preserve">Chiciuc, </w:t>
      </w:r>
      <w:r w:rsidRPr="00E03170">
        <w:rPr>
          <w:lang w:val="en-GB"/>
        </w:rPr>
        <w:t xml:space="preserve">V. </w:t>
      </w:r>
      <w:r w:rsidR="00474FE9" w:rsidRPr="00E03170">
        <w:rPr>
          <w:lang w:val="en-GB"/>
        </w:rPr>
        <w:t xml:space="preserve">Farines, </w:t>
      </w:r>
      <w:r w:rsidRPr="00E03170">
        <w:rPr>
          <w:lang w:val="en-GB"/>
        </w:rPr>
        <w:t xml:space="preserve">M. </w:t>
      </w:r>
      <w:r w:rsidR="00474FE9" w:rsidRPr="00E03170">
        <w:rPr>
          <w:lang w:val="en-GB"/>
        </w:rPr>
        <w:t xml:space="preserve">Mietton-Peuchot, </w:t>
      </w:r>
      <w:r w:rsidRPr="00E03170">
        <w:rPr>
          <w:bCs/>
          <w:lang w:val="en-GB"/>
        </w:rPr>
        <w:t xml:space="preserve">A. </w:t>
      </w:r>
      <w:r w:rsidR="00474FE9" w:rsidRPr="00E03170">
        <w:rPr>
          <w:bCs/>
          <w:lang w:val="en-GB"/>
        </w:rPr>
        <w:t>Devatine</w:t>
      </w:r>
      <w:r w:rsidR="00474FE9" w:rsidRPr="00E03170">
        <w:rPr>
          <w:lang w:val="en-GB"/>
        </w:rPr>
        <w:t xml:space="preserve">, </w:t>
      </w:r>
      <w:r w:rsidRPr="00E03170">
        <w:rPr>
          <w:iCs/>
          <w:lang w:val="en-GB"/>
        </w:rPr>
        <w:t>Int.</w:t>
      </w:r>
      <w:r w:rsidR="00474FE9" w:rsidRPr="00E03170">
        <w:rPr>
          <w:iCs/>
          <w:lang w:val="en-GB"/>
        </w:rPr>
        <w:t xml:space="preserve"> </w:t>
      </w:r>
      <w:r w:rsidRPr="00E03170">
        <w:rPr>
          <w:iCs/>
          <w:lang w:val="en-GB"/>
        </w:rPr>
        <w:t>J. Food Eng.</w:t>
      </w:r>
      <w:r w:rsidR="00474FE9" w:rsidRPr="00E03170">
        <w:rPr>
          <w:iCs/>
          <w:lang w:val="en-GB"/>
        </w:rPr>
        <w:t>, Vol. 6 (6), 9,</w:t>
      </w:r>
      <w:r w:rsidR="00474FE9" w:rsidRPr="00E03170">
        <w:rPr>
          <w:i/>
          <w:iCs/>
          <w:lang w:val="en-GB"/>
        </w:rPr>
        <w:t xml:space="preserve"> </w:t>
      </w:r>
      <w:r w:rsidR="00474FE9" w:rsidRPr="00E03170">
        <w:rPr>
          <w:bCs/>
          <w:lang w:val="en-GB"/>
        </w:rPr>
        <w:t>2010</w:t>
      </w:r>
    </w:p>
    <w:p w14:paraId="4F40A5AA" w14:textId="77777777" w:rsidR="00E03170" w:rsidRPr="0098228E" w:rsidRDefault="00E03170" w:rsidP="0098228E">
      <w:pPr>
        <w:pStyle w:val="SFGPauteurs"/>
        <w:numPr>
          <w:ilvl w:val="0"/>
          <w:numId w:val="17"/>
        </w:numPr>
        <w:tabs>
          <w:tab w:val="left" w:pos="540"/>
        </w:tabs>
        <w:ind w:right="-523"/>
        <w:jc w:val="both"/>
        <w:rPr>
          <w:rFonts w:asciiTheme="minorHAnsi" w:hAnsiTheme="minorHAnsi"/>
          <w:lang w:val="fr-FR"/>
        </w:rPr>
      </w:pPr>
      <w:r w:rsidRPr="0098228E">
        <w:rPr>
          <w:rFonts w:asciiTheme="minorHAnsi" w:hAnsiTheme="minorHAnsi"/>
        </w:rPr>
        <w:t xml:space="preserve">A. </w:t>
      </w:r>
      <w:r w:rsidRPr="00E03170">
        <w:rPr>
          <w:rFonts w:asciiTheme="minorHAnsi" w:hAnsiTheme="minorHAnsi"/>
          <w:lang w:val="fr-FR"/>
        </w:rPr>
        <w:t>Devatine, I.</w:t>
      </w:r>
      <w:r>
        <w:rPr>
          <w:rFonts w:asciiTheme="minorHAnsi" w:hAnsiTheme="minorHAnsi"/>
          <w:lang w:val="fr-FR"/>
        </w:rPr>
        <w:t xml:space="preserve"> </w:t>
      </w:r>
      <w:r w:rsidRPr="00E03170">
        <w:rPr>
          <w:rFonts w:asciiTheme="minorHAnsi" w:hAnsiTheme="minorHAnsi"/>
          <w:lang w:val="fr-FR"/>
        </w:rPr>
        <w:t>Chiciuc, P.</w:t>
      </w:r>
      <w:r>
        <w:rPr>
          <w:rFonts w:asciiTheme="minorHAnsi" w:hAnsiTheme="minorHAnsi"/>
          <w:lang w:val="fr-FR"/>
        </w:rPr>
        <w:t xml:space="preserve"> </w:t>
      </w:r>
      <w:r w:rsidRPr="00E03170">
        <w:rPr>
          <w:rFonts w:asciiTheme="minorHAnsi" w:hAnsiTheme="minorHAnsi"/>
          <w:lang w:val="fr-FR"/>
        </w:rPr>
        <w:t>Guiraud, G.</w:t>
      </w:r>
      <w:r>
        <w:rPr>
          <w:rFonts w:asciiTheme="minorHAnsi" w:hAnsiTheme="minorHAnsi"/>
          <w:lang w:val="fr-FR"/>
        </w:rPr>
        <w:t xml:space="preserve"> </w:t>
      </w:r>
      <w:r w:rsidRPr="00E03170">
        <w:rPr>
          <w:rFonts w:asciiTheme="minorHAnsi" w:hAnsiTheme="minorHAnsi"/>
          <w:lang w:val="fr-FR"/>
        </w:rPr>
        <w:t>Hebrard, M.</w:t>
      </w:r>
      <w:r>
        <w:rPr>
          <w:rFonts w:asciiTheme="minorHAnsi" w:hAnsiTheme="minorHAnsi"/>
          <w:lang w:val="fr-FR"/>
        </w:rPr>
        <w:t xml:space="preserve"> </w:t>
      </w:r>
      <w:r w:rsidRPr="00E03170">
        <w:rPr>
          <w:rFonts w:asciiTheme="minorHAnsi" w:hAnsiTheme="minorHAnsi"/>
          <w:lang w:val="fr-FR"/>
        </w:rPr>
        <w:t xml:space="preserve">Mietton-Peuchot, </w:t>
      </w:r>
      <w:r>
        <w:rPr>
          <w:rFonts w:asciiTheme="minorHAnsi" w:hAnsiTheme="minorHAnsi"/>
          <w:i/>
          <w:iCs/>
          <w:lang w:val="fr-FR"/>
        </w:rPr>
        <w:t>SFGP congress</w:t>
      </w:r>
      <w:r w:rsidRPr="00E03170">
        <w:rPr>
          <w:rFonts w:asciiTheme="minorHAnsi" w:hAnsiTheme="minorHAnsi"/>
          <w:lang w:val="fr-FR"/>
        </w:rPr>
        <w:t xml:space="preserve">, </w:t>
      </w:r>
      <w:r w:rsidR="0098228E" w:rsidRPr="00E03170">
        <w:rPr>
          <w:rFonts w:asciiTheme="minorHAnsi" w:hAnsiTheme="minorHAnsi"/>
          <w:lang w:val="fr-FR"/>
        </w:rPr>
        <w:t>Lyon (France)</w:t>
      </w:r>
      <w:r w:rsidR="0098228E">
        <w:rPr>
          <w:rFonts w:asciiTheme="minorHAnsi" w:hAnsiTheme="minorHAnsi"/>
          <w:lang w:val="fr-FR"/>
        </w:rPr>
        <w:t xml:space="preserve">, </w:t>
      </w:r>
      <w:r w:rsidRPr="00E03170">
        <w:rPr>
          <w:rFonts w:asciiTheme="minorHAnsi" w:hAnsiTheme="minorHAnsi"/>
          <w:bCs/>
          <w:lang w:val="fr-FR"/>
        </w:rPr>
        <w:t>2013</w:t>
      </w:r>
    </w:p>
    <w:sectPr w:rsidR="00E03170" w:rsidRPr="0098228E" w:rsidSect="004710C4">
      <w:type w:val="continuous"/>
      <w:pgSz w:w="11906" w:h="16838" w:code="9"/>
      <w:pgMar w:top="2552" w:right="1274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9D929" w14:textId="77777777" w:rsidR="006968CE" w:rsidRDefault="006968CE" w:rsidP="004F5E36">
      <w:r>
        <w:separator/>
      </w:r>
    </w:p>
  </w:endnote>
  <w:endnote w:type="continuationSeparator" w:id="0">
    <w:p w14:paraId="7C60C0D8" w14:textId="77777777" w:rsidR="006968CE" w:rsidRDefault="006968C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027A1" w14:textId="77777777" w:rsidR="006968CE" w:rsidRDefault="006968CE" w:rsidP="004F5E36">
      <w:r>
        <w:separator/>
      </w:r>
    </w:p>
  </w:footnote>
  <w:footnote w:type="continuationSeparator" w:id="0">
    <w:p w14:paraId="31082840" w14:textId="77777777" w:rsidR="006968CE" w:rsidRDefault="006968C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B5EB7" w14:textId="77777777"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CD2EA8" wp14:editId="4383ECE6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0A5C99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372415C9" wp14:editId="7E649EE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462D8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52FF5ED" wp14:editId="4BFA7D5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4E80BCE1" w14:textId="77777777" w:rsidR="00704BDF" w:rsidRDefault="00704BDF">
    <w:pPr>
      <w:pStyle w:val="En-tte"/>
    </w:pPr>
  </w:p>
  <w:p w14:paraId="3BDAD75C" w14:textId="77777777"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7FA6D" wp14:editId="3E3F16CB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F5211C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09E0"/>
    <w:rsid w:val="000027C0"/>
    <w:rsid w:val="00006C3C"/>
    <w:rsid w:val="000117CB"/>
    <w:rsid w:val="0003148D"/>
    <w:rsid w:val="000344FD"/>
    <w:rsid w:val="00047DA5"/>
    <w:rsid w:val="00052D0E"/>
    <w:rsid w:val="00062A9A"/>
    <w:rsid w:val="000A03B2"/>
    <w:rsid w:val="000A26B3"/>
    <w:rsid w:val="000D34BE"/>
    <w:rsid w:val="000E36F1"/>
    <w:rsid w:val="000E3A73"/>
    <w:rsid w:val="000E414A"/>
    <w:rsid w:val="0013121F"/>
    <w:rsid w:val="00134DE4"/>
    <w:rsid w:val="00150E59"/>
    <w:rsid w:val="00163E44"/>
    <w:rsid w:val="001727EC"/>
    <w:rsid w:val="00184AD6"/>
    <w:rsid w:val="00196E61"/>
    <w:rsid w:val="001A12C6"/>
    <w:rsid w:val="001B0EBE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A6DC4"/>
    <w:rsid w:val="002D1F12"/>
    <w:rsid w:val="003009B7"/>
    <w:rsid w:val="0030469C"/>
    <w:rsid w:val="003117D4"/>
    <w:rsid w:val="003723D4"/>
    <w:rsid w:val="00386186"/>
    <w:rsid w:val="003A131C"/>
    <w:rsid w:val="003A7D1C"/>
    <w:rsid w:val="003B537D"/>
    <w:rsid w:val="003C2ABF"/>
    <w:rsid w:val="003D28AA"/>
    <w:rsid w:val="0040605E"/>
    <w:rsid w:val="00410AA5"/>
    <w:rsid w:val="00431D69"/>
    <w:rsid w:val="0046164A"/>
    <w:rsid w:val="00462DCD"/>
    <w:rsid w:val="004648FF"/>
    <w:rsid w:val="004710C4"/>
    <w:rsid w:val="00474FE9"/>
    <w:rsid w:val="004924C3"/>
    <w:rsid w:val="00492D7F"/>
    <w:rsid w:val="004944D0"/>
    <w:rsid w:val="0049638A"/>
    <w:rsid w:val="00497FEF"/>
    <w:rsid w:val="004B3844"/>
    <w:rsid w:val="004D1162"/>
    <w:rsid w:val="004E4DD6"/>
    <w:rsid w:val="004F5E36"/>
    <w:rsid w:val="005119A5"/>
    <w:rsid w:val="00511E7C"/>
    <w:rsid w:val="005278B7"/>
    <w:rsid w:val="005346C8"/>
    <w:rsid w:val="005477F4"/>
    <w:rsid w:val="0055543F"/>
    <w:rsid w:val="00566E3F"/>
    <w:rsid w:val="00594E9F"/>
    <w:rsid w:val="005B61E6"/>
    <w:rsid w:val="005C77E1"/>
    <w:rsid w:val="005D6A2F"/>
    <w:rsid w:val="005E1A82"/>
    <w:rsid w:val="005F0A28"/>
    <w:rsid w:val="005F0E5E"/>
    <w:rsid w:val="005F255C"/>
    <w:rsid w:val="00620DEE"/>
    <w:rsid w:val="00625639"/>
    <w:rsid w:val="006308DF"/>
    <w:rsid w:val="0064184D"/>
    <w:rsid w:val="00660E3E"/>
    <w:rsid w:val="00662E74"/>
    <w:rsid w:val="006925B9"/>
    <w:rsid w:val="006968CE"/>
    <w:rsid w:val="006A58D2"/>
    <w:rsid w:val="006A714D"/>
    <w:rsid w:val="006B05B3"/>
    <w:rsid w:val="006C5579"/>
    <w:rsid w:val="00704BDF"/>
    <w:rsid w:val="007119F3"/>
    <w:rsid w:val="00736B13"/>
    <w:rsid w:val="00737EA4"/>
    <w:rsid w:val="00742056"/>
    <w:rsid w:val="007447F3"/>
    <w:rsid w:val="007661C8"/>
    <w:rsid w:val="007C0162"/>
    <w:rsid w:val="007D0AFD"/>
    <w:rsid w:val="007D52CD"/>
    <w:rsid w:val="00801B58"/>
    <w:rsid w:val="0080732D"/>
    <w:rsid w:val="00813288"/>
    <w:rsid w:val="008168FC"/>
    <w:rsid w:val="00837E25"/>
    <w:rsid w:val="008479A2"/>
    <w:rsid w:val="00854117"/>
    <w:rsid w:val="008705C2"/>
    <w:rsid w:val="0087637F"/>
    <w:rsid w:val="008806A2"/>
    <w:rsid w:val="008A1512"/>
    <w:rsid w:val="008A5099"/>
    <w:rsid w:val="008C1AB5"/>
    <w:rsid w:val="008D0BEB"/>
    <w:rsid w:val="008E566E"/>
    <w:rsid w:val="00901EB6"/>
    <w:rsid w:val="009450CE"/>
    <w:rsid w:val="0095164B"/>
    <w:rsid w:val="0098228E"/>
    <w:rsid w:val="00996483"/>
    <w:rsid w:val="009E788A"/>
    <w:rsid w:val="00A153A9"/>
    <w:rsid w:val="00A1763D"/>
    <w:rsid w:val="00A17CEC"/>
    <w:rsid w:val="00A241EC"/>
    <w:rsid w:val="00A27EF0"/>
    <w:rsid w:val="00A61F13"/>
    <w:rsid w:val="00A752C9"/>
    <w:rsid w:val="00A76EFC"/>
    <w:rsid w:val="00A85C00"/>
    <w:rsid w:val="00A9626B"/>
    <w:rsid w:val="00A97F29"/>
    <w:rsid w:val="00AB0964"/>
    <w:rsid w:val="00AE377D"/>
    <w:rsid w:val="00B12E95"/>
    <w:rsid w:val="00B32708"/>
    <w:rsid w:val="00B61DBF"/>
    <w:rsid w:val="00B64137"/>
    <w:rsid w:val="00B82AED"/>
    <w:rsid w:val="00BB113E"/>
    <w:rsid w:val="00BC30C9"/>
    <w:rsid w:val="00BC3871"/>
    <w:rsid w:val="00BE2B5E"/>
    <w:rsid w:val="00BE3E58"/>
    <w:rsid w:val="00BF5D30"/>
    <w:rsid w:val="00C01616"/>
    <w:rsid w:val="00C0162B"/>
    <w:rsid w:val="00C054E7"/>
    <w:rsid w:val="00C265CF"/>
    <w:rsid w:val="00C345B1"/>
    <w:rsid w:val="00C40142"/>
    <w:rsid w:val="00C57182"/>
    <w:rsid w:val="00C655FD"/>
    <w:rsid w:val="00C867B1"/>
    <w:rsid w:val="00C94434"/>
    <w:rsid w:val="00CA1C95"/>
    <w:rsid w:val="00CA5A9C"/>
    <w:rsid w:val="00CC169A"/>
    <w:rsid w:val="00CD5FE2"/>
    <w:rsid w:val="00D02B4C"/>
    <w:rsid w:val="00D05B77"/>
    <w:rsid w:val="00D84576"/>
    <w:rsid w:val="00D948D7"/>
    <w:rsid w:val="00DE0019"/>
    <w:rsid w:val="00DE264A"/>
    <w:rsid w:val="00E03170"/>
    <w:rsid w:val="00E041E7"/>
    <w:rsid w:val="00E076CD"/>
    <w:rsid w:val="00E23CA1"/>
    <w:rsid w:val="00E276D0"/>
    <w:rsid w:val="00E409A8"/>
    <w:rsid w:val="00E44FFF"/>
    <w:rsid w:val="00E7209D"/>
    <w:rsid w:val="00E9165C"/>
    <w:rsid w:val="00EA50E1"/>
    <w:rsid w:val="00EC407B"/>
    <w:rsid w:val="00EE0131"/>
    <w:rsid w:val="00F05256"/>
    <w:rsid w:val="00F2771A"/>
    <w:rsid w:val="00F30C64"/>
    <w:rsid w:val="00F33AA0"/>
    <w:rsid w:val="00F461ED"/>
    <w:rsid w:val="00F536C4"/>
    <w:rsid w:val="00F82BAA"/>
    <w:rsid w:val="00FA5F28"/>
    <w:rsid w:val="00FB1B18"/>
    <w:rsid w:val="00FB730C"/>
    <w:rsid w:val="00FC2695"/>
    <w:rsid w:val="00FC3E03"/>
    <w:rsid w:val="00FE01EC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5040A7"/>
  <w15:docId w15:val="{B09F9B11-8639-4A18-8902-2D4952F6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SFGPauteurs">
    <w:name w:val="SFGP_auteurs"/>
    <w:basedOn w:val="Normal"/>
    <w:uiPriority w:val="99"/>
    <w:rsid w:val="00E03170"/>
    <w:pPr>
      <w:tabs>
        <w:tab w:val="clear" w:pos="7100"/>
      </w:tabs>
      <w:spacing w:before="40" w:after="20"/>
      <w:jc w:val="center"/>
    </w:pPr>
    <w:rPr>
      <w:rFonts w:ascii="Times New Roman" w:eastAsia="MS Mincho" w:hAnsi="Times New Roman"/>
      <w:kern w:val="28"/>
      <w:sz w:val="20"/>
      <w:lang w:eastAsia="es-ES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4648F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FBC4-21CE-4546-A5C6-E7B384F3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620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Audrey Devatine</cp:lastModifiedBy>
  <cp:revision>21</cp:revision>
  <cp:lastPrinted>2015-05-12T18:31:00Z</cp:lastPrinted>
  <dcterms:created xsi:type="dcterms:W3CDTF">2019-02-22T07:49:00Z</dcterms:created>
  <dcterms:modified xsi:type="dcterms:W3CDTF">2019-02-22T14:55:00Z</dcterms:modified>
</cp:coreProperties>
</file>