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1F13D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20F07DD0" w14:textId="305295F2" w:rsidR="00704BDF" w:rsidRPr="00DE0019" w:rsidRDefault="00905A1C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Investigation of</w:t>
      </w:r>
      <w:r w:rsidR="001B38D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Metastable Zones</w:t>
      </w:r>
      <w:r w:rsidR="001B38D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and Induction Times in Glycine </w:t>
      </w:r>
      <w:proofErr w:type="spellStart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Crystallisation</w:t>
      </w:r>
      <w:proofErr w:type="spellEnd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across Three Different </w:t>
      </w:r>
      <w:proofErr w:type="spellStart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Antisolvents</w:t>
      </w:r>
      <w:proofErr w:type="spellEnd"/>
    </w:p>
    <w:p w14:paraId="4517676F" w14:textId="5E0F24E5" w:rsidR="00DE0019" w:rsidRPr="00DE0019" w:rsidRDefault="00A613E7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John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McGinty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B609D6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,2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B609D6" w:rsidRPr="00B609D6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Lennart A. I. Ramakers</w:t>
      </w:r>
      <w:r w:rsidR="00B609D6" w:rsidRPr="00B609D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B609D6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B609D6" w:rsidRPr="00B609D6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Wolfgang Beckmann</w:t>
      </w:r>
      <w:r w:rsidR="00B609D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  <w:r w:rsidR="00B609D6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F62A8B" w:rsidRPr="00F62A8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Guil</w:t>
      </w:r>
      <w:r w:rsidR="00BD7A56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laume Levi</w:t>
      </w:r>
      <w:r w:rsidR="00F62A8B" w:rsidRPr="00F62A8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lain</w:t>
      </w:r>
      <w:r w:rsidR="00F62A8B" w:rsidRPr="00F62A8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  <w:r w:rsidR="00F62A8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905A1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Mei Lee</w:t>
      </w:r>
      <w:r w:rsidR="00905A1C" w:rsidRPr="00B609D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4</w:t>
      </w:r>
      <w:r w:rsidR="00905A1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B609D6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Helen Wheatcroft</w:t>
      </w:r>
      <w:r w:rsidR="00B609D6" w:rsidRPr="00B609D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5</w:t>
      </w:r>
      <w:r w:rsidR="00B609D6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Ian Houson</w:t>
      </w:r>
      <w:r w:rsidR="00B609D6" w:rsidRPr="00B609D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B609D6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Jan Sefcik</w:t>
      </w:r>
      <w:r w:rsidR="00B609D6" w:rsidRPr="00B609D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1,2</w:t>
      </w:r>
      <w:r w:rsidR="00C32A3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,</w:t>
      </w:r>
      <w:r w:rsidR="00C32A3C" w:rsidRPr="00C32A3C">
        <w:rPr>
          <w:rFonts w:asciiTheme="minorHAnsi" w:eastAsia="SimSun" w:hAnsiTheme="minorHAnsi"/>
          <w:i/>
          <w:color w:val="000000"/>
          <w:sz w:val="24"/>
          <w:szCs w:val="24"/>
          <w:lang w:val="en-US" w:eastAsia="zh-CN"/>
        </w:rPr>
        <w:t>*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14:paraId="2DE7E31E" w14:textId="32A56CA5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905A1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Future Manufacturing Research Hub</w:t>
      </w:r>
      <w:r w:rsidR="00080E6E" w:rsidRPr="00080E6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in Continuous Manufacturing and </w:t>
      </w:r>
      <w:r w:rsidR="00905A1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Advanced </w:t>
      </w:r>
      <w:proofErr w:type="spellStart"/>
      <w:r w:rsidR="00080E6E" w:rsidRPr="00080E6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Crystallisation</w:t>
      </w:r>
      <w:proofErr w:type="spellEnd"/>
      <w:r w:rsidR="00080E6E" w:rsidRPr="00080E6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University of Strathclyde, Glasgow, UK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="00080E6E" w:rsidRPr="00080E6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Department of Chemical and Process Engineering, University of Strathclyde, Glasgow, UK</w:t>
      </w:r>
      <w:r w:rsidR="00E22B4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; 3</w:t>
      </w:r>
      <w:r w:rsidR="00F0751C" w:rsidRPr="00F0751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C85106" w:rsidRPr="00BD7A5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Bayer AG, Research &amp; Development, Pharmaceuticals, Material Science, 42096 Wuppertal</w:t>
      </w:r>
      <w:r w:rsidR="00F0751C" w:rsidRPr="00F0751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Germany</w:t>
      </w:r>
      <w:r w:rsidR="009C6AB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4 </w:t>
      </w:r>
      <w:r w:rsidR="006735A5" w:rsidRPr="006735A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Product Development and Supply</w:t>
      </w:r>
      <w:r w:rsidR="009C6AB9" w:rsidRPr="009C6AB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GlaxoSmithKline, </w:t>
      </w:r>
      <w:proofErr w:type="spellStart"/>
      <w:r w:rsidR="009C6AB9" w:rsidRPr="009C6AB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Stevenage</w:t>
      </w:r>
      <w:proofErr w:type="spellEnd"/>
      <w:r w:rsidR="009C6AB9" w:rsidRPr="009C6AB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Hertfordshire SG1 2NY, UK</w:t>
      </w:r>
      <w:r w:rsidR="009C6AB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; 5</w:t>
      </w:r>
      <w:r w:rsidR="00F0751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F0751C" w:rsidRPr="00F0751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PT&amp;D, AstraZeneca </w:t>
      </w:r>
      <w:proofErr w:type="spellStart"/>
      <w:r w:rsidR="00F0751C" w:rsidRPr="00F0751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Macclesfield</w:t>
      </w:r>
      <w:proofErr w:type="spellEnd"/>
      <w:r w:rsidR="00F0751C" w:rsidRPr="00F0751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proofErr w:type="spellStart"/>
      <w:r w:rsidR="009C6AB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Macclesfield</w:t>
      </w:r>
      <w:proofErr w:type="spellEnd"/>
      <w:r w:rsidR="009C6AB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SK10 2NA, U</w:t>
      </w:r>
      <w:r w:rsidR="00F0751C" w:rsidRPr="00F0751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K</w:t>
      </w:r>
      <w:r w:rsidR="009C6AB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.</w:t>
      </w:r>
    </w:p>
    <w:p w14:paraId="3400CEEA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A613E7">
        <w:rPr>
          <w:rFonts w:asciiTheme="minorHAnsi" w:eastAsia="MS PGothic" w:hAnsiTheme="minorHAnsi"/>
          <w:bCs/>
          <w:i/>
          <w:iCs/>
          <w:sz w:val="20"/>
          <w:lang w:val="en-US"/>
        </w:rPr>
        <w:t>jan.sefcik@strath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A613E7">
        <w:rPr>
          <w:rFonts w:asciiTheme="minorHAnsi" w:eastAsia="MS PGothic" w:hAnsiTheme="minorHAnsi"/>
          <w:bCs/>
          <w:i/>
          <w:iCs/>
          <w:sz w:val="20"/>
          <w:lang w:val="en-US"/>
        </w:rPr>
        <w:t>ac.uk</w:t>
      </w:r>
    </w:p>
    <w:p w14:paraId="1E0EB8C2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35D2A479" w14:textId="2DADEBBB" w:rsidR="00704BDF" w:rsidRPr="00EC66CC" w:rsidRDefault="00905A1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Compared</w:t>
      </w:r>
      <w:r w:rsidR="0021555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three</w:t>
      </w:r>
      <w:r w:rsidR="00215557">
        <w:rPr>
          <w:rFonts w:asciiTheme="minorHAnsi" w:hAnsiTheme="minorHAnsi"/>
        </w:rPr>
        <w:t xml:space="preserve"> different </w:t>
      </w:r>
      <w:proofErr w:type="spellStart"/>
      <w:r w:rsidR="00C02A9F">
        <w:rPr>
          <w:rFonts w:asciiTheme="minorHAnsi" w:hAnsiTheme="minorHAnsi"/>
        </w:rPr>
        <w:t>antisolvents</w:t>
      </w:r>
      <w:proofErr w:type="spellEnd"/>
      <w:r w:rsidR="00C02A9F">
        <w:rPr>
          <w:rFonts w:asciiTheme="minorHAnsi" w:hAnsiTheme="minorHAnsi"/>
        </w:rPr>
        <w:t xml:space="preserve"> for </w:t>
      </w:r>
      <w:r w:rsidR="00215557">
        <w:rPr>
          <w:rFonts w:asciiTheme="minorHAnsi" w:hAnsiTheme="minorHAnsi"/>
        </w:rPr>
        <w:t xml:space="preserve">glycine </w:t>
      </w:r>
      <w:proofErr w:type="spellStart"/>
      <w:r w:rsidR="00C02A9F">
        <w:rPr>
          <w:rFonts w:asciiTheme="minorHAnsi" w:hAnsiTheme="minorHAnsi"/>
        </w:rPr>
        <w:t>crystallisation</w:t>
      </w:r>
      <w:proofErr w:type="spellEnd"/>
    </w:p>
    <w:p w14:paraId="6CFC800F" w14:textId="411ED835" w:rsidR="00704BDF" w:rsidRPr="00EC66CC" w:rsidRDefault="0021555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Measured </w:t>
      </w:r>
      <w:proofErr w:type="spellStart"/>
      <w:r w:rsidR="00C02A9F">
        <w:rPr>
          <w:rFonts w:asciiTheme="minorHAnsi" w:hAnsiTheme="minorHAnsi"/>
        </w:rPr>
        <w:t>solubilities</w:t>
      </w:r>
      <w:proofErr w:type="spellEnd"/>
      <w:r w:rsidR="00C02A9F">
        <w:rPr>
          <w:rFonts w:asciiTheme="minorHAnsi" w:hAnsiTheme="minorHAnsi"/>
        </w:rPr>
        <w:t>, metastable zone widths</w:t>
      </w:r>
      <w:r w:rsidR="006D060E">
        <w:rPr>
          <w:rFonts w:asciiTheme="minorHAnsi" w:hAnsiTheme="minorHAnsi"/>
        </w:rPr>
        <w:t xml:space="preserve"> and </w:t>
      </w:r>
      <w:r>
        <w:rPr>
          <w:rFonts w:asciiTheme="minorHAnsi" w:hAnsiTheme="minorHAnsi"/>
        </w:rPr>
        <w:t xml:space="preserve">induction times </w:t>
      </w:r>
      <w:r w:rsidR="00CA3FC1">
        <w:rPr>
          <w:rFonts w:asciiTheme="minorHAnsi" w:hAnsiTheme="minorHAnsi"/>
        </w:rPr>
        <w:t>across</w:t>
      </w:r>
      <w:r w:rsidR="00C02A9F">
        <w:rPr>
          <w:rFonts w:asciiTheme="minorHAnsi" w:hAnsiTheme="minorHAnsi"/>
        </w:rPr>
        <w:t xml:space="preserve"> metastable zones </w:t>
      </w:r>
      <w:r>
        <w:rPr>
          <w:rFonts w:asciiTheme="minorHAnsi" w:hAnsiTheme="minorHAnsi"/>
        </w:rPr>
        <w:t xml:space="preserve">for </w:t>
      </w:r>
      <w:r w:rsidR="00C02A9F">
        <w:rPr>
          <w:rFonts w:asciiTheme="minorHAnsi" w:hAnsiTheme="minorHAnsi"/>
        </w:rPr>
        <w:t>all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antisolvents</w:t>
      </w:r>
      <w:proofErr w:type="spellEnd"/>
      <w:r>
        <w:rPr>
          <w:rFonts w:asciiTheme="minorHAnsi" w:hAnsiTheme="minorHAnsi"/>
        </w:rPr>
        <w:t xml:space="preserve"> </w:t>
      </w:r>
    </w:p>
    <w:p w14:paraId="2DC9B1F1" w14:textId="45D44668" w:rsidR="00704BDF" w:rsidRPr="004D5E1D" w:rsidRDefault="00EB509A" w:rsidP="004D5E1D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Assessed effect of</w:t>
      </w:r>
      <w:r w:rsidR="00215557">
        <w:rPr>
          <w:rFonts w:asciiTheme="minorHAnsi" w:hAnsiTheme="minorHAnsi"/>
        </w:rPr>
        <w:t xml:space="preserve"> </w:t>
      </w:r>
      <w:r w:rsidR="00C02A9F">
        <w:rPr>
          <w:rFonts w:asciiTheme="minorHAnsi" w:hAnsiTheme="minorHAnsi"/>
        </w:rPr>
        <w:t xml:space="preserve">rapid </w:t>
      </w:r>
      <w:proofErr w:type="spellStart"/>
      <w:r w:rsidR="00C02A9F">
        <w:rPr>
          <w:rFonts w:asciiTheme="minorHAnsi" w:hAnsiTheme="minorHAnsi"/>
        </w:rPr>
        <w:t>antisolvent</w:t>
      </w:r>
      <w:proofErr w:type="spellEnd"/>
      <w:r w:rsidR="00C02A9F">
        <w:rPr>
          <w:rFonts w:asciiTheme="minorHAnsi" w:hAnsiTheme="minorHAnsi"/>
        </w:rPr>
        <w:t xml:space="preserve"> addition </w:t>
      </w:r>
      <w:r w:rsidR="00CA3FC1">
        <w:rPr>
          <w:rFonts w:asciiTheme="minorHAnsi" w:hAnsiTheme="minorHAnsi"/>
        </w:rPr>
        <w:t>vs</w:t>
      </w:r>
      <w:r w:rsidR="00C02A9F">
        <w:rPr>
          <w:rFonts w:asciiTheme="minorHAnsi" w:hAnsiTheme="minorHAnsi"/>
        </w:rPr>
        <w:t xml:space="preserve"> continuous</w:t>
      </w:r>
      <w:r w:rsidR="00215557">
        <w:rPr>
          <w:rFonts w:asciiTheme="minorHAnsi" w:hAnsiTheme="minorHAnsi"/>
        </w:rPr>
        <w:t xml:space="preserve"> mixing </w:t>
      </w:r>
      <w:r>
        <w:rPr>
          <w:rFonts w:asciiTheme="minorHAnsi" w:hAnsiTheme="minorHAnsi"/>
        </w:rPr>
        <w:t>on</w:t>
      </w:r>
      <w:r w:rsidR="00215557">
        <w:rPr>
          <w:rFonts w:asciiTheme="minorHAnsi" w:hAnsiTheme="minorHAnsi"/>
        </w:rPr>
        <w:t xml:space="preserve"> </w:t>
      </w:r>
      <w:r w:rsidR="006C5B0B">
        <w:rPr>
          <w:rFonts w:asciiTheme="minorHAnsi" w:hAnsiTheme="minorHAnsi"/>
        </w:rPr>
        <w:t>induction time</w:t>
      </w:r>
      <w:r>
        <w:rPr>
          <w:rFonts w:asciiTheme="minorHAnsi" w:hAnsiTheme="minorHAnsi"/>
        </w:rPr>
        <w:t>s</w:t>
      </w:r>
    </w:p>
    <w:p w14:paraId="2DBC3302" w14:textId="77777777" w:rsidR="00704BDF" w:rsidRPr="00CA3FC1" w:rsidRDefault="00704BDF" w:rsidP="00EB509A">
      <w:pPr>
        <w:snapToGrid w:val="0"/>
        <w:spacing w:after="120"/>
        <w:rPr>
          <w:rFonts w:eastAsia="SimSun"/>
          <w:bCs/>
          <w:iCs/>
          <w:color w:val="0000FF"/>
          <w:sz w:val="20"/>
          <w:lang w:val="en-US" w:eastAsia="zh-CN"/>
        </w:rPr>
      </w:pPr>
    </w:p>
    <w:p w14:paraId="27FDA001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534932BB" w14:textId="3E76507A" w:rsidR="00C867B1" w:rsidRPr="008D0BEB" w:rsidRDefault="007523C3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7523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There has been a significant amount of research </w:t>
      </w:r>
      <w:r w:rsidR="00EB509A">
        <w:rPr>
          <w:rFonts w:asciiTheme="minorHAnsi" w:eastAsia="MS PGothic" w:hAnsiTheme="minorHAnsi"/>
          <w:color w:val="000000"/>
          <w:sz w:val="22"/>
          <w:szCs w:val="22"/>
          <w:lang w:val="en-US"/>
        </w:rPr>
        <w:t>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metastable zone width (MSZW) and induction times for cooling </w:t>
      </w:r>
      <w:proofErr w:type="spellStart"/>
      <w:r w:rsidR="00872D68">
        <w:rPr>
          <w:rFonts w:asciiTheme="minorHAnsi" w:eastAsia="MS PGothic" w:hAnsiTheme="minorHAnsi"/>
          <w:color w:val="000000"/>
          <w:sz w:val="22"/>
          <w:szCs w:val="22"/>
          <w:lang w:val="en-US"/>
        </w:rPr>
        <w:t>crystalli</w:t>
      </w:r>
      <w:r w:rsidR="00F15BB0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872D68">
        <w:rPr>
          <w:rFonts w:asciiTheme="minorHAnsi" w:eastAsia="MS PGothic" w:hAnsiTheme="minorHAnsi"/>
          <w:color w:val="000000"/>
          <w:sz w:val="22"/>
          <w:szCs w:val="22"/>
          <w:lang w:val="en-US"/>
        </w:rPr>
        <w:t>ation</w:t>
      </w:r>
      <w:proofErr w:type="spellEnd"/>
      <w:r w:rsidR="00872D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while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relatively </w:t>
      </w:r>
      <w:r w:rsidR="00872D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little has been done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antisolvent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crystallisation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A723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72D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Experimental data on effects </w:t>
      </w:r>
      <w:r w:rsidR="002107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</w:t>
      </w:r>
      <w:r w:rsidR="00872D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different </w:t>
      </w:r>
      <w:proofErr w:type="spellStart"/>
      <w:r w:rsidR="00872D68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antisolvents</w:t>
      </w:r>
      <w:proofErr w:type="spellEnd"/>
      <w:r w:rsidR="00872D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proofErr w:type="spellStart"/>
      <w:r w:rsidR="00872D68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antisolvent</w:t>
      </w:r>
      <w:proofErr w:type="spellEnd"/>
      <w:r w:rsidR="00872D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addition strategies have on nucleation behavior i</w:t>
      </w:r>
      <w:r w:rsidR="00E6255E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A723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A7233E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antisolvent</w:t>
      </w:r>
      <w:proofErr w:type="spellEnd"/>
      <w:r w:rsidR="00A723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872D68">
        <w:rPr>
          <w:rFonts w:asciiTheme="minorHAnsi" w:eastAsia="MS PGothic" w:hAnsiTheme="minorHAnsi"/>
          <w:color w:val="000000"/>
          <w:sz w:val="22"/>
          <w:szCs w:val="22"/>
          <w:lang w:val="en-US"/>
        </w:rPr>
        <w:t>crystallisation</w:t>
      </w:r>
      <w:proofErr w:type="spellEnd"/>
      <w:r w:rsidR="00872D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very limited and our understanding of these effects is </w:t>
      </w:r>
      <w:r w:rsidR="002107A3">
        <w:rPr>
          <w:rFonts w:asciiTheme="minorHAnsi" w:eastAsia="MS PGothic" w:hAnsiTheme="minorHAnsi"/>
          <w:color w:val="000000"/>
          <w:sz w:val="22"/>
          <w:szCs w:val="22"/>
          <w:lang w:val="en-US"/>
        </w:rPr>
        <w:t>sparse</w:t>
      </w:r>
      <w:r w:rsidR="00872D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D468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literature there has been no direct comparison of </w:t>
      </w:r>
      <w:r w:rsidR="002107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effects of </w:t>
      </w:r>
      <w:r w:rsidR="00D468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different </w:t>
      </w:r>
      <w:proofErr w:type="spellStart"/>
      <w:r w:rsidR="00D4688E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antisolvents</w:t>
      </w:r>
      <w:proofErr w:type="spellEnd"/>
      <w:r w:rsidR="00D468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107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</w:t>
      </w:r>
      <w:r w:rsidR="00D4688E">
        <w:rPr>
          <w:rFonts w:asciiTheme="minorHAnsi" w:eastAsia="MS PGothic" w:hAnsiTheme="minorHAnsi"/>
          <w:color w:val="000000"/>
          <w:sz w:val="22"/>
          <w:szCs w:val="22"/>
          <w:lang w:val="en-US"/>
        </w:rPr>
        <w:t>induction time</w:t>
      </w:r>
      <w:r w:rsidR="004738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and </w:t>
      </w:r>
      <w:r w:rsidR="00545DAF">
        <w:rPr>
          <w:rFonts w:asciiTheme="minorHAnsi" w:eastAsia="MS PGothic" w:hAnsiTheme="minorHAnsi"/>
          <w:color w:val="000000"/>
          <w:sz w:val="22"/>
          <w:szCs w:val="22"/>
          <w:lang w:val="en-US"/>
        </w:rPr>
        <w:t>only a single</w:t>
      </w:r>
      <w:r w:rsidR="004738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publication directly </w:t>
      </w:r>
      <w:r w:rsidR="002107A3">
        <w:rPr>
          <w:rFonts w:asciiTheme="minorHAnsi" w:eastAsia="MS PGothic" w:hAnsiTheme="minorHAnsi"/>
          <w:color w:val="000000"/>
          <w:sz w:val="22"/>
          <w:szCs w:val="22"/>
          <w:lang w:val="en-US"/>
        </w:rPr>
        <w:t>assesses</w:t>
      </w:r>
      <w:r w:rsidR="004738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107A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MS</w:t>
      </w:r>
      <w:r w:rsidR="00BD7A56">
        <w:rPr>
          <w:rFonts w:asciiTheme="minorHAnsi" w:eastAsia="MS PGothic" w:hAnsiTheme="minorHAnsi"/>
          <w:color w:val="000000"/>
          <w:sz w:val="22"/>
          <w:szCs w:val="22"/>
          <w:lang w:val="en-US"/>
        </w:rPr>
        <w:t>Z</w:t>
      </w:r>
      <w:r w:rsidR="002107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 for </w:t>
      </w:r>
      <w:r w:rsidR="004738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different </w:t>
      </w:r>
      <w:proofErr w:type="spellStart"/>
      <w:r w:rsidR="0047384A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antisolvents</w:t>
      </w:r>
      <w:proofErr w:type="spellEnd"/>
      <w:r w:rsidR="004738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[1]. Furthermore, </w:t>
      </w:r>
      <w:r w:rsidR="00875E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only </w:t>
      </w:r>
      <w:r w:rsidR="00545DAF">
        <w:rPr>
          <w:rFonts w:asciiTheme="minorHAnsi" w:eastAsia="MS PGothic" w:hAnsiTheme="minorHAnsi"/>
          <w:color w:val="000000"/>
          <w:sz w:val="22"/>
          <w:szCs w:val="22"/>
          <w:lang w:val="en-US"/>
        </w:rPr>
        <w:t>a single</w:t>
      </w:r>
      <w:r w:rsidR="00875E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publication </w:t>
      </w:r>
      <w:r w:rsidR="000923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found </w:t>
      </w:r>
      <w:r w:rsidR="00875E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which </w:t>
      </w:r>
      <w:r w:rsidR="00545DAF">
        <w:rPr>
          <w:rFonts w:asciiTheme="minorHAnsi" w:eastAsia="MS PGothic" w:hAnsiTheme="minorHAnsi"/>
          <w:color w:val="000000"/>
          <w:sz w:val="22"/>
          <w:szCs w:val="22"/>
          <w:lang w:val="en-US"/>
        </w:rPr>
        <w:t>investigates both</w:t>
      </w:r>
      <w:r w:rsidR="00875E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induction times and MSZW for the same </w:t>
      </w:r>
      <w:proofErr w:type="spellStart"/>
      <w:r w:rsidR="00875E67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antisolvent</w:t>
      </w:r>
      <w:proofErr w:type="spellEnd"/>
      <w:r w:rsidR="00875E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875E67">
        <w:rPr>
          <w:rFonts w:asciiTheme="minorHAnsi" w:eastAsia="MS PGothic" w:hAnsiTheme="minorHAnsi"/>
          <w:color w:val="000000"/>
          <w:sz w:val="22"/>
          <w:szCs w:val="22"/>
          <w:lang w:val="en-US"/>
        </w:rPr>
        <w:t>crystallisation</w:t>
      </w:r>
      <w:proofErr w:type="spellEnd"/>
      <w:r w:rsidR="00875E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system [2].</w:t>
      </w:r>
      <w:r w:rsidR="00F448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regards to mixing effects </w:t>
      </w:r>
      <w:r w:rsidR="00545DAF">
        <w:rPr>
          <w:rFonts w:asciiTheme="minorHAnsi" w:eastAsia="MS PGothic" w:hAnsiTheme="minorHAnsi"/>
          <w:color w:val="000000"/>
          <w:sz w:val="22"/>
          <w:szCs w:val="22"/>
          <w:lang w:val="en-US"/>
        </w:rPr>
        <w:t>only a single</w:t>
      </w:r>
      <w:r w:rsidR="00F448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publication </w:t>
      </w:r>
      <w:r w:rsidR="00BD7A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found </w:t>
      </w:r>
      <w:r w:rsidR="00F448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which uses a continuous static mixer </w:t>
      </w:r>
      <w:r w:rsidR="002107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when </w:t>
      </w:r>
      <w:r w:rsidR="00F448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measur</w:t>
      </w:r>
      <w:r w:rsidR="002107A3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 w:rsidR="00F448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induction times for </w:t>
      </w:r>
      <w:proofErr w:type="spellStart"/>
      <w:r w:rsidR="00F44847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antisolvent</w:t>
      </w:r>
      <w:proofErr w:type="spellEnd"/>
      <w:r w:rsidR="00F448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F44847">
        <w:rPr>
          <w:rFonts w:asciiTheme="minorHAnsi" w:eastAsia="MS PGothic" w:hAnsiTheme="minorHAnsi"/>
          <w:color w:val="000000"/>
          <w:sz w:val="22"/>
          <w:szCs w:val="22"/>
          <w:lang w:val="en-US"/>
        </w:rPr>
        <w:t>crystallisation</w:t>
      </w:r>
      <w:proofErr w:type="spellEnd"/>
      <w:r w:rsidR="00F448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[3].</w:t>
      </w:r>
      <w:r w:rsidR="00FF1B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D060E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</w:t>
      </w:r>
      <w:r w:rsidR="002F72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his work </w:t>
      </w:r>
      <w:r w:rsidR="006D06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 </w:t>
      </w:r>
      <w:r w:rsidR="00506E67"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 w:rsidR="002F7219">
        <w:rPr>
          <w:rFonts w:asciiTheme="minorHAnsi" w:eastAsia="MS PGothic" w:hAnsiTheme="minorHAnsi"/>
          <w:color w:val="000000"/>
          <w:sz w:val="22"/>
          <w:szCs w:val="22"/>
          <w:lang w:val="en-US"/>
        </w:rPr>
        <w:t>easur</w:t>
      </w:r>
      <w:r w:rsidR="006D060E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2F72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EB509A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solubilities</w:t>
      </w:r>
      <w:proofErr w:type="spellEnd"/>
      <w:r w:rsidR="00EB50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2F7219">
        <w:rPr>
          <w:rFonts w:asciiTheme="minorHAnsi" w:eastAsia="MS PGothic" w:hAnsiTheme="minorHAnsi"/>
          <w:color w:val="000000"/>
          <w:sz w:val="22"/>
          <w:szCs w:val="22"/>
          <w:lang w:val="en-US"/>
        </w:rPr>
        <w:t>MSZW</w:t>
      </w:r>
      <w:r w:rsidR="00EB509A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2F72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</w:t>
      </w:r>
      <w:proofErr w:type="spellStart"/>
      <w:r w:rsidR="002F7219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antisolvent</w:t>
      </w:r>
      <w:proofErr w:type="spellEnd"/>
      <w:r w:rsidR="002F72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F7219">
        <w:rPr>
          <w:rFonts w:asciiTheme="minorHAnsi" w:eastAsia="MS PGothic" w:hAnsiTheme="minorHAnsi"/>
          <w:color w:val="000000"/>
          <w:sz w:val="22"/>
          <w:szCs w:val="22"/>
          <w:lang w:val="en-US"/>
        </w:rPr>
        <w:t>crystallisation</w:t>
      </w:r>
      <w:proofErr w:type="spellEnd"/>
      <w:r w:rsidR="002F72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glycine </w:t>
      </w:r>
      <w:r w:rsidR="002F7219" w:rsidRPr="00C64C0A">
        <w:rPr>
          <w:rFonts w:asciiTheme="minorHAnsi" w:eastAsia="MS PGothic" w:hAnsiTheme="minorHAnsi"/>
          <w:color w:val="000000"/>
          <w:sz w:val="22"/>
          <w:szCs w:val="22"/>
          <w:lang w:val="en-US"/>
        </w:rPr>
        <w:t>u</w:t>
      </w:r>
      <w:r w:rsidR="002F7219">
        <w:rPr>
          <w:rFonts w:asciiTheme="minorHAnsi" w:eastAsia="MS PGothic" w:hAnsiTheme="minorHAnsi"/>
          <w:color w:val="000000"/>
          <w:sz w:val="22"/>
          <w:szCs w:val="22"/>
          <w:lang w:val="en-US"/>
        </w:rPr>
        <w:t>sing</w:t>
      </w:r>
      <w:r w:rsidR="002F7219" w:rsidRPr="00C64C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methanol, ethanol and DMF as </w:t>
      </w:r>
      <w:proofErr w:type="spellStart"/>
      <w:r w:rsidR="002F7219" w:rsidRPr="00C64C0A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antisolvents</w:t>
      </w:r>
      <w:proofErr w:type="spellEnd"/>
      <w:r w:rsidR="002F7219">
        <w:rPr>
          <w:rFonts w:asciiTheme="minorHAnsi" w:eastAsia="MS PGothic" w:hAnsiTheme="minorHAnsi"/>
          <w:color w:val="000000"/>
          <w:sz w:val="22"/>
          <w:szCs w:val="22"/>
          <w:lang w:val="en-US"/>
        </w:rPr>
        <w:t>. W</w:t>
      </w:r>
      <w:r w:rsidR="00C64C0A" w:rsidRPr="00C64C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 </w:t>
      </w:r>
      <w:r w:rsidR="002F72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then </w:t>
      </w:r>
      <w:r w:rsidR="00C64C0A" w:rsidRPr="00C64C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investigated induction times across the metastable zone </w:t>
      </w:r>
      <w:r w:rsidR="002F72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these </w:t>
      </w:r>
      <w:proofErr w:type="spellStart"/>
      <w:r w:rsidR="002F7219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antisolvents</w:t>
      </w:r>
      <w:proofErr w:type="spellEnd"/>
      <w:r w:rsidR="00C64C0A" w:rsidRPr="00C64C0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D669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order to investigate the </w:t>
      </w:r>
      <w:r w:rsidR="00CD31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effects of mixing, induction times were measured either with rapid </w:t>
      </w:r>
      <w:proofErr w:type="spellStart"/>
      <w:r w:rsidR="00545DAF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antisolvent</w:t>
      </w:r>
      <w:proofErr w:type="spellEnd"/>
      <w:r w:rsidR="00545D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D31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addition or </w:t>
      </w:r>
      <w:r w:rsidR="00EB509A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</w:t>
      </w:r>
      <w:r w:rsidR="00CD31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continuous static mixer.</w:t>
      </w:r>
    </w:p>
    <w:p w14:paraId="3A2C134A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47ECD22D" w14:textId="0864A884" w:rsidR="00704BDF" w:rsidRPr="00FF1BBC" w:rsidRDefault="00A2391C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Solubilities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measured by equilibration of solids with solvent mixtures under agitation and gravimetric determination of equilibrated liquid phase compositions.</w:t>
      </w:r>
      <w:r w:rsidR="000923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107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8862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MSZW</w:t>
      </w:r>
      <w:r w:rsidR="002107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assessed under isothermal conditions by adding the </w:t>
      </w:r>
      <w:proofErr w:type="spellStart"/>
      <w:r w:rsidR="002107A3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antisolvent</w:t>
      </w:r>
      <w:proofErr w:type="spellEnd"/>
      <w:r w:rsidR="002107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constant flow-rate via</w:t>
      </w:r>
      <w:r w:rsidR="008862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028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syringe pump to an agitated </w:t>
      </w:r>
      <w:proofErr w:type="spellStart"/>
      <w:r w:rsidR="00D02865">
        <w:rPr>
          <w:rFonts w:asciiTheme="minorHAnsi" w:eastAsia="MS PGothic" w:hAnsiTheme="minorHAnsi"/>
          <w:color w:val="000000"/>
          <w:sz w:val="22"/>
          <w:szCs w:val="22"/>
          <w:lang w:val="en-US"/>
        </w:rPr>
        <w:t>undersaturated</w:t>
      </w:r>
      <w:proofErr w:type="spellEnd"/>
      <w:r w:rsidR="00D028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aqueous glycine solution in a</w:t>
      </w:r>
      <w:r w:rsidR="000923DB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D028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923DB">
        <w:rPr>
          <w:rFonts w:asciiTheme="minorHAnsi" w:eastAsia="MS PGothic" w:hAnsiTheme="minorHAnsi"/>
          <w:color w:val="000000"/>
          <w:sz w:val="22"/>
          <w:szCs w:val="22"/>
          <w:lang w:val="en-US"/>
        </w:rPr>
        <w:t>8 ml</w:t>
      </w:r>
      <w:r w:rsidR="00D028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vial. The point at which the solution became turbid was taken as the metastable limit. The MSZW was determined by measuring a series </w:t>
      </w:r>
      <w:r w:rsidR="00D02865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of metastable limits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starting from different initial compositions</w:t>
      </w:r>
      <w:r w:rsidR="00D0286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D6A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107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D028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induction times</w:t>
      </w:r>
      <w:r w:rsidR="002107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measured by preparing</w:t>
      </w:r>
      <w:r w:rsidR="00D028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</w:t>
      </w:r>
      <w:r w:rsidR="00C64C0A" w:rsidRPr="00C64C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upersaturated solutions by mixing </w:t>
      </w:r>
      <w:r w:rsidR="008862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</w:t>
      </w:r>
      <w:proofErr w:type="spellStart"/>
      <w:r w:rsidR="00C64C0A" w:rsidRPr="00C64C0A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antisolvent</w:t>
      </w:r>
      <w:proofErr w:type="spellEnd"/>
      <w:r w:rsidR="00C64C0A" w:rsidRPr="00C64C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</w:t>
      </w:r>
      <w:r w:rsidR="008862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</w:t>
      </w:r>
      <w:proofErr w:type="spellStart"/>
      <w:r w:rsidR="00C64C0A" w:rsidRPr="00C64C0A">
        <w:rPr>
          <w:rFonts w:asciiTheme="minorHAnsi" w:eastAsia="MS PGothic" w:hAnsiTheme="minorHAnsi"/>
          <w:color w:val="000000"/>
          <w:sz w:val="22"/>
          <w:szCs w:val="22"/>
          <w:lang w:val="en-US"/>
        </w:rPr>
        <w:t>undersaturated</w:t>
      </w:r>
      <w:proofErr w:type="spellEnd"/>
      <w:r w:rsidR="00C64C0A" w:rsidRPr="00C64C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aqueous glycine solution, either by rapid </w:t>
      </w:r>
      <w:proofErr w:type="spellStart"/>
      <w:r w:rsidR="006E4D70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antisolvent</w:t>
      </w:r>
      <w:proofErr w:type="spellEnd"/>
      <w:r w:rsidR="006E4D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64C0A" w:rsidRPr="00C64C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addition or using a continuous static mixer. Induction times were </w:t>
      </w:r>
      <w:r w:rsidR="00D02865"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 w:rsidR="00C64C0A" w:rsidRPr="00C64C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ecorded under agitated isothermal conditions in </w:t>
      </w:r>
      <w:r w:rsidR="000D6AA6">
        <w:rPr>
          <w:rFonts w:asciiTheme="minorHAnsi" w:eastAsia="MS PGothic" w:hAnsiTheme="minorHAnsi"/>
          <w:color w:val="000000"/>
          <w:sz w:val="22"/>
          <w:szCs w:val="22"/>
          <w:lang w:val="en-US"/>
        </w:rPr>
        <w:t>8ml</w:t>
      </w:r>
      <w:r w:rsidR="00C64C0A" w:rsidRPr="00C64C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vials.</w:t>
      </w:r>
      <w:r w:rsidR="00F101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static mixer had a 1/8 inch internal diameter.</w:t>
      </w:r>
    </w:p>
    <w:p w14:paraId="6347EF72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36BBBF09" w14:textId="69F5A514" w:rsidR="004D7055" w:rsidRPr="00B0525E" w:rsidRDefault="00F3397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Figure 1</w:t>
      </w:r>
      <w:r w:rsidR="003C5575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77B4B">
        <w:rPr>
          <w:rFonts w:asciiTheme="minorHAnsi" w:eastAsia="MS PGothic" w:hAnsiTheme="minorHAnsi"/>
          <w:color w:val="000000"/>
          <w:sz w:val="22"/>
          <w:szCs w:val="22"/>
          <w:lang w:val="en-US"/>
        </w:rPr>
        <w:t>shows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comparison of induction times </w:t>
      </w:r>
      <w:r w:rsidR="003C5575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within</w:t>
      </w:r>
      <w:r w:rsidR="00F77B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668FA">
        <w:rPr>
          <w:rFonts w:asciiTheme="minorHAnsi" w:eastAsia="MS PGothic" w:hAnsiTheme="minorHAnsi"/>
          <w:color w:val="000000"/>
          <w:sz w:val="22"/>
          <w:szCs w:val="22"/>
          <w:lang w:val="en-US"/>
        </w:rPr>
        <w:t>MSZs</w:t>
      </w:r>
      <w:r w:rsidR="00F77B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</w:t>
      </w:r>
      <w:r w:rsidR="000668F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three</w:t>
      </w:r>
      <w:r w:rsidR="00F77B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different </w:t>
      </w:r>
      <w:proofErr w:type="spellStart"/>
      <w:r w:rsidR="00F77B4B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antisolvents</w:t>
      </w:r>
      <w:proofErr w:type="spellEnd"/>
      <w:r w:rsidR="000668F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batch rapid </w:t>
      </w:r>
      <w:proofErr w:type="spellStart"/>
      <w:r w:rsidR="000668FA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antisolvent</w:t>
      </w:r>
      <w:proofErr w:type="spellEnd"/>
      <w:r w:rsidR="000668F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addition</w:t>
      </w:r>
      <w:r w:rsidR="00C64C0A" w:rsidRPr="00C64C0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F77B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668F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these </w:t>
      </w:r>
      <w:proofErr w:type="spellStart"/>
      <w:r w:rsidR="000668FA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antisolvents</w:t>
      </w:r>
      <w:proofErr w:type="spellEnd"/>
      <w:r w:rsidR="000668F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there was a little difference between induction times at similar </w:t>
      </w:r>
      <w:proofErr w:type="spellStart"/>
      <w:r w:rsidR="000668FA">
        <w:rPr>
          <w:rFonts w:asciiTheme="minorHAnsi" w:eastAsia="MS PGothic" w:hAnsiTheme="minorHAnsi"/>
          <w:color w:val="000000"/>
          <w:sz w:val="22"/>
          <w:szCs w:val="22"/>
          <w:lang w:val="en-US"/>
        </w:rPr>
        <w:t>supersaturations</w:t>
      </w:r>
      <w:proofErr w:type="spellEnd"/>
      <w:r w:rsidR="000668FA">
        <w:rPr>
          <w:rFonts w:asciiTheme="minorHAnsi" w:eastAsia="MS PGothic" w:hAnsiTheme="minorHAnsi"/>
          <w:color w:val="000000"/>
          <w:sz w:val="22"/>
          <w:szCs w:val="22"/>
          <w:lang w:val="en-US"/>
        </w:rPr>
        <w:t>. At low</w:t>
      </w:r>
      <w:r w:rsidR="003C5575">
        <w:rPr>
          <w:rFonts w:asciiTheme="minorHAnsi" w:eastAsia="MS PGothic" w:hAnsiTheme="minorHAnsi"/>
          <w:color w:val="000000"/>
          <w:sz w:val="22"/>
          <w:szCs w:val="22"/>
          <w:lang w:val="en-US"/>
        </w:rPr>
        <w:t>er</w:t>
      </w:r>
      <w:r w:rsidR="000668F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0668FA">
        <w:rPr>
          <w:rFonts w:asciiTheme="minorHAnsi" w:eastAsia="MS PGothic" w:hAnsiTheme="minorHAnsi"/>
          <w:color w:val="000000"/>
          <w:sz w:val="22"/>
          <w:szCs w:val="22"/>
          <w:lang w:val="en-US"/>
        </w:rPr>
        <w:t>super</w:t>
      </w:r>
      <w:r w:rsidR="003C5575">
        <w:rPr>
          <w:rFonts w:asciiTheme="minorHAnsi" w:eastAsia="MS PGothic" w:hAnsiTheme="minorHAnsi"/>
          <w:color w:val="000000"/>
          <w:sz w:val="22"/>
          <w:szCs w:val="22"/>
          <w:lang w:val="en-US"/>
        </w:rPr>
        <w:t>saturations</w:t>
      </w:r>
      <w:proofErr w:type="spellEnd"/>
      <w:r w:rsidR="003C55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induction times were very long as expected. However, at higher </w:t>
      </w:r>
      <w:proofErr w:type="spellStart"/>
      <w:r w:rsidR="003C5575">
        <w:rPr>
          <w:rFonts w:asciiTheme="minorHAnsi" w:eastAsia="MS PGothic" w:hAnsiTheme="minorHAnsi"/>
          <w:color w:val="000000"/>
          <w:sz w:val="22"/>
          <w:szCs w:val="22"/>
          <w:lang w:val="en-US"/>
        </w:rPr>
        <w:t>supersaturations</w:t>
      </w:r>
      <w:proofErr w:type="spellEnd"/>
      <w:r w:rsidR="003C55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induction times were relatively short, similar among different </w:t>
      </w:r>
      <w:proofErr w:type="spellStart"/>
      <w:r w:rsidR="003C5575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antisolvents</w:t>
      </w:r>
      <w:proofErr w:type="spellEnd"/>
      <w:r w:rsidR="003C55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only weakly dependent on </w:t>
      </w:r>
      <w:proofErr w:type="spellStart"/>
      <w:r w:rsidR="003C5575">
        <w:rPr>
          <w:rFonts w:asciiTheme="minorHAnsi" w:eastAsia="MS PGothic" w:hAnsiTheme="minorHAnsi"/>
          <w:color w:val="000000"/>
          <w:sz w:val="22"/>
          <w:szCs w:val="22"/>
          <w:lang w:val="en-US"/>
        </w:rPr>
        <w:t>supersaturation</w:t>
      </w:r>
      <w:proofErr w:type="spellEnd"/>
      <w:r w:rsidR="003C5575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This indicates that c</w:t>
      </w:r>
      <w:r w:rsidR="003C5575" w:rsidRPr="00242D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rystal growth and secondary nucleation </w:t>
      </w:r>
      <w:r w:rsidR="003C55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may </w:t>
      </w:r>
      <w:r w:rsidR="003C5575" w:rsidRPr="00242D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become </w:t>
      </w:r>
      <w:r w:rsidR="00C11A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rate </w:t>
      </w:r>
      <w:r w:rsidR="003C5575" w:rsidRPr="00242D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limiting factors in observed induction times as </w:t>
      </w:r>
      <w:proofErr w:type="spellStart"/>
      <w:r w:rsidR="003C5575" w:rsidRPr="00242DE1">
        <w:rPr>
          <w:rFonts w:asciiTheme="minorHAnsi" w:eastAsia="MS PGothic" w:hAnsiTheme="minorHAnsi"/>
          <w:color w:val="000000"/>
          <w:sz w:val="22"/>
          <w:szCs w:val="22"/>
          <w:lang w:val="en-US"/>
        </w:rPr>
        <w:t>supersaturation</w:t>
      </w:r>
      <w:proofErr w:type="spellEnd"/>
      <w:r w:rsidR="003C5575" w:rsidRPr="00242D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C557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3C5575" w:rsidRPr="00242DE1">
        <w:rPr>
          <w:rFonts w:asciiTheme="minorHAnsi" w:eastAsia="MS PGothic" w:hAnsiTheme="minorHAnsi"/>
          <w:color w:val="000000"/>
          <w:sz w:val="22"/>
          <w:szCs w:val="22"/>
          <w:lang w:val="en-US"/>
        </w:rPr>
        <w:t>creases</w:t>
      </w:r>
      <w:r w:rsidR="003C5575">
        <w:rPr>
          <w:rFonts w:asciiTheme="minorHAnsi" w:eastAsia="MS PGothic" w:hAnsiTheme="minorHAnsi"/>
          <w:color w:val="000000"/>
          <w:sz w:val="22"/>
          <w:szCs w:val="22"/>
          <w:lang w:val="en-US"/>
        </w:rPr>
        <w:t>. Investigation of</w:t>
      </w:r>
      <w:r w:rsidR="000A51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mixing </w:t>
      </w:r>
      <w:r w:rsidR="003C55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effects showed that </w:t>
      </w:r>
      <w:r w:rsidR="00F14146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</w:t>
      </w:r>
      <w:r w:rsidR="003C55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continuous mixing </w:t>
      </w:r>
      <w:r w:rsidR="00F141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the ethanol </w:t>
      </w:r>
      <w:proofErr w:type="spellStart"/>
      <w:r w:rsidR="00F14146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antisolvent</w:t>
      </w:r>
      <w:proofErr w:type="spellEnd"/>
      <w:r w:rsidR="00F141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decreased </w:t>
      </w:r>
      <w:r w:rsidR="000A518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induction time</w:t>
      </w:r>
      <w:r w:rsidR="006D060E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0A51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up to </w:t>
      </w:r>
      <w:r w:rsidR="009C3E36">
        <w:rPr>
          <w:rFonts w:asciiTheme="minorHAnsi" w:eastAsia="MS PGothic" w:hAnsiTheme="minorHAnsi"/>
          <w:color w:val="000000"/>
          <w:sz w:val="22"/>
          <w:szCs w:val="22"/>
          <w:lang w:val="en-US"/>
        </w:rPr>
        <w:t>one</w:t>
      </w:r>
      <w:r w:rsidR="000A51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order of magnitude</w:t>
      </w:r>
      <w:r w:rsidR="00F916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compared to </w:t>
      </w:r>
      <w:r w:rsidR="003C55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batch </w:t>
      </w:r>
      <w:r w:rsidR="00F916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rapid </w:t>
      </w:r>
      <w:proofErr w:type="spellStart"/>
      <w:r w:rsidR="00F9169F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antisolvent</w:t>
      </w:r>
      <w:proofErr w:type="spellEnd"/>
      <w:r w:rsidR="00F916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addition</w:t>
      </w:r>
      <w:r w:rsidR="00E56E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while using continuous mixing with the methanol </w:t>
      </w:r>
      <w:proofErr w:type="spellStart"/>
      <w:r w:rsidR="00E56ED0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antisolvent</w:t>
      </w:r>
      <w:proofErr w:type="spellEnd"/>
      <w:r w:rsidR="00E56E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increase</w:t>
      </w:r>
      <w:r w:rsidR="009C3E36">
        <w:rPr>
          <w:rFonts w:asciiTheme="minorHAnsi" w:eastAsia="MS PGothic" w:hAnsiTheme="minorHAnsi"/>
          <w:color w:val="000000"/>
          <w:sz w:val="22"/>
          <w:szCs w:val="22"/>
          <w:lang w:val="en-US"/>
        </w:rPr>
        <w:t>d the induction times by up to two</w:t>
      </w:r>
      <w:r w:rsidR="00E56E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order</w:t>
      </w:r>
      <w:r w:rsidR="009C3E36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E56E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magnitude </w:t>
      </w:r>
      <w:r w:rsidR="003C5575">
        <w:rPr>
          <w:rFonts w:asciiTheme="minorHAnsi" w:eastAsia="MS PGothic" w:hAnsiTheme="minorHAnsi"/>
          <w:color w:val="000000"/>
          <w:sz w:val="22"/>
          <w:szCs w:val="22"/>
          <w:lang w:val="en-US"/>
        </w:rPr>
        <w:t>(Figure 1B)</w:t>
      </w:r>
      <w:r w:rsidR="000A518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"/>
        <w:gridCol w:w="4052"/>
        <w:gridCol w:w="336"/>
        <w:gridCol w:w="4053"/>
      </w:tblGrid>
      <w:tr w:rsidR="009642B6" w14:paraId="5BAFA1E7" w14:textId="77777777" w:rsidTr="00232B80">
        <w:tc>
          <w:tcPr>
            <w:tcW w:w="350" w:type="dxa"/>
          </w:tcPr>
          <w:p w14:paraId="0A570C94" w14:textId="77777777" w:rsidR="00B0525E" w:rsidRPr="00B0525E" w:rsidRDefault="00B0525E" w:rsidP="00232B80">
            <w:pPr>
              <w:snapToGrid w:val="0"/>
              <w:spacing w:after="120"/>
              <w:jc w:val="right"/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B0525E"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4073" w:type="dxa"/>
          </w:tcPr>
          <w:p w14:paraId="488A32E7" w14:textId="2E1F7C7A" w:rsidR="00B0525E" w:rsidRDefault="005410B8" w:rsidP="00232B80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 wp14:anchorId="2233614F" wp14:editId="023F4D59">
                  <wp:extent cx="2519045" cy="17995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666" cy="18007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dxa"/>
          </w:tcPr>
          <w:p w14:paraId="78CF970A" w14:textId="0C66228F" w:rsidR="00B0525E" w:rsidRPr="00B0525E" w:rsidRDefault="00B0525E" w:rsidP="00232B80">
            <w:pPr>
              <w:snapToGrid w:val="0"/>
              <w:spacing w:after="120"/>
              <w:jc w:val="right"/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B0525E">
              <w:rPr>
                <w:rFonts w:asciiTheme="minorHAnsi" w:eastAsia="MS PGothic" w:hAnsiTheme="minorHAnsi"/>
                <w:b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3962" w:type="dxa"/>
          </w:tcPr>
          <w:p w14:paraId="4EE253A4" w14:textId="5BD9FA18" w:rsidR="00B0525E" w:rsidRDefault="00D359DE" w:rsidP="00232B80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eastAsia="en-GB"/>
              </w:rPr>
              <w:drawing>
                <wp:inline distT="0" distB="0" distL="0" distR="0" wp14:anchorId="0442C797" wp14:editId="6AE3EC9E">
                  <wp:extent cx="2519680" cy="17995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1" cy="17998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9D9A6D" w14:textId="6F2EF13C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B56E1D">
        <w:rPr>
          <w:rFonts w:asciiTheme="minorHAnsi" w:eastAsia="MS PGothic" w:hAnsiTheme="minorHAnsi"/>
          <w:color w:val="000000"/>
          <w:szCs w:val="18"/>
          <w:lang w:val="en-US"/>
        </w:rPr>
        <w:t xml:space="preserve">A) </w:t>
      </w:r>
      <w:r w:rsidR="002D48C9">
        <w:rPr>
          <w:rFonts w:asciiTheme="minorHAnsi" w:eastAsia="MS PGothic" w:hAnsiTheme="minorHAnsi"/>
          <w:color w:val="000000"/>
          <w:szCs w:val="18"/>
          <w:lang w:val="en-US"/>
        </w:rPr>
        <w:t xml:space="preserve">Induction time measurements for different </w:t>
      </w:r>
      <w:proofErr w:type="spellStart"/>
      <w:r w:rsidR="002D48C9">
        <w:rPr>
          <w:rFonts w:asciiTheme="minorHAnsi" w:eastAsia="MS PGothic" w:hAnsiTheme="minorHAnsi"/>
          <w:color w:val="000000"/>
          <w:szCs w:val="18"/>
          <w:lang w:val="en-US"/>
        </w:rPr>
        <w:t>antisolvents</w:t>
      </w:r>
      <w:proofErr w:type="spellEnd"/>
      <w:r w:rsidR="00B56E1D">
        <w:rPr>
          <w:rFonts w:asciiTheme="minorHAnsi" w:eastAsia="MS PGothic" w:hAnsiTheme="minorHAnsi"/>
          <w:color w:val="000000"/>
          <w:szCs w:val="18"/>
          <w:lang w:val="en-US"/>
        </w:rPr>
        <w:t xml:space="preserve"> in batch rapid </w:t>
      </w:r>
      <w:proofErr w:type="spellStart"/>
      <w:r w:rsidR="00E618D0">
        <w:rPr>
          <w:rFonts w:asciiTheme="minorHAnsi" w:eastAsia="MS PGothic" w:hAnsiTheme="minorHAnsi"/>
          <w:color w:val="000000"/>
          <w:szCs w:val="18"/>
          <w:lang w:val="en-US"/>
        </w:rPr>
        <w:t>antisolvent</w:t>
      </w:r>
      <w:proofErr w:type="spellEnd"/>
      <w:r w:rsidR="00E618D0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B56E1D">
        <w:rPr>
          <w:rFonts w:asciiTheme="minorHAnsi" w:eastAsia="MS PGothic" w:hAnsiTheme="minorHAnsi"/>
          <w:color w:val="000000"/>
          <w:szCs w:val="18"/>
          <w:lang w:val="en-US"/>
        </w:rPr>
        <w:t xml:space="preserve">addition. B) Comparison between batch rapid </w:t>
      </w:r>
      <w:proofErr w:type="spellStart"/>
      <w:r w:rsidR="00E618D0">
        <w:rPr>
          <w:rFonts w:asciiTheme="minorHAnsi" w:eastAsia="MS PGothic" w:hAnsiTheme="minorHAnsi"/>
          <w:color w:val="000000"/>
          <w:szCs w:val="18"/>
          <w:lang w:val="en-US"/>
        </w:rPr>
        <w:t>antisolvent</w:t>
      </w:r>
      <w:proofErr w:type="spellEnd"/>
      <w:r w:rsidR="00E618D0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B56E1D">
        <w:rPr>
          <w:rFonts w:asciiTheme="minorHAnsi" w:eastAsia="MS PGothic" w:hAnsiTheme="minorHAnsi"/>
          <w:color w:val="000000"/>
          <w:szCs w:val="18"/>
          <w:lang w:val="en-US"/>
        </w:rPr>
        <w:t>addition and continuous static mixing</w:t>
      </w:r>
      <w:r w:rsidR="00F96575">
        <w:rPr>
          <w:rFonts w:asciiTheme="minorHAnsi" w:eastAsia="MS PGothic" w:hAnsiTheme="minorHAnsi"/>
          <w:color w:val="000000"/>
          <w:szCs w:val="18"/>
          <w:lang w:val="en-US"/>
        </w:rPr>
        <w:t xml:space="preserve"> (</w:t>
      </w:r>
      <w:r w:rsidR="00206484">
        <w:rPr>
          <w:rFonts w:asciiTheme="minorHAnsi" w:eastAsia="MS PGothic" w:hAnsiTheme="minorHAnsi"/>
          <w:color w:val="000000"/>
          <w:szCs w:val="18"/>
          <w:lang w:val="en-US"/>
        </w:rPr>
        <w:t xml:space="preserve">total </w:t>
      </w:r>
      <w:r w:rsidR="00F96575">
        <w:rPr>
          <w:rFonts w:asciiTheme="minorHAnsi" w:eastAsia="MS PGothic" w:hAnsiTheme="minorHAnsi"/>
          <w:color w:val="000000"/>
          <w:szCs w:val="18"/>
          <w:lang w:val="en-US"/>
        </w:rPr>
        <w:t>flow rate = 0 is batch)</w:t>
      </w:r>
      <w:r w:rsidR="00B56E1D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0D3A3033" w14:textId="599A718B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0C57DDE3" w14:textId="11E020B0" w:rsidR="00704BDF" w:rsidRPr="008D0BEB" w:rsidRDefault="00242DE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42D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Well defined induction times were </w:t>
      </w:r>
      <w:r w:rsidR="00C52CC6">
        <w:rPr>
          <w:rFonts w:asciiTheme="minorHAnsi" w:eastAsia="MS PGothic" w:hAnsiTheme="minorHAnsi"/>
          <w:color w:val="000000"/>
          <w:sz w:val="22"/>
          <w:szCs w:val="22"/>
          <w:lang w:val="en-US"/>
        </w:rPr>
        <w:t>measured</w:t>
      </w:r>
      <w:r w:rsidR="00C52CC6" w:rsidRPr="00242D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42D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across </w:t>
      </w:r>
      <w:r w:rsidR="00C11A9C">
        <w:rPr>
          <w:rFonts w:asciiTheme="minorHAnsi" w:eastAsia="MS PGothic" w:hAnsiTheme="minorHAnsi"/>
          <w:color w:val="000000"/>
          <w:sz w:val="22"/>
          <w:szCs w:val="22"/>
          <w:lang w:val="en-US"/>
        </w:rPr>
        <w:t>MSZs</w:t>
      </w:r>
      <w:r w:rsidRPr="00242D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 shows that primary nucleation is present at much lower </w:t>
      </w:r>
      <w:proofErr w:type="spellStart"/>
      <w:r w:rsidRPr="00242DE1">
        <w:rPr>
          <w:rFonts w:asciiTheme="minorHAnsi" w:eastAsia="MS PGothic" w:hAnsiTheme="minorHAnsi"/>
          <w:color w:val="000000"/>
          <w:sz w:val="22"/>
          <w:szCs w:val="22"/>
          <w:lang w:val="en-US"/>
        </w:rPr>
        <w:t>supersaturations</w:t>
      </w:r>
      <w:proofErr w:type="spellEnd"/>
      <w:r w:rsidRPr="00242D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than those identified in conventional metastable zone width measurements. </w:t>
      </w:r>
      <w:r w:rsidR="00C11A9C">
        <w:rPr>
          <w:rFonts w:asciiTheme="minorHAnsi" w:eastAsia="MS PGothic" w:hAnsiTheme="minorHAnsi"/>
          <w:color w:val="000000"/>
          <w:sz w:val="22"/>
          <w:szCs w:val="22"/>
          <w:lang w:val="en-US"/>
        </w:rPr>
        <w:t>At</w:t>
      </w:r>
      <w:r w:rsidR="000476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higher </w:t>
      </w:r>
      <w:proofErr w:type="spellStart"/>
      <w:r w:rsidR="0004768C">
        <w:rPr>
          <w:rFonts w:asciiTheme="minorHAnsi" w:eastAsia="MS PGothic" w:hAnsiTheme="minorHAnsi"/>
          <w:color w:val="000000"/>
          <w:sz w:val="22"/>
          <w:szCs w:val="22"/>
          <w:lang w:val="en-US"/>
        </w:rPr>
        <w:t>supersaturations</w:t>
      </w:r>
      <w:proofErr w:type="spellEnd"/>
      <w:r w:rsidR="000476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other factors become rate limiting</w:t>
      </w:r>
      <w:r w:rsidR="00C11A9C">
        <w:rPr>
          <w:rFonts w:asciiTheme="minorHAnsi" w:eastAsia="MS PGothic" w:hAnsiTheme="minorHAnsi"/>
          <w:color w:val="000000"/>
          <w:sz w:val="22"/>
          <w:szCs w:val="22"/>
          <w:lang w:val="en-US"/>
        </w:rPr>
        <w:t>, including c</w:t>
      </w:r>
      <w:r w:rsidRPr="00242DE1">
        <w:rPr>
          <w:rFonts w:asciiTheme="minorHAnsi" w:eastAsia="MS PGothic" w:hAnsiTheme="minorHAnsi"/>
          <w:color w:val="000000"/>
          <w:sz w:val="22"/>
          <w:szCs w:val="22"/>
          <w:lang w:val="en-US"/>
        </w:rPr>
        <w:t>rystal growth and secondary nucleation</w:t>
      </w:r>
      <w:r w:rsidR="00C11A9C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242D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11A9C">
        <w:rPr>
          <w:rFonts w:asciiTheme="minorHAnsi" w:eastAsia="MS PGothic" w:hAnsiTheme="minorHAnsi"/>
          <w:color w:val="000000"/>
          <w:sz w:val="22"/>
          <w:szCs w:val="22"/>
          <w:lang w:val="en-US"/>
        </w:rPr>
        <w:t>which may need to be</w:t>
      </w:r>
      <w:r w:rsidRPr="00242D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consider</w:t>
      </w:r>
      <w:r w:rsidR="00C11A9C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Pr="00242D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when interpreting induction time data in terms of primary nucleation kinetics as is commonly done in the literature. </w:t>
      </w:r>
      <w:r w:rsidR="00EB509A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Pr="00242D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nduction times </w:t>
      </w:r>
      <w:r w:rsidR="00EB509A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strongly</w:t>
      </w:r>
      <w:r w:rsidRPr="00242D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dependent on the mode of mixing (</w:t>
      </w:r>
      <w:r w:rsidR="00C11A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batch </w:t>
      </w:r>
      <w:r w:rsidRPr="00242D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rapid </w:t>
      </w:r>
      <w:proofErr w:type="spellStart"/>
      <w:r w:rsidR="00EB509A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antisolvent</w:t>
      </w:r>
      <w:proofErr w:type="spellEnd"/>
      <w:r w:rsidR="00EB50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42DE1">
        <w:rPr>
          <w:rFonts w:asciiTheme="minorHAnsi" w:eastAsia="MS PGothic" w:hAnsiTheme="minorHAnsi"/>
          <w:color w:val="000000"/>
          <w:sz w:val="22"/>
          <w:szCs w:val="22"/>
          <w:lang w:val="en-US"/>
        </w:rPr>
        <w:t>addition vs continuous mixing) which shows that appropriate mixing strategies are crucial for rational development</w:t>
      </w:r>
      <w:r w:rsidR="00EB50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42D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robust scalable </w:t>
      </w:r>
      <w:proofErr w:type="spellStart"/>
      <w:r w:rsidRPr="00242DE1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antisolvent</w:t>
      </w:r>
      <w:proofErr w:type="spellEnd"/>
      <w:r w:rsidR="00C11A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242DE1">
        <w:rPr>
          <w:rFonts w:asciiTheme="minorHAnsi" w:eastAsia="MS PGothic" w:hAnsiTheme="minorHAnsi"/>
          <w:color w:val="000000"/>
          <w:sz w:val="22"/>
          <w:szCs w:val="22"/>
          <w:lang w:val="en-US"/>
        </w:rPr>
        <w:t>crystallisation</w:t>
      </w:r>
      <w:proofErr w:type="spellEnd"/>
      <w:r w:rsidRPr="00242D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processes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21E7FA46" w14:textId="4B67624C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5B791ABB" w14:textId="13AE5957" w:rsidR="00704BDF" w:rsidRPr="008713CE" w:rsidRDefault="0047384A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 w:cstheme="minorHAnsi"/>
          <w:color w:val="000000"/>
        </w:rPr>
      </w:pPr>
      <w:r w:rsidRPr="008713CE">
        <w:rPr>
          <w:rFonts w:asciiTheme="minorHAnsi" w:hAnsiTheme="minorHAnsi" w:cstheme="minorHAnsi"/>
          <w:color w:val="000000"/>
        </w:rPr>
        <w:t>K</w:t>
      </w:r>
      <w:r w:rsidR="00704BDF" w:rsidRPr="008713CE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8713CE">
        <w:rPr>
          <w:rFonts w:asciiTheme="minorHAnsi" w:hAnsiTheme="minorHAnsi" w:cstheme="minorHAnsi"/>
          <w:color w:val="000000"/>
        </w:rPr>
        <w:t>Sangwal</w:t>
      </w:r>
      <w:proofErr w:type="spellEnd"/>
      <w:r w:rsidR="00704BDF" w:rsidRPr="008713CE">
        <w:rPr>
          <w:rFonts w:asciiTheme="minorHAnsi" w:hAnsiTheme="minorHAnsi" w:cstheme="minorHAnsi"/>
          <w:color w:val="000000"/>
        </w:rPr>
        <w:t xml:space="preserve">, </w:t>
      </w:r>
      <w:r w:rsidRPr="008713CE">
        <w:rPr>
          <w:rFonts w:asciiTheme="minorHAnsi" w:hAnsiTheme="minorHAnsi" w:cstheme="minorHAnsi"/>
          <w:color w:val="000000"/>
        </w:rPr>
        <w:t>E</w:t>
      </w:r>
      <w:r w:rsidR="00704BDF" w:rsidRPr="008713CE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8713CE">
        <w:rPr>
          <w:rFonts w:asciiTheme="minorHAnsi" w:hAnsiTheme="minorHAnsi" w:cstheme="minorHAnsi"/>
          <w:color w:val="000000"/>
        </w:rPr>
        <w:t>Mielniczek-Brzóska</w:t>
      </w:r>
      <w:proofErr w:type="spellEnd"/>
      <w:r w:rsidR="00704BDF" w:rsidRPr="008713C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713CE">
        <w:rPr>
          <w:rFonts w:asciiTheme="minorHAnsi" w:hAnsiTheme="minorHAnsi" w:cstheme="minorHAnsi"/>
          <w:color w:val="000000"/>
        </w:rPr>
        <w:t>Cryst</w:t>
      </w:r>
      <w:proofErr w:type="spellEnd"/>
      <w:r w:rsidRPr="008713CE">
        <w:rPr>
          <w:rFonts w:asciiTheme="minorHAnsi" w:hAnsiTheme="minorHAnsi" w:cstheme="minorHAnsi"/>
          <w:color w:val="000000"/>
        </w:rPr>
        <w:t>. Res. Technol</w:t>
      </w:r>
      <w:r w:rsidR="00704BDF" w:rsidRPr="00371B1C">
        <w:rPr>
          <w:rFonts w:asciiTheme="minorHAnsi" w:hAnsiTheme="minorHAnsi" w:cstheme="minorHAnsi"/>
          <w:color w:val="000000"/>
        </w:rPr>
        <w:t>. 201</w:t>
      </w:r>
      <w:r w:rsidRPr="00371B1C">
        <w:rPr>
          <w:rFonts w:asciiTheme="minorHAnsi" w:hAnsiTheme="minorHAnsi" w:cstheme="minorHAnsi"/>
          <w:color w:val="000000"/>
        </w:rPr>
        <w:t>7,</w:t>
      </w:r>
      <w:r w:rsidR="00704BDF" w:rsidRPr="00371B1C">
        <w:rPr>
          <w:rFonts w:asciiTheme="minorHAnsi" w:hAnsiTheme="minorHAnsi" w:cstheme="minorHAnsi"/>
          <w:color w:val="000000"/>
        </w:rPr>
        <w:t xml:space="preserve"> </w:t>
      </w:r>
      <w:r w:rsidRPr="00371B1C">
        <w:rPr>
          <w:rFonts w:asciiTheme="minorHAnsi" w:hAnsiTheme="minorHAnsi" w:cstheme="minorHAnsi"/>
          <w:color w:val="000000"/>
        </w:rPr>
        <w:t>52,</w:t>
      </w:r>
      <w:r w:rsidRPr="008713CE">
        <w:rPr>
          <w:rFonts w:asciiTheme="minorHAnsi" w:hAnsiTheme="minorHAnsi" w:cstheme="minorHAnsi"/>
          <w:color w:val="000000"/>
        </w:rPr>
        <w:t xml:space="preserve"> 1600361</w:t>
      </w:r>
      <w:r w:rsidR="00704BDF" w:rsidRPr="008713CE">
        <w:rPr>
          <w:rFonts w:asciiTheme="minorHAnsi" w:hAnsiTheme="minorHAnsi" w:cstheme="minorHAnsi"/>
          <w:color w:val="000000"/>
        </w:rPr>
        <w:t>.</w:t>
      </w:r>
    </w:p>
    <w:p w14:paraId="500366D4" w14:textId="12792456" w:rsidR="00704BDF" w:rsidRPr="008713CE" w:rsidRDefault="00875E67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 w:cstheme="minorHAnsi"/>
          <w:color w:val="000000"/>
        </w:rPr>
      </w:pPr>
      <w:r w:rsidRPr="008713CE">
        <w:rPr>
          <w:rFonts w:asciiTheme="minorHAnsi" w:hAnsiTheme="minorHAnsi" w:cstheme="minorHAnsi"/>
          <w:color w:val="000000"/>
        </w:rPr>
        <w:t xml:space="preserve">C. </w:t>
      </w:r>
      <w:proofErr w:type="spellStart"/>
      <w:r w:rsidRPr="008713CE">
        <w:rPr>
          <w:rFonts w:asciiTheme="minorHAnsi" w:hAnsiTheme="minorHAnsi" w:cstheme="minorHAnsi"/>
          <w:color w:val="000000"/>
        </w:rPr>
        <w:t>T.Ó’Ciardhá</w:t>
      </w:r>
      <w:proofErr w:type="spellEnd"/>
      <w:r w:rsidRPr="008713CE">
        <w:rPr>
          <w:rFonts w:asciiTheme="minorHAnsi" w:hAnsiTheme="minorHAnsi" w:cstheme="minorHAnsi"/>
          <w:color w:val="000000"/>
        </w:rPr>
        <w:t xml:space="preserve">, </w:t>
      </w:r>
      <w:r w:rsidR="00870CE2" w:rsidRPr="008713CE">
        <w:rPr>
          <w:rFonts w:asciiTheme="minorHAnsi" w:hAnsiTheme="minorHAnsi" w:cstheme="minorHAnsi"/>
          <w:color w:val="000000"/>
        </w:rPr>
        <w:t xml:space="preserve">P. J. </w:t>
      </w:r>
      <w:proofErr w:type="spellStart"/>
      <w:r w:rsidR="00870CE2" w:rsidRPr="008713CE">
        <w:rPr>
          <w:rFonts w:asciiTheme="minorHAnsi" w:hAnsiTheme="minorHAnsi" w:cstheme="minorHAnsi"/>
          <w:color w:val="000000"/>
        </w:rPr>
        <w:t>Frawley</w:t>
      </w:r>
      <w:proofErr w:type="spellEnd"/>
      <w:r w:rsidRPr="008713CE">
        <w:rPr>
          <w:rFonts w:asciiTheme="minorHAnsi" w:hAnsiTheme="minorHAnsi" w:cstheme="minorHAnsi"/>
          <w:color w:val="000000"/>
        </w:rPr>
        <w:t>,</w:t>
      </w:r>
      <w:r w:rsidR="00870CE2" w:rsidRPr="008713CE">
        <w:rPr>
          <w:rFonts w:asciiTheme="minorHAnsi" w:hAnsiTheme="minorHAnsi" w:cstheme="minorHAnsi"/>
          <w:color w:val="000000"/>
        </w:rPr>
        <w:t xml:space="preserve"> N. A. Mitchell,</w:t>
      </w:r>
      <w:r w:rsidRPr="008713CE">
        <w:rPr>
          <w:rFonts w:asciiTheme="minorHAnsi" w:hAnsiTheme="minorHAnsi" w:cstheme="minorHAnsi"/>
          <w:color w:val="000000"/>
        </w:rPr>
        <w:t xml:space="preserve"> </w:t>
      </w:r>
      <w:r w:rsidR="00870CE2" w:rsidRPr="008713CE">
        <w:rPr>
          <w:rFonts w:asciiTheme="minorHAnsi" w:hAnsiTheme="minorHAnsi" w:cstheme="minorHAnsi"/>
          <w:color w:val="000000"/>
        </w:rPr>
        <w:t>Journal of Crystal Growth</w:t>
      </w:r>
      <w:r w:rsidR="00371B1C">
        <w:rPr>
          <w:rFonts w:asciiTheme="minorHAnsi" w:hAnsiTheme="minorHAnsi" w:cstheme="minorHAnsi"/>
          <w:color w:val="000000"/>
        </w:rPr>
        <w:t xml:space="preserve">. 2011, </w:t>
      </w:r>
      <w:r w:rsidR="00870CE2" w:rsidRPr="008713CE">
        <w:rPr>
          <w:rFonts w:asciiTheme="minorHAnsi" w:hAnsiTheme="minorHAnsi" w:cstheme="minorHAnsi"/>
          <w:color w:val="000000"/>
        </w:rPr>
        <w:t>328</w:t>
      </w:r>
      <w:r w:rsidR="00371B1C">
        <w:rPr>
          <w:rFonts w:asciiTheme="minorHAnsi" w:hAnsiTheme="minorHAnsi" w:cstheme="minorHAnsi"/>
          <w:color w:val="000000"/>
        </w:rPr>
        <w:t>,</w:t>
      </w:r>
      <w:r w:rsidR="00870CE2" w:rsidRPr="008713CE">
        <w:rPr>
          <w:rFonts w:asciiTheme="minorHAnsi" w:hAnsiTheme="minorHAnsi" w:cstheme="minorHAnsi"/>
          <w:color w:val="000000"/>
        </w:rPr>
        <w:t xml:space="preserve"> 50-57.</w:t>
      </w:r>
      <w:r w:rsidR="00704BDF" w:rsidRPr="008713CE">
        <w:rPr>
          <w:rFonts w:asciiTheme="minorHAnsi" w:hAnsiTheme="minorHAnsi" w:cstheme="minorHAnsi"/>
          <w:color w:val="000000"/>
        </w:rPr>
        <w:t xml:space="preserve"> </w:t>
      </w:r>
    </w:p>
    <w:p w14:paraId="2D8CA643" w14:textId="6100473A" w:rsidR="005346C8" w:rsidRPr="00DE0019" w:rsidRDefault="008713CE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8713CE">
        <w:rPr>
          <w:rFonts w:asciiTheme="minorHAnsi" w:hAnsiTheme="minorHAnsi" w:cstheme="minorHAnsi"/>
          <w:color w:val="000000"/>
        </w:rPr>
        <w:t>S</w:t>
      </w:r>
      <w:r w:rsidR="00704BDF" w:rsidRPr="008713CE">
        <w:rPr>
          <w:rFonts w:asciiTheme="minorHAnsi" w:hAnsiTheme="minorHAnsi" w:cstheme="minorHAnsi"/>
          <w:color w:val="000000"/>
        </w:rPr>
        <w:t>.</w:t>
      </w:r>
      <w:r w:rsidRPr="008713CE">
        <w:rPr>
          <w:rFonts w:asciiTheme="minorHAnsi" w:hAnsiTheme="minorHAnsi" w:cstheme="minorHAnsi"/>
          <w:color w:val="000000"/>
        </w:rPr>
        <w:t xml:space="preserve"> K.</w:t>
      </w:r>
      <w:r w:rsidRPr="008713CE">
        <w:rPr>
          <w:rFonts w:asciiTheme="minorHAnsi" w:hAnsiTheme="minorHAnsi" w:cstheme="minorHAnsi"/>
        </w:rPr>
        <w:t xml:space="preserve"> </w:t>
      </w:r>
      <w:proofErr w:type="spellStart"/>
      <w:r w:rsidRPr="008713CE">
        <w:rPr>
          <w:rFonts w:asciiTheme="minorHAnsi" w:hAnsiTheme="minorHAnsi" w:cstheme="minorHAnsi"/>
        </w:rPr>
        <w:t>Poornachary</w:t>
      </w:r>
      <w:proofErr w:type="spellEnd"/>
      <w:r>
        <w:rPr>
          <w:rFonts w:asciiTheme="minorHAnsi" w:hAnsiTheme="minorHAnsi" w:cstheme="minorHAnsi"/>
          <w:color w:val="000000"/>
        </w:rPr>
        <w:t xml:space="preserve"> et al.</w:t>
      </w:r>
      <w:r w:rsidRPr="008713CE">
        <w:rPr>
          <w:rFonts w:asciiTheme="minorHAnsi" w:hAnsiTheme="minorHAnsi"/>
          <w:color w:val="000000"/>
        </w:rPr>
        <w:t xml:space="preserve">, </w:t>
      </w:r>
      <w:proofErr w:type="spellStart"/>
      <w:r w:rsidRPr="008713CE">
        <w:rPr>
          <w:rFonts w:asciiTheme="minorHAnsi" w:hAnsiTheme="minorHAnsi"/>
          <w:color w:val="000000"/>
        </w:rPr>
        <w:t>Cryst</w:t>
      </w:r>
      <w:proofErr w:type="spellEnd"/>
      <w:r w:rsidRPr="008713CE">
        <w:rPr>
          <w:rFonts w:asciiTheme="minorHAnsi" w:hAnsiTheme="minorHAnsi"/>
          <w:color w:val="000000"/>
        </w:rPr>
        <w:t>. Growth Des. 201</w:t>
      </w:r>
      <w:r>
        <w:rPr>
          <w:rFonts w:asciiTheme="minorHAnsi" w:hAnsiTheme="minorHAnsi"/>
          <w:color w:val="000000"/>
        </w:rPr>
        <w:t>6</w:t>
      </w:r>
      <w:r w:rsidRPr="008713CE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16</w:t>
      </w:r>
      <w:r w:rsidRPr="008713CE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749-758</w:t>
      </w:r>
      <w:r w:rsidR="00704BDF" w:rsidRPr="00DE0019">
        <w:rPr>
          <w:rFonts w:asciiTheme="minorHAnsi" w:hAnsiTheme="minorHAnsi"/>
          <w:color w:val="000000"/>
        </w:rPr>
        <w:t>.</w:t>
      </w:r>
    </w:p>
    <w:p w14:paraId="07D32A9D" w14:textId="3E304D3F"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DE001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91C4D" w14:textId="77777777" w:rsidR="000429F8" w:rsidRDefault="000429F8" w:rsidP="004F5E36">
      <w:r>
        <w:separator/>
      </w:r>
    </w:p>
  </w:endnote>
  <w:endnote w:type="continuationSeparator" w:id="0">
    <w:p w14:paraId="70434F8B" w14:textId="77777777" w:rsidR="000429F8" w:rsidRDefault="000429F8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D2309" w14:textId="77777777" w:rsidR="000429F8" w:rsidRDefault="000429F8" w:rsidP="004F5E36">
      <w:r>
        <w:separator/>
      </w:r>
    </w:p>
  </w:footnote>
  <w:footnote w:type="continuationSeparator" w:id="0">
    <w:p w14:paraId="0896113A" w14:textId="77777777" w:rsidR="000429F8" w:rsidRDefault="000429F8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1ACD7" w14:textId="77777777" w:rsidR="004D1162" w:rsidRDefault="00594E9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97D32B4" wp14:editId="130EF36B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F9D030C" wp14:editId="058ABF8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574ED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6E23B31" wp14:editId="20059388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7563653C" w14:textId="77777777" w:rsidR="00704BDF" w:rsidRDefault="00704BDF">
    <w:pPr>
      <w:pStyle w:val="Header"/>
    </w:pPr>
  </w:p>
  <w:p w14:paraId="012FB765" w14:textId="77777777" w:rsidR="00704BDF" w:rsidRDefault="00704BD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F97BE3" wp14:editId="4E125EC6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07CD4"/>
    <w:rsid w:val="000117CB"/>
    <w:rsid w:val="0003148D"/>
    <w:rsid w:val="000429F8"/>
    <w:rsid w:val="0004768C"/>
    <w:rsid w:val="00062A9A"/>
    <w:rsid w:val="000668FA"/>
    <w:rsid w:val="00080E6E"/>
    <w:rsid w:val="000923DB"/>
    <w:rsid w:val="000A03B2"/>
    <w:rsid w:val="000A4ADF"/>
    <w:rsid w:val="000A518F"/>
    <w:rsid w:val="000D34BE"/>
    <w:rsid w:val="000D6997"/>
    <w:rsid w:val="000D6AA6"/>
    <w:rsid w:val="000E36F1"/>
    <w:rsid w:val="000E3A73"/>
    <w:rsid w:val="000E414A"/>
    <w:rsid w:val="0012242B"/>
    <w:rsid w:val="0013121F"/>
    <w:rsid w:val="00134DE4"/>
    <w:rsid w:val="00150E59"/>
    <w:rsid w:val="00184AD6"/>
    <w:rsid w:val="001B38D4"/>
    <w:rsid w:val="001B65C1"/>
    <w:rsid w:val="001B7D20"/>
    <w:rsid w:val="001C684B"/>
    <w:rsid w:val="001D53FC"/>
    <w:rsid w:val="001F2EC7"/>
    <w:rsid w:val="00206484"/>
    <w:rsid w:val="002065DB"/>
    <w:rsid w:val="002107A3"/>
    <w:rsid w:val="00210D0C"/>
    <w:rsid w:val="00215557"/>
    <w:rsid w:val="0024295E"/>
    <w:rsid w:val="00242DE1"/>
    <w:rsid w:val="002447EF"/>
    <w:rsid w:val="00251550"/>
    <w:rsid w:val="0027221A"/>
    <w:rsid w:val="00275B61"/>
    <w:rsid w:val="002B601A"/>
    <w:rsid w:val="002D1F12"/>
    <w:rsid w:val="002D48C9"/>
    <w:rsid w:val="002D4A65"/>
    <w:rsid w:val="002F7219"/>
    <w:rsid w:val="002F76E3"/>
    <w:rsid w:val="002F7B4A"/>
    <w:rsid w:val="003009B7"/>
    <w:rsid w:val="0030469C"/>
    <w:rsid w:val="00342FA6"/>
    <w:rsid w:val="00371B1C"/>
    <w:rsid w:val="003723D4"/>
    <w:rsid w:val="003A7D1C"/>
    <w:rsid w:val="003B3CF4"/>
    <w:rsid w:val="003C5575"/>
    <w:rsid w:val="003C5E54"/>
    <w:rsid w:val="003E63F4"/>
    <w:rsid w:val="00440142"/>
    <w:rsid w:val="00440ECA"/>
    <w:rsid w:val="0046164A"/>
    <w:rsid w:val="00462DCD"/>
    <w:rsid w:val="00464230"/>
    <w:rsid w:val="00466267"/>
    <w:rsid w:val="0047384A"/>
    <w:rsid w:val="00475EC1"/>
    <w:rsid w:val="00484502"/>
    <w:rsid w:val="004D1162"/>
    <w:rsid w:val="004D4B5D"/>
    <w:rsid w:val="004D5E1D"/>
    <w:rsid w:val="004D7055"/>
    <w:rsid w:val="004D7B0F"/>
    <w:rsid w:val="004E4DD6"/>
    <w:rsid w:val="004F5E36"/>
    <w:rsid w:val="00506E67"/>
    <w:rsid w:val="005119A5"/>
    <w:rsid w:val="005278B7"/>
    <w:rsid w:val="005346C8"/>
    <w:rsid w:val="005410B8"/>
    <w:rsid w:val="00545DAF"/>
    <w:rsid w:val="005849EB"/>
    <w:rsid w:val="005863CD"/>
    <w:rsid w:val="00594E9F"/>
    <w:rsid w:val="005B48F9"/>
    <w:rsid w:val="005B61E6"/>
    <w:rsid w:val="005B6FB6"/>
    <w:rsid w:val="005C77E1"/>
    <w:rsid w:val="005D4FC6"/>
    <w:rsid w:val="005D6A2F"/>
    <w:rsid w:val="005E1A82"/>
    <w:rsid w:val="005F0A28"/>
    <w:rsid w:val="005F0E5E"/>
    <w:rsid w:val="00607721"/>
    <w:rsid w:val="00620DEE"/>
    <w:rsid w:val="0062439B"/>
    <w:rsid w:val="00625639"/>
    <w:rsid w:val="0064184D"/>
    <w:rsid w:val="00660E3E"/>
    <w:rsid w:val="00662E74"/>
    <w:rsid w:val="006735A5"/>
    <w:rsid w:val="006A58D2"/>
    <w:rsid w:val="006C5579"/>
    <w:rsid w:val="006C5B0B"/>
    <w:rsid w:val="006D060E"/>
    <w:rsid w:val="006E4D70"/>
    <w:rsid w:val="00704BDF"/>
    <w:rsid w:val="00736B13"/>
    <w:rsid w:val="007447F3"/>
    <w:rsid w:val="007523C3"/>
    <w:rsid w:val="007661C8"/>
    <w:rsid w:val="007921A4"/>
    <w:rsid w:val="007D52CD"/>
    <w:rsid w:val="007F0B23"/>
    <w:rsid w:val="00807B35"/>
    <w:rsid w:val="00813288"/>
    <w:rsid w:val="008168FC"/>
    <w:rsid w:val="008479A2"/>
    <w:rsid w:val="00870CE2"/>
    <w:rsid w:val="008713CE"/>
    <w:rsid w:val="00872D68"/>
    <w:rsid w:val="00875E67"/>
    <w:rsid w:val="0087637F"/>
    <w:rsid w:val="0088623A"/>
    <w:rsid w:val="0089479B"/>
    <w:rsid w:val="008A1512"/>
    <w:rsid w:val="008D0BEB"/>
    <w:rsid w:val="008E566E"/>
    <w:rsid w:val="00901EB6"/>
    <w:rsid w:val="00905A1C"/>
    <w:rsid w:val="009450CE"/>
    <w:rsid w:val="0095164B"/>
    <w:rsid w:val="009642B6"/>
    <w:rsid w:val="00970BCD"/>
    <w:rsid w:val="009833D8"/>
    <w:rsid w:val="0098617B"/>
    <w:rsid w:val="00996483"/>
    <w:rsid w:val="0099674A"/>
    <w:rsid w:val="009C3E36"/>
    <w:rsid w:val="009C6AB9"/>
    <w:rsid w:val="009D6C23"/>
    <w:rsid w:val="009E788A"/>
    <w:rsid w:val="00A1763D"/>
    <w:rsid w:val="00A17CEC"/>
    <w:rsid w:val="00A2391C"/>
    <w:rsid w:val="00A27EF0"/>
    <w:rsid w:val="00A47317"/>
    <w:rsid w:val="00A613E7"/>
    <w:rsid w:val="00A7233E"/>
    <w:rsid w:val="00A76EFC"/>
    <w:rsid w:val="00A9626B"/>
    <w:rsid w:val="00A97F29"/>
    <w:rsid w:val="00AA78E0"/>
    <w:rsid w:val="00AB0964"/>
    <w:rsid w:val="00AE377D"/>
    <w:rsid w:val="00B01C94"/>
    <w:rsid w:val="00B0525E"/>
    <w:rsid w:val="00B56E1D"/>
    <w:rsid w:val="00B609D6"/>
    <w:rsid w:val="00B61DBF"/>
    <w:rsid w:val="00BB6D6D"/>
    <w:rsid w:val="00BC30C9"/>
    <w:rsid w:val="00BD7A56"/>
    <w:rsid w:val="00BE3E58"/>
    <w:rsid w:val="00C01616"/>
    <w:rsid w:val="00C0162B"/>
    <w:rsid w:val="00C02A9F"/>
    <w:rsid w:val="00C11A9C"/>
    <w:rsid w:val="00C23B8E"/>
    <w:rsid w:val="00C32A3C"/>
    <w:rsid w:val="00C345B1"/>
    <w:rsid w:val="00C40142"/>
    <w:rsid w:val="00C52CC6"/>
    <w:rsid w:val="00C57182"/>
    <w:rsid w:val="00C64C0A"/>
    <w:rsid w:val="00C655FD"/>
    <w:rsid w:val="00C70AF1"/>
    <w:rsid w:val="00C85106"/>
    <w:rsid w:val="00C867B1"/>
    <w:rsid w:val="00C94434"/>
    <w:rsid w:val="00CA1C95"/>
    <w:rsid w:val="00CA3FC1"/>
    <w:rsid w:val="00CA5A9C"/>
    <w:rsid w:val="00CB1D32"/>
    <w:rsid w:val="00CD3158"/>
    <w:rsid w:val="00CD58F8"/>
    <w:rsid w:val="00CD5FE2"/>
    <w:rsid w:val="00CE7136"/>
    <w:rsid w:val="00D00FEA"/>
    <w:rsid w:val="00D02865"/>
    <w:rsid w:val="00D02B4C"/>
    <w:rsid w:val="00D359DE"/>
    <w:rsid w:val="00D3713C"/>
    <w:rsid w:val="00D4688E"/>
    <w:rsid w:val="00D669D7"/>
    <w:rsid w:val="00D84576"/>
    <w:rsid w:val="00DE0019"/>
    <w:rsid w:val="00DE264A"/>
    <w:rsid w:val="00E041E7"/>
    <w:rsid w:val="00E105D3"/>
    <w:rsid w:val="00E22B45"/>
    <w:rsid w:val="00E23CA1"/>
    <w:rsid w:val="00E409A8"/>
    <w:rsid w:val="00E56ED0"/>
    <w:rsid w:val="00E618D0"/>
    <w:rsid w:val="00E6255E"/>
    <w:rsid w:val="00E7209D"/>
    <w:rsid w:val="00EA50E1"/>
    <w:rsid w:val="00EB509A"/>
    <w:rsid w:val="00EE0131"/>
    <w:rsid w:val="00F0751C"/>
    <w:rsid w:val="00F1013D"/>
    <w:rsid w:val="00F14146"/>
    <w:rsid w:val="00F15BB0"/>
    <w:rsid w:val="00F17FBD"/>
    <w:rsid w:val="00F30C64"/>
    <w:rsid w:val="00F33972"/>
    <w:rsid w:val="00F44847"/>
    <w:rsid w:val="00F62A8B"/>
    <w:rsid w:val="00F77B4B"/>
    <w:rsid w:val="00F9165E"/>
    <w:rsid w:val="00F9169F"/>
    <w:rsid w:val="00F96575"/>
    <w:rsid w:val="00FB4425"/>
    <w:rsid w:val="00FB730C"/>
    <w:rsid w:val="00FC2695"/>
    <w:rsid w:val="00FC3E03"/>
    <w:rsid w:val="00FD03F5"/>
    <w:rsid w:val="00FE6A2D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B3704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2107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B0736-B433-4B0A-AFC7-44014C4D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John McGinty</cp:lastModifiedBy>
  <cp:revision>21</cp:revision>
  <cp:lastPrinted>2015-05-12T18:31:00Z</cp:lastPrinted>
  <dcterms:created xsi:type="dcterms:W3CDTF">2019-02-21T16:54:00Z</dcterms:created>
  <dcterms:modified xsi:type="dcterms:W3CDTF">2019-02-22T14:48:00Z</dcterms:modified>
</cp:coreProperties>
</file>