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 w:eastAsia="ja-JP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B6AD3" w:rsidP="00FB6AD3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ja-JP"/>
        </w:rPr>
      </w:pPr>
      <w:r>
        <w:rPr>
          <w:rFonts w:asciiTheme="minorHAnsi" w:eastAsia="MS PGothic" w:hAnsiTheme="minorHAnsi" w:hint="eastAsia"/>
          <w:b/>
          <w:bCs/>
          <w:sz w:val="28"/>
          <w:szCs w:val="28"/>
          <w:lang w:val="en-US" w:eastAsia="ja-JP"/>
        </w:rPr>
        <w:t xml:space="preserve">Preparation of </w:t>
      </w:r>
      <w:r>
        <w:rPr>
          <w:rFonts w:asciiTheme="minorHAnsi" w:eastAsia="MS PGothic" w:hAnsiTheme="minorHAnsi"/>
          <w:b/>
          <w:bCs/>
          <w:sz w:val="28"/>
          <w:szCs w:val="28"/>
          <w:lang w:val="en-US" w:eastAsia="ja-JP"/>
        </w:rPr>
        <w:t>high CO</w:t>
      </w:r>
      <w:r w:rsidRPr="00FB6AD3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 w:eastAsia="ja-JP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 w:eastAsia="ja-JP"/>
        </w:rPr>
        <w:t xml:space="preserve"> permeable </w:t>
      </w:r>
      <w:r>
        <w:rPr>
          <w:rFonts w:asciiTheme="minorHAnsi" w:eastAsia="MS PGothic" w:hAnsiTheme="minorHAnsi" w:hint="eastAsia"/>
          <w:b/>
          <w:bCs/>
          <w:sz w:val="28"/>
          <w:szCs w:val="28"/>
          <w:lang w:val="en-US" w:eastAsia="ja-JP"/>
        </w:rPr>
        <w:t xml:space="preserve">CHA type zeolite membrane </w:t>
      </w:r>
      <w:r>
        <w:rPr>
          <w:rFonts w:asciiTheme="minorHAnsi" w:eastAsia="MS PGothic" w:hAnsiTheme="minorHAnsi"/>
          <w:b/>
          <w:bCs/>
          <w:sz w:val="28"/>
          <w:szCs w:val="28"/>
          <w:lang w:val="en-US" w:eastAsia="ja-JP"/>
        </w:rPr>
        <w:t xml:space="preserve">                using TEAOH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E0019" w:rsidRDefault="00FB6AD3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Sadao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Araki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Yuto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Okubo</w:t>
      </w:r>
      <w:r w:rsidRPr="00FB6AD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1C297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Imasaka</w:t>
      </w:r>
      <w:proofErr w:type="spellEnd"/>
      <w:r w:rsidR="001C297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1C297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Satoshi</w:t>
      </w:r>
      <w:r w:rsidR="001C297B" w:rsidRPr="001C297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proofErr w:type="spellEnd"/>
      <w:r w:rsidR="001C297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Hideki Yamamo</w:t>
      </w:r>
      <w:r w:rsidR="007323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to</w:t>
      </w:r>
      <w:r w:rsidR="00DE0019" w:rsidRPr="00FB6AD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1C297B" w:rsidRDefault="00704BDF" w:rsidP="00704BDF">
      <w:pPr>
        <w:snapToGrid w:val="0"/>
        <w:spacing w:after="120"/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B6AD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Kansai University, Department of Chemical, Energy and Environmental En</w:t>
      </w:r>
      <w:r w:rsidR="00FB6AD3" w:rsidRPr="001C297B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gineering, </w:t>
      </w:r>
      <w:r w:rsidR="00FB6AD3" w:rsidRPr="001C297B">
        <w:rPr>
          <w:rFonts w:asciiTheme="minorHAnsi" w:hAnsiTheme="minorHAnsi" w:cstheme="minorHAnsi"/>
          <w:i/>
          <w:sz w:val="20"/>
          <w:lang w:val="en-US"/>
        </w:rPr>
        <w:t xml:space="preserve">3-3-35 </w:t>
      </w:r>
      <w:proofErr w:type="spellStart"/>
      <w:r w:rsidR="00FB6AD3" w:rsidRPr="001C297B">
        <w:rPr>
          <w:rFonts w:asciiTheme="minorHAnsi" w:hAnsiTheme="minorHAnsi" w:cstheme="minorHAnsi"/>
          <w:i/>
          <w:sz w:val="20"/>
          <w:lang w:val="en-US"/>
        </w:rPr>
        <w:t>Yamate-cho</w:t>
      </w:r>
      <w:proofErr w:type="spellEnd"/>
      <w:r w:rsidR="00FB6AD3" w:rsidRPr="001C297B">
        <w:rPr>
          <w:rFonts w:asciiTheme="minorHAnsi" w:hAnsiTheme="minorHAnsi" w:cstheme="minorHAnsi"/>
          <w:i/>
          <w:sz w:val="20"/>
          <w:lang w:val="en-US"/>
        </w:rPr>
        <w:t>, Suita-</w:t>
      </w:r>
      <w:proofErr w:type="spellStart"/>
      <w:r w:rsidR="00FB6AD3" w:rsidRPr="001C297B">
        <w:rPr>
          <w:rFonts w:asciiTheme="minorHAnsi" w:hAnsiTheme="minorHAnsi" w:cstheme="minorHAnsi"/>
          <w:i/>
          <w:sz w:val="20"/>
          <w:lang w:val="en-US"/>
        </w:rPr>
        <w:t>shi</w:t>
      </w:r>
      <w:proofErr w:type="spellEnd"/>
      <w:r w:rsidR="00FB6AD3" w:rsidRPr="001C297B">
        <w:rPr>
          <w:rFonts w:asciiTheme="minorHAnsi" w:hAnsiTheme="minorHAnsi" w:cstheme="minorHAnsi"/>
          <w:i/>
          <w:sz w:val="20"/>
          <w:lang w:val="en-US"/>
        </w:rPr>
        <w:t>, Osaka 564-8680 Japan</w:t>
      </w:r>
    </w:p>
    <w:p w:rsidR="001C297B" w:rsidRPr="00DE0019" w:rsidRDefault="001C297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 w:hint="eastAsia"/>
          <w:i/>
          <w:iCs/>
          <w:color w:val="000000"/>
          <w:sz w:val="20"/>
          <w:lang w:val="en-US"/>
        </w:rPr>
        <w:t>2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Hitachi Zosen Corporation, </w:t>
      </w:r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2-11, </w:t>
      </w:r>
      <w:proofErr w:type="spellStart"/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Funamachi</w:t>
      </w:r>
      <w:proofErr w:type="spellEnd"/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2-</w:t>
      </w:r>
      <w:proofErr w:type="spellStart"/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Chome</w:t>
      </w:r>
      <w:proofErr w:type="spellEnd"/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Taisho-</w:t>
      </w:r>
      <w:proofErr w:type="spellStart"/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ku</w:t>
      </w:r>
      <w:proofErr w:type="spellEnd"/>
      <w:r w:rsidRPr="001C29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Osaka 551-0022, Japan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</w:t>
      </w:r>
      <w:bookmarkStart w:id="0" w:name="_GoBack"/>
      <w:bookmarkEnd w:id="0"/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B6AD3">
        <w:rPr>
          <w:rFonts w:asciiTheme="minorHAnsi" w:eastAsia="MS PGothic" w:hAnsiTheme="minorHAnsi"/>
          <w:bCs/>
          <w:i/>
          <w:iCs/>
          <w:sz w:val="20"/>
          <w:lang w:val="en-US"/>
        </w:rPr>
        <w:t>araki_sa@kansai-u.ac.jp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C97F1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high-silica CHA-type zeolite membrane was </w:t>
      </w:r>
      <w:r w:rsidR="003B785D">
        <w:rPr>
          <w:rFonts w:asciiTheme="minorHAnsi" w:hAnsiTheme="minorHAnsi"/>
        </w:rPr>
        <w:t>prepared by using TEAOH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3B78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CO</w:t>
      </w:r>
      <w:r w:rsidRPr="003B785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permeance of the membrane show</w:t>
      </w:r>
      <w:r w:rsidR="00B53EB0">
        <w:rPr>
          <w:rFonts w:asciiTheme="minorHAnsi" w:hAnsiTheme="minorHAnsi"/>
        </w:rPr>
        <w:t>ed</w:t>
      </w:r>
      <w:r w:rsidRPr="003C1693">
        <w:rPr>
          <w:rFonts w:asciiTheme="minorHAnsi" w:hAnsiTheme="minorHAnsi"/>
        </w:rPr>
        <w:t xml:space="preserve"> </w:t>
      </w:r>
      <w:r w:rsidRPr="003C1693">
        <w:rPr>
          <w:rFonts w:ascii="Calibri" w:eastAsia="MS PGothic" w:hAnsi="Calibri" w:cs="Calibri"/>
          <w:color w:val="000000"/>
          <w:lang w:eastAsia="ja-JP"/>
        </w:rPr>
        <w:t>3.5×10</w:t>
      </w:r>
      <w:r w:rsidRPr="003C1693">
        <w:rPr>
          <w:rFonts w:ascii="Calibri" w:eastAsia="MS PGothic" w:hAnsi="Calibri" w:cs="Calibri"/>
          <w:color w:val="000000"/>
          <w:vertAlign w:val="superscript"/>
          <w:lang w:eastAsia="ja-JP"/>
        </w:rPr>
        <w:t>-6</w:t>
      </w:r>
      <w:r w:rsidRPr="003C1693">
        <w:rPr>
          <w:rFonts w:ascii="Calibri" w:eastAsia="MS PGothic" w:hAnsi="Calibri" w:cs="Calibri"/>
          <w:color w:val="000000"/>
          <w:lang w:eastAsia="ja-JP"/>
        </w:rPr>
        <w:t xml:space="preserve"> mol m</w:t>
      </w:r>
      <w:r w:rsidRPr="003C1693">
        <w:rPr>
          <w:rFonts w:ascii="Calibri" w:eastAsia="MS PGothic" w:hAnsi="Calibri" w:cs="Calibri"/>
          <w:color w:val="000000"/>
          <w:vertAlign w:val="superscript"/>
          <w:lang w:eastAsia="ja-JP"/>
        </w:rPr>
        <w:t>-2</w:t>
      </w:r>
      <w:r w:rsidRPr="003C1693">
        <w:rPr>
          <w:rFonts w:ascii="Calibri" w:eastAsia="MS PGothic" w:hAnsi="Calibri" w:cs="Calibri"/>
          <w:color w:val="000000"/>
          <w:lang w:eastAsia="ja-JP"/>
        </w:rPr>
        <w:t xml:space="preserve"> s</w:t>
      </w:r>
      <w:r w:rsidRPr="003C1693">
        <w:rPr>
          <w:rFonts w:ascii="Calibri" w:eastAsia="MS PGothic" w:hAnsi="Calibri" w:cs="Calibri"/>
          <w:color w:val="000000"/>
          <w:vertAlign w:val="superscript"/>
          <w:lang w:eastAsia="ja-JP"/>
        </w:rPr>
        <w:t>-1</w:t>
      </w:r>
      <w:r w:rsidRPr="003C1693">
        <w:rPr>
          <w:rFonts w:ascii="Calibri" w:eastAsia="MS PGothic" w:hAnsi="Calibri" w:cs="Calibri"/>
          <w:color w:val="000000"/>
          <w:lang w:eastAsia="ja-JP"/>
        </w:rPr>
        <w:t xml:space="preserve"> Pa</w:t>
      </w:r>
      <w:r w:rsidRPr="003C1693">
        <w:rPr>
          <w:rFonts w:ascii="Calibri" w:eastAsia="MS PGothic" w:hAnsi="Calibri" w:cs="Calibri"/>
          <w:color w:val="000000"/>
          <w:vertAlign w:val="superscript"/>
          <w:lang w:eastAsia="ja-JP"/>
        </w:rPr>
        <w:t>-1</w:t>
      </w:r>
      <w:r w:rsidR="00704BDF" w:rsidRPr="003C1693">
        <w:rPr>
          <w:rFonts w:asciiTheme="minorHAnsi" w:hAnsiTheme="minorHAnsi"/>
        </w:rPr>
        <w:t xml:space="preserve">. </w:t>
      </w:r>
    </w:p>
    <w:p w:rsidR="00704BDF" w:rsidRPr="00EC66CC" w:rsidRDefault="003B78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CO</w:t>
      </w:r>
      <w:r w:rsidRPr="003B785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permeance </w:t>
      </w:r>
      <w:r w:rsidR="00B53EB0">
        <w:rPr>
          <w:rFonts w:asciiTheme="minorHAnsi" w:hAnsiTheme="minorHAnsi"/>
        </w:rPr>
        <w:t>was</w:t>
      </w:r>
      <w:r>
        <w:rPr>
          <w:rFonts w:asciiTheme="minorHAnsi" w:hAnsiTheme="minorHAnsi"/>
        </w:rPr>
        <w:t xml:space="preserve"> 2-fold value of that of TMAdaOH.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9404B" w:rsidRPr="002B3180" w:rsidRDefault="00117D87" w:rsidP="006D74B8">
      <w:pPr>
        <w:ind w:firstLineChars="100" w:firstLine="220"/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At the present time</w:t>
      </w:r>
      <w:r w:rsidR="0090602A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, carbon dioxide is generally separated by chemical absorption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. As an alternative to the chemical absorption, </w:t>
      </w:r>
      <w:r w:rsidR="00D77372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m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embrane separation technologies have attracted much attention due to their low energy consumption and compact device designs.</w:t>
      </w:r>
      <w:r w:rsidR="0090602A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Among </w:t>
      </w:r>
      <w:r w:rsidR="003C1693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the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large number of membrane materials, zeolite have been extensively studied owing to their high chemical and mechanical stabilities. Particularly, CHA-type zeolite membrane</w:t>
      </w:r>
      <w:r w:rsidR="00D77372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s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show the excellent CO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="0039404B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permeability and high selectivity because the CHA-type zeolite 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has</w:t>
      </w:r>
      <w:r w:rsidR="00D77372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a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="006D74B8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suitable pore size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(0.38×0.38 nm) for CO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/CH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4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owing to the effects of molecular</w:t>
      </w:r>
      <w:r w:rsidR="006D74B8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="0053039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sieving</w:t>
      </w:r>
      <w:r w:rsidR="006D74B8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. </w:t>
      </w:r>
    </w:p>
    <w:p w:rsidR="00C867B1" w:rsidRPr="00117D87" w:rsidRDefault="006D74B8" w:rsidP="00A7731D">
      <w:pPr>
        <w:ind w:firstLineChars="100" w:firstLine="220"/>
        <w:rPr>
          <w:rFonts w:asciiTheme="minorHAnsi" w:eastAsia="MS PGothic" w:hAnsiTheme="minorHAnsi" w:cstheme="minorHAnsi"/>
          <w:color w:val="000000"/>
          <w:sz w:val="22"/>
          <w:szCs w:val="22"/>
          <w:lang w:eastAsia="ja-JP"/>
        </w:rPr>
      </w:pP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In our previous study, it </w:t>
      </w:r>
      <w:proofErr w:type="gramStart"/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was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found</w:t>
      </w:r>
      <w:proofErr w:type="gramEnd"/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that the CHA membrane with</w:t>
      </w:r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a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high Si/Al ratio show</w:t>
      </w:r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ed of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="003C1693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a 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high water flux for water/ethanol pervaporation and </w:t>
      </w:r>
      <w:r w:rsidR="003C1693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high 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CO</w:t>
      </w:r>
      <w:r w:rsidRPr="003C2329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permeance for CO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/CH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4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gas separation </w:t>
      </w:r>
      <w:r w:rsidRPr="00117D87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[1]. On the other hand, </w:t>
      </w:r>
      <w:r w:rsidR="00EA1D7F" w:rsidRPr="00117D87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there </w:t>
      </w:r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were</w:t>
      </w:r>
      <w:r w:rsidR="00EA1D7F" w:rsidRPr="00117D87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few report</w:t>
      </w:r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s</w:t>
      </w:r>
      <w:r w:rsidR="00EA1D7F" w:rsidRPr="00117D87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about the preparation of </w:t>
      </w:r>
      <w:r w:rsidRPr="00117D87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CHA zeolite </w:t>
      </w:r>
      <w:r w:rsidR="003C1693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with</w:t>
      </w:r>
      <w:r w:rsidR="003C1693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a</w:t>
      </w:r>
      <w:r w:rsidR="003C1693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high Si/Al ratio</w:t>
      </w:r>
      <w:r w:rsidR="003C1693" w:rsidRP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Pr="003C2329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using 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val="en-US" w:eastAsia="ja-JP"/>
        </w:rPr>
        <w:t>organic structure directing agents (OSDAs) except for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  <w:r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>N</w:t>
      </w:r>
      <w:proofErr w:type="gramStart"/>
      <w:r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>,N,N</w:t>
      </w:r>
      <w:proofErr w:type="gramEnd"/>
      <w:r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>-trimethyl-1-adamantammonium hydroxide(TMAdaOH)</w:t>
      </w:r>
      <w:r w:rsidR="008747EC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. 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In this study, we prepared </w:t>
      </w:r>
      <w:r w:rsidR="003C2329">
        <w:rPr>
          <w:rFonts w:asciiTheme="minorHAnsi" w:eastAsia="MS Mincho" w:hAnsiTheme="minorHAnsi" w:cstheme="minorHAnsi"/>
          <w:sz w:val="22"/>
          <w:szCs w:val="22"/>
          <w:lang w:eastAsia="ja-JP"/>
        </w:rPr>
        <w:t>a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high silica CHA membrane using tetraethyl ammonium hydroxide</w:t>
      </w:r>
      <w:r w:rsidR="008A2934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>(TEAOH) as OSDA. The gas permeances and separation properties for th</w:t>
      </w:r>
      <w:r w:rsidR="003C2329">
        <w:rPr>
          <w:rFonts w:asciiTheme="minorHAnsi" w:eastAsia="MS Mincho" w:hAnsiTheme="minorHAnsi" w:cstheme="minorHAnsi"/>
          <w:sz w:val="22"/>
          <w:szCs w:val="22"/>
          <w:lang w:eastAsia="ja-JP"/>
        </w:rPr>
        <w:t>is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membrane w</w:t>
      </w:r>
      <w:r w:rsidR="003C2329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ere </w:t>
      </w:r>
      <w:r w:rsidR="00EA1D7F" w:rsidRPr="003C2329">
        <w:rPr>
          <w:rFonts w:asciiTheme="minorHAnsi" w:eastAsia="MS Mincho" w:hAnsiTheme="minorHAnsi" w:cstheme="minorHAnsi"/>
          <w:sz w:val="22"/>
          <w:szCs w:val="22"/>
          <w:lang w:eastAsia="ja-JP"/>
        </w:rPr>
        <w:t>determined by gas permeation test.</w:t>
      </w:r>
    </w:p>
    <w:p w:rsidR="00A7731D" w:rsidRPr="00117D87" w:rsidRDefault="00A7731D" w:rsidP="00A7731D">
      <w:pPr>
        <w:ind w:firstLineChars="100" w:firstLine="220"/>
        <w:rPr>
          <w:rFonts w:asciiTheme="minorHAnsi" w:eastAsia="MS PGothic" w:hAnsiTheme="minorHAnsi"/>
          <w:color w:val="000000"/>
          <w:sz w:val="22"/>
          <w:szCs w:val="22"/>
          <w:lang w:eastAsia="ja-JP"/>
        </w:rPr>
      </w:pPr>
    </w:p>
    <w:p w:rsidR="00704BDF" w:rsidRPr="00117D87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17D8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A6D2C" w:rsidRPr="002B3180" w:rsidRDefault="001C297B" w:rsidP="00A7731D">
      <w:pPr>
        <w:snapToGrid w:val="0"/>
        <w:spacing w:after="120"/>
        <w:ind w:firstLineChars="150" w:firstLine="330"/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</w:pPr>
      <w:r w:rsidRPr="00117D8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high-silica CHA-type zeolite seed crystals were prepared by the following literature [2]. High-silica CHA-type zeolite seed crystals were applied to the outer surface of a porous α-alumina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support tube (pore size: 0.5–1.0 </w:t>
      </w:r>
      <w:proofErr w:type="spellStart"/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μm</w:t>
      </w:r>
      <w:proofErr w:type="spellEnd"/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; </w:t>
      </w:r>
      <w:proofErr w:type="spellStart"/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Hitachizosen</w:t>
      </w:r>
      <w:proofErr w:type="spellEnd"/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Corp.) by rubbing. The membrane synthetic gel was prepared with TEAOH, ion exchanged water, </w:t>
      </w:r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odium hydroxide, and FAU-type zeolite. </w:t>
      </w:r>
      <w:r w:rsidR="005436F2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α-alumina support tube with the high-silica CHA</w:t>
      </w:r>
      <w:r w:rsidR="009C286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="005436F2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type zeolite seed crystals was placed in a Teflon container, and immersed in the synthesis gel. After installing the Teflon container in an autoclave, the hydrothermal treatment was performed at </w:t>
      </w:r>
      <w:r w:rsidR="009C286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160</w:t>
      </w:r>
      <w:r w:rsidR="005436F2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C2866" w:rsidRPr="002B3180">
        <w:rPr>
          <w:rFonts w:ascii="Cambria Math" w:eastAsia="MS PGothic" w:hAnsi="Cambria Math" w:cs="Cambria Math"/>
          <w:color w:val="000000"/>
          <w:sz w:val="22"/>
          <w:szCs w:val="22"/>
          <w:lang w:val="en-US" w:eastAsia="ja-JP"/>
        </w:rPr>
        <w:t>℃</w:t>
      </w:r>
      <w:r w:rsidR="005436F2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 </w:t>
      </w:r>
      <w:r w:rsidR="009C286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 days</w:t>
      </w:r>
      <w:r w:rsidR="005436F2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9C286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The membranes were characterized by XRD and FE-SEM. 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The single gas permeance of N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, CO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, and CH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4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for the CHA membranes were measured at </w:t>
      </w:r>
      <w:r w:rsidR="003C232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4</w:t>
      </w:r>
      <w:r w:rsidR="003C2329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0 </w:t>
      </w:r>
      <w:r w:rsidR="003C2329" w:rsidRPr="002B3180">
        <w:rPr>
          <w:rFonts w:ascii="Cambria Math" w:eastAsia="MS PGothic" w:hAnsi="Cambria Math" w:cs="Cambria Math"/>
          <w:color w:val="000000"/>
          <w:sz w:val="22"/>
          <w:szCs w:val="22"/>
          <w:lang w:val="en-US" w:eastAsia="ja-JP"/>
        </w:rPr>
        <w:t>℃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. </w:t>
      </w:r>
      <w:r w:rsidR="009C286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Gas separation properties for the membranes were confirmed </w:t>
      </w:r>
      <w:r w:rsidR="009C2866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lastRenderedPageBreak/>
        <w:t>b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y </w:t>
      </w:r>
      <w:r w:rsidR="0089352E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t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he gas permeance (mol</w:t>
      </w:r>
      <w:r w:rsidR="006A6D2C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m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 w:eastAsia="ja-JP"/>
        </w:rPr>
        <w:t>−2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s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 w:eastAsia="ja-JP"/>
        </w:rPr>
        <w:t>−1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Pa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 w:eastAsia="ja-JP"/>
        </w:rPr>
        <w:t>−1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) </w:t>
      </w:r>
      <w:r w:rsidR="0089352E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which </w:t>
      </w:r>
      <w:r w:rsidR="0065295F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was calculated as the permeate flow rate of each gas divided by the partial pressure difference and membrane area.</w:t>
      </w:r>
    </w:p>
    <w:p w:rsidR="00704BDF" w:rsidRPr="008D0BEB" w:rsidRDefault="002B3180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 w:rsidRPr="002B3180">
        <w:rPr>
          <w:rFonts w:asciiTheme="minorHAnsi" w:hAnsiTheme="minorHAnsi" w:cs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3B26BFC">
            <wp:simplePos x="0" y="0"/>
            <wp:positionH relativeFrom="column">
              <wp:posOffset>2112583</wp:posOffset>
            </wp:positionH>
            <wp:positionV relativeFrom="paragraph">
              <wp:posOffset>257953</wp:posOffset>
            </wp:positionV>
            <wp:extent cx="1702435" cy="205740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9783"/>
                    <a:stretch/>
                  </pic:blipFill>
                  <pic:spPr bwMode="auto">
                    <a:xfrm>
                      <a:off x="0" y="0"/>
                      <a:ext cx="17024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ja-JP"/>
        </w:rPr>
        <w:t>3. Results and discussion</w:t>
      </w:r>
    </w:p>
    <w:p w:rsidR="00CE4905" w:rsidRPr="002B3180" w:rsidRDefault="002B3180" w:rsidP="00A7731D">
      <w:pPr>
        <w:ind w:firstLine="184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2B3180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80358" wp14:editId="31B508D5">
                <wp:simplePos x="0" y="0"/>
                <wp:positionH relativeFrom="column">
                  <wp:posOffset>4037473</wp:posOffset>
                </wp:positionH>
                <wp:positionV relativeFrom="paragraph">
                  <wp:posOffset>1458247</wp:posOffset>
                </wp:positionV>
                <wp:extent cx="1504315" cy="50144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01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37F4" w:rsidRPr="005D37F4" w:rsidRDefault="005D37F4" w:rsidP="005D37F4">
                            <w:pPr>
                              <w:rPr>
                                <w:rFonts w:ascii="MS Mincho" w:eastAsia="MS Mincho" w:hAnsi="MS Mincho" w:cs="MS Mincho"/>
                                <w:lang w:val="en-US"/>
                              </w:rPr>
                            </w:pPr>
                            <w:r w:rsidRPr="005D37F4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Fig.</w:t>
                            </w:r>
                            <w:r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2</w:t>
                            </w:r>
                            <w:r w:rsidRPr="005D37F4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lang w:val="en-US" w:eastAsia="ja-JP"/>
                              </w:rPr>
                              <w:t xml:space="preserve">FE-SEM image of CHA membrane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480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7.9pt;margin-top:114.8pt;width:118.4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" filled="f" stroked="f" strokeweight=".5pt">
                <v:textbox>
                  <w:txbxContent>
                    <w:p w:rsidR="005D37F4" w:rsidRPr="005D37F4" w:rsidRDefault="005D37F4" w:rsidP="005D37F4">
                      <w:pPr>
                        <w:rPr>
                          <w:rFonts w:ascii="ＭＳ 明朝" w:eastAsia="ＭＳ 明朝" w:hAnsi="ＭＳ 明朝" w:cs="ＭＳ 明朝"/>
                          <w:lang w:val="en-US"/>
                        </w:rPr>
                      </w:pPr>
                      <w:r w:rsidRPr="005D37F4">
                        <w:rPr>
                          <w:rFonts w:asciiTheme="minorHAnsi" w:hAnsiTheme="minorHAnsi" w:cstheme="minorHAnsi"/>
                          <w:lang w:eastAsia="ja-JP"/>
                        </w:rPr>
                        <w:t>Fig.</w:t>
                      </w:r>
                      <w:r>
                        <w:rPr>
                          <w:rFonts w:asciiTheme="minorHAnsi" w:hAnsiTheme="minorHAnsi" w:cstheme="minorHAnsi"/>
                          <w:lang w:eastAsia="ja-JP"/>
                        </w:rPr>
                        <w:t>2</w:t>
                      </w:r>
                      <w:r w:rsidRPr="005D37F4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HAnsi" w:eastAsia="ＭＳ 明朝" w:hAnsiTheme="minorHAnsi" w:cstheme="minorHAnsi"/>
                          <w:lang w:val="en-US" w:eastAsia="ja-JP"/>
                        </w:rPr>
                        <w:t>FE-SEM image</w:t>
                      </w:r>
                      <w:r>
                        <w:rPr>
                          <w:rFonts w:asciiTheme="minorHAnsi" w:eastAsia="ＭＳ 明朝" w:hAnsiTheme="minorHAnsi" w:cstheme="minorHAnsi"/>
                          <w:lang w:val="en-US" w:eastAsia="ja-JP"/>
                        </w:rPr>
                        <w:t xml:space="preserve"> of CHA membrane </w:t>
                      </w:r>
                    </w:p>
                  </w:txbxContent>
                </v:textbox>
              </v:shape>
            </w:pict>
          </mc:Fallback>
        </mc:AlternateContent>
      </w:r>
      <w:r w:rsidRPr="002B3180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2030628</wp:posOffset>
                </wp:positionH>
                <wp:positionV relativeFrom="paragraph">
                  <wp:posOffset>1618717</wp:posOffset>
                </wp:positionV>
                <wp:extent cx="1865671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71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37F4" w:rsidRPr="005D37F4" w:rsidRDefault="005D37F4">
                            <w:pPr>
                              <w:rPr>
                                <w:rFonts w:ascii="MS Mincho" w:eastAsia="MS Mincho" w:hAnsi="MS Mincho" w:cs="MS Mincho"/>
                                <w:lang w:val="en-US"/>
                              </w:rPr>
                            </w:pPr>
                            <w:r w:rsidRPr="005D37F4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Fig.1 </w:t>
                            </w:r>
                            <w:r w:rsidRPr="005D37F4">
                              <w:rPr>
                                <w:rFonts w:asciiTheme="minorHAnsi" w:eastAsia="MS Mincho" w:hAnsiTheme="minorHAnsi" w:cstheme="minorHAnsi"/>
                                <w:lang w:val="en-US" w:eastAsia="ja-JP"/>
                              </w:rPr>
                              <w:t>XRD patterns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lang w:val="en-US" w:eastAsia="ja-JP"/>
                              </w:rPr>
                              <w:t xml:space="preserve"> of (a) CHA membrane and (b) CHA seed crystal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" o:spid="_x0000_s1027" type="#_x0000_t202" style="position:absolute;left:0;text-align:left;margin-left:159.9pt;margin-top:127.45pt;width:146.9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" filled="f" stroked="f" strokeweight=".5pt">
                <v:textbox>
                  <w:txbxContent>
                    <w:p w:rsidR="005D37F4" w:rsidRPr="005D37F4" w:rsidRDefault="005D37F4">
                      <w:pPr>
                        <w:rPr>
                          <w:rFonts w:ascii="ＭＳ 明朝" w:eastAsia="ＭＳ 明朝" w:hAnsi="ＭＳ 明朝" w:cs="ＭＳ 明朝"/>
                          <w:lang w:val="en-US"/>
                        </w:rPr>
                      </w:pPr>
                      <w:r w:rsidRPr="005D37F4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Fig.1 </w:t>
                      </w:r>
                      <w:r w:rsidRPr="005D37F4">
                        <w:rPr>
                          <w:rFonts w:asciiTheme="minorHAnsi" w:eastAsia="ＭＳ 明朝" w:hAnsiTheme="minorHAnsi" w:cstheme="minorHAnsi"/>
                          <w:lang w:val="en-US" w:eastAsia="ja-JP"/>
                        </w:rPr>
                        <w:t>XRD patterns</w:t>
                      </w:r>
                      <w:r>
                        <w:rPr>
                          <w:rFonts w:asciiTheme="minorHAnsi" w:eastAsia="ＭＳ 明朝" w:hAnsiTheme="minorHAnsi" w:cstheme="minorHAnsi"/>
                          <w:lang w:val="en-US" w:eastAsia="ja-JP"/>
                        </w:rPr>
                        <w:t xml:space="preserve"> of (a) CHA membrane and (b) CHA seed crystal</w:t>
                      </w:r>
                    </w:p>
                  </w:txbxContent>
                </v:textbox>
              </v:shape>
            </w:pict>
          </mc:Fallback>
        </mc:AlternateContent>
      </w:r>
      <w:r w:rsidRPr="002B3180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5A42ACF">
            <wp:simplePos x="0" y="0"/>
            <wp:positionH relativeFrom="column">
              <wp:posOffset>3934070</wp:posOffset>
            </wp:positionH>
            <wp:positionV relativeFrom="paragraph">
              <wp:posOffset>130564</wp:posOffset>
            </wp:positionV>
            <wp:extent cx="1680845" cy="183578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5453"/>
                    <a:stretch/>
                  </pic:blipFill>
                  <pic:spPr bwMode="auto">
                    <a:xfrm>
                      <a:off x="0" y="0"/>
                      <a:ext cx="1680845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905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Fig. 1 shows XRD patterns of the CHA membranes prepared by TEAOH. The peaks at 2θ=9.4°, 20.5°, and 30.4° correspond to (1 0 0), (2 0−1), and (3−1−1) planes of the CHA-type zeolite and large peaks appearing at 2θ=35.2°, 37.9°, and 43.2° are related to the α-alumina support. Typical peaks positions of the FAU-type zeolite (2θ=6.8°, 11.9°, and 15.6°) were not observed. This result indicates that a CHA type zeolite layer was successfully formed on the surface of the α-alumina support by using TEAOH. Fig. 2 shows cross-sectional FE-SEM images of the CHA membrane. The thickness of the polycrystalline zeolite layer was ca. 10 </w:t>
      </w:r>
      <w:proofErr w:type="spellStart"/>
      <w:r w:rsidR="00CE4905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μm</w:t>
      </w:r>
      <w:proofErr w:type="spellEnd"/>
      <w:r w:rsidR="00CE4905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CE4905" w:rsidRPr="002B3180" w:rsidRDefault="00CE4905" w:rsidP="00CE4905">
      <w:pPr>
        <w:ind w:firstLine="184"/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</w:pP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Table 1 shows the comparison of gas permeation properties for CHA membranes prepared using TEAOH and TMAdaOH [1]. 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The CHA membrane of TEAOH showed the two-fold CO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permeance than that of TMAdaOH with the similar CO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/CH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4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selectivity. Generally, the permeance is proportional to the reciprocal of the membrane thickness. The thickness of the CHA membrane of TMAdaOH</w:t>
      </w:r>
      <w:r w:rsidR="001438EE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reported to be</w:t>
      </w:r>
      <w:r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about </w:t>
      </w:r>
      <w:r w:rsidR="007F25D1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3.0 mm</w:t>
      </w:r>
      <w:r w:rsidR="00A7731D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. Therefore, the increase of CO</w:t>
      </w:r>
      <w:r w:rsidR="00A7731D" w:rsidRPr="002B318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 w:eastAsia="ja-JP"/>
        </w:rPr>
        <w:t>2</w:t>
      </w:r>
      <w:r w:rsidR="00A7731D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 xml:space="preserve"> permeance by using TEAOH is not due to the membrane thickness. This reason might be the differences of pore structure caused by OSDAs</w:t>
      </w:r>
      <w:r w:rsidR="00A7731D" w:rsidRPr="002B3180">
        <w:rPr>
          <w:rFonts w:asciiTheme="minorHAnsi" w:eastAsia="MS PGothic" w:hAnsiTheme="minorHAnsi" w:cstheme="minorHAnsi"/>
          <w:color w:val="000000"/>
          <w:sz w:val="22"/>
          <w:szCs w:val="22"/>
          <w:lang w:val="en-US" w:eastAsia="ja-JP"/>
        </w:rPr>
        <w:t>．</w:t>
      </w:r>
    </w:p>
    <w:p w:rsidR="008901DE" w:rsidRDefault="00CE4905" w:rsidP="00A7731D">
      <w:pPr>
        <w:ind w:firstLine="184"/>
        <w:rPr>
          <w:rFonts w:eastAsia="MS Mincho"/>
          <w:sz w:val="20"/>
          <w:lang w:eastAsia="ja-JP"/>
        </w:rPr>
      </w:pPr>
      <w:r>
        <w:rPr>
          <w:rFonts w:eastAsia="MS Mincho"/>
          <w:sz w:val="20"/>
          <w:lang w:eastAsia="ja-JP"/>
        </w:rPr>
        <w:t xml:space="preserve"> </w:t>
      </w:r>
    </w:p>
    <w:p w:rsidR="005D37F4" w:rsidRPr="002B3180" w:rsidRDefault="002B3180" w:rsidP="002B3180">
      <w:pPr>
        <w:ind w:firstLineChars="450" w:firstLine="810"/>
        <w:rPr>
          <w:rFonts w:asciiTheme="minorHAnsi" w:eastAsia="MS Mincho" w:hAnsiTheme="minorHAnsi" w:cstheme="minorHAnsi"/>
          <w:szCs w:val="18"/>
          <w:lang w:eastAsia="ja-JP"/>
        </w:rPr>
      </w:pPr>
      <w:r w:rsidRPr="002B3180">
        <w:rPr>
          <w:rFonts w:asciiTheme="minorHAnsi" w:eastAsia="MS Mincho" w:hAnsiTheme="minorHAnsi" w:cstheme="minorHAnsi"/>
          <w:szCs w:val="18"/>
          <w:lang w:eastAsia="ja-JP"/>
        </w:rPr>
        <w:t>Table1 Gas permeances and selectivity of CHA membranes prepared using TEAOH and TMAdaOH</w:t>
      </w:r>
    </w:p>
    <w:tbl>
      <w:tblPr>
        <w:tblW w:w="6804" w:type="dxa"/>
        <w:tblInd w:w="8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7"/>
        <w:gridCol w:w="1282"/>
        <w:gridCol w:w="295"/>
        <w:gridCol w:w="1360"/>
        <w:gridCol w:w="1580"/>
      </w:tblGrid>
      <w:tr w:rsidR="007C79AD" w:rsidRPr="007C79AD" w:rsidTr="002B3180">
        <w:trPr>
          <w:trHeight w:val="564"/>
        </w:trPr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Membrane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TEAOH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TMAdaOH</w:t>
            </w:r>
            <w:r w:rsidR="00CE4905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 xml:space="preserve"> [1]</w:t>
            </w:r>
          </w:p>
        </w:tc>
      </w:tr>
      <w:tr w:rsidR="007C79AD" w:rsidRPr="007C79AD" w:rsidTr="002B3180">
        <w:trPr>
          <w:trHeight w:val="414"/>
        </w:trPr>
        <w:tc>
          <w:tcPr>
            <w:tcW w:w="2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Permeance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br/>
              <w:t>[ mol m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-2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 xml:space="preserve"> s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-1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 xml:space="preserve"> Pa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-1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]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CO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bscript"/>
                <w:lang w:val="en-US" w:eastAsia="ja-JP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3.5×10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1.7×10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-6</w:t>
            </w:r>
          </w:p>
        </w:tc>
      </w:tr>
      <w:tr w:rsidR="007C79AD" w:rsidRPr="007C79AD" w:rsidTr="002B3180">
        <w:trPr>
          <w:trHeight w:val="414"/>
        </w:trPr>
        <w:tc>
          <w:tcPr>
            <w:tcW w:w="2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N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bscript"/>
                <w:lang w:val="en-US" w:eastAsia="ja-JP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3.4×10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1.2×10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-7</w:t>
            </w:r>
          </w:p>
        </w:tc>
      </w:tr>
      <w:tr w:rsidR="007C79AD" w:rsidRPr="007C79AD" w:rsidTr="002B3180">
        <w:trPr>
          <w:trHeight w:val="414"/>
        </w:trPr>
        <w:tc>
          <w:tcPr>
            <w:tcW w:w="2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CH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bscript"/>
                <w:lang w:val="en-US" w:eastAsia="ja-JP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3.6×10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1.8×10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perscript"/>
                <w:lang w:val="en-US" w:eastAsia="ja-JP"/>
              </w:rPr>
              <w:t>-8</w:t>
            </w:r>
          </w:p>
        </w:tc>
      </w:tr>
      <w:tr w:rsidR="007C79AD" w:rsidRPr="007C79AD" w:rsidTr="002B3180">
        <w:trPr>
          <w:trHeight w:val="564"/>
        </w:trPr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Selectivity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br/>
              <w:t>[-]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CO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bscript"/>
                <w:lang w:val="en-US" w:eastAsia="ja-JP"/>
              </w:rPr>
              <w:t>2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/CH</w:t>
            </w: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vertAlign w:val="subscript"/>
                <w:lang w:val="en-US" w:eastAsia="ja-JP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9AD" w:rsidRPr="007C79AD" w:rsidRDefault="007C79AD" w:rsidP="002B3180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7C79AD">
              <w:rPr>
                <w:rFonts w:ascii="Calibri" w:eastAsia="MS PGothic" w:hAnsi="Calibri" w:cs="Calibri"/>
                <w:color w:val="000000"/>
                <w:sz w:val="22"/>
                <w:szCs w:val="22"/>
                <w:lang w:val="en-US" w:eastAsia="ja-JP"/>
              </w:rPr>
              <w:t>98</w:t>
            </w:r>
          </w:p>
        </w:tc>
      </w:tr>
    </w:tbl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F77ABC" w:rsidRDefault="00F77AB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this study, </w:t>
      </w:r>
      <w:r w:rsidR="008935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high-silica CHA-type zeolite membrane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synthesized on </w:t>
      </w:r>
      <w:r w:rsidR="008935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α-alumina support tube 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TEAOH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OSDA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membrane showed </w:t>
      </w:r>
      <w:r w:rsidR="008935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excellent separation performance for CO</w:t>
      </w:r>
      <w:r w:rsidRPr="00F77AB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Pr="00F77AB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4 </w:t>
      </w:r>
      <w:r w:rsidRPr="00F77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704BDF" w:rsidRPr="00CA5991" w:rsidRDefault="0096281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A5991">
        <w:rPr>
          <w:rFonts w:asciiTheme="minorHAnsi" w:hAnsiTheme="minorHAnsi"/>
          <w:color w:val="000000"/>
          <w:lang w:val="da-DK" w:eastAsia="ja-JP"/>
        </w:rPr>
        <w:t>S</w:t>
      </w:r>
      <w:r w:rsidRPr="00CA5991">
        <w:rPr>
          <w:rFonts w:asciiTheme="minorHAnsi" w:hAnsiTheme="minorHAnsi"/>
          <w:color w:val="000000"/>
          <w:lang w:val="da-DK"/>
        </w:rPr>
        <w:t>. Imasaka</w:t>
      </w:r>
      <w:r w:rsidR="00CA5991" w:rsidRPr="00CA5991">
        <w:rPr>
          <w:rFonts w:asciiTheme="minorHAnsi" w:hAnsiTheme="minorHAnsi"/>
          <w:color w:val="000000"/>
          <w:lang w:val="da-DK"/>
        </w:rPr>
        <w:t xml:space="preserve"> et al., Sep. </w:t>
      </w:r>
      <w:proofErr w:type="spellStart"/>
      <w:r w:rsidR="00CA5991" w:rsidRPr="00CA5991">
        <w:rPr>
          <w:rFonts w:asciiTheme="minorHAnsi" w:hAnsiTheme="minorHAnsi"/>
          <w:color w:val="000000"/>
        </w:rPr>
        <w:t>Purif</w:t>
      </w:r>
      <w:proofErr w:type="spellEnd"/>
      <w:r w:rsidR="00CA5991" w:rsidRPr="00CA5991">
        <w:rPr>
          <w:rFonts w:asciiTheme="minorHAnsi" w:hAnsiTheme="minorHAnsi"/>
          <w:color w:val="000000"/>
        </w:rPr>
        <w:t>. Technol.</w:t>
      </w:r>
      <w:r w:rsidR="00704BDF" w:rsidRPr="00CA5991">
        <w:rPr>
          <w:rFonts w:asciiTheme="minorHAnsi" w:hAnsiTheme="minorHAnsi"/>
          <w:color w:val="000000"/>
        </w:rPr>
        <w:t xml:space="preserve"> </w:t>
      </w:r>
      <w:r w:rsidR="00CA5991">
        <w:rPr>
          <w:rFonts w:asciiTheme="minorHAnsi" w:hAnsiTheme="minorHAnsi"/>
          <w:color w:val="000000"/>
        </w:rPr>
        <w:t>199</w:t>
      </w:r>
      <w:r w:rsidR="00704BDF" w:rsidRPr="00CA5991">
        <w:rPr>
          <w:rFonts w:asciiTheme="minorHAnsi" w:hAnsiTheme="minorHAnsi"/>
          <w:color w:val="000000"/>
        </w:rPr>
        <w:t xml:space="preserve"> (201</w:t>
      </w:r>
      <w:r w:rsidR="00CA5991">
        <w:rPr>
          <w:rFonts w:asciiTheme="minorHAnsi" w:hAnsiTheme="minorHAnsi"/>
          <w:color w:val="000000"/>
        </w:rPr>
        <w:t>8</w:t>
      </w:r>
      <w:r w:rsidR="00704BDF" w:rsidRPr="00CA5991">
        <w:rPr>
          <w:rFonts w:asciiTheme="minorHAnsi" w:hAnsiTheme="minorHAnsi"/>
          <w:color w:val="000000"/>
        </w:rPr>
        <w:t xml:space="preserve">) </w:t>
      </w:r>
      <w:r w:rsidR="00CA5991">
        <w:rPr>
          <w:rFonts w:asciiTheme="minorHAnsi" w:hAnsiTheme="minorHAnsi"/>
          <w:color w:val="000000"/>
        </w:rPr>
        <w:t>298-303</w:t>
      </w:r>
      <w:r w:rsidR="00704BDF" w:rsidRPr="00CA5991">
        <w:rPr>
          <w:rFonts w:asciiTheme="minorHAnsi" w:hAnsiTheme="minorHAnsi"/>
          <w:color w:val="000000"/>
        </w:rPr>
        <w:t>.</w:t>
      </w:r>
    </w:p>
    <w:p w:rsidR="00704BDF" w:rsidRPr="008D0BEB" w:rsidRDefault="0096281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62812">
        <w:rPr>
          <w:rFonts w:asciiTheme="minorHAnsi" w:hAnsiTheme="minorHAnsi"/>
          <w:color w:val="000000"/>
          <w:lang w:val="da-DK"/>
        </w:rPr>
        <w:t xml:space="preserve">N. Kosinov et al. , J. Mater. </w:t>
      </w:r>
      <w:r w:rsidRPr="00962812">
        <w:rPr>
          <w:rFonts w:asciiTheme="minorHAnsi" w:hAnsiTheme="minorHAnsi"/>
          <w:color w:val="000000"/>
        </w:rPr>
        <w:t>Chem. A, 2 (2014)</w:t>
      </w:r>
      <w:r w:rsidR="00CA5991" w:rsidRPr="00CA5991">
        <w:rPr>
          <w:rFonts w:asciiTheme="minorHAnsi" w:hAnsiTheme="minorHAnsi"/>
          <w:color w:val="000000"/>
        </w:rPr>
        <w:t xml:space="preserve"> </w:t>
      </w:r>
      <w:r w:rsidR="00CA5991" w:rsidRPr="00962812">
        <w:rPr>
          <w:rFonts w:asciiTheme="minorHAnsi" w:hAnsiTheme="minorHAnsi"/>
          <w:color w:val="000000"/>
        </w:rPr>
        <w:t>13083-13092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B2" w:rsidRDefault="00481DB2" w:rsidP="004F5E36">
      <w:r>
        <w:separator/>
      </w:r>
    </w:p>
  </w:endnote>
  <w:endnote w:type="continuationSeparator" w:id="0">
    <w:p w:rsidR="00481DB2" w:rsidRDefault="00481DB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B2" w:rsidRDefault="00481DB2" w:rsidP="004F5E36">
      <w:r>
        <w:separator/>
      </w:r>
    </w:p>
  </w:footnote>
  <w:footnote w:type="continuationSeparator" w:id="0">
    <w:p w:rsidR="00481DB2" w:rsidRDefault="00481DB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14C775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8988CA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5B57"/>
    <w:rsid w:val="000363B8"/>
    <w:rsid w:val="00062A9A"/>
    <w:rsid w:val="00073D68"/>
    <w:rsid w:val="0009660C"/>
    <w:rsid w:val="000A03B2"/>
    <w:rsid w:val="000C4D7B"/>
    <w:rsid w:val="000D34BE"/>
    <w:rsid w:val="000E36F1"/>
    <w:rsid w:val="000E3A73"/>
    <w:rsid w:val="000E414A"/>
    <w:rsid w:val="00117D87"/>
    <w:rsid w:val="0013121F"/>
    <w:rsid w:val="00134DE4"/>
    <w:rsid w:val="001438EE"/>
    <w:rsid w:val="00150E59"/>
    <w:rsid w:val="00184AD6"/>
    <w:rsid w:val="001B65C1"/>
    <w:rsid w:val="001C297B"/>
    <w:rsid w:val="001C684B"/>
    <w:rsid w:val="001D53FC"/>
    <w:rsid w:val="001F2EC7"/>
    <w:rsid w:val="002065DB"/>
    <w:rsid w:val="002447EF"/>
    <w:rsid w:val="00251550"/>
    <w:rsid w:val="0027221A"/>
    <w:rsid w:val="00275B61"/>
    <w:rsid w:val="002B3180"/>
    <w:rsid w:val="002D1F12"/>
    <w:rsid w:val="002D2297"/>
    <w:rsid w:val="003009B7"/>
    <w:rsid w:val="0030469C"/>
    <w:rsid w:val="00324053"/>
    <w:rsid w:val="003723D4"/>
    <w:rsid w:val="0039404B"/>
    <w:rsid w:val="003A7D1C"/>
    <w:rsid w:val="003B785D"/>
    <w:rsid w:val="003C1693"/>
    <w:rsid w:val="003C2329"/>
    <w:rsid w:val="003D1901"/>
    <w:rsid w:val="0046164A"/>
    <w:rsid w:val="00462DCD"/>
    <w:rsid w:val="00481DB2"/>
    <w:rsid w:val="004D1162"/>
    <w:rsid w:val="004E4DD6"/>
    <w:rsid w:val="004F5E36"/>
    <w:rsid w:val="005119A5"/>
    <w:rsid w:val="005278B7"/>
    <w:rsid w:val="00530396"/>
    <w:rsid w:val="005346C8"/>
    <w:rsid w:val="005436F2"/>
    <w:rsid w:val="00560F4E"/>
    <w:rsid w:val="00594E9F"/>
    <w:rsid w:val="005B61E6"/>
    <w:rsid w:val="005C77E1"/>
    <w:rsid w:val="005D37F4"/>
    <w:rsid w:val="005D6A2F"/>
    <w:rsid w:val="005E1A82"/>
    <w:rsid w:val="005E6901"/>
    <w:rsid w:val="005F0A28"/>
    <w:rsid w:val="005F0E5E"/>
    <w:rsid w:val="00620DEE"/>
    <w:rsid w:val="00625639"/>
    <w:rsid w:val="0064184D"/>
    <w:rsid w:val="0065295F"/>
    <w:rsid w:val="00660E3E"/>
    <w:rsid w:val="00662E74"/>
    <w:rsid w:val="006A58D2"/>
    <w:rsid w:val="006A6D2C"/>
    <w:rsid w:val="006C5579"/>
    <w:rsid w:val="006D74B8"/>
    <w:rsid w:val="00704BDF"/>
    <w:rsid w:val="0073237E"/>
    <w:rsid w:val="00736B13"/>
    <w:rsid w:val="007447F3"/>
    <w:rsid w:val="007661C8"/>
    <w:rsid w:val="007C79AD"/>
    <w:rsid w:val="007D52CD"/>
    <w:rsid w:val="007F25D1"/>
    <w:rsid w:val="00813288"/>
    <w:rsid w:val="008168FC"/>
    <w:rsid w:val="008479A2"/>
    <w:rsid w:val="008747EC"/>
    <w:rsid w:val="0087637F"/>
    <w:rsid w:val="008901DE"/>
    <w:rsid w:val="0089352E"/>
    <w:rsid w:val="008A1512"/>
    <w:rsid w:val="008A2934"/>
    <w:rsid w:val="008D0BEB"/>
    <w:rsid w:val="008E566E"/>
    <w:rsid w:val="00901EB6"/>
    <w:rsid w:val="0090602A"/>
    <w:rsid w:val="009255DA"/>
    <w:rsid w:val="009450CE"/>
    <w:rsid w:val="009474F2"/>
    <w:rsid w:val="0095164B"/>
    <w:rsid w:val="00962812"/>
    <w:rsid w:val="009947A2"/>
    <w:rsid w:val="00996483"/>
    <w:rsid w:val="009C2866"/>
    <w:rsid w:val="009D59C1"/>
    <w:rsid w:val="009E788A"/>
    <w:rsid w:val="00A1763D"/>
    <w:rsid w:val="00A17CEC"/>
    <w:rsid w:val="00A27EF0"/>
    <w:rsid w:val="00A76EFC"/>
    <w:rsid w:val="00A7731D"/>
    <w:rsid w:val="00A9626B"/>
    <w:rsid w:val="00A97F29"/>
    <w:rsid w:val="00AB0964"/>
    <w:rsid w:val="00AE377D"/>
    <w:rsid w:val="00B53EB0"/>
    <w:rsid w:val="00B61DBF"/>
    <w:rsid w:val="00B84440"/>
    <w:rsid w:val="00BC30C9"/>
    <w:rsid w:val="00BE3E58"/>
    <w:rsid w:val="00C01616"/>
    <w:rsid w:val="00C0162B"/>
    <w:rsid w:val="00C33E05"/>
    <w:rsid w:val="00C345B1"/>
    <w:rsid w:val="00C40142"/>
    <w:rsid w:val="00C57182"/>
    <w:rsid w:val="00C61D3C"/>
    <w:rsid w:val="00C655FD"/>
    <w:rsid w:val="00C867B1"/>
    <w:rsid w:val="00C94434"/>
    <w:rsid w:val="00C97F1B"/>
    <w:rsid w:val="00CA1C95"/>
    <w:rsid w:val="00CA5991"/>
    <w:rsid w:val="00CA5A9C"/>
    <w:rsid w:val="00CD5FE2"/>
    <w:rsid w:val="00CE4905"/>
    <w:rsid w:val="00CF4A96"/>
    <w:rsid w:val="00D02B4C"/>
    <w:rsid w:val="00D36B0B"/>
    <w:rsid w:val="00D74A4A"/>
    <w:rsid w:val="00D77372"/>
    <w:rsid w:val="00D84576"/>
    <w:rsid w:val="00DE0019"/>
    <w:rsid w:val="00DE264A"/>
    <w:rsid w:val="00E041E7"/>
    <w:rsid w:val="00E23CA1"/>
    <w:rsid w:val="00E409A8"/>
    <w:rsid w:val="00E47732"/>
    <w:rsid w:val="00E7209D"/>
    <w:rsid w:val="00EA1D7F"/>
    <w:rsid w:val="00EA4979"/>
    <w:rsid w:val="00EA50E1"/>
    <w:rsid w:val="00EC1796"/>
    <w:rsid w:val="00EE0131"/>
    <w:rsid w:val="00F30C64"/>
    <w:rsid w:val="00F6799F"/>
    <w:rsid w:val="00F77ABC"/>
    <w:rsid w:val="00FB6AD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docId w15:val="{9761DBFB-91BE-A845-8375-D42FA4D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AC0C-F7A1-47AC-B79F-845189C6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manuela</cp:lastModifiedBy>
  <cp:revision>2</cp:revision>
  <cp:lastPrinted>2015-05-12T18:31:00Z</cp:lastPrinted>
  <dcterms:created xsi:type="dcterms:W3CDTF">2019-02-26T09:38:00Z</dcterms:created>
  <dcterms:modified xsi:type="dcterms:W3CDTF">2019-02-26T09:38:00Z</dcterms:modified>
</cp:coreProperties>
</file>