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31ADD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52A452F" w14:textId="77777777" w:rsidR="00704BDF" w:rsidRPr="00B71D2F" w:rsidRDefault="00B71D2F" w:rsidP="00B71D2F">
      <w:pPr>
        <w:snapToGrid w:val="0"/>
        <w:spacing w:after="360"/>
        <w:rPr>
          <w:rFonts w:asciiTheme="minorHAnsi" w:eastAsia="MS PGothic" w:hAnsiTheme="minorHAnsi"/>
          <w:b/>
          <w:bCs/>
          <w:spacing w:val="-4"/>
          <w:sz w:val="28"/>
          <w:szCs w:val="28"/>
          <w:lang w:val="en-US" w:eastAsia="ja-JP"/>
        </w:rPr>
      </w:pPr>
      <w:r w:rsidRPr="00B71D2F">
        <w:rPr>
          <w:rFonts w:asciiTheme="minorHAnsi" w:eastAsia="MS PGothic" w:hAnsiTheme="minorHAnsi"/>
          <w:b/>
          <w:bCs/>
          <w:spacing w:val="-4"/>
          <w:sz w:val="28"/>
          <w:szCs w:val="28"/>
          <w:lang w:val="en-US" w:eastAsia="ja-JP"/>
        </w:rPr>
        <w:t xml:space="preserve">Development of organic solvent nanofiltration membrane with high durability </w:t>
      </w:r>
    </w:p>
    <w:p w14:paraId="51ACFF0E" w14:textId="1BD85878" w:rsidR="009255E4" w:rsidRDefault="009255E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Masanobu Nakata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Hideki Yamamoto</w:t>
      </w:r>
      <w:r w:rsidR="00221977" w:rsidRPr="0022197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F4F40">
        <w:rPr>
          <w:rFonts w:eastAsia="SimSun"/>
          <w:color w:val="000000"/>
          <w:lang w:val="en-US" w:eastAsia="zh-CN"/>
        </w:rPr>
        <w:t xml:space="preserve">, </w:t>
      </w:r>
      <w:r w:rsidR="001F4F40" w:rsidRPr="001F4F40">
        <w:rPr>
          <w:rFonts w:eastAsia="SimSun"/>
          <w:color w:val="000000"/>
          <w:sz w:val="21"/>
          <w:u w:val="single"/>
          <w:lang w:val="en-US" w:eastAsia="zh-CN"/>
        </w:rPr>
        <w:t>Sadao Araki</w:t>
      </w:r>
      <w:r w:rsidR="00221977" w:rsidRPr="00221977">
        <w:rPr>
          <w:rFonts w:eastAsia="SimSun"/>
          <w:color w:val="000000"/>
          <w:sz w:val="21"/>
          <w:u w:val="single"/>
          <w:vertAlign w:val="superscript"/>
          <w:lang w:val="en-US" w:eastAsia="zh-CN"/>
        </w:rPr>
        <w:t>1</w:t>
      </w:r>
      <w:r w:rsidR="00221977">
        <w:rPr>
          <w:rFonts w:eastAsia="SimSun"/>
          <w:color w:val="000000"/>
          <w:sz w:val="21"/>
          <w:u w:val="single"/>
          <w:lang w:val="en-US" w:eastAsia="zh-CN"/>
        </w:rPr>
        <w:t>*</w:t>
      </w:r>
    </w:p>
    <w:p w14:paraId="521FC811" w14:textId="77777777" w:rsidR="00221977" w:rsidRPr="001C297B" w:rsidRDefault="00221977" w:rsidP="00221977">
      <w:pPr>
        <w:snapToGrid w:val="0"/>
        <w:spacing w:after="120"/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Kansai University, Department of Chemical, Energy and Environmental En</w:t>
      </w:r>
      <w:r w:rsidRPr="001C297B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gineering, </w:t>
      </w:r>
      <w:r w:rsidRPr="001C297B">
        <w:rPr>
          <w:rFonts w:asciiTheme="minorHAnsi" w:hAnsiTheme="minorHAnsi" w:cstheme="minorHAnsi"/>
          <w:i/>
          <w:sz w:val="20"/>
          <w:lang w:val="en-US"/>
        </w:rPr>
        <w:t xml:space="preserve">3-3-35 </w:t>
      </w:r>
      <w:proofErr w:type="spellStart"/>
      <w:r w:rsidRPr="001C297B">
        <w:rPr>
          <w:rFonts w:asciiTheme="minorHAnsi" w:hAnsiTheme="minorHAnsi" w:cstheme="minorHAnsi"/>
          <w:i/>
          <w:sz w:val="20"/>
          <w:lang w:val="en-US"/>
        </w:rPr>
        <w:t>Yamate-cho</w:t>
      </w:r>
      <w:proofErr w:type="spellEnd"/>
      <w:r w:rsidRPr="001C297B">
        <w:rPr>
          <w:rFonts w:asciiTheme="minorHAnsi" w:hAnsiTheme="minorHAnsi" w:cstheme="minorHAnsi"/>
          <w:i/>
          <w:sz w:val="20"/>
          <w:lang w:val="en-US"/>
        </w:rPr>
        <w:t>, Suita-</w:t>
      </w:r>
      <w:proofErr w:type="spellStart"/>
      <w:r w:rsidRPr="001C297B">
        <w:rPr>
          <w:rFonts w:asciiTheme="minorHAnsi" w:hAnsiTheme="minorHAnsi" w:cstheme="minorHAnsi"/>
          <w:i/>
          <w:sz w:val="20"/>
          <w:lang w:val="en-US"/>
        </w:rPr>
        <w:t>shi</w:t>
      </w:r>
      <w:proofErr w:type="spellEnd"/>
      <w:r w:rsidRPr="001C297B">
        <w:rPr>
          <w:rFonts w:asciiTheme="minorHAnsi" w:hAnsiTheme="minorHAnsi" w:cstheme="minorHAnsi"/>
          <w:i/>
          <w:sz w:val="20"/>
          <w:lang w:val="en-US"/>
        </w:rPr>
        <w:t>, Osaka 56</w:t>
      </w:r>
      <w:bookmarkStart w:id="0" w:name="_GoBack"/>
      <w:bookmarkEnd w:id="0"/>
      <w:r w:rsidRPr="001C297B">
        <w:rPr>
          <w:rFonts w:asciiTheme="minorHAnsi" w:hAnsiTheme="minorHAnsi" w:cstheme="minorHAnsi"/>
          <w:i/>
          <w:sz w:val="20"/>
          <w:lang w:val="en-US"/>
        </w:rPr>
        <w:t>4-8680 Japan</w:t>
      </w:r>
    </w:p>
    <w:p w14:paraId="4153DA43" w14:textId="77777777" w:rsidR="00704BDF" w:rsidRPr="009255E4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16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255E4" w:rsidRPr="009255E4">
        <w:rPr>
          <w:rFonts w:ascii="Calibri" w:hAnsi="Calibri"/>
          <w:i/>
          <w:color w:val="212121"/>
          <w:sz w:val="20"/>
          <w:szCs w:val="22"/>
          <w:shd w:val="clear" w:color="auto" w:fill="FFFFFF"/>
        </w:rPr>
        <w:t>araki_sa@kansai-u.ac.jp</w:t>
      </w:r>
    </w:p>
    <w:p w14:paraId="48E911F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063BBA0" w14:textId="77777777" w:rsidR="00704BDF" w:rsidRPr="00EC66CC" w:rsidRDefault="007A34D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succeeded in the preparation of silica membranes with hydrophobic functional groups. </w:t>
      </w:r>
    </w:p>
    <w:p w14:paraId="7D21C31C" w14:textId="77777777" w:rsidR="00704BDF" w:rsidRPr="00EC66CC" w:rsidRDefault="007A34D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prepared membrane showed higher durability than the previously reported polymeric membrane.</w:t>
      </w:r>
    </w:p>
    <w:p w14:paraId="281CCF9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454A2D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11FDF52" w14:textId="7A0373C8" w:rsidR="00EE6422" w:rsidRPr="000A2D1B" w:rsidRDefault="00EE6422" w:rsidP="00F903CC">
      <w:pPr>
        <w:snapToGrid w:val="0"/>
        <w:spacing w:after="120"/>
        <w:ind w:firstLineChars="50" w:firstLine="110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Many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nanofiltration membranes</w:t>
      </w:r>
      <w:r w:rsidR="00843349"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show the molecular </w:t>
      </w:r>
      <w:r w:rsidR="000F796E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weight</w:t>
      </w:r>
      <w:r w:rsidR="000F796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cut-off (MWCO) of 200-2000</w:t>
      </w:r>
      <w:r w:rsidR="00843349"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</w:t>
      </w:r>
      <w:r w:rsidR="00F76D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separation of water form aqueous solution</w:t>
      </w:r>
      <w:r w:rsidR="00F76D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Development of organic solvent nanofiltration (OSN) membrane</w:t>
      </w:r>
      <w:r w:rsidR="00843349" w:rsidRPr="000A2D1B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s</w:t>
      </w:r>
      <w:r w:rsidR="00843349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,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can permeate organic solvents</w:t>
      </w:r>
      <w:r w:rsidR="00843349"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desired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for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and recycling solvent</w:t>
      </w:r>
      <w:r w:rsidR="000E292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pharmaceuticals and petrochemical industries. This membrane technology can greatly reduce the waste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solvent</w:t>
      </w:r>
      <w:r w:rsidR="000E2922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need </w:t>
      </w:r>
      <w:r w:rsidR="00F903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multiple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steps and </w:t>
      </w:r>
      <w:r w:rsidR="00F903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associated 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cost</w:t>
      </w:r>
      <w:r w:rsidR="00843349"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polymeric membranes generally have a low durability for organic solvents. In this research, silica was used as a membrane material in order to improve the durability for organic solvents.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We investigated the effect of </w:t>
      </w:r>
      <w:r w:rsidR="005572C8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the type of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solute</w:t>
      </w:r>
      <w:r w:rsidR="005572C8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on the OSN performance of the silica membranes</w:t>
      </w:r>
      <w:r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.</w:t>
      </w:r>
      <w:r w:rsidR="00984CBB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 w:rsidR="00531EEB" w:rsidRPr="000A2D1B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In addition</w:t>
      </w:r>
      <w:r w:rsidR="00984CBB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, </w:t>
      </w:r>
      <w:r w:rsidR="00D3140C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short-time durability of the silica membrane</w:t>
      </w:r>
      <w:r w:rsidR="00984CBB" w:rsidRPr="000A2D1B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was confirmed.</w:t>
      </w:r>
    </w:p>
    <w:p w14:paraId="4C795D8F" w14:textId="6E501418" w:rsidR="00704BDF" w:rsidRPr="000A2D1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A2D1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707229E" w14:textId="77777777" w:rsidR="00704BDF" w:rsidRPr="000A2D1B" w:rsidRDefault="000605F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0A2D1B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 xml:space="preserve">Membrane preparation </w:t>
      </w:r>
    </w:p>
    <w:p w14:paraId="7EB74988" w14:textId="45121BC0" w:rsidR="00984CBB" w:rsidRPr="000A2D1B" w:rsidRDefault="00984CBB" w:rsidP="007334C8">
      <w:pPr>
        <w:ind w:firstLineChars="50" w:firstLine="110"/>
        <w:rPr>
          <w:rFonts w:asciiTheme="minorHAnsi" w:hAnsiTheme="minorHAnsi" w:cstheme="minorHAnsi"/>
          <w:sz w:val="22"/>
        </w:rPr>
      </w:pPr>
      <w:r w:rsidRPr="000A2D1B">
        <w:rPr>
          <w:rFonts w:asciiTheme="minorHAnsi" w:hAnsiTheme="minorHAnsi" w:cstheme="minorHAnsi"/>
          <w:sz w:val="22"/>
        </w:rPr>
        <w:t>Propyl-</w:t>
      </w:r>
      <w:proofErr w:type="spellStart"/>
      <w:r w:rsidRPr="000A2D1B">
        <w:rPr>
          <w:rFonts w:asciiTheme="minorHAnsi" w:hAnsiTheme="minorHAnsi" w:cstheme="minorHAnsi"/>
          <w:sz w:val="22"/>
        </w:rPr>
        <w:t>functionaized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 silica membranes (</w:t>
      </w:r>
      <w:proofErr w:type="spellStart"/>
      <w:r w:rsidRPr="000A2D1B">
        <w:rPr>
          <w:rFonts w:asciiTheme="minorHAnsi" w:hAnsiTheme="minorHAnsi" w:cstheme="minorHAnsi"/>
          <w:sz w:val="22"/>
        </w:rPr>
        <w:t>PrFS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 membranes) </w:t>
      </w:r>
      <w:r w:rsidRPr="000A2D1B">
        <w:rPr>
          <w:rFonts w:asciiTheme="minorHAnsi" w:eastAsiaTheme="minorEastAsia" w:hAnsiTheme="minorHAnsi" w:cstheme="minorHAnsi"/>
          <w:sz w:val="22"/>
          <w:lang w:eastAsia="ja-JP"/>
        </w:rPr>
        <w:t>were</w:t>
      </w:r>
      <w:r w:rsidR="00843349" w:rsidRPr="000A2D1B">
        <w:rPr>
          <w:rFonts w:asciiTheme="minorHAnsi" w:hAnsiTheme="minorHAnsi" w:cstheme="minorHAnsi"/>
          <w:sz w:val="22"/>
        </w:rPr>
        <w:t xml:space="preserve"> prepared on</w:t>
      </w:r>
      <w:r w:rsidRPr="000A2D1B">
        <w:rPr>
          <w:rFonts w:asciiTheme="minorHAnsi" w:eastAsiaTheme="minorEastAsia" w:hAnsiTheme="minorHAnsi" w:cstheme="minorHAnsi"/>
          <w:sz w:val="22"/>
          <w:lang w:eastAsia="ja-JP"/>
        </w:rPr>
        <w:t xml:space="preserve"> </w:t>
      </w:r>
      <w:r w:rsidRPr="000A2D1B">
        <w:rPr>
          <w:rFonts w:asciiTheme="minorHAnsi" w:hAnsiTheme="minorHAnsi" w:cstheme="minorHAnsi"/>
          <w:sz w:val="22"/>
        </w:rPr>
        <w:t>porous support</w:t>
      </w:r>
      <w:r w:rsidR="00843349" w:rsidRPr="000A2D1B">
        <w:rPr>
          <w:rFonts w:asciiTheme="minorHAnsi" w:hAnsiTheme="minorHAnsi" w:cstheme="minorHAnsi"/>
          <w:sz w:val="22"/>
        </w:rPr>
        <w:t>s</w:t>
      </w:r>
      <w:r w:rsidRPr="000A2D1B">
        <w:rPr>
          <w:rFonts w:asciiTheme="minorHAnsi" w:hAnsiTheme="minorHAnsi" w:cstheme="minorHAnsi"/>
          <w:sz w:val="22"/>
        </w:rPr>
        <w:t xml:space="preserve"> consisted </w:t>
      </w:r>
      <w:r w:rsidRPr="000A2D1B">
        <w:rPr>
          <w:rFonts w:asciiTheme="minorHAnsi" w:eastAsiaTheme="minorEastAsia" w:hAnsiTheme="minorHAnsi" w:cstheme="minorHAnsi"/>
          <w:sz w:val="22"/>
          <w:lang w:eastAsia="ja-JP"/>
        </w:rPr>
        <w:t>of</w:t>
      </w:r>
      <w:r w:rsidR="00843349" w:rsidRPr="000A2D1B">
        <w:rPr>
          <w:rFonts w:asciiTheme="minorHAnsi" w:hAnsiTheme="minorHAnsi" w:cstheme="minorHAnsi"/>
          <w:sz w:val="22"/>
        </w:rPr>
        <w:t xml:space="preserve"> </w:t>
      </w:r>
      <w:r w:rsidRPr="000A2D1B">
        <w:rPr>
          <w:rFonts w:asciiTheme="minorHAnsi" w:hAnsiTheme="minorHAnsi" w:cstheme="minorHAnsi"/>
          <w:sz w:val="22"/>
        </w:rPr>
        <w:t>zirconia substrate</w:t>
      </w:r>
      <w:r w:rsidR="00843349" w:rsidRPr="000A2D1B">
        <w:rPr>
          <w:rFonts w:asciiTheme="minorHAnsi" w:hAnsiTheme="minorHAnsi" w:cstheme="minorHAnsi"/>
          <w:sz w:val="22"/>
        </w:rPr>
        <w:t>s</w:t>
      </w:r>
      <w:r w:rsidRPr="000A2D1B">
        <w:rPr>
          <w:rFonts w:asciiTheme="minorEastAsia" w:eastAsiaTheme="minorEastAsia" w:hAnsiTheme="minorEastAsia" w:cstheme="minorHAnsi"/>
          <w:sz w:val="22"/>
          <w:lang w:eastAsia="ja-JP"/>
        </w:rPr>
        <w:t xml:space="preserve"> </w:t>
      </w:r>
      <w:r w:rsidRPr="000A2D1B">
        <w:rPr>
          <w:rFonts w:asciiTheme="minorHAnsi" w:hAnsiTheme="minorHAnsi" w:cstheme="minorHAnsi"/>
          <w:sz w:val="22"/>
        </w:rPr>
        <w:t xml:space="preserve">(outer diameter: </w:t>
      </w:r>
      <w:r w:rsidRPr="000A2D1B">
        <w:rPr>
          <w:rFonts w:ascii="Symbol" w:hAnsi="Symbol" w:cstheme="minorHAnsi"/>
          <w:i/>
          <w:iCs/>
          <w:sz w:val="22"/>
        </w:rPr>
        <w:t></w:t>
      </w:r>
      <w:r w:rsidRPr="000A2D1B">
        <w:rPr>
          <w:rFonts w:ascii="Symbol" w:hAnsi="Symbol" w:cstheme="minorHAnsi"/>
          <w:i/>
          <w:iCs/>
          <w:sz w:val="22"/>
        </w:rPr>
        <w:t></w:t>
      </w:r>
      <w:r w:rsidRPr="000A2D1B">
        <w:rPr>
          <w:rFonts w:asciiTheme="minorHAnsi" w:eastAsia="MS Mincho" w:hAnsiTheme="minorHAnsi" w:cstheme="minorHAnsi"/>
          <w:sz w:val="22"/>
          <w:lang w:val="en-US" w:eastAsia="ja-JP"/>
        </w:rPr>
        <w:t>2</w:t>
      </w:r>
      <w:r w:rsidRPr="000A2D1B">
        <w:rPr>
          <w:rFonts w:asciiTheme="minorHAnsi" w:hAnsiTheme="minorHAnsi" w:cstheme="minorHAnsi" w:hint="eastAsia"/>
          <w:sz w:val="22"/>
          <w:lang w:eastAsia="ja-JP"/>
        </w:rPr>
        <w:t xml:space="preserve"> </w:t>
      </w:r>
      <w:r w:rsidRPr="000A2D1B">
        <w:rPr>
          <w:rFonts w:asciiTheme="minorHAnsi" w:hAnsiTheme="minorHAnsi" w:cstheme="minorHAnsi"/>
          <w:sz w:val="22"/>
          <w:lang w:eastAsia="ja-JP"/>
        </w:rPr>
        <w:t xml:space="preserve">mm, inner diameter: </w:t>
      </w:r>
      <w:r w:rsidRPr="000A2D1B">
        <w:rPr>
          <w:rFonts w:ascii="Symbol" w:hAnsi="Symbol" w:cstheme="minorHAnsi"/>
          <w:i/>
          <w:iCs/>
          <w:sz w:val="22"/>
        </w:rPr>
        <w:t></w:t>
      </w:r>
      <w:r w:rsidRPr="000A2D1B">
        <w:rPr>
          <w:rFonts w:ascii="Symbol" w:hAnsi="Symbol" w:cstheme="minorHAnsi"/>
          <w:i/>
          <w:iCs/>
          <w:sz w:val="22"/>
        </w:rPr>
        <w:t></w:t>
      </w:r>
      <w:r w:rsidRPr="000A2D1B">
        <w:rPr>
          <w:rFonts w:asciiTheme="minorHAnsi" w:eastAsia="MS Mincho" w:hAnsiTheme="minorHAnsi" w:cstheme="minorHAnsi"/>
          <w:sz w:val="22"/>
          <w:lang w:val="en-US" w:eastAsia="ja-JP"/>
        </w:rPr>
        <w:t>1</w:t>
      </w:r>
      <w:r w:rsidRPr="000A2D1B">
        <w:rPr>
          <w:rFonts w:asciiTheme="minorHAnsi" w:hAnsiTheme="minorHAnsi" w:cstheme="minorHAnsi" w:hint="eastAsia"/>
          <w:sz w:val="22"/>
          <w:lang w:eastAsia="ja-JP"/>
        </w:rPr>
        <w:t xml:space="preserve"> </w:t>
      </w:r>
      <w:r w:rsidRPr="000A2D1B">
        <w:rPr>
          <w:rFonts w:asciiTheme="minorHAnsi" w:hAnsiTheme="minorHAnsi" w:cstheme="minorHAnsi"/>
          <w:sz w:val="22"/>
          <w:lang w:eastAsia="ja-JP"/>
        </w:rPr>
        <w:t>mm)</w:t>
      </w:r>
      <w:r w:rsidR="00843349" w:rsidRPr="000A2D1B">
        <w:rPr>
          <w:rFonts w:asciiTheme="minorHAnsi" w:hAnsiTheme="minorHAnsi" w:cstheme="minorHAnsi"/>
          <w:sz w:val="22"/>
        </w:rPr>
        <w:t xml:space="preserve"> with </w:t>
      </w:r>
      <w:r w:rsidRPr="000A2D1B">
        <w:rPr>
          <w:rFonts w:asciiTheme="minorHAnsi" w:hAnsiTheme="minorHAnsi" w:cstheme="minorHAnsi"/>
          <w:sz w:val="22"/>
        </w:rPr>
        <w:t xml:space="preserve">γ-alumina </w:t>
      </w:r>
      <w:proofErr w:type="gramStart"/>
      <w:r w:rsidR="00221977" w:rsidRPr="000A2D1B">
        <w:rPr>
          <w:rFonts w:asciiTheme="minorHAnsi" w:hAnsiTheme="minorHAnsi" w:cstheme="minorHAnsi"/>
          <w:sz w:val="22"/>
        </w:rPr>
        <w:t>interlayers</w:t>
      </w:r>
      <w:r w:rsidR="00221977" w:rsidRPr="000A2D1B">
        <w:rPr>
          <w:rFonts w:asciiTheme="minorHAnsi" w:hAnsiTheme="minorHAnsi" w:cstheme="minorHAnsi"/>
          <w:sz w:val="22"/>
          <w:vertAlign w:val="superscript"/>
        </w:rPr>
        <w:t>[</w:t>
      </w:r>
      <w:proofErr w:type="gramEnd"/>
      <w:r w:rsidR="00221977" w:rsidRPr="000A2D1B">
        <w:rPr>
          <w:rFonts w:asciiTheme="minorHAnsi" w:hAnsiTheme="minorHAnsi" w:cstheme="minorHAnsi"/>
          <w:sz w:val="22"/>
          <w:vertAlign w:val="superscript"/>
        </w:rPr>
        <w:t>1]</w:t>
      </w:r>
      <w:r w:rsidRPr="000A2D1B">
        <w:rPr>
          <w:rFonts w:asciiTheme="minorHAnsi" w:hAnsiTheme="minorHAnsi" w:cstheme="minorHAnsi"/>
          <w:sz w:val="22"/>
        </w:rPr>
        <w:t xml:space="preserve">. A </w:t>
      </w:r>
      <w:proofErr w:type="spellStart"/>
      <w:r w:rsidRPr="000A2D1B">
        <w:rPr>
          <w:rFonts w:asciiTheme="minorHAnsi" w:hAnsiTheme="minorHAnsi" w:cstheme="minorHAnsi"/>
          <w:sz w:val="22"/>
        </w:rPr>
        <w:t>propyltrimethoxysilane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0A2D1B">
        <w:rPr>
          <w:rFonts w:asciiTheme="minorHAnsi" w:hAnsiTheme="minorHAnsi" w:cstheme="minorHAnsi"/>
          <w:sz w:val="22"/>
        </w:rPr>
        <w:t>PrTMS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) silica sol was prepared by hydrolysis and copolymerization of the PrTMS. </w:t>
      </w:r>
      <w:r w:rsidR="00B566E5" w:rsidRPr="000A2D1B">
        <w:rPr>
          <w:rFonts w:asciiTheme="minorHAnsi" w:hAnsiTheme="minorHAnsi" w:cstheme="minorHAnsi"/>
          <w:sz w:val="22"/>
        </w:rPr>
        <w:t xml:space="preserve">The </w:t>
      </w:r>
      <w:r w:rsidRPr="000A2D1B">
        <w:rPr>
          <w:rFonts w:asciiTheme="minorHAnsi" w:hAnsiTheme="minorHAnsi" w:cstheme="minorHAnsi"/>
          <w:sz w:val="22"/>
        </w:rPr>
        <w:t>PrTMS</w:t>
      </w:r>
      <w:r w:rsidR="00B566E5" w:rsidRPr="000A2D1B">
        <w:rPr>
          <w:rFonts w:asciiTheme="minorHAnsi" w:hAnsiTheme="minorHAnsi" w:cstheme="minorHAnsi"/>
          <w:sz w:val="22"/>
        </w:rPr>
        <w:t xml:space="preserve"> (0.1 </w:t>
      </w:r>
      <w:r w:rsidRPr="000A2D1B">
        <w:rPr>
          <w:rFonts w:asciiTheme="minorHAnsi" w:hAnsiTheme="minorHAnsi" w:cstheme="minorHAnsi"/>
          <w:sz w:val="22"/>
        </w:rPr>
        <w:t xml:space="preserve">mol) was added to the solution consisted of </w:t>
      </w:r>
      <w:proofErr w:type="spellStart"/>
      <w:r w:rsidRPr="000A2D1B">
        <w:rPr>
          <w:rFonts w:asciiTheme="minorHAnsi" w:hAnsiTheme="minorHAnsi" w:cstheme="minorHAnsi"/>
          <w:sz w:val="22"/>
          <w:szCs w:val="21"/>
          <w:shd w:val="clear" w:color="auto" w:fill="FFFFFF"/>
        </w:rPr>
        <w:t>cetyltrimethyl-ammoniumbromide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0A2D1B">
        <w:rPr>
          <w:rFonts w:asciiTheme="minorHAnsi" w:hAnsiTheme="minorHAnsi" w:cstheme="minorHAnsi"/>
          <w:sz w:val="22"/>
        </w:rPr>
        <w:t>CTAB</w:t>
      </w:r>
      <w:proofErr w:type="spellEnd"/>
      <w:r w:rsidRPr="000A2D1B">
        <w:rPr>
          <w:rFonts w:asciiTheme="minorHAnsi" w:hAnsiTheme="minorHAnsi" w:cstheme="minorHAnsi"/>
          <w:sz w:val="22"/>
        </w:rPr>
        <w:t xml:space="preserve">) (0.008 </w:t>
      </w:r>
      <w:proofErr w:type="spellStart"/>
      <w:r w:rsidRPr="000A2D1B">
        <w:rPr>
          <w:rFonts w:asciiTheme="minorHAnsi" w:hAnsiTheme="minorHAnsi" w:cstheme="minorHAnsi"/>
          <w:sz w:val="22"/>
        </w:rPr>
        <w:t>mol</w:t>
      </w:r>
      <w:proofErr w:type="spellEnd"/>
      <w:r w:rsidRPr="000A2D1B">
        <w:rPr>
          <w:rFonts w:asciiTheme="minorHAnsi" w:hAnsiTheme="minorHAnsi" w:cstheme="minorHAnsi"/>
          <w:sz w:val="22"/>
        </w:rPr>
        <w:t>) and 25 mL of EtOH with gentle stirring. 7.5 mL of 1 mol L</w:t>
      </w:r>
      <w:r w:rsidRPr="000A2D1B">
        <w:rPr>
          <w:rFonts w:asciiTheme="minorHAnsi" w:hAnsiTheme="minorHAnsi" w:cstheme="minorHAnsi"/>
          <w:sz w:val="22"/>
          <w:vertAlign w:val="superscript"/>
        </w:rPr>
        <w:t>-1</w:t>
      </w:r>
      <w:r w:rsidRPr="000A2D1B">
        <w:rPr>
          <w:rFonts w:asciiTheme="minorHAnsi" w:hAnsiTheme="minorHAnsi" w:cstheme="minorHAnsi"/>
          <w:sz w:val="22"/>
        </w:rPr>
        <w:t>HNO</w:t>
      </w:r>
      <w:r w:rsidRPr="000A2D1B">
        <w:rPr>
          <w:rFonts w:asciiTheme="minorHAnsi" w:hAnsiTheme="minorHAnsi" w:cstheme="minorHAnsi"/>
          <w:sz w:val="22"/>
          <w:vertAlign w:val="subscript"/>
        </w:rPr>
        <w:t>3</w:t>
      </w:r>
      <w:r w:rsidRPr="000A2D1B">
        <w:rPr>
          <w:rFonts w:asciiTheme="minorHAnsi" w:hAnsiTheme="minorHAnsi" w:cstheme="minorHAnsi"/>
          <w:sz w:val="22"/>
        </w:rPr>
        <w:t xml:space="preserve"> was delivered by drops into the solution to promote </w:t>
      </w:r>
      <w:r w:rsidRPr="000A2D1B">
        <w:rPr>
          <w:rFonts w:asciiTheme="minorHAnsi" w:hAnsiTheme="minorHAnsi" w:cstheme="minorHAnsi"/>
          <w:sz w:val="22"/>
          <w:lang w:eastAsia="ja-JP"/>
        </w:rPr>
        <w:t>t</w:t>
      </w:r>
      <w:r w:rsidRPr="000A2D1B">
        <w:rPr>
          <w:rFonts w:asciiTheme="minorHAnsi" w:hAnsiTheme="minorHAnsi" w:cstheme="minorHAnsi"/>
          <w:sz w:val="22"/>
        </w:rPr>
        <w:t xml:space="preserve">he hydrolysis and condensation reactions of the PrTMS. Then, the solution was stirred continuously at room temperature for 6 h. The </w:t>
      </w:r>
      <w:r w:rsidRPr="000A2D1B">
        <w:rPr>
          <w:rFonts w:asciiTheme="minorHAnsi" w:eastAsiaTheme="minorEastAsia" w:hAnsiTheme="minorHAnsi" w:cstheme="minorHAnsi"/>
          <w:sz w:val="22"/>
          <w:lang w:eastAsia="ja-JP"/>
        </w:rPr>
        <w:t>porous</w:t>
      </w:r>
      <w:r w:rsidRPr="000A2D1B">
        <w:rPr>
          <w:rFonts w:asciiTheme="minorHAnsi" w:hAnsiTheme="minorHAnsi" w:cstheme="minorHAnsi"/>
          <w:sz w:val="22"/>
        </w:rPr>
        <w:t xml:space="preserve"> support was dipped into the PrTMS solution for 60 s and then pulled out at a speed of 1 cm min</w:t>
      </w:r>
      <w:r w:rsidRPr="000A2D1B">
        <w:rPr>
          <w:rFonts w:asciiTheme="minorHAnsi" w:hAnsiTheme="minorHAnsi" w:cstheme="minorHAnsi"/>
          <w:sz w:val="22"/>
          <w:vertAlign w:val="superscript"/>
        </w:rPr>
        <w:t>–1</w:t>
      </w:r>
      <w:r w:rsidRPr="000A2D1B">
        <w:rPr>
          <w:rFonts w:asciiTheme="minorHAnsi" w:hAnsiTheme="minorHAnsi" w:cstheme="minorHAnsi"/>
          <w:sz w:val="22"/>
        </w:rPr>
        <w:t>. The support was dried at room temperature for 3 h and calcined</w:t>
      </w:r>
      <w:r w:rsidR="00B566E5" w:rsidRPr="000A2D1B">
        <w:rPr>
          <w:rFonts w:asciiTheme="minorHAnsi" w:hAnsiTheme="minorHAnsi" w:cstheme="minorHAnsi"/>
          <w:sz w:val="22"/>
        </w:rPr>
        <w:t xml:space="preserve"> at 453 K for 3 h. The membrane was</w:t>
      </w:r>
      <w:r w:rsidRPr="000A2D1B">
        <w:rPr>
          <w:rFonts w:asciiTheme="minorHAnsi" w:hAnsiTheme="minorHAnsi" w:cstheme="minorHAnsi"/>
          <w:sz w:val="22"/>
        </w:rPr>
        <w:t xml:space="preserve"> then washed with ethanol to remove CTAB.</w:t>
      </w:r>
    </w:p>
    <w:p w14:paraId="2DA920C0" w14:textId="4011CAA9" w:rsidR="00984CBB" w:rsidRPr="000A2D1B" w:rsidRDefault="00984CBB" w:rsidP="00984CB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0A2D1B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Nanofiltration test</w:t>
      </w:r>
    </w:p>
    <w:p w14:paraId="719ECB7C" w14:textId="717DB404" w:rsidR="007A34D4" w:rsidRPr="00473F6C" w:rsidRDefault="00984CBB" w:rsidP="00F903CC">
      <w:pPr>
        <w:snapToGrid w:val="0"/>
        <w:spacing w:after="120"/>
        <w:ind w:firstLineChars="50" w:firstLine="110"/>
        <w:rPr>
          <w:rFonts w:asciiTheme="minorHAnsi" w:eastAsia="MS PGothic" w:hAnsiTheme="minorHAnsi"/>
          <w:color w:val="000000"/>
          <w:sz w:val="22"/>
          <w:szCs w:val="22"/>
        </w:rPr>
      </w:pPr>
      <w:r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R</w:t>
      </w:r>
      <w:r w:rsidRPr="000A2D1B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 xml:space="preserve">ose </w:t>
      </w:r>
      <w:proofErr w:type="spellStart"/>
      <w:proofErr w:type="gramStart"/>
      <w:r w:rsidR="00B566E5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bengal</w:t>
      </w:r>
      <w:proofErr w:type="spellEnd"/>
      <w:r w:rsidR="003516AF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(</w:t>
      </w:r>
      <w:proofErr w:type="spellStart"/>
      <w:proofErr w:type="gramEnd"/>
      <w:r w:rsidR="003516AF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RB</w:t>
      </w:r>
      <w:proofErr w:type="spellEnd"/>
      <w:r w:rsidR="003516AF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)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>/ethanol</w:t>
      </w:r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proofErr w:type="spellStart"/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>EtOH</w:t>
      </w:r>
      <w:proofErr w:type="spellEnd"/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>), brilliant blue/</w:t>
      </w:r>
      <w:proofErr w:type="spellStart"/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>EtOH</w:t>
      </w:r>
      <w:proofErr w:type="spellEnd"/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>, tartrazine(TZ)/EtOH and methyl orange/EtOH solution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566E5" w:rsidRPr="000A2D1B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used as the feed solution. Concentration of </w:t>
      </w:r>
      <w:r w:rsidR="00A760A7" w:rsidRPr="000A2D1B">
        <w:rPr>
          <w:rFonts w:asciiTheme="minorHAnsi" w:eastAsia="MS PGothic" w:hAnsiTheme="minorHAnsi"/>
          <w:color w:val="000000"/>
          <w:sz w:val="22"/>
          <w:szCs w:val="22"/>
        </w:rPr>
        <w:t>solutes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in the feed solution</w:t>
      </w:r>
      <w:r w:rsidR="00A760A7" w:rsidRPr="000A2D1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was 35 </w:t>
      </w:r>
      <w:r w:rsidRPr="000A2D1B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>µ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>mol l</w:t>
      </w:r>
      <w:r w:rsidRPr="000A2D1B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>. The concentrations of the feed and permeate solution</w:t>
      </w:r>
      <w:r w:rsidR="00A760A7" w:rsidRPr="000A2D1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were </w:t>
      </w:r>
      <w:r w:rsidR="00F903CC">
        <w:rPr>
          <w:rFonts w:asciiTheme="minorHAnsi" w:eastAsia="MS PGothic" w:hAnsiTheme="minorHAnsi"/>
          <w:color w:val="000000"/>
          <w:sz w:val="22"/>
          <w:szCs w:val="22"/>
        </w:rPr>
        <w:t>measured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using an absorbance meter</w:t>
      </w:r>
      <w:r w:rsidR="003A25B9">
        <w:rPr>
          <w:rFonts w:asciiTheme="minorHAnsi" w:eastAsia="MS PGothic" w:hAnsiTheme="minorHAnsi"/>
          <w:color w:val="000000"/>
          <w:sz w:val="22"/>
          <w:szCs w:val="22"/>
        </w:rPr>
        <w:t xml:space="preserve"> (ASUV 6300PC</w:t>
      </w:r>
      <w:r w:rsidR="008E7B2A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>,</w:t>
      </w:r>
      <w:r w:rsidR="001F4F40">
        <w:rPr>
          <w:rFonts w:asciiTheme="minorHAnsi" w:eastAsia="MS PGothic" w:hAnsiTheme="minorHAnsi"/>
          <w:color w:val="000000"/>
          <w:sz w:val="22"/>
          <w:szCs w:val="22"/>
        </w:rPr>
        <w:t xml:space="preserve"> ASONE corporation</w:t>
      </w:r>
      <w:r w:rsidR="003A25B9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473F6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30B96">
        <w:rPr>
          <w:rFonts w:asciiTheme="minorHAnsi" w:eastAsia="MS PGothic" w:hAnsiTheme="minorHAnsi"/>
          <w:color w:val="000000"/>
          <w:sz w:val="22"/>
          <w:szCs w:val="22"/>
        </w:rPr>
        <w:t xml:space="preserve"> Feed pressure was 5 bar.</w:t>
      </w:r>
    </w:p>
    <w:p w14:paraId="73F14483" w14:textId="43BC42B0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F82F608" w14:textId="4E9D4802" w:rsidR="00704BDF" w:rsidRPr="003C4504" w:rsidRDefault="00287025" w:rsidP="00940C6D">
      <w:pPr>
        <w:snapToGrid w:val="0"/>
        <w:spacing w:after="120"/>
        <w:rPr>
          <w:rFonts w:asciiTheme="minorHAnsi" w:eastAsia="MS PGothic" w:hAnsiTheme="minorHAnsi"/>
          <w:color w:val="000000"/>
        </w:rPr>
      </w:pPr>
      <w:r w:rsidRPr="000A2D1B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64384" behindDoc="1" locked="0" layoutInCell="1" allowOverlap="1" wp14:anchorId="294CA0B7" wp14:editId="1DE86DC6">
            <wp:simplePos x="0" y="0"/>
            <wp:positionH relativeFrom="margin">
              <wp:posOffset>2899164</wp:posOffset>
            </wp:positionH>
            <wp:positionV relativeFrom="paragraph">
              <wp:posOffset>1307260</wp:posOffset>
            </wp:positionV>
            <wp:extent cx="2687955" cy="200260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7">
        <w:rPr>
          <w:rFonts w:eastAsia="MS PGothic"/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44EE491" wp14:editId="180FC328">
            <wp:simplePos x="0" y="0"/>
            <wp:positionH relativeFrom="column">
              <wp:posOffset>-126713</wp:posOffset>
            </wp:positionH>
            <wp:positionV relativeFrom="paragraph">
              <wp:posOffset>1283274</wp:posOffset>
            </wp:positionV>
            <wp:extent cx="3476625" cy="241318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1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6D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The </w:t>
      </w:r>
      <w:proofErr w:type="spellStart"/>
      <w:r w:rsidR="00940C6D" w:rsidRPr="000A2D1B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>MWCO</w:t>
      </w:r>
      <w:proofErr w:type="spellEnd"/>
      <w:r w:rsidR="00940C6D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of the </w:t>
      </w:r>
      <w:proofErr w:type="spellStart"/>
      <w:r w:rsidR="00F903CC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PrFS</w:t>
      </w:r>
      <w:proofErr w:type="spellEnd"/>
      <w:r w:rsidR="00940C6D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membrane</w:t>
      </w:r>
      <w:r w:rsidR="00172ACE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and</w:t>
      </w:r>
      <w:r w:rsidR="00940C6D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 w:rsidR="00172ACE" w:rsidRPr="000A2D1B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averag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e permeance in </w:t>
      </w:r>
      <w:r w:rsidR="000F796E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the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 w:rsidR="00EE6422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solute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are</w:t>
      </w:r>
      <w:r w:rsidR="00940C6D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shown in Fig. 1.</w:t>
      </w:r>
      <w:r w:rsidR="00940C6D" w:rsidRPr="00221977">
        <w:t xml:space="preserve"> </w:t>
      </w:r>
      <w:r w:rsidR="00940C6D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The </w:t>
      </w:r>
      <w:proofErr w:type="spellStart"/>
      <w:r w:rsidR="00940C6D" w:rsidRPr="00221977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>MWCO</w:t>
      </w:r>
      <w:proofErr w:type="spellEnd"/>
      <w:r w:rsidR="00940C6D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of the </w:t>
      </w:r>
      <w:proofErr w:type="spellStart"/>
      <w:r w:rsidR="00F903CC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PrFS</w:t>
      </w:r>
      <w:proofErr w:type="spellEnd"/>
      <w:r w:rsidR="00940C6D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membrane was </w:t>
      </w:r>
      <w:r w:rsidR="006D6068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492</w:t>
      </w:r>
      <w:r w:rsidR="00940C6D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. </w:t>
      </w:r>
      <w:r w:rsidR="00D0352A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The permeance was highest </w:t>
      </w:r>
      <w:r w:rsidR="006D6068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in the case </w:t>
      </w:r>
      <w:r w:rsidR="00531EEB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that </w:t>
      </w:r>
      <w:r w:rsidR="006D6068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TZ was used as the solute</w:t>
      </w:r>
      <w:r w:rsidR="00D0352A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. </w:t>
      </w:r>
      <w:r w:rsidR="00531EEB"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considered that the affinity between the solute and the membrane surface may be related to this phenomenon.</w:t>
      </w:r>
      <w:r w:rsidR="00531EEB" w:rsidRPr="00221977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Fig. 2 shows the relationships between time and permeance</w:t>
      </w:r>
      <w:r w:rsidR="00691DC3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in RB/EtOH system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. </w:t>
      </w:r>
      <w:r w:rsidR="00172ACE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The permeance </w:t>
      </w:r>
      <w:r w:rsidR="00904D42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reached 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>200 g m</w:t>
      </w:r>
      <w:r w:rsidR="0080117E" w:rsidRPr="0080117E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-2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 xml:space="preserve"> h</w:t>
      </w:r>
      <w:r w:rsidR="0080117E" w:rsidRPr="0080117E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 xml:space="preserve"> bar</w:t>
      </w:r>
      <w:r w:rsidR="0080117E" w:rsidRPr="0080117E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904D42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 in a</w:t>
      </w:r>
      <w:r w:rsidR="00904D42" w:rsidRPr="000A2D1B">
        <w:rPr>
          <w:rFonts w:asciiTheme="minorHAnsi" w:eastAsia="MS PGothic" w:hAnsiTheme="minorHAnsi"/>
          <w:color w:val="000000"/>
          <w:sz w:val="22"/>
          <w:szCs w:val="22"/>
        </w:rPr>
        <w:t>bout 60 min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D4A70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 xml:space="preserve">was nearly constant </w:t>
      </w:r>
      <w:r w:rsidR="00AD4A70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until end of the </w:t>
      </w:r>
      <w:r w:rsidR="00630B96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420 min durability </w:t>
      </w:r>
      <w:r w:rsidR="00AD4A70" w:rsidRPr="000A2D1B">
        <w:rPr>
          <w:rFonts w:asciiTheme="minorHAnsi" w:eastAsia="MS PGothic" w:hAnsiTheme="minorHAnsi"/>
          <w:color w:val="000000"/>
          <w:sz w:val="22"/>
          <w:szCs w:val="22"/>
        </w:rPr>
        <w:t>test</w:t>
      </w:r>
      <w:r w:rsidR="0097330B" w:rsidRPr="000A2D1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172ACE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Since</w:t>
      </w:r>
      <w:r w:rsidR="003516AF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172ACE" w:rsidRPr="000A2D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172ACE" w:rsidRPr="000A2D1B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="00172ACE">
        <w:rPr>
          <w:rFonts w:asciiTheme="minorHAnsi" w:eastAsia="MS PGothic" w:hAnsiTheme="minorHAnsi"/>
          <w:color w:val="000000"/>
          <w:sz w:val="22"/>
          <w:szCs w:val="22"/>
        </w:rPr>
        <w:t>rFS</w:t>
      </w:r>
      <w:proofErr w:type="spellEnd"/>
      <w:r w:rsidR="00172ACE">
        <w:rPr>
          <w:rFonts w:asciiTheme="minorHAnsi" w:eastAsia="MS PGothic" w:hAnsiTheme="minorHAnsi"/>
          <w:color w:val="000000"/>
          <w:sz w:val="22"/>
          <w:szCs w:val="22"/>
        </w:rPr>
        <w:t xml:space="preserve"> membrane is </w:t>
      </w:r>
      <w:r w:rsidR="00172AC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based on the siloxane network</w:t>
      </w:r>
      <w:r w:rsidR="00630B96">
        <w:rPr>
          <w:rFonts w:asciiTheme="minorHAnsi" w:eastAsia="MS PGothic" w:hAnsiTheme="minorHAnsi"/>
          <w:color w:val="000000"/>
          <w:sz w:val="22"/>
          <w:szCs w:val="22"/>
        </w:rPr>
        <w:t xml:space="preserve">, it is considered </w:t>
      </w:r>
      <w:r w:rsidR="00172ACE">
        <w:rPr>
          <w:rFonts w:asciiTheme="minorHAnsi" w:eastAsia="MS PGothic" w:hAnsiTheme="minorHAnsi"/>
          <w:color w:val="000000"/>
          <w:sz w:val="22"/>
          <w:szCs w:val="22"/>
        </w:rPr>
        <w:t>the durability against organic solvent is relatively high.</w:t>
      </w:r>
    </w:p>
    <w:p w14:paraId="1CD94ED0" w14:textId="561A1F86" w:rsidR="00223AF8" w:rsidRDefault="00223AF8" w:rsidP="00223AF8">
      <w:pPr>
        <w:snapToGrid w:val="0"/>
        <w:spacing w:after="120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4DCD04A1" w14:textId="35CECE40" w:rsidR="00D0352A" w:rsidRPr="00287025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</w:rPr>
      </w:pPr>
    </w:p>
    <w:p w14:paraId="6090B535" w14:textId="6B5C3CDD" w:rsidR="00D0352A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3AA03F26" w14:textId="0741ED98" w:rsidR="00D0352A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08B0436D" w14:textId="3F887ACE" w:rsidR="00D0352A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37A1E9FC" w14:textId="01D9286E" w:rsidR="00D0352A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0D7EA6D0" w14:textId="67BB71DF" w:rsidR="00D0352A" w:rsidRDefault="00D0352A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57B14812" w14:textId="4C4FB753" w:rsidR="00704BDF" w:rsidRPr="00DE0019" w:rsidRDefault="00704BDF" w:rsidP="00223AF8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285A1AFD" w14:textId="555CFE17" w:rsidR="00E83F00" w:rsidRDefault="0097330B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580B" wp14:editId="1525E0D9">
                <wp:simplePos x="0" y="0"/>
                <wp:positionH relativeFrom="margin">
                  <wp:posOffset>238125</wp:posOffset>
                </wp:positionH>
                <wp:positionV relativeFrom="paragraph">
                  <wp:posOffset>84455</wp:posOffset>
                </wp:positionV>
                <wp:extent cx="2647950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0974B" w14:textId="1B15873B" w:rsidR="00223AF8" w:rsidRPr="00223AF8" w:rsidRDefault="00223AF8" w:rsidP="00223AF8">
                            <w:pPr>
                              <w:rPr>
                                <w:rFonts w:asciiTheme="minorHAnsi" w:eastAsiaTheme="minorEastAsia" w:hAnsiTheme="minorHAnsi" w:cstheme="minorHAnsi"/>
                                <w:lang w:eastAsia="ja-JP"/>
                              </w:rPr>
                            </w:pP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 1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D0352A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MWCO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of the PrFS membrane</w:t>
                            </w:r>
                            <w:r w:rsidR="00E83F00">
                              <w:rPr>
                                <w:rFonts w:asciiTheme="minorHAnsi" w:eastAsia="MS PGothic" w:hAnsiTheme="minorHAnsi" w:hint="eastAsia"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 and the relationships</w:t>
                            </w:r>
                            <w:r w:rsidR="00E83F00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 w:eastAsia="ja-JP"/>
                              </w:rPr>
                              <w:t xml:space="preserve"> between molecular weight and permeance about PrFS membrane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2425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6.65pt;width:208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" filled="f" stroked="f" strokeweight=".5pt">
                <v:textbox>
                  <w:txbxContent>
                    <w:p w14:paraId="1FB0974B" w14:textId="1B15873B" w:rsidR="00223AF8" w:rsidRPr="00223AF8" w:rsidRDefault="00223AF8" w:rsidP="00223AF8">
                      <w:pPr>
                        <w:rPr>
                          <w:rFonts w:asciiTheme="minorHAnsi" w:eastAsiaTheme="minorEastAsia" w:hAnsiTheme="minorHAnsi" w:cstheme="minorHAnsi"/>
                          <w:lang w:eastAsia="ja-JP"/>
                        </w:rPr>
                      </w:pP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Fig</w:t>
                      </w:r>
                      <w:r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.</w:t>
                      </w: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 1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The </w:t>
                      </w:r>
                      <w:r w:rsidR="00D0352A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MWCO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of the PrFS membrane</w:t>
                      </w:r>
                      <w:r w:rsidR="00E83F00">
                        <w:rPr>
                          <w:rFonts w:asciiTheme="minorHAnsi" w:eastAsia="ＭＳ Ｐゴシック" w:hAnsiTheme="minorHAnsi" w:hint="eastAsia"/>
                          <w:color w:val="000000"/>
                          <w:szCs w:val="18"/>
                          <w:lang w:val="en-US" w:eastAsia="ja-JP"/>
                        </w:rPr>
                        <w:t xml:space="preserve"> and the relationships</w:t>
                      </w:r>
                      <w:r w:rsidR="00E83F00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 w:eastAsia="ja-JP"/>
                        </w:rPr>
                        <w:t xml:space="preserve"> between molecular weight and permeance about PrFS membrane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F00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B48F3" wp14:editId="29801948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64795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CD48" w14:textId="10CB607F" w:rsidR="00E83F00" w:rsidRPr="00223AF8" w:rsidRDefault="00E83F00" w:rsidP="00E83F00">
                            <w:pPr>
                              <w:rPr>
                                <w:rFonts w:asciiTheme="minorHAnsi" w:eastAsiaTheme="minorEastAsia" w:hAnsiTheme="minorHAnsi" w:cstheme="minorHAnsi"/>
                                <w:lang w:eastAsia="ja-JP"/>
                              </w:rPr>
                            </w:pP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. 2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The relationships between time and permeance</w:t>
                            </w:r>
                            <w:r w:rsidR="00691DC3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in RB/EtOH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042B48F3" id="テキスト ボックス 3" o:spid="_x0000_s1027" type="#_x0000_t202" style="position:absolute;left:0;text-align:left;margin-left:157.3pt;margin-top:6.55pt;width:208.5pt;height:4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" filled="f" stroked="f" strokeweight=".5pt">
                <v:textbox>
                  <w:txbxContent>
                    <w:p w14:paraId="0688CD48" w14:textId="10CB607F" w:rsidR="00E83F00" w:rsidRPr="00223AF8" w:rsidRDefault="00E83F00" w:rsidP="00E83F00">
                      <w:pPr>
                        <w:rPr>
                          <w:rFonts w:asciiTheme="minorHAnsi" w:eastAsiaTheme="minorEastAsia" w:hAnsiTheme="minorHAnsi" w:cstheme="minorHAnsi"/>
                          <w:lang w:eastAsia="ja-JP"/>
                        </w:rPr>
                      </w:pPr>
                      <w:r w:rsidRPr="00DE0019"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Fig</w:t>
                      </w:r>
                      <w:r>
                        <w:rPr>
                          <w:rFonts w:asciiTheme="minorHAnsi" w:eastAsia="ＭＳ Ｐゴシック" w:hAnsiTheme="minorHAnsi"/>
                          <w:b/>
                          <w:color w:val="000000"/>
                          <w:szCs w:val="18"/>
                          <w:lang w:val="en-US"/>
                        </w:rPr>
                        <w:t>. 2</w:t>
                      </w:r>
                      <w:r w:rsidRPr="00DE0019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>The relationships between time and permeance</w:t>
                      </w:r>
                      <w:r w:rsidR="00691DC3">
                        <w:rPr>
                          <w:rFonts w:asciiTheme="minorHAnsi" w:eastAsia="ＭＳ Ｐゴシック" w:hAnsiTheme="minorHAnsi"/>
                          <w:color w:val="000000"/>
                          <w:szCs w:val="18"/>
                          <w:lang w:val="en-US"/>
                        </w:rPr>
                        <w:t xml:space="preserve"> in RB/EtOH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F00" w:rsidRPr="00E83F0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4726B175" w14:textId="73E939D8" w:rsidR="00A96704" w:rsidRDefault="00A96704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3272A3F4" w14:textId="0CAE5569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247DB91" w14:textId="6078A0CB" w:rsidR="004E7427" w:rsidRPr="004E7427" w:rsidRDefault="00481DB8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0"/>
          <w:lang w:val="en-US"/>
        </w:rPr>
      </w:pPr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Pr="00221977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MWCO</w:t>
      </w:r>
      <w:proofErr w:type="spellEnd"/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proofErr w:type="spellStart"/>
      <w:r w:rsidR="003516A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PrFS</w:t>
      </w:r>
      <w:proofErr w:type="spellEnd"/>
      <w:r w:rsidR="00630B96"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was</w:t>
      </w:r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4A70"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>492</w:t>
      </w:r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D4A70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The permeance was highest in the case </w:t>
      </w:r>
      <w:r w:rsidR="000A2D1B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that </w:t>
      </w:r>
      <w:r w:rsidR="00AD4A70" w:rsidRPr="0022197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TZ was used as the solute</w:t>
      </w:r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is considered that the affinity between the solute and the membrane surface </w:t>
      </w:r>
      <w:r w:rsidR="00531EEB"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</w:t>
      </w:r>
      <w:r w:rsidRPr="002219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related to this phenomenon.</w:t>
      </w:r>
      <w:r w:rsidR="00B35603" w:rsidRPr="00221977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 w:rsidR="004E7427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The permeance was </w:t>
      </w:r>
      <w:r w:rsidR="003516AF">
        <w:rPr>
          <w:rFonts w:asciiTheme="minorHAnsi" w:eastAsia="MS PGothic" w:hAnsiTheme="minorHAnsi"/>
          <w:color w:val="000000"/>
          <w:sz w:val="22"/>
          <w:szCs w:val="22"/>
        </w:rPr>
        <w:t>nearly</w:t>
      </w:r>
      <w:r w:rsidR="004E7427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 constant</w:t>
      </w:r>
      <w:r w:rsidR="0080117E">
        <w:rPr>
          <w:rFonts w:asciiTheme="minorHAnsi" w:eastAsia="MS PGothic" w:hAnsiTheme="minorHAnsi"/>
          <w:color w:val="000000"/>
          <w:sz w:val="22"/>
          <w:szCs w:val="22"/>
        </w:rPr>
        <w:t xml:space="preserve"> form 60 min</w:t>
      </w:r>
      <w:r w:rsidR="004E7427" w:rsidRPr="00221977">
        <w:rPr>
          <w:rFonts w:asciiTheme="minorHAnsi" w:eastAsia="MS PGothic" w:hAnsiTheme="minorHAnsi"/>
          <w:color w:val="000000"/>
          <w:sz w:val="22"/>
          <w:szCs w:val="22"/>
        </w:rPr>
        <w:t xml:space="preserve"> until end of the te</w:t>
      </w:r>
      <w:r w:rsidR="004E7427" w:rsidRPr="0080117E">
        <w:rPr>
          <w:rFonts w:asciiTheme="minorHAnsi" w:eastAsia="MS PGothic" w:hAnsiTheme="minorHAnsi"/>
          <w:color w:val="000000"/>
          <w:sz w:val="22"/>
          <w:szCs w:val="22"/>
        </w:rPr>
        <w:t>st</w:t>
      </w:r>
      <w:r w:rsidR="004E7427" w:rsidRPr="0080117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the RB/EtOH system.</w:t>
      </w:r>
    </w:p>
    <w:p w14:paraId="2E2D5197" w14:textId="19BEEDF2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1B9FC993" w14:textId="5D1B4108" w:rsidR="00242CBB" w:rsidRPr="00F76D9C" w:rsidRDefault="00242CBB" w:rsidP="00242CBB">
      <w:pPr>
        <w:pStyle w:val="Nessunaspaziatura"/>
        <w:numPr>
          <w:ilvl w:val="0"/>
          <w:numId w:val="17"/>
        </w:numPr>
        <w:rPr>
          <w:rFonts w:asciiTheme="minorHAnsi" w:eastAsiaTheme="minorEastAsia" w:hAnsiTheme="minorHAnsi" w:cstheme="minorHAnsi"/>
          <w:sz w:val="20"/>
          <w:lang w:val="da-DK" w:eastAsia="ja-JP"/>
        </w:rPr>
      </w:pPr>
      <w:r w:rsidRPr="00F76D9C">
        <w:rPr>
          <w:rFonts w:asciiTheme="minorHAnsi" w:eastAsiaTheme="minorEastAsia" w:hAnsiTheme="minorHAnsi" w:cstheme="minorHAnsi"/>
          <w:sz w:val="20"/>
          <w:lang w:val="da-DK" w:eastAsia="ja-JP"/>
        </w:rPr>
        <w:t xml:space="preserve"> </w:t>
      </w:r>
      <w:r w:rsidR="008551A6" w:rsidRPr="00F76D9C">
        <w:rPr>
          <w:rFonts w:asciiTheme="minorHAnsi" w:eastAsiaTheme="minorEastAsia" w:hAnsiTheme="minorHAnsi" w:cstheme="minorHAnsi"/>
          <w:sz w:val="20"/>
          <w:lang w:val="da-DK" w:eastAsia="ja-JP"/>
        </w:rPr>
        <w:t>S. Araki, et al., J</w:t>
      </w:r>
      <w:r w:rsidRPr="00F76D9C">
        <w:rPr>
          <w:rFonts w:asciiTheme="minorHAnsi" w:eastAsiaTheme="minorEastAsia" w:hAnsiTheme="minorHAnsi" w:cstheme="minorHAnsi"/>
          <w:sz w:val="20"/>
          <w:lang w:val="da-DK" w:eastAsia="ja-JP"/>
        </w:rPr>
        <w:t>. Memb. Sci. 380 (2011) 41-47</w:t>
      </w:r>
    </w:p>
    <w:p w14:paraId="41AB9996" w14:textId="083CC114" w:rsidR="00704BDF" w:rsidRPr="00F76D9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6F2FE090" w14:textId="26E72593" w:rsidR="00704BDF" w:rsidRPr="00F76D9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1AC6E2AF" w14:textId="38FB8F9D" w:rsidR="00704BDF" w:rsidRPr="00F76D9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5AF31C7A" w14:textId="6A5C7A9D" w:rsidR="00704BDF" w:rsidRPr="00F76D9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3B986A68" w14:textId="24422FC9" w:rsidR="004D1162" w:rsidRPr="00F76D9C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6136FBCF" w14:textId="792FB7C9" w:rsidR="004D1162" w:rsidRPr="00F76D9C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p w14:paraId="3063E6D8" w14:textId="7C602EE5" w:rsidR="00704BDF" w:rsidRPr="00F76D9C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a-DK" w:eastAsia="zh-CN"/>
        </w:rPr>
      </w:pPr>
    </w:p>
    <w:sectPr w:rsidR="00704BDF" w:rsidRPr="00F76D9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8241" w14:textId="77777777" w:rsidR="00700815" w:rsidRDefault="00700815" w:rsidP="004F5E36">
      <w:r>
        <w:separator/>
      </w:r>
    </w:p>
  </w:endnote>
  <w:endnote w:type="continuationSeparator" w:id="0">
    <w:p w14:paraId="1675A138" w14:textId="77777777" w:rsidR="00700815" w:rsidRDefault="0070081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A281" w14:textId="77777777" w:rsidR="00700815" w:rsidRDefault="00700815" w:rsidP="004F5E36">
      <w:r>
        <w:separator/>
      </w:r>
    </w:p>
  </w:footnote>
  <w:footnote w:type="continuationSeparator" w:id="0">
    <w:p w14:paraId="6CD65F08" w14:textId="77777777" w:rsidR="00700815" w:rsidRDefault="0070081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D331D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FE58B3" wp14:editId="139D856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C4C09DE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1D1360A4" wp14:editId="0B6F2B1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B77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2D54EC6" wp14:editId="0C3BE2F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05B56C6" w14:textId="77777777" w:rsidR="00704BDF" w:rsidRDefault="00704BDF">
    <w:pPr>
      <w:pStyle w:val="Intestazione"/>
    </w:pPr>
  </w:p>
  <w:p w14:paraId="6B1CB2E8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ED9D2" wp14:editId="4D77410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7D85675B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3B68"/>
    <w:rsid w:val="000605FD"/>
    <w:rsid w:val="00062A9A"/>
    <w:rsid w:val="000A03B2"/>
    <w:rsid w:val="000A2D1B"/>
    <w:rsid w:val="000D34BE"/>
    <w:rsid w:val="000E2922"/>
    <w:rsid w:val="000E36F1"/>
    <w:rsid w:val="000E3A73"/>
    <w:rsid w:val="000E414A"/>
    <w:rsid w:val="000F3077"/>
    <w:rsid w:val="000F796E"/>
    <w:rsid w:val="00110CC8"/>
    <w:rsid w:val="0013121F"/>
    <w:rsid w:val="00134DE4"/>
    <w:rsid w:val="00150E59"/>
    <w:rsid w:val="00172ACE"/>
    <w:rsid w:val="00184AD6"/>
    <w:rsid w:val="00184D84"/>
    <w:rsid w:val="001B65C1"/>
    <w:rsid w:val="001C684B"/>
    <w:rsid w:val="001D1E9D"/>
    <w:rsid w:val="001D53FC"/>
    <w:rsid w:val="001F2EC7"/>
    <w:rsid w:val="001F4F40"/>
    <w:rsid w:val="002065DB"/>
    <w:rsid w:val="00221977"/>
    <w:rsid w:val="00223AF8"/>
    <w:rsid w:val="00226128"/>
    <w:rsid w:val="00242CBB"/>
    <w:rsid w:val="002447EF"/>
    <w:rsid w:val="00251550"/>
    <w:rsid w:val="00263A2A"/>
    <w:rsid w:val="0027221A"/>
    <w:rsid w:val="00275B61"/>
    <w:rsid w:val="00287025"/>
    <w:rsid w:val="002D1F12"/>
    <w:rsid w:val="002E1418"/>
    <w:rsid w:val="003009B7"/>
    <w:rsid w:val="0030469C"/>
    <w:rsid w:val="0033664C"/>
    <w:rsid w:val="003516AF"/>
    <w:rsid w:val="003723D4"/>
    <w:rsid w:val="00374A63"/>
    <w:rsid w:val="003A25B9"/>
    <w:rsid w:val="003A7D1C"/>
    <w:rsid w:val="003C4504"/>
    <w:rsid w:val="003F12C2"/>
    <w:rsid w:val="00407D4F"/>
    <w:rsid w:val="00425B60"/>
    <w:rsid w:val="0046164A"/>
    <w:rsid w:val="00462DCD"/>
    <w:rsid w:val="00473F6C"/>
    <w:rsid w:val="00481DB8"/>
    <w:rsid w:val="004C5017"/>
    <w:rsid w:val="004D1162"/>
    <w:rsid w:val="004D339D"/>
    <w:rsid w:val="004E4DD6"/>
    <w:rsid w:val="004E7427"/>
    <w:rsid w:val="004F5E36"/>
    <w:rsid w:val="0050729E"/>
    <w:rsid w:val="005119A5"/>
    <w:rsid w:val="005278B7"/>
    <w:rsid w:val="00531EEB"/>
    <w:rsid w:val="005346C8"/>
    <w:rsid w:val="005572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0B96"/>
    <w:rsid w:val="0064184D"/>
    <w:rsid w:val="00660E3E"/>
    <w:rsid w:val="00662E74"/>
    <w:rsid w:val="00691DC3"/>
    <w:rsid w:val="006A58D2"/>
    <w:rsid w:val="006C5579"/>
    <w:rsid w:val="006C598D"/>
    <w:rsid w:val="006D6068"/>
    <w:rsid w:val="00700815"/>
    <w:rsid w:val="00704BDF"/>
    <w:rsid w:val="007334C8"/>
    <w:rsid w:val="00736B13"/>
    <w:rsid w:val="007447F3"/>
    <w:rsid w:val="007661C8"/>
    <w:rsid w:val="0079043C"/>
    <w:rsid w:val="007A34D4"/>
    <w:rsid w:val="007D52CD"/>
    <w:rsid w:val="007F38A7"/>
    <w:rsid w:val="0080117E"/>
    <w:rsid w:val="00813288"/>
    <w:rsid w:val="008168FC"/>
    <w:rsid w:val="00832EDD"/>
    <w:rsid w:val="00843349"/>
    <w:rsid w:val="008479A2"/>
    <w:rsid w:val="008551A6"/>
    <w:rsid w:val="0087637F"/>
    <w:rsid w:val="00882693"/>
    <w:rsid w:val="008A1512"/>
    <w:rsid w:val="008A38B6"/>
    <w:rsid w:val="008D0BEB"/>
    <w:rsid w:val="008E566E"/>
    <w:rsid w:val="008E7B2A"/>
    <w:rsid w:val="00901EB6"/>
    <w:rsid w:val="00904D42"/>
    <w:rsid w:val="00907C30"/>
    <w:rsid w:val="009255E4"/>
    <w:rsid w:val="0093253F"/>
    <w:rsid w:val="009333C9"/>
    <w:rsid w:val="00940C6D"/>
    <w:rsid w:val="009450CE"/>
    <w:rsid w:val="0095164B"/>
    <w:rsid w:val="00955B05"/>
    <w:rsid w:val="0097330B"/>
    <w:rsid w:val="00984CBB"/>
    <w:rsid w:val="00996483"/>
    <w:rsid w:val="009E788A"/>
    <w:rsid w:val="00A1763D"/>
    <w:rsid w:val="00A17CEC"/>
    <w:rsid w:val="00A27EF0"/>
    <w:rsid w:val="00A72DF7"/>
    <w:rsid w:val="00A760A7"/>
    <w:rsid w:val="00A76EFC"/>
    <w:rsid w:val="00A9626B"/>
    <w:rsid w:val="00A96704"/>
    <w:rsid w:val="00A97F29"/>
    <w:rsid w:val="00AB0964"/>
    <w:rsid w:val="00AD4A70"/>
    <w:rsid w:val="00AE377D"/>
    <w:rsid w:val="00B35603"/>
    <w:rsid w:val="00B56299"/>
    <w:rsid w:val="00B566E5"/>
    <w:rsid w:val="00B61DBF"/>
    <w:rsid w:val="00B71D2F"/>
    <w:rsid w:val="00BC30C9"/>
    <w:rsid w:val="00BE3E58"/>
    <w:rsid w:val="00C01616"/>
    <w:rsid w:val="00C0162B"/>
    <w:rsid w:val="00C345B1"/>
    <w:rsid w:val="00C37FE3"/>
    <w:rsid w:val="00C40142"/>
    <w:rsid w:val="00C57182"/>
    <w:rsid w:val="00C655FD"/>
    <w:rsid w:val="00C867B1"/>
    <w:rsid w:val="00C90F23"/>
    <w:rsid w:val="00C94434"/>
    <w:rsid w:val="00CA0562"/>
    <w:rsid w:val="00CA1C95"/>
    <w:rsid w:val="00CA5A9C"/>
    <w:rsid w:val="00CD5FE2"/>
    <w:rsid w:val="00D02B4C"/>
    <w:rsid w:val="00D0352A"/>
    <w:rsid w:val="00D17508"/>
    <w:rsid w:val="00D3140C"/>
    <w:rsid w:val="00D84576"/>
    <w:rsid w:val="00DB2BA5"/>
    <w:rsid w:val="00DE0019"/>
    <w:rsid w:val="00DE264A"/>
    <w:rsid w:val="00E041E7"/>
    <w:rsid w:val="00E13A74"/>
    <w:rsid w:val="00E23CA1"/>
    <w:rsid w:val="00E409A8"/>
    <w:rsid w:val="00E7209D"/>
    <w:rsid w:val="00E83F00"/>
    <w:rsid w:val="00E92E9B"/>
    <w:rsid w:val="00EA50E1"/>
    <w:rsid w:val="00EA7CE7"/>
    <w:rsid w:val="00EE0131"/>
    <w:rsid w:val="00EE6422"/>
    <w:rsid w:val="00F164DF"/>
    <w:rsid w:val="00F30C64"/>
    <w:rsid w:val="00F40FFE"/>
    <w:rsid w:val="00F62AC8"/>
    <w:rsid w:val="00F76D9C"/>
    <w:rsid w:val="00F903CC"/>
    <w:rsid w:val="00FB730C"/>
    <w:rsid w:val="00FB74C0"/>
    <w:rsid w:val="00FC2695"/>
    <w:rsid w:val="00FC3E03"/>
    <w:rsid w:val="00FD7CF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F227F2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Nessunaspaziatura">
    <w:name w:val="No Spacing"/>
    <w:aliases w:val="Bibliography"/>
    <w:uiPriority w:val="1"/>
    <w:qFormat/>
    <w:locked/>
    <w:rsid w:val="00242CBB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F3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BDE3-2AF2-47BB-85E4-BC6FB584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2019-02-14T09:55:00Z</cp:lastPrinted>
  <dcterms:created xsi:type="dcterms:W3CDTF">2019-02-26T09:09:00Z</dcterms:created>
  <dcterms:modified xsi:type="dcterms:W3CDTF">2019-02-26T09:09:00Z</dcterms:modified>
</cp:coreProperties>
</file>