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0B268"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35593173" w14:textId="77777777" w:rsidR="00C923ED" w:rsidRPr="000A03B2" w:rsidRDefault="00C923ED" w:rsidP="00C923ED">
      <w:pPr>
        <w:pStyle w:val="CETAuthors"/>
        <w:tabs>
          <w:tab w:val="clear" w:pos="7100"/>
          <w:tab w:val="right" w:pos="9070"/>
        </w:tabs>
        <w:rPr>
          <w:lang w:val="en-US"/>
        </w:rPr>
        <w:sectPr w:rsidR="00C923ED" w:rsidRPr="000A03B2" w:rsidSect="00704BDF">
          <w:headerReference w:type="default" r:id="rId10"/>
          <w:headerReference w:type="first" r:id="rId11"/>
          <w:type w:val="continuous"/>
          <w:pgSz w:w="11906" w:h="16838" w:code="9"/>
          <w:pgMar w:top="1985" w:right="1418" w:bottom="1701" w:left="1418" w:header="993" w:footer="0" w:gutter="0"/>
          <w:cols w:space="708"/>
          <w:titlePg/>
          <w:docGrid w:linePitch="360"/>
        </w:sectPr>
      </w:pPr>
    </w:p>
    <w:p w14:paraId="39CAD14F" w14:textId="763A22F6" w:rsidR="00C923ED" w:rsidRDefault="00C923ED" w:rsidP="00C923ED">
      <w:pPr>
        <w:jc w:val="center"/>
        <w:rPr>
          <w:rFonts w:asciiTheme="minorHAnsi" w:hAnsiTheme="minorHAnsi" w:cs="Arial"/>
          <w:b/>
          <w:i/>
          <w:sz w:val="28"/>
        </w:rPr>
      </w:pPr>
      <w:r w:rsidRPr="004E1DE1">
        <w:rPr>
          <w:rFonts w:asciiTheme="minorHAnsi" w:hAnsiTheme="minorHAnsi" w:cs="Arial"/>
          <w:b/>
          <w:sz w:val="28"/>
        </w:rPr>
        <w:t>Lab</w:t>
      </w:r>
      <w:r w:rsidR="00F97AD5" w:rsidRPr="004E1DE1">
        <w:rPr>
          <w:rFonts w:asciiTheme="minorHAnsi" w:hAnsiTheme="minorHAnsi" w:cs="Arial"/>
          <w:b/>
          <w:sz w:val="28"/>
        </w:rPr>
        <w:t xml:space="preserve">-Scale Tank </w:t>
      </w:r>
      <w:r w:rsidR="00F97AD5">
        <w:rPr>
          <w:rFonts w:asciiTheme="minorHAnsi" w:hAnsiTheme="minorHAnsi" w:cs="Arial"/>
          <w:b/>
          <w:sz w:val="28"/>
        </w:rPr>
        <w:t>a</w:t>
      </w:r>
      <w:r w:rsidR="00F97AD5" w:rsidRPr="004E1DE1">
        <w:rPr>
          <w:rFonts w:asciiTheme="minorHAnsi" w:hAnsiTheme="minorHAnsi" w:cs="Arial"/>
          <w:b/>
          <w:sz w:val="28"/>
        </w:rPr>
        <w:t xml:space="preserve">nd Heap Bioleaching </w:t>
      </w:r>
      <w:r w:rsidR="00F97AD5">
        <w:rPr>
          <w:rFonts w:asciiTheme="minorHAnsi" w:hAnsiTheme="minorHAnsi" w:cs="Arial"/>
          <w:b/>
          <w:sz w:val="28"/>
        </w:rPr>
        <w:t>o</w:t>
      </w:r>
      <w:r w:rsidR="00F97AD5" w:rsidRPr="004E1DE1">
        <w:rPr>
          <w:rFonts w:asciiTheme="minorHAnsi" w:hAnsiTheme="minorHAnsi" w:cs="Arial"/>
          <w:b/>
          <w:sz w:val="28"/>
        </w:rPr>
        <w:t xml:space="preserve">f </w:t>
      </w:r>
      <w:r w:rsidR="00F97AD5">
        <w:rPr>
          <w:rFonts w:asciiTheme="minorHAnsi" w:hAnsiTheme="minorHAnsi" w:cs="Arial"/>
          <w:b/>
          <w:sz w:val="28"/>
        </w:rPr>
        <w:t>Light Shred</w:t>
      </w:r>
      <w:r w:rsidR="00F97AD5" w:rsidRPr="004E1DE1">
        <w:rPr>
          <w:rFonts w:asciiTheme="minorHAnsi" w:hAnsiTheme="minorHAnsi" w:cs="Arial"/>
          <w:b/>
          <w:sz w:val="28"/>
        </w:rPr>
        <w:t xml:space="preserve"> Fractions </w:t>
      </w:r>
      <w:r w:rsidR="00F97AD5">
        <w:rPr>
          <w:rFonts w:asciiTheme="minorHAnsi" w:hAnsiTheme="minorHAnsi" w:cs="Arial"/>
          <w:b/>
          <w:sz w:val="28"/>
        </w:rPr>
        <w:t>b</w:t>
      </w:r>
      <w:r w:rsidR="00F97AD5" w:rsidRPr="004E1DE1">
        <w:rPr>
          <w:rFonts w:asciiTheme="minorHAnsi" w:hAnsiTheme="minorHAnsi" w:cs="Arial"/>
          <w:b/>
          <w:sz w:val="28"/>
        </w:rPr>
        <w:t xml:space="preserve">y </w:t>
      </w:r>
      <w:proofErr w:type="spellStart"/>
      <w:r w:rsidRPr="004E1DE1">
        <w:rPr>
          <w:rFonts w:asciiTheme="minorHAnsi" w:hAnsiTheme="minorHAnsi" w:cs="Arial"/>
          <w:b/>
          <w:i/>
          <w:sz w:val="28"/>
        </w:rPr>
        <w:t>Acidithiobacillus</w:t>
      </w:r>
      <w:proofErr w:type="spellEnd"/>
      <w:r w:rsidRPr="004E1DE1">
        <w:rPr>
          <w:rFonts w:asciiTheme="minorHAnsi" w:hAnsiTheme="minorHAnsi" w:cs="Arial"/>
          <w:b/>
          <w:i/>
          <w:sz w:val="28"/>
        </w:rPr>
        <w:t xml:space="preserve"> </w:t>
      </w:r>
      <w:proofErr w:type="spellStart"/>
      <w:r w:rsidR="00F97AD5" w:rsidRPr="004E1DE1">
        <w:rPr>
          <w:rFonts w:asciiTheme="minorHAnsi" w:hAnsiTheme="minorHAnsi" w:cs="Arial"/>
          <w:b/>
          <w:i/>
          <w:sz w:val="28"/>
        </w:rPr>
        <w:t>Ferrooxidans</w:t>
      </w:r>
      <w:proofErr w:type="spellEnd"/>
      <w:r w:rsidR="00F97AD5">
        <w:rPr>
          <w:rFonts w:asciiTheme="minorHAnsi" w:hAnsiTheme="minorHAnsi" w:cs="Arial"/>
          <w:b/>
          <w:i/>
          <w:sz w:val="28"/>
        </w:rPr>
        <w:t>.</w:t>
      </w:r>
      <w:bookmarkStart w:id="0" w:name="_GoBack"/>
      <w:bookmarkEnd w:id="0"/>
    </w:p>
    <w:p w14:paraId="34CC96F2" w14:textId="77777777" w:rsidR="00C923ED" w:rsidRPr="004E1DE1" w:rsidRDefault="00C923ED" w:rsidP="00C923ED">
      <w:pPr>
        <w:jc w:val="center"/>
        <w:rPr>
          <w:rFonts w:asciiTheme="minorHAnsi" w:hAnsiTheme="minorHAnsi" w:cs="Arial"/>
          <w:b/>
          <w:i/>
          <w:sz w:val="28"/>
        </w:rPr>
      </w:pPr>
    </w:p>
    <w:p w14:paraId="27C79430" w14:textId="77777777" w:rsidR="00C923ED" w:rsidRPr="0026459F" w:rsidRDefault="00C923ED" w:rsidP="00C923ED">
      <w:pPr>
        <w:snapToGrid w:val="0"/>
        <w:spacing w:after="120"/>
        <w:jc w:val="center"/>
        <w:rPr>
          <w:rFonts w:eastAsia="SimSun"/>
          <w:color w:val="000000"/>
          <w:lang w:val="de-AT" w:eastAsia="zh-CN"/>
        </w:rPr>
      </w:pPr>
      <w:r w:rsidRPr="0026459F">
        <w:rPr>
          <w:rFonts w:asciiTheme="minorHAnsi" w:eastAsia="SimSun" w:hAnsiTheme="minorHAnsi"/>
          <w:color w:val="000000"/>
          <w:sz w:val="24"/>
          <w:szCs w:val="24"/>
          <w:u w:val="single"/>
          <w:lang w:val="de-AT" w:eastAsia="zh-CN"/>
        </w:rPr>
        <w:t>Klemens Kremser</w:t>
      </w:r>
      <w:r w:rsidRPr="0026459F">
        <w:rPr>
          <w:rFonts w:asciiTheme="minorHAnsi" w:eastAsia="SimSun" w:hAnsiTheme="minorHAnsi"/>
          <w:color w:val="000000"/>
          <w:sz w:val="24"/>
          <w:szCs w:val="24"/>
          <w:u w:val="single"/>
          <w:vertAlign w:val="superscript"/>
          <w:lang w:val="de-AT" w:eastAsia="zh-CN"/>
        </w:rPr>
        <w:t>1</w:t>
      </w:r>
      <w:r w:rsidRPr="0026459F">
        <w:rPr>
          <w:rFonts w:asciiTheme="minorHAnsi" w:eastAsia="SimSun" w:hAnsiTheme="minorHAnsi"/>
          <w:color w:val="000000"/>
          <w:sz w:val="24"/>
          <w:szCs w:val="24"/>
          <w:lang w:val="de-AT" w:eastAsia="zh-CN"/>
        </w:rPr>
        <w:t xml:space="preserve">, </w:t>
      </w:r>
      <w:r>
        <w:rPr>
          <w:rFonts w:asciiTheme="minorHAnsi" w:eastAsia="SimSun" w:hAnsiTheme="minorHAnsi"/>
          <w:color w:val="000000"/>
          <w:sz w:val="24"/>
          <w:szCs w:val="24"/>
          <w:lang w:val="de-AT" w:eastAsia="zh-CN"/>
        </w:rPr>
        <w:t>Stefan Weiss</w:t>
      </w:r>
      <w:r>
        <w:rPr>
          <w:rFonts w:asciiTheme="minorHAnsi" w:eastAsia="SimSun" w:hAnsiTheme="minorHAnsi"/>
          <w:color w:val="000000"/>
          <w:sz w:val="24"/>
          <w:szCs w:val="24"/>
          <w:vertAlign w:val="superscript"/>
          <w:lang w:val="de-AT" w:eastAsia="zh-CN"/>
        </w:rPr>
        <w:t>2</w:t>
      </w:r>
      <w:r>
        <w:rPr>
          <w:rFonts w:asciiTheme="minorHAnsi" w:eastAsia="SimSun" w:hAnsiTheme="minorHAnsi"/>
          <w:color w:val="000000"/>
          <w:sz w:val="24"/>
          <w:szCs w:val="24"/>
          <w:lang w:val="de-AT" w:eastAsia="zh-CN"/>
        </w:rPr>
        <w:t>, Sophie Thallner</w:t>
      </w:r>
      <w:r w:rsidRPr="00563712">
        <w:rPr>
          <w:rFonts w:asciiTheme="minorHAnsi" w:eastAsia="SimSun" w:hAnsiTheme="minorHAnsi"/>
          <w:color w:val="000000"/>
          <w:sz w:val="24"/>
          <w:szCs w:val="24"/>
          <w:vertAlign w:val="superscript"/>
          <w:lang w:val="de-AT" w:eastAsia="zh-CN"/>
        </w:rPr>
        <w:t>2</w:t>
      </w:r>
      <w:r>
        <w:rPr>
          <w:rFonts w:asciiTheme="minorHAnsi" w:eastAsia="SimSun" w:hAnsiTheme="minorHAnsi"/>
          <w:color w:val="000000"/>
          <w:sz w:val="24"/>
          <w:szCs w:val="24"/>
          <w:lang w:val="de-AT" w:eastAsia="zh-CN"/>
        </w:rPr>
        <w:t>, Christine Hemmelmair</w:t>
      </w:r>
      <w:r w:rsidRPr="00563712">
        <w:rPr>
          <w:rFonts w:asciiTheme="minorHAnsi" w:eastAsia="SimSun" w:hAnsiTheme="minorHAnsi"/>
          <w:color w:val="000000"/>
          <w:sz w:val="24"/>
          <w:szCs w:val="24"/>
          <w:vertAlign w:val="superscript"/>
          <w:lang w:val="de-AT" w:eastAsia="zh-CN"/>
        </w:rPr>
        <w:t>1</w:t>
      </w:r>
      <w:r>
        <w:rPr>
          <w:rFonts w:asciiTheme="minorHAnsi" w:eastAsia="SimSun" w:hAnsiTheme="minorHAnsi"/>
          <w:color w:val="000000"/>
          <w:sz w:val="24"/>
          <w:szCs w:val="24"/>
          <w:lang w:val="de-AT" w:eastAsia="zh-CN"/>
        </w:rPr>
        <w:t>, Wolfgang Schnitzhofer</w:t>
      </w:r>
      <w:r w:rsidRPr="00563712">
        <w:rPr>
          <w:rFonts w:asciiTheme="minorHAnsi" w:eastAsia="SimSun" w:hAnsiTheme="minorHAnsi"/>
          <w:color w:val="000000"/>
          <w:sz w:val="24"/>
          <w:szCs w:val="24"/>
          <w:vertAlign w:val="superscript"/>
          <w:lang w:val="de-AT" w:eastAsia="zh-CN"/>
        </w:rPr>
        <w:t>2</w:t>
      </w:r>
      <w:r>
        <w:rPr>
          <w:rFonts w:asciiTheme="minorHAnsi" w:eastAsia="SimSun" w:hAnsiTheme="minorHAnsi"/>
          <w:color w:val="000000"/>
          <w:sz w:val="24"/>
          <w:szCs w:val="24"/>
          <w:lang w:val="de-AT" w:eastAsia="zh-CN"/>
        </w:rPr>
        <w:t xml:space="preserve">, </w:t>
      </w:r>
      <w:r w:rsidRPr="0026459F">
        <w:rPr>
          <w:rFonts w:asciiTheme="minorHAnsi" w:eastAsia="SimSun" w:hAnsiTheme="minorHAnsi"/>
          <w:color w:val="000000"/>
          <w:sz w:val="24"/>
          <w:szCs w:val="24"/>
          <w:lang w:val="de-AT" w:eastAsia="zh-CN"/>
        </w:rPr>
        <w:t>Georg M. Gübitz</w:t>
      </w:r>
      <w:r w:rsidRPr="0026459F">
        <w:rPr>
          <w:rFonts w:asciiTheme="minorHAnsi" w:eastAsia="SimSun" w:hAnsiTheme="minorHAnsi"/>
          <w:color w:val="000000"/>
          <w:sz w:val="24"/>
          <w:szCs w:val="24"/>
          <w:vertAlign w:val="superscript"/>
          <w:lang w:val="de-AT" w:eastAsia="zh-CN"/>
        </w:rPr>
        <w:t>1</w:t>
      </w:r>
      <w:r>
        <w:rPr>
          <w:rFonts w:asciiTheme="minorHAnsi" w:eastAsia="SimSun" w:hAnsiTheme="minorHAnsi"/>
          <w:color w:val="000000"/>
          <w:sz w:val="24"/>
          <w:szCs w:val="24"/>
          <w:vertAlign w:val="superscript"/>
          <w:lang w:val="de-AT" w:eastAsia="zh-CN"/>
        </w:rPr>
        <w:t>,2</w:t>
      </w:r>
    </w:p>
    <w:p w14:paraId="2E8CB9D9" w14:textId="77777777" w:rsidR="00C923ED" w:rsidRDefault="00C923ED" w:rsidP="00C923ED">
      <w:pPr>
        <w:snapToGrid w:val="0"/>
        <w:spacing w:after="120"/>
        <w:jc w:val="center"/>
        <w:rPr>
          <w:rFonts w:asciiTheme="minorHAnsi" w:hAnsiTheme="minorHAnsi"/>
          <w:i/>
          <w:sz w:val="20"/>
        </w:rPr>
      </w:pPr>
      <w:r>
        <w:rPr>
          <w:rFonts w:asciiTheme="minorHAnsi" w:hAnsiTheme="minorHAnsi"/>
          <w:i/>
          <w:sz w:val="20"/>
          <w:vertAlign w:val="superscript"/>
        </w:rPr>
        <w:t>1</w:t>
      </w:r>
      <w:r>
        <w:rPr>
          <w:rFonts w:asciiTheme="minorHAnsi" w:hAnsiTheme="minorHAnsi"/>
          <w:i/>
          <w:sz w:val="20"/>
        </w:rPr>
        <w:t xml:space="preserve"> </w:t>
      </w:r>
      <w:r w:rsidRPr="007602B7">
        <w:rPr>
          <w:rFonts w:asciiTheme="minorHAnsi" w:hAnsiTheme="minorHAnsi"/>
          <w:i/>
          <w:sz w:val="20"/>
        </w:rPr>
        <w:t>University of Natural Resources and Life Sciences Vienna</w:t>
      </w:r>
      <w:r>
        <w:rPr>
          <w:rFonts w:asciiTheme="minorHAnsi" w:hAnsiTheme="minorHAnsi"/>
          <w:i/>
          <w:sz w:val="20"/>
        </w:rPr>
        <w:t xml:space="preserve"> BOKU</w:t>
      </w:r>
      <w:r w:rsidRPr="007602B7">
        <w:rPr>
          <w:rFonts w:asciiTheme="minorHAnsi" w:hAnsiTheme="minorHAnsi"/>
          <w:i/>
          <w:sz w:val="20"/>
        </w:rPr>
        <w:t>, Dep. of Agrobiotechnology IFA-</w:t>
      </w:r>
      <w:proofErr w:type="spellStart"/>
      <w:r w:rsidRPr="007602B7">
        <w:rPr>
          <w:rFonts w:asciiTheme="minorHAnsi" w:hAnsiTheme="minorHAnsi"/>
          <w:i/>
          <w:sz w:val="20"/>
        </w:rPr>
        <w:t>Tulln</w:t>
      </w:r>
      <w:proofErr w:type="spellEnd"/>
      <w:r w:rsidRPr="007602B7">
        <w:rPr>
          <w:rFonts w:asciiTheme="minorHAnsi" w:hAnsiTheme="minorHAnsi"/>
          <w:i/>
          <w:sz w:val="20"/>
        </w:rPr>
        <w:t>, Inst. of Enviro</w:t>
      </w:r>
      <w:r>
        <w:rPr>
          <w:rFonts w:asciiTheme="minorHAnsi" w:hAnsiTheme="minorHAnsi"/>
          <w:i/>
          <w:sz w:val="20"/>
        </w:rPr>
        <w:t>nmental</w:t>
      </w:r>
      <w:r w:rsidRPr="007602B7">
        <w:rPr>
          <w:rFonts w:asciiTheme="minorHAnsi" w:hAnsiTheme="minorHAnsi"/>
          <w:i/>
          <w:sz w:val="20"/>
        </w:rPr>
        <w:t xml:space="preserve"> Biotec</w:t>
      </w:r>
      <w:r>
        <w:rPr>
          <w:rFonts w:asciiTheme="minorHAnsi" w:hAnsiTheme="minorHAnsi"/>
          <w:i/>
          <w:sz w:val="20"/>
        </w:rPr>
        <w:t>hnology</w:t>
      </w:r>
    </w:p>
    <w:p w14:paraId="67C28D73" w14:textId="77777777" w:rsidR="00C923ED" w:rsidRPr="002A76AF" w:rsidRDefault="00C923ED" w:rsidP="00C923ED">
      <w:pPr>
        <w:snapToGrid w:val="0"/>
        <w:jc w:val="center"/>
        <w:rPr>
          <w:rFonts w:asciiTheme="minorHAnsi" w:eastAsia="MS PGothic" w:hAnsiTheme="minorHAnsi"/>
          <w:bCs/>
          <w:i/>
          <w:iCs/>
          <w:color w:val="000000"/>
          <w:sz w:val="22"/>
          <w:lang w:val="en-US"/>
        </w:rPr>
      </w:pPr>
      <w:r>
        <w:rPr>
          <w:rFonts w:asciiTheme="minorHAnsi" w:hAnsiTheme="minorHAnsi"/>
          <w:i/>
          <w:sz w:val="20"/>
          <w:vertAlign w:val="superscript"/>
        </w:rPr>
        <w:t>2</w:t>
      </w:r>
      <w:r>
        <w:rPr>
          <w:rFonts w:asciiTheme="minorHAnsi" w:hAnsiTheme="minorHAnsi"/>
          <w:i/>
          <w:sz w:val="20"/>
        </w:rPr>
        <w:t xml:space="preserve"> </w:t>
      </w:r>
      <w:r w:rsidRPr="002A76AF">
        <w:rPr>
          <w:rFonts w:asciiTheme="minorHAnsi" w:hAnsiTheme="minorHAnsi"/>
          <w:i/>
          <w:sz w:val="20"/>
        </w:rPr>
        <w:t>Austrian Centre of Industrial Biotechnology</w:t>
      </w:r>
    </w:p>
    <w:p w14:paraId="2DB969E4" w14:textId="77777777" w:rsidR="00C923ED" w:rsidRDefault="00C923ED" w:rsidP="00C923ED">
      <w:pPr>
        <w:snapToGrid w:val="0"/>
        <w:jc w:val="center"/>
        <w:rPr>
          <w:rFonts w:asciiTheme="minorHAnsi" w:eastAsia="MS PGothic" w:hAnsiTheme="minorHAnsi"/>
          <w:bCs/>
          <w:i/>
          <w:iCs/>
          <w:color w:val="000000"/>
          <w:sz w:val="20"/>
          <w:lang w:val="en-US"/>
        </w:rPr>
      </w:pPr>
    </w:p>
    <w:p w14:paraId="3D2025FF" w14:textId="77777777" w:rsidR="00C923ED" w:rsidRPr="00DE0019" w:rsidRDefault="00C923ED" w:rsidP="00C923ED">
      <w:pPr>
        <w:snapToGrid w:val="0"/>
        <w:jc w:val="center"/>
        <w:rPr>
          <w:rFonts w:asciiTheme="minorHAnsi" w:eastAsia="MS PGothic" w:hAnsiTheme="minorHAnsi"/>
          <w:bCs/>
          <w:i/>
          <w:iCs/>
          <w:sz w:val="20"/>
          <w:lang w:val="en-US"/>
        </w:rPr>
      </w:pPr>
      <w:r>
        <w:rPr>
          <w:rFonts w:asciiTheme="minorHAnsi" w:eastAsia="MS PGothic" w:hAnsiTheme="minorHAnsi"/>
          <w:bCs/>
          <w:i/>
          <w:iCs/>
          <w:color w:val="000000"/>
          <w:sz w:val="20"/>
          <w:lang w:val="en-US"/>
        </w:rPr>
        <w:t>Email:</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klemens.kremser@boku.ac.at</w:t>
      </w:r>
    </w:p>
    <w:p w14:paraId="155E7D22" w14:textId="77777777" w:rsidR="00C923ED" w:rsidRPr="00EC66CC" w:rsidRDefault="00C923ED" w:rsidP="00C923ED">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64F33E7E" w14:textId="77777777" w:rsidR="00C923ED" w:rsidRPr="00EC66CC" w:rsidRDefault="00C923ED" w:rsidP="00C923ED">
      <w:pPr>
        <w:pStyle w:val="AbstractBody"/>
        <w:numPr>
          <w:ilvl w:val="0"/>
          <w:numId w:val="16"/>
        </w:numPr>
        <w:rPr>
          <w:rFonts w:asciiTheme="minorHAnsi" w:hAnsiTheme="minorHAnsi"/>
        </w:rPr>
      </w:pPr>
      <w:r>
        <w:rPr>
          <w:rFonts w:asciiTheme="minorHAnsi" w:hAnsiTheme="minorHAnsi"/>
        </w:rPr>
        <w:t>Bioleaching efficiencies up to 80% within 20 days.</w:t>
      </w:r>
    </w:p>
    <w:p w14:paraId="62B14A01" w14:textId="77777777" w:rsidR="00C923ED" w:rsidRPr="00EC66CC" w:rsidRDefault="00C923ED" w:rsidP="00C923ED">
      <w:pPr>
        <w:pStyle w:val="AbstractBody"/>
        <w:numPr>
          <w:ilvl w:val="0"/>
          <w:numId w:val="16"/>
        </w:numPr>
        <w:rPr>
          <w:rFonts w:asciiTheme="minorHAnsi" w:hAnsiTheme="minorHAnsi"/>
        </w:rPr>
      </w:pPr>
      <w:r>
        <w:rPr>
          <w:rFonts w:asciiTheme="minorHAnsi" w:hAnsiTheme="minorHAnsi"/>
        </w:rPr>
        <w:t>Heap bioleaching shows high potential for Cu and Zn.</w:t>
      </w:r>
    </w:p>
    <w:p w14:paraId="4670E739" w14:textId="77777777" w:rsidR="00C923ED" w:rsidRPr="00EC66CC" w:rsidRDefault="00C923ED" w:rsidP="00C923ED">
      <w:pPr>
        <w:pStyle w:val="AbstractBody"/>
        <w:numPr>
          <w:ilvl w:val="0"/>
          <w:numId w:val="16"/>
        </w:numPr>
        <w:rPr>
          <w:rFonts w:asciiTheme="minorHAnsi" w:hAnsiTheme="minorHAnsi"/>
        </w:rPr>
      </w:pPr>
      <w:r>
        <w:rPr>
          <w:rFonts w:asciiTheme="minorHAnsi" w:hAnsiTheme="minorHAnsi"/>
        </w:rPr>
        <w:t>Leaching efficiencies are highly dependent from loading rates.</w:t>
      </w:r>
    </w:p>
    <w:p w14:paraId="74634DE5" w14:textId="77777777" w:rsidR="00C923ED" w:rsidRPr="00A15B93" w:rsidRDefault="00C923ED" w:rsidP="00C923ED">
      <w:pPr>
        <w:snapToGrid w:val="0"/>
        <w:spacing w:after="120"/>
        <w:jc w:val="center"/>
        <w:rPr>
          <w:rFonts w:eastAsia="SimSun"/>
          <w:bCs/>
          <w:i/>
          <w:iCs/>
          <w:color w:val="0000FF"/>
          <w:sz w:val="20"/>
          <w:lang w:val="en-US" w:eastAsia="zh-CN"/>
        </w:rPr>
      </w:pPr>
    </w:p>
    <w:p w14:paraId="20B04261" w14:textId="77777777" w:rsidR="00C923ED" w:rsidRDefault="00C923ED" w:rsidP="00C923ED">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1. Introduction</w:t>
      </w:r>
    </w:p>
    <w:p w14:paraId="24EF4434" w14:textId="77777777" w:rsidR="00C923ED" w:rsidRDefault="00C923ED" w:rsidP="00C923ED">
      <w:pPr>
        <w:snapToGrid w:val="0"/>
        <w:spacing w:line="300" w:lineRule="auto"/>
        <w:rPr>
          <w:rFonts w:asciiTheme="minorHAnsi" w:hAnsiTheme="minorHAnsi" w:cs="Arial"/>
          <w:sz w:val="22"/>
          <w:szCs w:val="22"/>
        </w:rPr>
      </w:pPr>
      <w:r w:rsidRPr="004E1DE1">
        <w:rPr>
          <w:rFonts w:asciiTheme="minorHAnsi" w:hAnsiTheme="minorHAnsi" w:cs="Arial"/>
          <w:sz w:val="22"/>
          <w:szCs w:val="22"/>
        </w:rPr>
        <w:t>Companies</w:t>
      </w:r>
      <w:r>
        <w:rPr>
          <w:rFonts w:asciiTheme="minorHAnsi" w:hAnsiTheme="minorHAnsi" w:cs="Arial"/>
          <w:sz w:val="22"/>
          <w:szCs w:val="22"/>
        </w:rPr>
        <w:t xml:space="preserve"> in the field of automotive and residual waste usually</w:t>
      </w:r>
      <w:r w:rsidRPr="004E1DE1">
        <w:rPr>
          <w:rFonts w:asciiTheme="minorHAnsi" w:hAnsiTheme="minorHAnsi" w:cs="Arial"/>
          <w:sz w:val="22"/>
          <w:szCs w:val="22"/>
        </w:rPr>
        <w:t xml:space="preserve"> crush materials in big shredders in order to increase the surfac</w:t>
      </w:r>
      <w:r>
        <w:rPr>
          <w:rFonts w:asciiTheme="minorHAnsi" w:hAnsiTheme="minorHAnsi" w:cs="Arial"/>
          <w:sz w:val="22"/>
          <w:szCs w:val="22"/>
        </w:rPr>
        <w:t>e area for further processing. During</w:t>
      </w:r>
      <w:r w:rsidRPr="004E1DE1">
        <w:rPr>
          <w:rFonts w:asciiTheme="minorHAnsi" w:hAnsiTheme="minorHAnsi" w:cs="Arial"/>
          <w:sz w:val="22"/>
          <w:szCs w:val="22"/>
        </w:rPr>
        <w:t xml:space="preserve"> the shredding process, the so called light shred fraction, containing mainly plastics and other synthetic polymers, is </w:t>
      </w:r>
      <w:r>
        <w:rPr>
          <w:rFonts w:asciiTheme="minorHAnsi" w:hAnsiTheme="minorHAnsi" w:cs="Arial"/>
          <w:sz w:val="22"/>
          <w:szCs w:val="22"/>
        </w:rPr>
        <w:t>discharged and deposited. However, these fractions still contain</w:t>
      </w:r>
      <w:r w:rsidRPr="004E1DE1">
        <w:rPr>
          <w:rFonts w:asciiTheme="minorHAnsi" w:hAnsiTheme="minorHAnsi" w:cs="Arial"/>
          <w:sz w:val="22"/>
          <w:szCs w:val="22"/>
        </w:rPr>
        <w:t xml:space="preserve"> </w:t>
      </w:r>
      <w:r>
        <w:rPr>
          <w:rFonts w:asciiTheme="minorHAnsi" w:hAnsiTheme="minorHAnsi" w:cs="Arial"/>
          <w:sz w:val="22"/>
          <w:szCs w:val="22"/>
        </w:rPr>
        <w:t>reasonable amounts of metals such as Fe</w:t>
      </w:r>
      <w:r w:rsidRPr="004E1DE1">
        <w:rPr>
          <w:rFonts w:asciiTheme="minorHAnsi" w:hAnsiTheme="minorHAnsi" w:cs="Arial"/>
          <w:sz w:val="22"/>
          <w:szCs w:val="22"/>
        </w:rPr>
        <w:t>, Cu</w:t>
      </w:r>
      <w:r>
        <w:rPr>
          <w:rFonts w:asciiTheme="minorHAnsi" w:hAnsiTheme="minorHAnsi" w:cs="Arial"/>
          <w:sz w:val="22"/>
          <w:szCs w:val="22"/>
        </w:rPr>
        <w:t>, Ni</w:t>
      </w:r>
      <w:r w:rsidRPr="004E1DE1">
        <w:rPr>
          <w:rFonts w:asciiTheme="minorHAnsi" w:hAnsiTheme="minorHAnsi" w:cs="Arial"/>
          <w:sz w:val="22"/>
          <w:szCs w:val="22"/>
        </w:rPr>
        <w:t xml:space="preserve"> and Zn</w:t>
      </w:r>
      <w:r>
        <w:rPr>
          <w:rFonts w:asciiTheme="minorHAnsi" w:hAnsiTheme="minorHAnsi" w:cs="Arial"/>
          <w:sz w:val="22"/>
          <w:szCs w:val="22"/>
        </w:rPr>
        <w:t>, making them</w:t>
      </w:r>
      <w:r w:rsidRPr="004E1DE1">
        <w:rPr>
          <w:rFonts w:asciiTheme="minorHAnsi" w:hAnsiTheme="minorHAnsi" w:cs="Arial"/>
          <w:sz w:val="22"/>
          <w:szCs w:val="22"/>
        </w:rPr>
        <w:t xml:space="preserve"> an interesting substrate for bioleachin</w:t>
      </w:r>
      <w:r>
        <w:rPr>
          <w:rFonts w:asciiTheme="minorHAnsi" w:hAnsiTheme="minorHAnsi" w:cs="Arial"/>
          <w:sz w:val="22"/>
          <w:szCs w:val="22"/>
        </w:rPr>
        <w:t>g. Within the last six</w:t>
      </w:r>
      <w:r w:rsidRPr="004E1DE1">
        <w:rPr>
          <w:rFonts w:asciiTheme="minorHAnsi" w:hAnsiTheme="minorHAnsi" w:cs="Arial"/>
          <w:sz w:val="22"/>
          <w:szCs w:val="22"/>
        </w:rPr>
        <w:t xml:space="preserve"> decades, the use of mic</w:t>
      </w:r>
      <w:r>
        <w:rPr>
          <w:rFonts w:asciiTheme="minorHAnsi" w:hAnsiTheme="minorHAnsi" w:cs="Arial"/>
          <w:sz w:val="22"/>
          <w:szCs w:val="22"/>
        </w:rPr>
        <w:t xml:space="preserve">robes for metal recovery, </w:t>
      </w:r>
      <w:r w:rsidRPr="004E1DE1">
        <w:rPr>
          <w:rFonts w:asciiTheme="minorHAnsi" w:hAnsiTheme="minorHAnsi" w:cs="Arial"/>
          <w:sz w:val="22"/>
          <w:szCs w:val="22"/>
        </w:rPr>
        <w:t>known as bioleaching, raised the interest of scientists and industry</w:t>
      </w:r>
      <w:r>
        <w:rPr>
          <w:rFonts w:asciiTheme="minorHAnsi" w:hAnsiTheme="minorHAnsi" w:cs="Arial"/>
          <w:sz w:val="22"/>
          <w:szCs w:val="22"/>
        </w:rPr>
        <w:t>, mainly</w:t>
      </w:r>
      <w:r w:rsidRPr="004E1DE1">
        <w:rPr>
          <w:rFonts w:asciiTheme="minorHAnsi" w:hAnsiTheme="minorHAnsi" w:cs="Arial"/>
          <w:sz w:val="22"/>
          <w:szCs w:val="22"/>
        </w:rPr>
        <w:t xml:space="preserve"> due to their high</w:t>
      </w:r>
      <w:r>
        <w:rPr>
          <w:rFonts w:asciiTheme="minorHAnsi" w:hAnsiTheme="minorHAnsi" w:cs="Arial"/>
          <w:sz w:val="22"/>
          <w:szCs w:val="22"/>
        </w:rPr>
        <w:t>er</w:t>
      </w:r>
      <w:r w:rsidRPr="004E1DE1">
        <w:rPr>
          <w:rFonts w:asciiTheme="minorHAnsi" w:hAnsiTheme="minorHAnsi" w:cs="Arial"/>
          <w:sz w:val="22"/>
          <w:szCs w:val="22"/>
        </w:rPr>
        <w:t xml:space="preserve"> efficiency as well as the milder and environmental friendly process conditions</w:t>
      </w:r>
      <w:r>
        <w:rPr>
          <w:rFonts w:asciiTheme="minorHAnsi" w:hAnsiTheme="minorHAnsi" w:cs="Arial"/>
          <w:sz w:val="22"/>
          <w:szCs w:val="22"/>
        </w:rPr>
        <w:fldChar w:fldCharType="begin" w:fldLock="1"/>
      </w:r>
      <w:r>
        <w:rPr>
          <w:rFonts w:asciiTheme="minorHAnsi" w:hAnsiTheme="minorHAnsi" w:cs="Arial"/>
          <w:sz w:val="22"/>
          <w:szCs w:val="22"/>
        </w:rPr>
        <w:instrText>ADDIN CSL_CITATION { "citationItems" : [ { "id" : "ITEM-1", "itemData" : { "DOI" : "10.1016/j.wasman.2011.08.010", "ISBN" : "0956-053X", "ISSN" : "0956053X", "PMID" : "21925857", "abstract" : "Metal containing wastes/byproducts of various industries, used consumer goods, and municipal waste are potential pollutants, if not treated properly. They may also be important secondary resources if processed in eco-friendly manner for secured supply of contained metals/materials. Bio-extraction of metals from such resources with microbes such as bacteria, fungi and archaea is being increasingly explored to meet the twin objectives of resource recycling and pollution mitigation. This review focuses on the bio-processing of solid wastes/byproducts of metallurgical and manufacturing industries, chemical/petrochemical plants, electroplating and tanning units, besides sewage sludge and fly ash of municipal incinerators, electronic wastes (e-wastes/PCBs), used batteries, etc. An assessment has been made to quantify the wastes generated and its compositions, microbes used, metal leaching efficiency etc. Processing of certain effluents and wastewaters comprising of metals is also included in brief. Future directions of research are highlighted. \u00a9 2011 Elsevier Ltd.", "author" : [ { "dropping-particle" : "", "family" : "Lee", "given" : "Jae chun", "non-dropping-particle" : "", "parse-names" : false, "suffix" : "" }, { "dropping-particle" : "", "family" : "Pandey", "given" : "Banshi Dhar", "non-dropping-particle" : "", "parse-names" : false, "suffix" : "" } ], "container-title" : "Waste Management", "id" : "ITEM-1", "issue" : "1", "issued" : { "date-parts" : [ [ "2012" ] ] }, "page" : "3-18", "publisher" : "Elsevier Ltd", "title" : "Bio-processing of solid wastes and secondary resources for metal extraction - A review", "type" : "article-journal", "volume" : "32" }, "uris" : [ "http://www.mendeley.com/documents/?uuid=c4522ff9-d448-4455-ac57-9165be846e06" ] } ], "mendeley" : { "formattedCitation" : "&lt;sup&gt;1&lt;/sup&gt;", "plainTextFormattedCitation" : "1", "previouslyFormattedCitation" : "&lt;sup&gt;1&lt;/sup&gt;" }, "properties" : { "noteIndex" : 0 }, "schema" : "https://github.com/citation-style-language/schema/raw/master/csl-citation.json" }</w:instrText>
      </w:r>
      <w:r>
        <w:rPr>
          <w:rFonts w:asciiTheme="minorHAnsi" w:hAnsiTheme="minorHAnsi" w:cs="Arial"/>
          <w:sz w:val="22"/>
          <w:szCs w:val="22"/>
        </w:rPr>
        <w:fldChar w:fldCharType="separate"/>
      </w:r>
      <w:r w:rsidRPr="00340669">
        <w:rPr>
          <w:rFonts w:asciiTheme="minorHAnsi" w:hAnsiTheme="minorHAnsi" w:cs="Arial"/>
          <w:noProof/>
          <w:sz w:val="22"/>
          <w:szCs w:val="22"/>
          <w:vertAlign w:val="superscript"/>
        </w:rPr>
        <w:t>1</w:t>
      </w:r>
      <w:r>
        <w:rPr>
          <w:rFonts w:asciiTheme="minorHAnsi" w:hAnsiTheme="minorHAnsi" w:cs="Arial"/>
          <w:sz w:val="22"/>
          <w:szCs w:val="22"/>
        </w:rPr>
        <w:fldChar w:fldCharType="end"/>
      </w:r>
      <w:r w:rsidRPr="004E1DE1">
        <w:rPr>
          <w:rFonts w:asciiTheme="minorHAnsi" w:hAnsiTheme="minorHAnsi" w:cs="Arial"/>
          <w:sz w:val="22"/>
          <w:szCs w:val="22"/>
        </w:rPr>
        <w:t>. The extremely acidophilic, metal-sulphide-dissolving bacteri</w:t>
      </w:r>
      <w:r>
        <w:rPr>
          <w:rFonts w:asciiTheme="minorHAnsi" w:hAnsiTheme="minorHAnsi" w:cs="Arial"/>
          <w:sz w:val="22"/>
          <w:szCs w:val="22"/>
        </w:rPr>
        <w:t>um</w:t>
      </w:r>
      <w:r w:rsidRPr="004E1DE1">
        <w:rPr>
          <w:rFonts w:asciiTheme="minorHAnsi" w:hAnsiTheme="minorHAnsi" w:cs="Arial"/>
          <w:sz w:val="22"/>
          <w:szCs w:val="22"/>
        </w:rPr>
        <w:t xml:space="preserve"> </w:t>
      </w:r>
      <w:proofErr w:type="spellStart"/>
      <w:r w:rsidRPr="004E1DE1">
        <w:rPr>
          <w:rFonts w:asciiTheme="minorHAnsi" w:hAnsiTheme="minorHAnsi" w:cs="Arial"/>
          <w:i/>
          <w:sz w:val="22"/>
          <w:szCs w:val="22"/>
        </w:rPr>
        <w:t>Acidithiobacillus</w:t>
      </w:r>
      <w:proofErr w:type="spellEnd"/>
      <w:r w:rsidRPr="004E1DE1">
        <w:rPr>
          <w:rFonts w:asciiTheme="minorHAnsi" w:hAnsiTheme="minorHAnsi" w:cs="Arial"/>
          <w:i/>
          <w:sz w:val="22"/>
          <w:szCs w:val="22"/>
        </w:rPr>
        <w:t xml:space="preserve"> </w:t>
      </w:r>
      <w:proofErr w:type="spellStart"/>
      <w:r w:rsidRPr="004E1DE1">
        <w:rPr>
          <w:rFonts w:asciiTheme="minorHAnsi" w:hAnsiTheme="minorHAnsi" w:cs="Arial"/>
          <w:i/>
          <w:sz w:val="22"/>
          <w:szCs w:val="22"/>
        </w:rPr>
        <w:t>ferrooxidans</w:t>
      </w:r>
      <w:proofErr w:type="spellEnd"/>
      <w:r w:rsidRPr="004E1DE1">
        <w:rPr>
          <w:rFonts w:asciiTheme="minorHAnsi" w:hAnsiTheme="minorHAnsi" w:cs="Arial"/>
          <w:i/>
          <w:sz w:val="22"/>
          <w:szCs w:val="22"/>
        </w:rPr>
        <w:t xml:space="preserve"> </w:t>
      </w:r>
      <w:r w:rsidRPr="004E1DE1">
        <w:rPr>
          <w:rFonts w:asciiTheme="minorHAnsi" w:hAnsiTheme="minorHAnsi" w:cs="Arial"/>
          <w:sz w:val="22"/>
          <w:szCs w:val="22"/>
        </w:rPr>
        <w:t xml:space="preserve">is one of the most prominent and well-studied bioleaching organism which leaches metals either indirect </w:t>
      </w:r>
      <w:r w:rsidRPr="004E1DE1">
        <w:rPr>
          <w:rFonts w:asciiTheme="minorHAnsi" w:hAnsiTheme="minorHAnsi" w:cs="Arial"/>
          <w:i/>
          <w:sz w:val="22"/>
          <w:szCs w:val="22"/>
        </w:rPr>
        <w:t xml:space="preserve">via </w:t>
      </w:r>
      <w:r w:rsidRPr="004E1DE1">
        <w:rPr>
          <w:rFonts w:asciiTheme="minorHAnsi" w:hAnsiTheme="minorHAnsi" w:cs="Arial"/>
          <w:sz w:val="22"/>
          <w:szCs w:val="22"/>
        </w:rPr>
        <w:t>the production of sulfuric acid or direct by enzymatic oxidation</w:t>
      </w:r>
      <w:r w:rsidRPr="004E1DE1">
        <w:rPr>
          <w:rFonts w:asciiTheme="minorHAnsi" w:hAnsiTheme="minorHAnsi" w:cs="Arial"/>
          <w:sz w:val="22"/>
          <w:szCs w:val="22"/>
        </w:rPr>
        <w:fldChar w:fldCharType="begin" w:fldLock="1"/>
      </w:r>
      <w:r>
        <w:rPr>
          <w:rFonts w:asciiTheme="minorHAnsi" w:hAnsiTheme="minorHAnsi" w:cs="Arial"/>
          <w:sz w:val="22"/>
          <w:szCs w:val="22"/>
        </w:rPr>
        <w:instrText>ADDIN CSL_CITATION { "citationItems" : [ { "id" : "ITEM-1", "itemData" : { "DOI" : "10.1016/j.desal.2010.10.032", "ISBN" : "00119164", "ISSN" : "00119164", "abstract" : "The aim of this study was to investigate the effect of bacterial strains on the bioleaching of Cr, Cu, Pb, and Zn from contaminated sediment samples taken from a stationary point in Izmir Inner Bay. Single and mixed cultures of Acidithiobacillus thiooxidans and Acidithiobacillus ferrooxidans were used separately to achieve metal solubilization in suspension. Of the three trials tested, single culture of A. thiooxidans decreased the pH to 0.7, resulting in the highest metal solubilization ratios. Solubilization efficiencies of Cr, Cu, and Zn were high (&gt; 80%) with A. thiooxidans but Pb could be solubilized to a ratio of 63%. The efficiency of metal solubilization from contaminated sediment in decreasing order is: Zn &gt; Cu &gt; Cr &gt; Pb. In order to check for the mass balance, metals remaining in the residual sediment were also determined. The effect of bioleaching on sequentially extracted (chemically distributed) metals was investigated in addition to the metal solubilization efficiencies. For most of the trials, it is observed that, the stable forms of heavy metals were transferred and accumulated in more soluble forms during bioleaching and they directly solubilized in the water when they were finally transferred to the exchangeable and/or reducible form. \u00a9 2010 Elsevier B.V.", "author" : [ { "dropping-particle" : "", "family" : "Akinci", "given" : "Gorkem", "non-dropping-particle" : "", "parse-names" : false, "suffix" : "" }, { "dropping-particle" : "", "family" : "Guven", "given" : "Duyusen E.", "non-dropping-particle" : "", "parse-names" : false, "suffix" : "" } ], "container-title" : "Desalination", "id" : "ITEM-1", "issue" : "1-3", "issued" : { "date-parts" : [ [ "2011" ] ] }, "page" : "221-226", "publisher" : "Elsevier B.V.", "title" : "Bioleaching of heavy metals contaminated sediment by pure and mixed cultures of Acidithiobacillus spp.", "type" : "article-journal", "volume" : "268" }, "uris" : [ "http://www.mendeley.com/documents/?uuid=4b3614c4-6698-4873-b87c-67bf1a9f4bd5" ] } ], "mendeley" : { "formattedCitation" : "&lt;sup&gt;2&lt;/sup&gt;", "plainTextFormattedCitation" : "2", "previouslyFormattedCitation" : "&lt;sup&gt;2&lt;/sup&gt;" }, "properties" : { "noteIndex" : 0 }, "schema" : "https://github.com/citation-style-language/schema/raw/master/csl-citation.json" }</w:instrText>
      </w:r>
      <w:r w:rsidRPr="004E1DE1">
        <w:rPr>
          <w:rFonts w:asciiTheme="minorHAnsi" w:hAnsiTheme="minorHAnsi" w:cs="Arial"/>
          <w:sz w:val="22"/>
          <w:szCs w:val="22"/>
        </w:rPr>
        <w:fldChar w:fldCharType="separate"/>
      </w:r>
      <w:r w:rsidRPr="00340669">
        <w:rPr>
          <w:rFonts w:asciiTheme="minorHAnsi" w:hAnsiTheme="minorHAnsi" w:cs="Arial"/>
          <w:noProof/>
          <w:sz w:val="22"/>
          <w:szCs w:val="22"/>
          <w:vertAlign w:val="superscript"/>
        </w:rPr>
        <w:t>2</w:t>
      </w:r>
      <w:r w:rsidRPr="004E1DE1">
        <w:rPr>
          <w:rFonts w:asciiTheme="minorHAnsi" w:hAnsiTheme="minorHAnsi" w:cs="Arial"/>
          <w:sz w:val="22"/>
          <w:szCs w:val="22"/>
        </w:rPr>
        <w:fldChar w:fldCharType="end"/>
      </w:r>
      <w:r w:rsidRPr="004E1DE1">
        <w:rPr>
          <w:rFonts w:asciiTheme="minorHAnsi" w:hAnsiTheme="minorHAnsi" w:cs="Arial"/>
          <w:sz w:val="22"/>
          <w:szCs w:val="22"/>
        </w:rPr>
        <w:t>.</w:t>
      </w:r>
    </w:p>
    <w:p w14:paraId="0A1844E1" w14:textId="77777777" w:rsidR="00C923ED" w:rsidRPr="004E1DE1" w:rsidRDefault="00C923ED" w:rsidP="00C923ED">
      <w:pPr>
        <w:snapToGrid w:val="0"/>
        <w:spacing w:line="300" w:lineRule="auto"/>
        <w:rPr>
          <w:rFonts w:asciiTheme="minorHAnsi" w:eastAsia="MS PGothic" w:hAnsiTheme="minorHAnsi"/>
          <w:b/>
          <w:bCs/>
          <w:color w:val="000000"/>
          <w:sz w:val="22"/>
          <w:szCs w:val="22"/>
          <w:lang w:val="en-US" w:eastAsia="ko-KR"/>
        </w:rPr>
      </w:pPr>
    </w:p>
    <w:p w14:paraId="601711E0" w14:textId="77777777" w:rsidR="00C923ED" w:rsidRPr="008D0BEB" w:rsidRDefault="00C923ED" w:rsidP="00C923ED">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7015A9AB" w14:textId="77777777" w:rsidR="00C923ED" w:rsidRPr="00E80624" w:rsidRDefault="00C923ED" w:rsidP="00C923ED">
      <w:pPr>
        <w:snapToGrid w:val="0"/>
        <w:spacing w:line="300" w:lineRule="auto"/>
        <w:rPr>
          <w:rFonts w:asciiTheme="minorHAnsi" w:hAnsiTheme="minorHAnsi" w:cs="Arial"/>
          <w:sz w:val="22"/>
          <w:szCs w:val="22"/>
        </w:rPr>
      </w:pPr>
      <w:r>
        <w:rPr>
          <w:rFonts w:asciiTheme="minorHAnsi" w:hAnsiTheme="minorHAnsi" w:cs="Arial"/>
          <w:sz w:val="22"/>
          <w:szCs w:val="22"/>
        </w:rPr>
        <w:t>In order t</w:t>
      </w:r>
      <w:r w:rsidRPr="004E1DE1">
        <w:rPr>
          <w:rFonts w:asciiTheme="minorHAnsi" w:hAnsiTheme="minorHAnsi" w:cs="Arial"/>
          <w:sz w:val="22"/>
          <w:szCs w:val="22"/>
        </w:rPr>
        <w:t xml:space="preserve">o develop a bioleaching process for the </w:t>
      </w:r>
      <w:r>
        <w:rPr>
          <w:rFonts w:asciiTheme="minorHAnsi" w:hAnsiTheme="minorHAnsi" w:cs="Arial"/>
          <w:sz w:val="22"/>
          <w:szCs w:val="22"/>
        </w:rPr>
        <w:t>metal recovery from</w:t>
      </w:r>
      <w:r w:rsidRPr="004E1DE1">
        <w:rPr>
          <w:rFonts w:asciiTheme="minorHAnsi" w:hAnsiTheme="minorHAnsi" w:cs="Arial"/>
          <w:sz w:val="22"/>
          <w:szCs w:val="22"/>
        </w:rPr>
        <w:t xml:space="preserve"> shredded fractions, two different approaches including a heap and a continuous-stirred-tank reactor were tested. </w:t>
      </w:r>
      <w:r>
        <w:rPr>
          <w:rFonts w:asciiTheme="minorHAnsi" w:hAnsiTheme="minorHAnsi" w:cs="Arial"/>
          <w:sz w:val="22"/>
          <w:szCs w:val="22"/>
        </w:rPr>
        <w:t>In</w:t>
      </w:r>
      <w:r w:rsidRPr="004E1DE1">
        <w:rPr>
          <w:rFonts w:asciiTheme="minorHAnsi" w:hAnsiTheme="minorHAnsi" w:cs="Arial"/>
          <w:sz w:val="22"/>
          <w:szCs w:val="22"/>
        </w:rPr>
        <w:t xml:space="preserve"> stirred tank reactor</w:t>
      </w:r>
      <w:r>
        <w:rPr>
          <w:rFonts w:asciiTheme="minorHAnsi" w:hAnsiTheme="minorHAnsi" w:cs="Arial"/>
          <w:sz w:val="22"/>
          <w:szCs w:val="22"/>
        </w:rPr>
        <w:t xml:space="preserve"> experiments</w:t>
      </w:r>
      <w:r w:rsidRPr="004E1DE1">
        <w:rPr>
          <w:rFonts w:asciiTheme="minorHAnsi" w:hAnsiTheme="minorHAnsi" w:cs="Arial"/>
          <w:sz w:val="22"/>
          <w:szCs w:val="22"/>
        </w:rPr>
        <w:t xml:space="preserve">, a 25 L glass reactor was inoculated with a culture of </w:t>
      </w:r>
      <w:r w:rsidRPr="00645BF6">
        <w:rPr>
          <w:rFonts w:asciiTheme="minorHAnsi" w:hAnsiTheme="minorHAnsi" w:cs="Arial"/>
          <w:i/>
          <w:sz w:val="22"/>
          <w:szCs w:val="22"/>
        </w:rPr>
        <w:t xml:space="preserve">A. </w:t>
      </w:r>
      <w:proofErr w:type="spellStart"/>
      <w:r w:rsidRPr="00645BF6">
        <w:rPr>
          <w:rFonts w:asciiTheme="minorHAnsi" w:hAnsiTheme="minorHAnsi" w:cs="Arial"/>
          <w:i/>
          <w:sz w:val="22"/>
          <w:szCs w:val="22"/>
        </w:rPr>
        <w:t>ferrooxidans</w:t>
      </w:r>
      <w:proofErr w:type="spellEnd"/>
      <w:r w:rsidRPr="004E1DE1">
        <w:rPr>
          <w:rFonts w:asciiTheme="minorHAnsi" w:hAnsiTheme="minorHAnsi" w:cs="Arial"/>
          <w:sz w:val="22"/>
          <w:szCs w:val="22"/>
        </w:rPr>
        <w:t xml:space="preserve"> and stirred continuously at 150 rp</w:t>
      </w:r>
      <w:r>
        <w:rPr>
          <w:rFonts w:asciiTheme="minorHAnsi" w:hAnsiTheme="minorHAnsi" w:cs="Arial"/>
          <w:sz w:val="22"/>
          <w:szCs w:val="22"/>
        </w:rPr>
        <w:t xml:space="preserve">m. At regular intervals, the </w:t>
      </w:r>
      <w:r w:rsidRPr="004E1DE1">
        <w:rPr>
          <w:rFonts w:asciiTheme="minorHAnsi" w:hAnsiTheme="minorHAnsi" w:cs="Arial"/>
          <w:sz w:val="22"/>
          <w:szCs w:val="22"/>
        </w:rPr>
        <w:t>concentration</w:t>
      </w:r>
      <w:r>
        <w:rPr>
          <w:rFonts w:asciiTheme="minorHAnsi" w:hAnsiTheme="minorHAnsi" w:cs="Arial"/>
          <w:sz w:val="22"/>
          <w:szCs w:val="22"/>
        </w:rPr>
        <w:t xml:space="preserve"> of the shredded fraction</w:t>
      </w:r>
      <w:r w:rsidRPr="004E1DE1">
        <w:rPr>
          <w:rFonts w:asciiTheme="minorHAnsi" w:hAnsiTheme="minorHAnsi" w:cs="Arial"/>
          <w:sz w:val="22"/>
          <w:szCs w:val="22"/>
        </w:rPr>
        <w:t xml:space="preserve"> was increased (up to 100 g</w:t>
      </w:r>
      <w:r>
        <w:rPr>
          <w:rFonts w:asciiTheme="minorHAnsi" w:hAnsiTheme="minorHAnsi" w:cs="Arial"/>
          <w:sz w:val="22"/>
          <w:szCs w:val="22"/>
        </w:rPr>
        <w:t>*L</w:t>
      </w:r>
      <w:r>
        <w:rPr>
          <w:rFonts w:asciiTheme="minorHAnsi" w:hAnsiTheme="minorHAnsi" w:cs="Arial"/>
          <w:sz w:val="22"/>
          <w:szCs w:val="22"/>
          <w:vertAlign w:val="superscript"/>
        </w:rPr>
        <w:t>-1</w:t>
      </w:r>
      <w:r>
        <w:rPr>
          <w:rFonts w:asciiTheme="minorHAnsi" w:hAnsiTheme="minorHAnsi" w:cs="Arial"/>
          <w:sz w:val="22"/>
          <w:szCs w:val="22"/>
        </w:rPr>
        <w:t>) and parameters such as pH and r</w:t>
      </w:r>
      <w:r w:rsidRPr="004E1DE1">
        <w:rPr>
          <w:rFonts w:asciiTheme="minorHAnsi" w:hAnsiTheme="minorHAnsi" w:cs="Arial"/>
          <w:sz w:val="22"/>
          <w:szCs w:val="22"/>
        </w:rPr>
        <w:t>edox p</w:t>
      </w:r>
      <w:r>
        <w:rPr>
          <w:rFonts w:asciiTheme="minorHAnsi" w:hAnsiTheme="minorHAnsi" w:cs="Arial"/>
          <w:sz w:val="22"/>
          <w:szCs w:val="22"/>
        </w:rPr>
        <w:t>otential were measured</w:t>
      </w:r>
      <w:r w:rsidRPr="004E1DE1">
        <w:rPr>
          <w:rFonts w:asciiTheme="minorHAnsi" w:hAnsiTheme="minorHAnsi" w:cs="Arial"/>
          <w:sz w:val="22"/>
          <w:szCs w:val="22"/>
        </w:rPr>
        <w:t>.</w:t>
      </w:r>
      <w:r>
        <w:rPr>
          <w:rFonts w:asciiTheme="minorHAnsi" w:hAnsiTheme="minorHAnsi" w:cs="Arial"/>
          <w:sz w:val="22"/>
          <w:szCs w:val="22"/>
        </w:rPr>
        <w:t xml:space="preserve"> In a second approach</w:t>
      </w:r>
      <w:r w:rsidRPr="004E1DE1">
        <w:rPr>
          <w:rFonts w:asciiTheme="minorHAnsi" w:hAnsiTheme="minorHAnsi" w:cs="Arial"/>
          <w:sz w:val="22"/>
          <w:szCs w:val="22"/>
        </w:rPr>
        <w:t xml:space="preserve"> a heap bioleaching system for metal recovery</w:t>
      </w:r>
      <w:r>
        <w:rPr>
          <w:rFonts w:asciiTheme="minorHAnsi" w:hAnsiTheme="minorHAnsi" w:cs="Arial"/>
          <w:sz w:val="22"/>
          <w:szCs w:val="22"/>
        </w:rPr>
        <w:t xml:space="preserve"> was </w:t>
      </w:r>
      <w:r>
        <w:rPr>
          <w:rFonts w:asciiTheme="minorHAnsi" w:hAnsiTheme="minorHAnsi" w:cs="Arial"/>
          <w:sz w:val="22"/>
          <w:szCs w:val="22"/>
        </w:rPr>
        <w:lastRenderedPageBreak/>
        <w:t xml:space="preserve">investigated. The system consisted of a </w:t>
      </w:r>
      <w:r w:rsidRPr="004E1DE1">
        <w:rPr>
          <w:rFonts w:asciiTheme="minorHAnsi" w:hAnsiTheme="minorHAnsi" w:cs="Arial"/>
          <w:sz w:val="22"/>
          <w:szCs w:val="22"/>
        </w:rPr>
        <w:t>20 L glass reactor</w:t>
      </w:r>
      <w:r>
        <w:rPr>
          <w:rFonts w:asciiTheme="minorHAnsi" w:hAnsiTheme="minorHAnsi" w:cs="Arial"/>
          <w:sz w:val="22"/>
          <w:szCs w:val="22"/>
        </w:rPr>
        <w:t xml:space="preserve"> with a</w:t>
      </w:r>
      <w:r w:rsidRPr="004E1DE1">
        <w:rPr>
          <w:rFonts w:asciiTheme="minorHAnsi" w:hAnsiTheme="minorHAnsi" w:cs="Arial"/>
          <w:sz w:val="22"/>
          <w:szCs w:val="22"/>
        </w:rPr>
        <w:t xml:space="preserve"> sieve plate at the bottom, a pump for circulation of the leachate an</w:t>
      </w:r>
      <w:r>
        <w:rPr>
          <w:rFonts w:asciiTheme="minorHAnsi" w:hAnsiTheme="minorHAnsi" w:cs="Arial"/>
          <w:sz w:val="22"/>
          <w:szCs w:val="22"/>
        </w:rPr>
        <w:t>d a sprinkling system at the top</w:t>
      </w:r>
      <w:r w:rsidRPr="004E1DE1">
        <w:rPr>
          <w:rFonts w:asciiTheme="minorHAnsi" w:hAnsiTheme="minorHAnsi" w:cs="Arial"/>
          <w:sz w:val="22"/>
          <w:szCs w:val="22"/>
        </w:rPr>
        <w:t xml:space="preserve">. The leachate was inoculated with </w:t>
      </w:r>
      <w:r w:rsidRPr="00645BF6">
        <w:rPr>
          <w:rFonts w:asciiTheme="minorHAnsi" w:hAnsiTheme="minorHAnsi" w:cs="Arial"/>
          <w:i/>
          <w:sz w:val="22"/>
          <w:szCs w:val="22"/>
        </w:rPr>
        <w:t xml:space="preserve">A. </w:t>
      </w:r>
      <w:proofErr w:type="spellStart"/>
      <w:r w:rsidRPr="00645BF6">
        <w:rPr>
          <w:rFonts w:asciiTheme="minorHAnsi" w:hAnsiTheme="minorHAnsi" w:cs="Arial"/>
          <w:i/>
          <w:sz w:val="22"/>
          <w:szCs w:val="22"/>
        </w:rPr>
        <w:t>ferrooxidans</w:t>
      </w:r>
      <w:proofErr w:type="spellEnd"/>
      <w:r w:rsidRPr="004E1DE1">
        <w:rPr>
          <w:rFonts w:asciiTheme="minorHAnsi" w:hAnsiTheme="minorHAnsi" w:cs="Arial"/>
          <w:sz w:val="22"/>
          <w:szCs w:val="22"/>
        </w:rPr>
        <w:t xml:space="preserve"> and pumped in a circular way to rinse the substrate from the top of the heap. In both experiments the temperature was kept constant at 30°C and the pH was regulate</w:t>
      </w:r>
      <w:r>
        <w:rPr>
          <w:rFonts w:asciiTheme="minorHAnsi" w:hAnsiTheme="minorHAnsi" w:cs="Arial"/>
          <w:sz w:val="22"/>
          <w:szCs w:val="22"/>
        </w:rPr>
        <w:t xml:space="preserve">d automatically via dosage of 1 </w:t>
      </w:r>
      <w:r w:rsidRPr="004E1DE1">
        <w:rPr>
          <w:rFonts w:asciiTheme="minorHAnsi" w:hAnsiTheme="minorHAnsi" w:cs="Arial"/>
          <w:sz w:val="22"/>
          <w:szCs w:val="22"/>
        </w:rPr>
        <w:t>M sulfuric acid.</w:t>
      </w:r>
      <w:r>
        <w:rPr>
          <w:rFonts w:asciiTheme="minorHAnsi" w:hAnsiTheme="minorHAnsi" w:cs="Arial"/>
          <w:sz w:val="22"/>
          <w:szCs w:val="22"/>
        </w:rPr>
        <w:t xml:space="preserve"> For calculation of the leaching efficiency, the metal concentrations in solid substrate and leachate were measured </w:t>
      </w:r>
      <w:r>
        <w:rPr>
          <w:rFonts w:asciiTheme="minorHAnsi" w:hAnsiTheme="minorHAnsi" w:cs="Arial"/>
          <w:i/>
          <w:sz w:val="22"/>
          <w:szCs w:val="22"/>
        </w:rPr>
        <w:t>via</w:t>
      </w:r>
      <w:r>
        <w:rPr>
          <w:rFonts w:asciiTheme="minorHAnsi" w:hAnsiTheme="minorHAnsi" w:cs="Arial"/>
          <w:sz w:val="22"/>
          <w:szCs w:val="22"/>
        </w:rPr>
        <w:t xml:space="preserve"> Inductively Coupled Plasma-Mass Spectrometry (ICP-MS).</w:t>
      </w:r>
    </w:p>
    <w:p w14:paraId="0A1B0986" w14:textId="77777777" w:rsidR="00C923ED" w:rsidRPr="008D0BEB" w:rsidRDefault="00C923ED" w:rsidP="00C923ED">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4A490BA8" w14:textId="77777777" w:rsidR="00C923ED" w:rsidRPr="00645BF6" w:rsidRDefault="00C923ED" w:rsidP="00C923ED">
      <w:pPr>
        <w:snapToGrid w:val="0"/>
        <w:spacing w:line="300" w:lineRule="auto"/>
        <w:rPr>
          <w:rFonts w:asciiTheme="minorHAnsi" w:hAnsiTheme="minorHAnsi" w:cs="Arial"/>
          <w:sz w:val="22"/>
          <w:szCs w:val="22"/>
        </w:rPr>
      </w:pPr>
      <w:r w:rsidRPr="00645BF6">
        <w:rPr>
          <w:rFonts w:asciiTheme="minorHAnsi" w:hAnsiTheme="minorHAnsi" w:cs="Arial"/>
          <w:sz w:val="22"/>
          <w:szCs w:val="22"/>
        </w:rPr>
        <w:t xml:space="preserve">Metal recovery from shredded </w:t>
      </w:r>
      <w:r>
        <w:rPr>
          <w:rFonts w:asciiTheme="minorHAnsi" w:hAnsiTheme="minorHAnsi" w:cs="Arial"/>
          <w:sz w:val="22"/>
          <w:szCs w:val="22"/>
        </w:rPr>
        <w:t xml:space="preserve">light </w:t>
      </w:r>
      <w:r w:rsidRPr="00645BF6">
        <w:rPr>
          <w:rFonts w:asciiTheme="minorHAnsi" w:hAnsiTheme="minorHAnsi" w:cs="Arial"/>
          <w:sz w:val="22"/>
          <w:szCs w:val="22"/>
        </w:rPr>
        <w:t xml:space="preserve">fractions in </w:t>
      </w:r>
      <w:r>
        <w:rPr>
          <w:rFonts w:asciiTheme="minorHAnsi" w:hAnsiTheme="minorHAnsi" w:cs="Arial"/>
          <w:sz w:val="22"/>
          <w:szCs w:val="22"/>
        </w:rPr>
        <w:t xml:space="preserve">the </w:t>
      </w:r>
      <w:r w:rsidRPr="00645BF6">
        <w:rPr>
          <w:rFonts w:asciiTheme="minorHAnsi" w:hAnsiTheme="minorHAnsi" w:cs="Arial"/>
          <w:sz w:val="22"/>
          <w:szCs w:val="22"/>
        </w:rPr>
        <w:t>continuous stirred tank bioleaching system showed promising results after 20 days with</w:t>
      </w:r>
      <w:r>
        <w:rPr>
          <w:rFonts w:asciiTheme="minorHAnsi" w:hAnsiTheme="minorHAnsi" w:cs="Arial"/>
          <w:sz w:val="22"/>
          <w:szCs w:val="22"/>
        </w:rPr>
        <w:t xml:space="preserve"> leaching efficiencies of up to 80</w:t>
      </w:r>
      <w:r w:rsidRPr="00645BF6">
        <w:rPr>
          <w:rFonts w:asciiTheme="minorHAnsi" w:hAnsiTheme="minorHAnsi" w:cs="Arial"/>
          <w:sz w:val="22"/>
          <w:szCs w:val="22"/>
        </w:rPr>
        <w:t>% for Cu,</w:t>
      </w:r>
      <w:r>
        <w:rPr>
          <w:rFonts w:asciiTheme="minorHAnsi" w:hAnsiTheme="minorHAnsi" w:cs="Arial"/>
          <w:sz w:val="22"/>
          <w:szCs w:val="22"/>
        </w:rPr>
        <w:t xml:space="preserve"> Ni and Zn, respectively (Fig.1-</w:t>
      </w:r>
      <w:r w:rsidRPr="00645BF6">
        <w:rPr>
          <w:rFonts w:asciiTheme="minorHAnsi" w:hAnsiTheme="minorHAnsi" w:cs="Arial"/>
          <w:sz w:val="22"/>
          <w:szCs w:val="22"/>
        </w:rPr>
        <w:t xml:space="preserve">A). In the heap reactor, bioleaching with </w:t>
      </w:r>
      <w:r w:rsidRPr="00645BF6">
        <w:rPr>
          <w:rFonts w:asciiTheme="minorHAnsi" w:hAnsiTheme="minorHAnsi" w:cs="Arial"/>
          <w:i/>
          <w:sz w:val="22"/>
          <w:szCs w:val="22"/>
        </w:rPr>
        <w:t xml:space="preserve">A. </w:t>
      </w:r>
      <w:proofErr w:type="spellStart"/>
      <w:r w:rsidRPr="00645BF6">
        <w:rPr>
          <w:rFonts w:asciiTheme="minorHAnsi" w:hAnsiTheme="minorHAnsi" w:cs="Arial"/>
          <w:i/>
          <w:sz w:val="22"/>
          <w:szCs w:val="22"/>
        </w:rPr>
        <w:t>ferrooxidans</w:t>
      </w:r>
      <w:proofErr w:type="spellEnd"/>
      <w:r w:rsidRPr="00645BF6">
        <w:rPr>
          <w:rFonts w:asciiTheme="minorHAnsi" w:hAnsiTheme="minorHAnsi" w:cs="Arial"/>
          <w:sz w:val="22"/>
          <w:szCs w:val="22"/>
        </w:rPr>
        <w:t xml:space="preserve"> resulted</w:t>
      </w:r>
      <w:r>
        <w:rPr>
          <w:rFonts w:asciiTheme="minorHAnsi" w:hAnsiTheme="minorHAnsi" w:cs="Arial"/>
          <w:sz w:val="22"/>
          <w:szCs w:val="22"/>
        </w:rPr>
        <w:t xml:space="preserve"> in leaching efficiencies of 15–35</w:t>
      </w:r>
      <w:r w:rsidRPr="00645BF6">
        <w:rPr>
          <w:rFonts w:asciiTheme="minorHAnsi" w:hAnsiTheme="minorHAnsi" w:cs="Arial"/>
          <w:sz w:val="22"/>
          <w:szCs w:val="22"/>
        </w:rPr>
        <w:t xml:space="preserve">% after 33 days. By comparing the metal recovery of chemical leaching and bioleaching in the heap reactor, it is clearly visible that Cu and Zn </w:t>
      </w:r>
      <w:r>
        <w:rPr>
          <w:rFonts w:asciiTheme="minorHAnsi" w:hAnsiTheme="minorHAnsi" w:cs="Arial"/>
          <w:sz w:val="22"/>
          <w:szCs w:val="22"/>
        </w:rPr>
        <w:t>were</w:t>
      </w:r>
      <w:r w:rsidRPr="00645BF6">
        <w:rPr>
          <w:rFonts w:asciiTheme="minorHAnsi" w:hAnsiTheme="minorHAnsi" w:cs="Arial"/>
          <w:sz w:val="22"/>
          <w:szCs w:val="22"/>
        </w:rPr>
        <w:t xml:space="preserve"> only leached </w:t>
      </w:r>
      <w:r>
        <w:rPr>
          <w:rFonts w:asciiTheme="minorHAnsi" w:hAnsiTheme="minorHAnsi" w:cs="Arial"/>
          <w:sz w:val="22"/>
          <w:szCs w:val="22"/>
        </w:rPr>
        <w:t>in the presence of micro</w:t>
      </w:r>
      <w:r w:rsidRPr="00645BF6">
        <w:rPr>
          <w:rFonts w:asciiTheme="minorHAnsi" w:hAnsiTheme="minorHAnsi" w:cs="Arial"/>
          <w:sz w:val="22"/>
          <w:szCs w:val="22"/>
        </w:rPr>
        <w:t>organism</w:t>
      </w:r>
      <w:r>
        <w:rPr>
          <w:rFonts w:asciiTheme="minorHAnsi" w:hAnsiTheme="minorHAnsi" w:cs="Arial"/>
          <w:sz w:val="22"/>
          <w:szCs w:val="22"/>
        </w:rPr>
        <w:t xml:space="preserve"> </w:t>
      </w:r>
      <w:r w:rsidRPr="00645BF6">
        <w:rPr>
          <w:rFonts w:asciiTheme="minorHAnsi" w:hAnsiTheme="minorHAnsi" w:cs="Arial"/>
          <w:sz w:val="22"/>
          <w:szCs w:val="22"/>
        </w:rPr>
        <w:t>indicat</w:t>
      </w:r>
      <w:r>
        <w:rPr>
          <w:rFonts w:asciiTheme="minorHAnsi" w:hAnsiTheme="minorHAnsi" w:cs="Arial"/>
          <w:sz w:val="22"/>
          <w:szCs w:val="22"/>
        </w:rPr>
        <w:t>ing</w:t>
      </w:r>
      <w:r w:rsidRPr="00645BF6">
        <w:rPr>
          <w:rFonts w:asciiTheme="minorHAnsi" w:hAnsiTheme="minorHAnsi" w:cs="Arial"/>
          <w:sz w:val="22"/>
          <w:szCs w:val="22"/>
        </w:rPr>
        <w:t xml:space="preserve"> the high potential of biological leaching</w:t>
      </w:r>
      <w:r>
        <w:rPr>
          <w:rFonts w:asciiTheme="minorHAnsi" w:hAnsiTheme="minorHAnsi" w:cs="Arial"/>
          <w:sz w:val="22"/>
          <w:szCs w:val="22"/>
        </w:rPr>
        <w:t xml:space="preserve"> (Fig. 1–B)</w:t>
      </w:r>
      <w:r w:rsidRPr="00645BF6">
        <w:rPr>
          <w:rFonts w:asciiTheme="minorHAnsi" w:hAnsiTheme="minorHAnsi" w:cs="Arial"/>
          <w:sz w:val="22"/>
          <w:szCs w:val="22"/>
        </w:rPr>
        <w:t xml:space="preserve">. </w:t>
      </w:r>
    </w:p>
    <w:p w14:paraId="6F510BC9" w14:textId="77777777" w:rsidR="00C923ED" w:rsidRPr="00DE0019" w:rsidRDefault="00C923ED" w:rsidP="00C923ED">
      <w:pPr>
        <w:snapToGrid w:val="0"/>
        <w:spacing w:after="120"/>
        <w:jc w:val="center"/>
        <w:rPr>
          <w:rFonts w:asciiTheme="minorHAnsi" w:eastAsia="MS PGothic" w:hAnsiTheme="minorHAnsi"/>
          <w:color w:val="000000"/>
        </w:rPr>
      </w:pPr>
      <w:r w:rsidRPr="00CF478E">
        <w:rPr>
          <w:rFonts w:asciiTheme="minorHAnsi" w:eastAsia="MS PGothic" w:hAnsiTheme="minorHAnsi"/>
          <w:noProof/>
          <w:color w:val="000000"/>
          <w:lang w:val="en-US"/>
        </w:rPr>
        <mc:AlternateContent>
          <mc:Choice Requires="wps">
            <w:drawing>
              <wp:anchor distT="0" distB="0" distL="114300" distR="114300" simplePos="0" relativeHeight="251659264" behindDoc="0" locked="0" layoutInCell="1" allowOverlap="1" wp14:anchorId="583A47DA" wp14:editId="4EE3610B">
                <wp:simplePos x="0" y="0"/>
                <wp:positionH relativeFrom="column">
                  <wp:posOffset>2127885</wp:posOffset>
                </wp:positionH>
                <wp:positionV relativeFrom="paragraph">
                  <wp:posOffset>177165</wp:posOffset>
                </wp:positionV>
                <wp:extent cx="359410" cy="338455"/>
                <wp:effectExtent l="0" t="0" r="0" b="0"/>
                <wp:wrapNone/>
                <wp:docPr id="9" name="TextBox 8"/>
                <wp:cNvGraphicFramePr/>
                <a:graphic xmlns:a="http://schemas.openxmlformats.org/drawingml/2006/main">
                  <a:graphicData uri="http://schemas.microsoft.com/office/word/2010/wordprocessingShape">
                    <wps:wsp>
                      <wps:cNvSpPr txBox="1"/>
                      <wps:spPr>
                        <a:xfrm>
                          <a:off x="0" y="0"/>
                          <a:ext cx="359410" cy="338455"/>
                        </a:xfrm>
                        <a:prstGeom prst="rect">
                          <a:avLst/>
                        </a:prstGeom>
                        <a:noFill/>
                      </wps:spPr>
                      <wps:txbx>
                        <w:txbxContent>
                          <w:p w14:paraId="54F7C3D5" w14:textId="77777777" w:rsidR="00C923ED" w:rsidRDefault="00C923ED" w:rsidP="00C923ED">
                            <w:pPr>
                              <w:pStyle w:val="NormaleWeb"/>
                            </w:pPr>
                            <w:r>
                              <w:rPr>
                                <w:rFonts w:asciiTheme="minorHAnsi" w:hAnsi="Calibri" w:cstheme="minorBidi"/>
                                <w:b/>
                                <w:bCs/>
                                <w:color w:val="000000" w:themeColor="text1"/>
                                <w:kern w:val="24"/>
                                <w:sz w:val="32"/>
                                <w:szCs w:val="32"/>
                                <w:lang w:val="de-AT"/>
                              </w:rPr>
                              <w:t>A</w:t>
                            </w:r>
                          </w:p>
                        </w:txbxContent>
                      </wps:txbx>
                      <wps:bodyPr wrap="square" rtlCol="0">
                        <a:spAutoFit/>
                      </wps:bodyPr>
                    </wps:wsp>
                  </a:graphicData>
                </a:graphic>
              </wp:anchor>
            </w:drawing>
          </mc:Choice>
          <mc:Fallback>
            <w:pict>
              <v:shapetype w14:anchorId="583A47DA" id="_x0000_t202" coordsize="21600,21600" o:spt="202" path="m,l,21600r21600,l21600,xe">
                <v:stroke joinstyle="miter"/>
                <v:path gradientshapeok="t" o:connecttype="rect"/>
              </v:shapetype>
              <v:shape id="TextBox 8" o:spid="_x0000_s1026" type="#_x0000_t202" style="position:absolute;left:0;text-align:left;margin-left:167.55pt;margin-top:13.95pt;width:28.3pt;height:26.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" filled="f" stroked="f">
                <v:textbox style="mso-fit-shape-to-text:t">
                  <w:txbxContent>
                    <w:p w14:paraId="54F7C3D5" w14:textId="77777777" w:rsidR="00C923ED" w:rsidRDefault="00C923ED" w:rsidP="00C923ED">
                      <w:pPr>
                        <w:pStyle w:val="NormaleWeb"/>
                      </w:pPr>
                      <w:r>
                        <w:rPr>
                          <w:rFonts w:asciiTheme="minorHAnsi" w:hAnsi="Calibri" w:cstheme="minorBidi"/>
                          <w:b/>
                          <w:bCs/>
                          <w:color w:val="000000" w:themeColor="text1"/>
                          <w:kern w:val="24"/>
                          <w:sz w:val="32"/>
                          <w:szCs w:val="32"/>
                          <w:lang w:val="de-AT"/>
                        </w:rPr>
                        <w:t>A</w:t>
                      </w:r>
                    </w:p>
                  </w:txbxContent>
                </v:textbox>
              </v:shape>
            </w:pict>
          </mc:Fallback>
        </mc:AlternateContent>
      </w:r>
      <w:r w:rsidRPr="00CF478E">
        <w:rPr>
          <w:rFonts w:asciiTheme="minorHAnsi" w:eastAsia="MS PGothic" w:hAnsiTheme="minorHAnsi"/>
          <w:noProof/>
          <w:color w:val="000000"/>
          <w:lang w:val="en-US"/>
        </w:rPr>
        <w:drawing>
          <wp:inline distT="0" distB="0" distL="0" distR="0" wp14:anchorId="040EBD97" wp14:editId="448BEE1F">
            <wp:extent cx="2368550" cy="1917700"/>
            <wp:effectExtent l="0" t="0" r="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CF478E">
        <w:rPr>
          <w:rFonts w:asciiTheme="minorHAnsi" w:eastAsia="MS PGothic" w:hAnsiTheme="minorHAnsi"/>
          <w:noProof/>
          <w:color w:val="000000"/>
          <w:lang w:val="en-US"/>
        </w:rPr>
        <w:drawing>
          <wp:inline distT="0" distB="0" distL="0" distR="0" wp14:anchorId="473AF1CE" wp14:editId="3B5B3DCF">
            <wp:extent cx="2286000" cy="19526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CF478E">
        <w:rPr>
          <w:rFonts w:asciiTheme="minorHAnsi" w:eastAsia="MS PGothic" w:hAnsiTheme="minorHAnsi"/>
          <w:noProof/>
          <w:color w:val="000000"/>
          <w:lang w:val="en-US"/>
        </w:rPr>
        <mc:AlternateContent>
          <mc:Choice Requires="wps">
            <w:drawing>
              <wp:anchor distT="0" distB="0" distL="114300" distR="114300" simplePos="0" relativeHeight="251660288" behindDoc="0" locked="0" layoutInCell="1" allowOverlap="1" wp14:anchorId="365EFD1A" wp14:editId="75208C2F">
                <wp:simplePos x="0" y="0"/>
                <wp:positionH relativeFrom="column">
                  <wp:posOffset>4536503</wp:posOffset>
                </wp:positionH>
                <wp:positionV relativeFrom="paragraph">
                  <wp:posOffset>184131</wp:posOffset>
                </wp:positionV>
                <wp:extent cx="360040" cy="338554"/>
                <wp:effectExtent l="0" t="0" r="0" b="0"/>
                <wp:wrapNone/>
                <wp:docPr id="10" name="TextBox 9"/>
                <wp:cNvGraphicFramePr/>
                <a:graphic xmlns:a="http://schemas.openxmlformats.org/drawingml/2006/main">
                  <a:graphicData uri="http://schemas.microsoft.com/office/word/2010/wordprocessingShape">
                    <wps:wsp>
                      <wps:cNvSpPr txBox="1"/>
                      <wps:spPr>
                        <a:xfrm>
                          <a:off x="0" y="0"/>
                          <a:ext cx="360040" cy="338554"/>
                        </a:xfrm>
                        <a:prstGeom prst="rect">
                          <a:avLst/>
                        </a:prstGeom>
                        <a:noFill/>
                      </wps:spPr>
                      <wps:txbx>
                        <w:txbxContent>
                          <w:p w14:paraId="40158AFF" w14:textId="77777777" w:rsidR="00C923ED" w:rsidRDefault="00C923ED" w:rsidP="00C923ED">
                            <w:pPr>
                              <w:pStyle w:val="NormaleWeb"/>
                              <w:jc w:val="center"/>
                            </w:pPr>
                            <w:r>
                              <w:rPr>
                                <w:rFonts w:asciiTheme="minorHAnsi" w:hAnsi="Calibri" w:cstheme="minorBidi"/>
                                <w:b/>
                                <w:bCs/>
                                <w:color w:val="000000" w:themeColor="text1"/>
                                <w:kern w:val="24"/>
                                <w:sz w:val="32"/>
                                <w:szCs w:val="32"/>
                                <w:lang w:val="de-AT"/>
                              </w:rPr>
                              <w:t>B</w:t>
                            </w:r>
                          </w:p>
                        </w:txbxContent>
                      </wps:txbx>
                      <wps:bodyPr wrap="square" rtlCol="0">
                        <a:spAutoFit/>
                      </wps:bodyPr>
                    </wps:wsp>
                  </a:graphicData>
                </a:graphic>
              </wp:anchor>
            </w:drawing>
          </mc:Choice>
          <mc:Fallback>
            <w:pict>
              <v:shape w14:anchorId="365EFD1A" id="TextBox 9" o:spid="_x0000_s1027" type="#_x0000_t202" style="position:absolute;left:0;text-align:left;margin-left:357.2pt;margin-top:14.5pt;width:28.35pt;height:26.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" filled="f" stroked="f">
                <v:textbox style="mso-fit-shape-to-text:t">
                  <w:txbxContent>
                    <w:p w14:paraId="40158AFF" w14:textId="77777777" w:rsidR="00C923ED" w:rsidRDefault="00C923ED" w:rsidP="00C923ED">
                      <w:pPr>
                        <w:pStyle w:val="NormaleWeb"/>
                        <w:jc w:val="center"/>
                      </w:pPr>
                      <w:r>
                        <w:rPr>
                          <w:rFonts w:asciiTheme="minorHAnsi" w:hAnsi="Calibri" w:cstheme="minorBidi"/>
                          <w:b/>
                          <w:bCs/>
                          <w:color w:val="000000" w:themeColor="text1"/>
                          <w:kern w:val="24"/>
                          <w:sz w:val="32"/>
                          <w:szCs w:val="32"/>
                          <w:lang w:val="de-AT"/>
                        </w:rPr>
                        <w:t>B</w:t>
                      </w:r>
                    </w:p>
                  </w:txbxContent>
                </v:textbox>
              </v:shape>
            </w:pict>
          </mc:Fallback>
        </mc:AlternateContent>
      </w:r>
    </w:p>
    <w:p w14:paraId="133E2378" w14:textId="77777777" w:rsidR="00C923ED" w:rsidRPr="00DE0019" w:rsidRDefault="00C923ED" w:rsidP="00C923ED">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 xml:space="preserve">Bioleaching efficiencies of Fe, Cu, Ni and Zn in stirred tank (A) and heap reactor (B). Green bars indicate the biological leaching by </w:t>
      </w:r>
      <w:r w:rsidRPr="00366BA3">
        <w:rPr>
          <w:rFonts w:asciiTheme="minorHAnsi" w:eastAsia="MS PGothic" w:hAnsiTheme="minorHAnsi"/>
          <w:i/>
          <w:color w:val="000000"/>
          <w:szCs w:val="18"/>
          <w:lang w:val="en-US"/>
        </w:rPr>
        <w:t xml:space="preserve">A. </w:t>
      </w:r>
      <w:proofErr w:type="spellStart"/>
      <w:r w:rsidRPr="00366BA3">
        <w:rPr>
          <w:rFonts w:asciiTheme="minorHAnsi" w:eastAsia="MS PGothic" w:hAnsiTheme="minorHAnsi"/>
          <w:i/>
          <w:color w:val="000000"/>
          <w:szCs w:val="18"/>
          <w:lang w:val="en-US"/>
        </w:rPr>
        <w:t>ferrooxidans</w:t>
      </w:r>
      <w:proofErr w:type="spellEnd"/>
      <w:r>
        <w:rPr>
          <w:rFonts w:asciiTheme="minorHAnsi" w:eastAsia="MS PGothic" w:hAnsiTheme="minorHAnsi"/>
          <w:i/>
          <w:color w:val="000000"/>
          <w:szCs w:val="18"/>
          <w:lang w:val="en-US"/>
        </w:rPr>
        <w:t>.</w:t>
      </w:r>
    </w:p>
    <w:p w14:paraId="51E37966" w14:textId="77777777" w:rsidR="00C923ED" w:rsidRPr="008D0BEB" w:rsidRDefault="00C923ED" w:rsidP="00C923ED">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1EB530D9" w14:textId="77777777" w:rsidR="00C923ED" w:rsidRPr="00617323" w:rsidRDefault="00C923ED" w:rsidP="00C923ED">
      <w:pPr>
        <w:snapToGrid w:val="0"/>
        <w:spacing w:line="300" w:lineRule="auto"/>
        <w:rPr>
          <w:rFonts w:asciiTheme="minorHAnsi" w:eastAsia="MS PGothic" w:hAnsiTheme="minorHAnsi"/>
          <w:color w:val="000000"/>
          <w:sz w:val="22"/>
          <w:szCs w:val="22"/>
        </w:rPr>
      </w:pPr>
      <w:r w:rsidRPr="00617323">
        <w:rPr>
          <w:rFonts w:asciiTheme="minorHAnsi" w:hAnsiTheme="minorHAnsi" w:cs="Arial"/>
          <w:sz w:val="22"/>
          <w:szCs w:val="22"/>
        </w:rPr>
        <w:t xml:space="preserve">Two different bioleaching processes were tested according their ability for metal recovery of Fe, Cu, Ni and Zn from </w:t>
      </w:r>
      <w:r>
        <w:rPr>
          <w:rFonts w:asciiTheme="minorHAnsi" w:hAnsiTheme="minorHAnsi" w:cs="Arial"/>
          <w:sz w:val="22"/>
          <w:szCs w:val="22"/>
        </w:rPr>
        <w:t xml:space="preserve">light </w:t>
      </w:r>
      <w:r w:rsidRPr="00617323">
        <w:rPr>
          <w:rFonts w:asciiTheme="minorHAnsi" w:hAnsiTheme="minorHAnsi" w:cs="Arial"/>
          <w:sz w:val="22"/>
          <w:szCs w:val="22"/>
        </w:rPr>
        <w:t>shred</w:t>
      </w:r>
      <w:r>
        <w:rPr>
          <w:rFonts w:asciiTheme="minorHAnsi" w:hAnsiTheme="minorHAnsi" w:cs="Arial"/>
          <w:sz w:val="22"/>
          <w:szCs w:val="22"/>
        </w:rPr>
        <w:t xml:space="preserve"> fractions</w:t>
      </w:r>
      <w:r w:rsidRPr="00617323">
        <w:rPr>
          <w:rFonts w:asciiTheme="minorHAnsi" w:hAnsiTheme="minorHAnsi" w:cs="Arial"/>
          <w:sz w:val="22"/>
          <w:szCs w:val="22"/>
        </w:rPr>
        <w:t>. The stirred tank reactor was operated with</w:t>
      </w:r>
      <w:r>
        <w:rPr>
          <w:rFonts w:asciiTheme="minorHAnsi" w:hAnsiTheme="minorHAnsi" w:cs="Arial"/>
          <w:sz w:val="22"/>
          <w:szCs w:val="22"/>
        </w:rPr>
        <w:t xml:space="preserve"> loading rates from 10-100 g*L</w:t>
      </w:r>
      <w:r>
        <w:rPr>
          <w:rFonts w:asciiTheme="minorHAnsi" w:hAnsiTheme="minorHAnsi" w:cs="Arial"/>
          <w:sz w:val="22"/>
          <w:szCs w:val="22"/>
          <w:vertAlign w:val="superscript"/>
        </w:rPr>
        <w:t>-1</w:t>
      </w:r>
      <w:r w:rsidRPr="00617323">
        <w:rPr>
          <w:rFonts w:asciiTheme="minorHAnsi" w:hAnsiTheme="minorHAnsi" w:cs="Arial"/>
          <w:sz w:val="22"/>
          <w:szCs w:val="22"/>
        </w:rPr>
        <w:t xml:space="preserve"> showing high leaching efficiencies for all metals. The operation of the heap bioleaching reactor was more difficult but showed high potential in the biological leaching</w:t>
      </w:r>
      <w:r>
        <w:rPr>
          <w:rFonts w:asciiTheme="minorHAnsi" w:hAnsiTheme="minorHAnsi" w:cs="Arial"/>
          <w:sz w:val="22"/>
          <w:szCs w:val="22"/>
        </w:rPr>
        <w:t xml:space="preserve"> of Cu and Zn. This makes both processes interesting for further investigations and applications in industry and especially metal recovery.</w:t>
      </w:r>
    </w:p>
    <w:p w14:paraId="281FB2CD" w14:textId="77777777" w:rsidR="00C923ED" w:rsidRPr="008D0BEB" w:rsidRDefault="00C923ED" w:rsidP="00C923ED">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14:paraId="631B1E43" w14:textId="77777777" w:rsidR="00C923ED" w:rsidRPr="00340669" w:rsidRDefault="00C923ED" w:rsidP="00C923ED">
      <w:pPr>
        <w:widowControl w:val="0"/>
        <w:autoSpaceDE w:val="0"/>
        <w:autoSpaceDN w:val="0"/>
        <w:adjustRightInd w:val="0"/>
        <w:spacing w:line="240" w:lineRule="auto"/>
        <w:ind w:left="640" w:hanging="640"/>
        <w:rPr>
          <w:rFonts w:ascii="Calibri" w:hAnsi="Calibri"/>
          <w:noProof/>
          <w:sz w:val="22"/>
          <w:szCs w:val="24"/>
        </w:rPr>
      </w:pPr>
      <w:r>
        <w:rPr>
          <w:rFonts w:asciiTheme="minorHAnsi" w:eastAsia="SimSun" w:hAnsiTheme="minorHAnsi"/>
          <w:sz w:val="22"/>
          <w:szCs w:val="22"/>
          <w:lang w:eastAsia="zh-CN"/>
        </w:rPr>
        <w:fldChar w:fldCharType="begin" w:fldLock="1"/>
      </w:r>
      <w:r>
        <w:rPr>
          <w:rFonts w:asciiTheme="minorHAnsi" w:eastAsia="SimSun" w:hAnsiTheme="minorHAnsi"/>
          <w:sz w:val="22"/>
          <w:szCs w:val="22"/>
          <w:lang w:eastAsia="zh-CN"/>
        </w:rPr>
        <w:instrText xml:space="preserve">ADDIN Mendeley Bibliography CSL_BIBLIOGRAPHY </w:instrText>
      </w:r>
      <w:r>
        <w:rPr>
          <w:rFonts w:asciiTheme="minorHAnsi" w:eastAsia="SimSun" w:hAnsiTheme="minorHAnsi"/>
          <w:sz w:val="22"/>
          <w:szCs w:val="22"/>
          <w:lang w:eastAsia="zh-CN"/>
        </w:rPr>
        <w:fldChar w:fldCharType="separate"/>
      </w:r>
      <w:r w:rsidRPr="00340669">
        <w:rPr>
          <w:rFonts w:ascii="Calibri" w:hAnsi="Calibri"/>
          <w:noProof/>
          <w:sz w:val="22"/>
          <w:szCs w:val="24"/>
        </w:rPr>
        <w:t>1.</w:t>
      </w:r>
      <w:r w:rsidRPr="00340669">
        <w:rPr>
          <w:rFonts w:ascii="Calibri" w:hAnsi="Calibri"/>
          <w:noProof/>
          <w:sz w:val="22"/>
          <w:szCs w:val="24"/>
        </w:rPr>
        <w:tab/>
        <w:t xml:space="preserve">Lee, J. chun &amp; Pandey, B. D. Bio-processing of solid wastes and secondary resources for metal extraction - A review. </w:t>
      </w:r>
      <w:r w:rsidRPr="00340669">
        <w:rPr>
          <w:rFonts w:ascii="Calibri" w:hAnsi="Calibri"/>
          <w:i/>
          <w:iCs/>
          <w:noProof/>
          <w:sz w:val="22"/>
          <w:szCs w:val="24"/>
        </w:rPr>
        <w:t>Waste Manag.</w:t>
      </w:r>
      <w:r w:rsidRPr="00340669">
        <w:rPr>
          <w:rFonts w:ascii="Calibri" w:hAnsi="Calibri"/>
          <w:noProof/>
          <w:sz w:val="22"/>
          <w:szCs w:val="24"/>
        </w:rPr>
        <w:t xml:space="preserve"> </w:t>
      </w:r>
      <w:r w:rsidRPr="00340669">
        <w:rPr>
          <w:rFonts w:ascii="Calibri" w:hAnsi="Calibri"/>
          <w:b/>
          <w:bCs/>
          <w:noProof/>
          <w:sz w:val="22"/>
          <w:szCs w:val="24"/>
        </w:rPr>
        <w:t>32,</w:t>
      </w:r>
      <w:r w:rsidRPr="00340669">
        <w:rPr>
          <w:rFonts w:ascii="Calibri" w:hAnsi="Calibri"/>
          <w:noProof/>
          <w:sz w:val="22"/>
          <w:szCs w:val="24"/>
        </w:rPr>
        <w:t xml:space="preserve"> 3–18 (2012).</w:t>
      </w:r>
    </w:p>
    <w:p w14:paraId="2264EE99" w14:textId="77777777" w:rsidR="00C923ED" w:rsidRPr="00340669" w:rsidRDefault="00C923ED" w:rsidP="00C923ED">
      <w:pPr>
        <w:widowControl w:val="0"/>
        <w:autoSpaceDE w:val="0"/>
        <w:autoSpaceDN w:val="0"/>
        <w:adjustRightInd w:val="0"/>
        <w:spacing w:line="240" w:lineRule="auto"/>
        <w:ind w:left="640" w:hanging="640"/>
        <w:rPr>
          <w:rFonts w:ascii="Calibri" w:hAnsi="Calibri"/>
          <w:noProof/>
          <w:sz w:val="22"/>
        </w:rPr>
      </w:pPr>
      <w:r w:rsidRPr="00340669">
        <w:rPr>
          <w:rFonts w:ascii="Calibri" w:hAnsi="Calibri"/>
          <w:noProof/>
          <w:sz w:val="22"/>
          <w:szCs w:val="24"/>
        </w:rPr>
        <w:t>2.</w:t>
      </w:r>
      <w:r w:rsidRPr="00340669">
        <w:rPr>
          <w:rFonts w:ascii="Calibri" w:hAnsi="Calibri"/>
          <w:noProof/>
          <w:sz w:val="22"/>
          <w:szCs w:val="24"/>
        </w:rPr>
        <w:tab/>
        <w:t xml:space="preserve">Akinci, G. &amp; Guven, D. E. Bioleaching of heavy metals contaminated sediment by pure and mixed cultures of Acidithiobacillus spp. </w:t>
      </w:r>
      <w:r w:rsidRPr="00340669">
        <w:rPr>
          <w:rFonts w:ascii="Calibri" w:hAnsi="Calibri"/>
          <w:i/>
          <w:iCs/>
          <w:noProof/>
          <w:sz w:val="22"/>
          <w:szCs w:val="24"/>
        </w:rPr>
        <w:t>Desalination</w:t>
      </w:r>
      <w:r w:rsidRPr="00340669">
        <w:rPr>
          <w:rFonts w:ascii="Calibri" w:hAnsi="Calibri"/>
          <w:noProof/>
          <w:sz w:val="22"/>
          <w:szCs w:val="24"/>
        </w:rPr>
        <w:t xml:space="preserve"> </w:t>
      </w:r>
      <w:r w:rsidRPr="00340669">
        <w:rPr>
          <w:rFonts w:ascii="Calibri" w:hAnsi="Calibri"/>
          <w:b/>
          <w:bCs/>
          <w:noProof/>
          <w:sz w:val="22"/>
          <w:szCs w:val="24"/>
        </w:rPr>
        <w:t>268,</w:t>
      </w:r>
      <w:r w:rsidRPr="00340669">
        <w:rPr>
          <w:rFonts w:ascii="Calibri" w:hAnsi="Calibri"/>
          <w:noProof/>
          <w:sz w:val="22"/>
          <w:szCs w:val="24"/>
        </w:rPr>
        <w:t xml:space="preserve"> 221–226 (2011).</w:t>
      </w:r>
    </w:p>
    <w:p w14:paraId="15221989" w14:textId="77777777" w:rsidR="00704BDF" w:rsidRPr="00704BDF" w:rsidRDefault="00C923ED" w:rsidP="00C923ED">
      <w:pPr>
        <w:widowControl w:val="0"/>
        <w:autoSpaceDE w:val="0"/>
        <w:autoSpaceDN w:val="0"/>
        <w:adjustRightInd w:val="0"/>
        <w:spacing w:line="240" w:lineRule="auto"/>
        <w:rPr>
          <w:rFonts w:asciiTheme="minorHAnsi" w:eastAsia="SimSun" w:hAnsiTheme="minorHAnsi"/>
          <w:sz w:val="22"/>
          <w:szCs w:val="22"/>
          <w:lang w:eastAsia="zh-CN"/>
        </w:rPr>
      </w:pPr>
      <w:r>
        <w:rPr>
          <w:rFonts w:asciiTheme="minorHAnsi" w:eastAsia="SimSun" w:hAnsiTheme="minorHAnsi"/>
          <w:sz w:val="22"/>
          <w:szCs w:val="22"/>
          <w:lang w:eastAsia="zh-CN"/>
        </w:rPr>
        <w:fldChar w:fldCharType="end"/>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EF5B2" w14:textId="77777777" w:rsidR="00001BA5" w:rsidRDefault="00001BA5" w:rsidP="004F5E36">
      <w:r>
        <w:separator/>
      </w:r>
    </w:p>
  </w:endnote>
  <w:endnote w:type="continuationSeparator" w:id="0">
    <w:p w14:paraId="0B8A70B5" w14:textId="77777777" w:rsidR="00001BA5" w:rsidRDefault="00001BA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5CBBE" w14:textId="77777777" w:rsidR="00001BA5" w:rsidRDefault="00001BA5" w:rsidP="004F5E36">
      <w:r>
        <w:separator/>
      </w:r>
    </w:p>
  </w:footnote>
  <w:footnote w:type="continuationSeparator" w:id="0">
    <w:p w14:paraId="02FCF8C0" w14:textId="77777777" w:rsidR="00001BA5" w:rsidRDefault="00001BA5"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F4DBA"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70D87653" wp14:editId="3B4045E3">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FB685B0"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2BC5F97F" wp14:editId="6501436B">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CA5B7" w14:textId="77777777"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7C84483E" wp14:editId="79D473B2">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14:paraId="213E0F29" w14:textId="77777777" w:rsidR="00704BDF" w:rsidRDefault="00704BDF">
    <w:pPr>
      <w:pStyle w:val="Intestazione"/>
    </w:pPr>
  </w:p>
  <w:p w14:paraId="64D85BC7"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6667798F" wp14:editId="2AAF539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645266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A7385" w14:textId="77777777" w:rsidR="00C923ED" w:rsidRDefault="00C923ED">
    <w:pPr>
      <w:pStyle w:val="Intestazione"/>
    </w:pPr>
    <w:r>
      <w:rPr>
        <w:noProof/>
        <w:lang w:val="en-US"/>
      </w:rPr>
      <mc:AlternateContent>
        <mc:Choice Requires="wps">
          <w:drawing>
            <wp:anchor distT="0" distB="0" distL="114300" distR="114300" simplePos="0" relativeHeight="251671552" behindDoc="0" locked="0" layoutInCell="1" allowOverlap="1" wp14:anchorId="2325BBBE" wp14:editId="79A0283C">
              <wp:simplePos x="0" y="0"/>
              <wp:positionH relativeFrom="column">
                <wp:posOffset>19050</wp:posOffset>
              </wp:positionH>
              <wp:positionV relativeFrom="paragraph">
                <wp:posOffset>799465</wp:posOffset>
              </wp:positionV>
              <wp:extent cx="5581650" cy="0"/>
              <wp:effectExtent l="38100" t="38100" r="76200" b="95250"/>
              <wp:wrapNone/>
              <wp:docPr id="3"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0A0D101" id="Connettore 1 86"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rwycgNEBAAD/Aw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en-US"/>
      </w:rPr>
      <w:drawing>
        <wp:anchor distT="0" distB="0" distL="114300" distR="114300" simplePos="0" relativeHeight="251670528" behindDoc="0" locked="0" layoutInCell="1" allowOverlap="1" wp14:anchorId="10347931" wp14:editId="4819F5C9">
          <wp:simplePos x="0" y="0"/>
          <wp:positionH relativeFrom="column">
            <wp:posOffset>28575</wp:posOffset>
          </wp:positionH>
          <wp:positionV relativeFrom="paragraph">
            <wp:posOffset>-208915</wp:posOffset>
          </wp:positionV>
          <wp:extent cx="1104900" cy="914153"/>
          <wp:effectExtent l="0" t="0" r="0" b="635"/>
          <wp:wrapNone/>
          <wp:docPr id="5"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54E11" w14:textId="77777777" w:rsidR="00C923ED" w:rsidRPr="00DE0019" w:rsidRDefault="00C923ED"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68480" behindDoc="0" locked="0" layoutInCell="1" allowOverlap="1" wp14:anchorId="26F70793" wp14:editId="6DEA46ED">
          <wp:simplePos x="0" y="0"/>
          <wp:positionH relativeFrom="column">
            <wp:posOffset>142875</wp:posOffset>
          </wp:positionH>
          <wp:positionV relativeFrom="paragraph">
            <wp:posOffset>-144780</wp:posOffset>
          </wp:positionV>
          <wp:extent cx="1104900" cy="914153"/>
          <wp:effectExtent l="0" t="0" r="0" b="635"/>
          <wp:wrapNone/>
          <wp:docPr id="6"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5A00BC77" w14:textId="77777777" w:rsidR="00C923ED" w:rsidRDefault="00C923ED">
    <w:pPr>
      <w:pStyle w:val="Intestazione"/>
    </w:pPr>
  </w:p>
  <w:p w14:paraId="694AF659" w14:textId="77777777" w:rsidR="00C923ED" w:rsidRDefault="00C923ED">
    <w:pPr>
      <w:pStyle w:val="Intestazione"/>
    </w:pPr>
    <w:r>
      <w:rPr>
        <w:noProof/>
        <w:lang w:val="en-US"/>
      </w:rPr>
      <mc:AlternateContent>
        <mc:Choice Requires="wps">
          <w:drawing>
            <wp:anchor distT="0" distB="0" distL="114300" distR="114300" simplePos="0" relativeHeight="251669504" behindDoc="0" locked="0" layoutInCell="1" allowOverlap="1" wp14:anchorId="4FAFD899" wp14:editId="28155201">
              <wp:simplePos x="0" y="0"/>
              <wp:positionH relativeFrom="column">
                <wp:posOffset>128270</wp:posOffset>
              </wp:positionH>
              <wp:positionV relativeFrom="paragraph">
                <wp:posOffset>76200</wp:posOffset>
              </wp:positionV>
              <wp:extent cx="5581650" cy="0"/>
              <wp:effectExtent l="38100" t="38100" r="76200" b="95250"/>
              <wp:wrapNone/>
              <wp:docPr id="4"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264B4B8" id="Connettore 1 1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1BA5"/>
    <w:rsid w:val="000027C0"/>
    <w:rsid w:val="000117CB"/>
    <w:rsid w:val="0003148D"/>
    <w:rsid w:val="00062A9A"/>
    <w:rsid w:val="000A03B2"/>
    <w:rsid w:val="000D34BE"/>
    <w:rsid w:val="000E36F1"/>
    <w:rsid w:val="000E3A73"/>
    <w:rsid w:val="000E414A"/>
    <w:rsid w:val="000F170C"/>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7F29"/>
    <w:rsid w:val="00AB0964"/>
    <w:rsid w:val="00AE377D"/>
    <w:rsid w:val="00B61DBF"/>
    <w:rsid w:val="00BC30C9"/>
    <w:rsid w:val="00BE3E58"/>
    <w:rsid w:val="00C01616"/>
    <w:rsid w:val="00C0162B"/>
    <w:rsid w:val="00C345B1"/>
    <w:rsid w:val="00C40142"/>
    <w:rsid w:val="00C57182"/>
    <w:rsid w:val="00C655FD"/>
    <w:rsid w:val="00C923ED"/>
    <w:rsid w:val="00C94434"/>
    <w:rsid w:val="00CA1C95"/>
    <w:rsid w:val="00CA5A9C"/>
    <w:rsid w:val="00CC3F4B"/>
    <w:rsid w:val="00CD5FE2"/>
    <w:rsid w:val="00D02B4C"/>
    <w:rsid w:val="00D84576"/>
    <w:rsid w:val="00DE0019"/>
    <w:rsid w:val="00DE264A"/>
    <w:rsid w:val="00E041E7"/>
    <w:rsid w:val="00E23CA1"/>
    <w:rsid w:val="00E409A8"/>
    <w:rsid w:val="00E47211"/>
    <w:rsid w:val="00E7209D"/>
    <w:rsid w:val="00EA50E1"/>
    <w:rsid w:val="00EE0131"/>
    <w:rsid w:val="00F30C64"/>
    <w:rsid w:val="00F97AD5"/>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88262"/>
  <w15:docId w15:val="{AE01573D-20C6-4170-BDE8-2ED8BFA2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semiHidden="1" w:uiPriority="59" w:unhideWhenUsed="1"/>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SERVERH97000\DATAH97000\H97000\UT\WG_Guebitz\Projects\FINISHED%20PROJECTS\10208_BOKU_FFG_ShLauBi2\02_Experimente\Datenblatt%20mit%20Diagrammen_BOKU_IFA_Update.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ERVERH97000\DATAH97000\H97000\UT\WG_Guebitz\Projects\FINISHED%20PROJECTS\10208_BOKU_FFG_ShLauBi2\02_Experimente\Datenblatt%20mit%20Diagrammen_BOKU_IFA_Update.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246933915555276"/>
          <c:y val="0.10138334367955043"/>
          <c:w val="0.71970465439427833"/>
          <c:h val="0.74660219339802447"/>
        </c:manualLayout>
      </c:layout>
      <c:barChart>
        <c:barDir val="col"/>
        <c:grouping val="clustered"/>
        <c:varyColors val="0"/>
        <c:ser>
          <c:idx val="0"/>
          <c:order val="0"/>
          <c:spPr>
            <a:pattFill prst="pct5">
              <a:fgClr>
                <a:schemeClr val="accent1"/>
              </a:fgClr>
              <a:bgClr>
                <a:schemeClr val="bg1"/>
              </a:bgClr>
            </a:pattFill>
          </c:spPr>
          <c:invertIfNegative val="0"/>
          <c:dPt>
            <c:idx val="0"/>
            <c:invertIfNegative val="0"/>
            <c:bubble3D val="0"/>
            <c:spPr>
              <a:pattFill prst="pct10">
                <a:fgClr>
                  <a:schemeClr val="tx1"/>
                </a:fgClr>
                <a:bgClr>
                  <a:schemeClr val="bg1"/>
                </a:bgClr>
              </a:pattFill>
              <a:ln w="12700">
                <a:solidFill>
                  <a:schemeClr val="tx1"/>
                </a:solidFill>
              </a:ln>
            </c:spPr>
            <c:extLst>
              <c:ext xmlns:c16="http://schemas.microsoft.com/office/drawing/2014/chart" uri="{C3380CC4-5D6E-409C-BE32-E72D297353CC}">
                <c16:uniqueId val="{00000001-C3CC-4748-A981-770C28722DE0}"/>
              </c:ext>
            </c:extLst>
          </c:dPt>
          <c:dPt>
            <c:idx val="1"/>
            <c:invertIfNegative val="0"/>
            <c:bubble3D val="0"/>
            <c:spPr>
              <a:pattFill prst="ltDnDiag">
                <a:fgClr>
                  <a:schemeClr val="tx1"/>
                </a:fgClr>
                <a:bgClr>
                  <a:schemeClr val="bg1"/>
                </a:bgClr>
              </a:pattFill>
              <a:ln w="12700">
                <a:solidFill>
                  <a:schemeClr val="tx1"/>
                </a:solidFill>
              </a:ln>
            </c:spPr>
            <c:extLst>
              <c:ext xmlns:c16="http://schemas.microsoft.com/office/drawing/2014/chart" uri="{C3380CC4-5D6E-409C-BE32-E72D297353CC}">
                <c16:uniqueId val="{00000003-C3CC-4748-A981-770C28722DE0}"/>
              </c:ext>
            </c:extLst>
          </c:dPt>
          <c:dPt>
            <c:idx val="2"/>
            <c:invertIfNegative val="0"/>
            <c:bubble3D val="0"/>
            <c:spPr>
              <a:pattFill prst="lgCheck">
                <a:fgClr>
                  <a:schemeClr val="tx1"/>
                </a:fgClr>
                <a:bgClr>
                  <a:schemeClr val="bg1"/>
                </a:bgClr>
              </a:pattFill>
              <a:ln w="12700">
                <a:solidFill>
                  <a:schemeClr val="tx1"/>
                </a:solidFill>
              </a:ln>
            </c:spPr>
            <c:extLst>
              <c:ext xmlns:c16="http://schemas.microsoft.com/office/drawing/2014/chart" uri="{C3380CC4-5D6E-409C-BE32-E72D297353CC}">
                <c16:uniqueId val="{00000005-C3CC-4748-A981-770C28722DE0}"/>
              </c:ext>
            </c:extLst>
          </c:dPt>
          <c:dPt>
            <c:idx val="3"/>
            <c:invertIfNegative val="0"/>
            <c:bubble3D val="0"/>
            <c:spPr>
              <a:pattFill prst="divot">
                <a:fgClr>
                  <a:schemeClr val="tx1"/>
                </a:fgClr>
                <a:bgClr>
                  <a:schemeClr val="bg1"/>
                </a:bgClr>
              </a:pattFill>
              <a:ln>
                <a:solidFill>
                  <a:schemeClr val="tx1"/>
                </a:solidFill>
              </a:ln>
            </c:spPr>
            <c:extLst>
              <c:ext xmlns:c16="http://schemas.microsoft.com/office/drawing/2014/chart" uri="{C3380CC4-5D6E-409C-BE32-E72D297353CC}">
                <c16:uniqueId val="{00000007-C3CC-4748-A981-770C28722DE0}"/>
              </c:ext>
            </c:extLst>
          </c:dPt>
          <c:cat>
            <c:strRef>
              <c:f>'ICP-Analyse_Laugungseffizienz_2'!$E$89:$E$92</c:f>
              <c:strCache>
                <c:ptCount val="4"/>
                <c:pt idx="0">
                  <c:v>Fe</c:v>
                </c:pt>
                <c:pt idx="1">
                  <c:v>Cu</c:v>
                </c:pt>
                <c:pt idx="2">
                  <c:v>Ni</c:v>
                </c:pt>
                <c:pt idx="3">
                  <c:v>Zn</c:v>
                </c:pt>
              </c:strCache>
            </c:strRef>
          </c:cat>
          <c:val>
            <c:numRef>
              <c:f>'ICP-Analyse_Laugungseffizienz_2'!$F$89:$F$92</c:f>
              <c:numCache>
                <c:formatCode>General</c:formatCode>
                <c:ptCount val="4"/>
                <c:pt idx="0">
                  <c:v>21.67</c:v>
                </c:pt>
                <c:pt idx="1">
                  <c:v>76.23</c:v>
                </c:pt>
                <c:pt idx="2">
                  <c:v>71.78</c:v>
                </c:pt>
                <c:pt idx="3">
                  <c:v>81.44</c:v>
                </c:pt>
              </c:numCache>
            </c:numRef>
          </c:val>
          <c:extLst>
            <c:ext xmlns:c16="http://schemas.microsoft.com/office/drawing/2014/chart" uri="{C3380CC4-5D6E-409C-BE32-E72D297353CC}">
              <c16:uniqueId val="{00000008-C3CC-4748-A981-770C28722DE0}"/>
            </c:ext>
          </c:extLst>
        </c:ser>
        <c:dLbls>
          <c:showLegendKey val="0"/>
          <c:showVal val="0"/>
          <c:showCatName val="0"/>
          <c:showSerName val="0"/>
          <c:showPercent val="0"/>
          <c:showBubbleSize val="0"/>
        </c:dLbls>
        <c:gapWidth val="150"/>
        <c:axId val="149807104"/>
        <c:axId val="149808640"/>
      </c:barChart>
      <c:catAx>
        <c:axId val="149807104"/>
        <c:scaling>
          <c:orientation val="minMax"/>
        </c:scaling>
        <c:delete val="0"/>
        <c:axPos val="b"/>
        <c:numFmt formatCode="General" sourceLinked="0"/>
        <c:majorTickMark val="out"/>
        <c:minorTickMark val="none"/>
        <c:tickLblPos val="nextTo"/>
        <c:spPr>
          <a:ln w="25400">
            <a:solidFill>
              <a:schemeClr val="tx1"/>
            </a:solidFill>
          </a:ln>
        </c:spPr>
        <c:txPr>
          <a:bodyPr/>
          <a:lstStyle/>
          <a:p>
            <a:pPr>
              <a:defRPr sz="1200" b="1"/>
            </a:pPr>
            <a:endParaRPr lang="it-IT"/>
          </a:p>
        </c:txPr>
        <c:crossAx val="149808640"/>
        <c:crosses val="autoZero"/>
        <c:auto val="1"/>
        <c:lblAlgn val="ctr"/>
        <c:lblOffset val="100"/>
        <c:noMultiLvlLbl val="0"/>
      </c:catAx>
      <c:valAx>
        <c:axId val="149808640"/>
        <c:scaling>
          <c:orientation val="minMax"/>
          <c:max val="100"/>
        </c:scaling>
        <c:delete val="0"/>
        <c:axPos val="l"/>
        <c:title>
          <c:tx>
            <c:rich>
              <a:bodyPr rot="-5400000" vert="horz"/>
              <a:lstStyle/>
              <a:p>
                <a:pPr>
                  <a:defRPr sz="1200"/>
                </a:pPr>
                <a:r>
                  <a:rPr lang="en-US" sz="1200"/>
                  <a:t>Leaching efficency [%]</a:t>
                </a:r>
              </a:p>
            </c:rich>
          </c:tx>
          <c:layout>
            <c:manualLayout>
              <c:xMode val="edge"/>
              <c:yMode val="edge"/>
              <c:x val="5.3619302949061663E-3"/>
              <c:y val="0.12876153725817385"/>
            </c:manualLayout>
          </c:layout>
          <c:overlay val="0"/>
        </c:title>
        <c:numFmt formatCode="General" sourceLinked="1"/>
        <c:majorTickMark val="out"/>
        <c:minorTickMark val="none"/>
        <c:tickLblPos val="nextTo"/>
        <c:spPr>
          <a:ln w="25400">
            <a:solidFill>
              <a:schemeClr val="tx1"/>
            </a:solidFill>
          </a:ln>
        </c:spPr>
        <c:txPr>
          <a:bodyPr/>
          <a:lstStyle/>
          <a:p>
            <a:pPr>
              <a:defRPr sz="1100" b="1"/>
            </a:pPr>
            <a:endParaRPr lang="it-IT"/>
          </a:p>
        </c:txPr>
        <c:crossAx val="14980710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73221616528703"/>
          <c:y val="0.13960028167210806"/>
          <c:w val="0.79880322126969627"/>
          <c:h val="0.70581910215768484"/>
        </c:manualLayout>
      </c:layout>
      <c:barChart>
        <c:barDir val="col"/>
        <c:grouping val="stacked"/>
        <c:varyColors val="0"/>
        <c:ser>
          <c:idx val="0"/>
          <c:order val="0"/>
          <c:tx>
            <c:v>chemical</c:v>
          </c:tx>
          <c:invertIfNegative val="0"/>
          <c:dPt>
            <c:idx val="0"/>
            <c:invertIfNegative val="0"/>
            <c:bubble3D val="0"/>
            <c:spPr>
              <a:pattFill prst="pct10">
                <a:fgClr>
                  <a:schemeClr val="tx1"/>
                </a:fgClr>
                <a:bgClr>
                  <a:schemeClr val="bg1"/>
                </a:bgClr>
              </a:pattFill>
              <a:ln w="12700">
                <a:solidFill>
                  <a:schemeClr val="tx1"/>
                </a:solidFill>
              </a:ln>
            </c:spPr>
            <c:extLst>
              <c:ext xmlns:c16="http://schemas.microsoft.com/office/drawing/2014/chart" uri="{C3380CC4-5D6E-409C-BE32-E72D297353CC}">
                <c16:uniqueId val="{00000001-3B69-D843-830E-134619951A1D}"/>
              </c:ext>
            </c:extLst>
          </c:dPt>
          <c:dPt>
            <c:idx val="2"/>
            <c:invertIfNegative val="0"/>
            <c:bubble3D val="0"/>
            <c:spPr>
              <a:pattFill prst="lgCheck">
                <a:fgClr>
                  <a:schemeClr val="tx1"/>
                </a:fgClr>
                <a:bgClr>
                  <a:schemeClr val="bg1"/>
                </a:bgClr>
              </a:pattFill>
              <a:ln w="12700">
                <a:solidFill>
                  <a:schemeClr val="tx1"/>
                </a:solidFill>
              </a:ln>
            </c:spPr>
            <c:extLst>
              <c:ext xmlns:c16="http://schemas.microsoft.com/office/drawing/2014/chart" uri="{C3380CC4-5D6E-409C-BE32-E72D297353CC}">
                <c16:uniqueId val="{00000003-3B69-D843-830E-134619951A1D}"/>
              </c:ext>
            </c:extLst>
          </c:dPt>
          <c:dPt>
            <c:idx val="3"/>
            <c:invertIfNegative val="0"/>
            <c:bubble3D val="0"/>
            <c:spPr>
              <a:pattFill prst="divot">
                <a:fgClr>
                  <a:schemeClr val="tx1"/>
                </a:fgClr>
                <a:bgClr>
                  <a:schemeClr val="bg1"/>
                </a:bgClr>
              </a:pattFill>
              <a:ln w="12700">
                <a:solidFill>
                  <a:schemeClr val="tx1"/>
                </a:solidFill>
              </a:ln>
            </c:spPr>
            <c:extLst>
              <c:ext xmlns:c16="http://schemas.microsoft.com/office/drawing/2014/chart" uri="{C3380CC4-5D6E-409C-BE32-E72D297353CC}">
                <c16:uniqueId val="{00000005-3B69-D843-830E-134619951A1D}"/>
              </c:ext>
            </c:extLst>
          </c:dPt>
          <c:cat>
            <c:strRef>
              <c:f>'ICP-Analyse_Laugungseffizienz_1'!$AD$39:$AD$42</c:f>
              <c:strCache>
                <c:ptCount val="4"/>
                <c:pt idx="0">
                  <c:v>Fe</c:v>
                </c:pt>
                <c:pt idx="1">
                  <c:v>Cu</c:v>
                </c:pt>
                <c:pt idx="2">
                  <c:v>Ni</c:v>
                </c:pt>
                <c:pt idx="3">
                  <c:v>Zn</c:v>
                </c:pt>
              </c:strCache>
            </c:strRef>
          </c:cat>
          <c:val>
            <c:numRef>
              <c:f>'ICP-Analyse_Laugungseffizienz_1'!$AE$39:$AE$42</c:f>
              <c:numCache>
                <c:formatCode>General</c:formatCode>
                <c:ptCount val="4"/>
                <c:pt idx="0">
                  <c:v>13.03</c:v>
                </c:pt>
                <c:pt idx="1">
                  <c:v>0</c:v>
                </c:pt>
                <c:pt idx="2">
                  <c:v>21.32</c:v>
                </c:pt>
                <c:pt idx="3">
                  <c:v>1.31</c:v>
                </c:pt>
              </c:numCache>
            </c:numRef>
          </c:val>
          <c:extLst>
            <c:ext xmlns:c16="http://schemas.microsoft.com/office/drawing/2014/chart" uri="{C3380CC4-5D6E-409C-BE32-E72D297353CC}">
              <c16:uniqueId val="{00000006-3B69-D843-830E-134619951A1D}"/>
            </c:ext>
          </c:extLst>
        </c:ser>
        <c:ser>
          <c:idx val="1"/>
          <c:order val="1"/>
          <c:tx>
            <c:v>biological</c:v>
          </c:tx>
          <c:spPr>
            <a:solidFill>
              <a:schemeClr val="accent3">
                <a:lumMod val="75000"/>
              </a:schemeClr>
            </a:solidFill>
            <a:ln w="12700">
              <a:solidFill>
                <a:schemeClr val="tx1"/>
              </a:solidFill>
            </a:ln>
          </c:spPr>
          <c:invertIfNegative val="0"/>
          <c:cat>
            <c:strRef>
              <c:f>'ICP-Analyse_Laugungseffizienz_1'!$AD$39:$AD$42</c:f>
              <c:strCache>
                <c:ptCount val="4"/>
                <c:pt idx="0">
                  <c:v>Fe</c:v>
                </c:pt>
                <c:pt idx="1">
                  <c:v>Cu</c:v>
                </c:pt>
                <c:pt idx="2">
                  <c:v>Ni</c:v>
                </c:pt>
                <c:pt idx="3">
                  <c:v>Zn</c:v>
                </c:pt>
              </c:strCache>
            </c:strRef>
          </c:cat>
          <c:val>
            <c:numRef>
              <c:f>'ICP-Analyse_Laugungseffizienz_1'!$AF$39:$AF$42</c:f>
              <c:numCache>
                <c:formatCode>General</c:formatCode>
                <c:ptCount val="4"/>
                <c:pt idx="0">
                  <c:v>8.41</c:v>
                </c:pt>
                <c:pt idx="1">
                  <c:v>13.77</c:v>
                </c:pt>
                <c:pt idx="2">
                  <c:v>12.53</c:v>
                </c:pt>
                <c:pt idx="3">
                  <c:v>25.19</c:v>
                </c:pt>
              </c:numCache>
            </c:numRef>
          </c:val>
          <c:extLst>
            <c:ext xmlns:c16="http://schemas.microsoft.com/office/drawing/2014/chart" uri="{C3380CC4-5D6E-409C-BE32-E72D297353CC}">
              <c16:uniqueId val="{00000007-3B69-D843-830E-134619951A1D}"/>
            </c:ext>
          </c:extLst>
        </c:ser>
        <c:dLbls>
          <c:showLegendKey val="0"/>
          <c:showVal val="0"/>
          <c:showCatName val="0"/>
          <c:showSerName val="0"/>
          <c:showPercent val="0"/>
          <c:showBubbleSize val="0"/>
        </c:dLbls>
        <c:gapWidth val="150"/>
        <c:overlap val="100"/>
        <c:axId val="149853312"/>
        <c:axId val="149854848"/>
      </c:barChart>
      <c:catAx>
        <c:axId val="149853312"/>
        <c:scaling>
          <c:orientation val="minMax"/>
        </c:scaling>
        <c:delete val="0"/>
        <c:axPos val="b"/>
        <c:numFmt formatCode="General" sourceLinked="0"/>
        <c:majorTickMark val="out"/>
        <c:minorTickMark val="none"/>
        <c:tickLblPos val="nextTo"/>
        <c:spPr>
          <a:ln w="25400">
            <a:solidFill>
              <a:schemeClr val="tx1"/>
            </a:solidFill>
          </a:ln>
        </c:spPr>
        <c:txPr>
          <a:bodyPr/>
          <a:lstStyle/>
          <a:p>
            <a:pPr>
              <a:defRPr sz="1200" b="1"/>
            </a:pPr>
            <a:endParaRPr lang="it-IT"/>
          </a:p>
        </c:txPr>
        <c:crossAx val="149854848"/>
        <c:crosses val="autoZero"/>
        <c:auto val="1"/>
        <c:lblAlgn val="ctr"/>
        <c:lblOffset val="100"/>
        <c:noMultiLvlLbl val="0"/>
      </c:catAx>
      <c:valAx>
        <c:axId val="149854848"/>
        <c:scaling>
          <c:orientation val="minMax"/>
          <c:max val="50"/>
        </c:scaling>
        <c:delete val="0"/>
        <c:axPos val="l"/>
        <c:numFmt formatCode="General" sourceLinked="1"/>
        <c:majorTickMark val="out"/>
        <c:minorTickMark val="none"/>
        <c:tickLblPos val="nextTo"/>
        <c:spPr>
          <a:ln w="25400">
            <a:solidFill>
              <a:schemeClr val="tx1"/>
            </a:solidFill>
          </a:ln>
        </c:spPr>
        <c:txPr>
          <a:bodyPr/>
          <a:lstStyle/>
          <a:p>
            <a:pPr>
              <a:defRPr sz="1100" b="1">
                <a:solidFill>
                  <a:sysClr val="windowText" lastClr="000000"/>
                </a:solidFill>
              </a:defRPr>
            </a:pPr>
            <a:endParaRPr lang="it-IT"/>
          </a:p>
        </c:txPr>
        <c:crossAx val="149853312"/>
        <c:crosses val="autoZero"/>
        <c:crossBetween val="between"/>
        <c:majorUnit val="10"/>
      </c:valAx>
    </c:plotArea>
    <c:legend>
      <c:legendPos val="t"/>
      <c:legendEntry>
        <c:idx val="0"/>
        <c:delete val="1"/>
      </c:legendEntry>
      <c:layout>
        <c:manualLayout>
          <c:xMode val="edge"/>
          <c:yMode val="edge"/>
          <c:x val="0.22457624537547136"/>
          <c:y val="0.16918429003021149"/>
          <c:w val="0.3555590192864117"/>
          <c:h val="6.7903178769320505E-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CD3C8-1ABD-4BA8-BAF0-0EBBFEC8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1369</Words>
  <Characters>7809</Characters>
  <Application>Microsoft Office Word</Application>
  <DocSecurity>0</DocSecurity>
  <Lines>65</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2015-05-12T18:31:00Z</cp:lastPrinted>
  <dcterms:created xsi:type="dcterms:W3CDTF">2019-01-08T12:08:00Z</dcterms:created>
  <dcterms:modified xsi:type="dcterms:W3CDTF">2019-08-21T08:53:00Z</dcterms:modified>
</cp:coreProperties>
</file>