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88D5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1A41E9B" w14:textId="62B2CA68" w:rsidR="00704BDF" w:rsidRPr="00DE0019" w:rsidRDefault="00C469D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 w:rsidR="009859F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onsidering </w:t>
      </w:r>
      <w:r w:rsidR="00401003">
        <w:rPr>
          <w:rFonts w:asciiTheme="minorHAnsi" w:eastAsia="MS PGothic" w:hAnsiTheme="minorHAnsi"/>
          <w:b/>
          <w:bCs/>
          <w:sz w:val="28"/>
          <w:szCs w:val="28"/>
          <w:lang w:val="en-US"/>
        </w:rPr>
        <w:t>the Entire Turbulence Spectrum in Breakage and Coalescence Kernel Formulation.</w:t>
      </w:r>
      <w:bookmarkStart w:id="0" w:name="_GoBack"/>
      <w:bookmarkEnd w:id="0"/>
    </w:p>
    <w:p w14:paraId="5037083C" w14:textId="77777777" w:rsidR="00DE0019" w:rsidRPr="00DE0019" w:rsidRDefault="009859FC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Simone Castellano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EA3EE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,2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5A390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Lorenzo Carrillo</w:t>
      </w:r>
      <w:r w:rsidR="005A3909">
        <w:rPr>
          <w:rFonts w:eastAsia="SimSun"/>
          <w:color w:val="000000"/>
          <w:vertAlign w:val="superscript"/>
          <w:lang w:val="en-US" w:eastAsia="zh-CN"/>
        </w:rPr>
        <w:t>1</w:t>
      </w:r>
      <w:r w:rsidR="005A390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Nida Sheibat-Othman</w:t>
      </w:r>
      <w:r w:rsidR="00EA3EE7" w:rsidRPr="00A15B93">
        <w:rPr>
          <w:rFonts w:eastAsia="SimSun"/>
          <w:color w:val="000000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Daniele Marchisio</w:t>
      </w:r>
      <w:r w:rsidR="00EA3EE7">
        <w:rPr>
          <w:rFonts w:eastAsia="SimSun"/>
          <w:color w:val="000000"/>
          <w:vertAlign w:val="superscript"/>
          <w:lang w:val="en-US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4739F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Antonio Buffo</w:t>
      </w:r>
      <w:r w:rsidR="00EA3EE7">
        <w:rPr>
          <w:rFonts w:eastAsia="SimSun"/>
          <w:color w:val="000000"/>
          <w:vertAlign w:val="superscript"/>
          <w:lang w:val="en-US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Sophie Charton</w:t>
      </w:r>
      <w:r w:rsidR="00EA3EE7">
        <w:rPr>
          <w:rFonts w:eastAsia="SimSun"/>
          <w:color w:val="000000"/>
          <w:vertAlign w:val="superscript"/>
          <w:lang w:val="en-US" w:eastAsia="zh-CN"/>
        </w:rPr>
        <w:t>1*</w:t>
      </w:r>
    </w:p>
    <w:p w14:paraId="6A43BD29" w14:textId="77777777" w:rsidR="00231B71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231B7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CEA, DEN, Research Department on Mining and Fuel Recycling Processes, SA2I, Bagnols-sur-Cèze, France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14:paraId="43BCC628" w14:textId="77777777" w:rsidR="00704BDF" w:rsidRPr="004739FA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4739F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2 </w:t>
      </w:r>
      <w:r w:rsidR="004739FA" w:rsidRPr="004739F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Université Claude Bernard Lyon</w:t>
      </w:r>
      <w:r w:rsidR="00254C2E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1, CNRS, UMR 5007, LAGEP, 43 b</w:t>
      </w:r>
      <w:r w:rsidR="004739FA" w:rsidRPr="004739F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11 Novembre 1918</w:t>
      </w:r>
      <w:r w:rsidR="00254C2E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, </w:t>
      </w:r>
      <w:r w:rsidR="004739F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Villeurbanne, France</w:t>
      </w:r>
      <w:r w:rsidR="00DE0019" w:rsidRPr="004739F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</w:p>
    <w:p w14:paraId="3C0AB477" w14:textId="77777777" w:rsidR="00231B71" w:rsidRPr="00DE0019" w:rsidRDefault="00EF4421" w:rsidP="00231B71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3</w:t>
      </w:r>
      <w:r w:rsidR="00231B71"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Politecnico di Torino, </w:t>
      </w:r>
      <w:r w:rsidR="00254C2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DISAT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Corso Duca degli Abruzzi 24, Torino, Italy</w:t>
      </w:r>
    </w:p>
    <w:p w14:paraId="01B9FB19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A3EE7">
        <w:rPr>
          <w:rFonts w:asciiTheme="minorHAnsi" w:eastAsia="MS PGothic" w:hAnsiTheme="minorHAnsi"/>
          <w:bCs/>
          <w:i/>
          <w:iCs/>
          <w:sz w:val="20"/>
          <w:lang w:val="en-US"/>
        </w:rPr>
        <w:t>sophie.charton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EA3EE7">
        <w:rPr>
          <w:rFonts w:asciiTheme="minorHAnsi" w:eastAsia="MS PGothic" w:hAnsiTheme="minorHAnsi"/>
          <w:bCs/>
          <w:i/>
          <w:iCs/>
          <w:sz w:val="20"/>
          <w:lang w:val="en-US"/>
        </w:rPr>
        <w:t>cea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EA3EE7">
        <w:rPr>
          <w:rFonts w:asciiTheme="minorHAnsi" w:eastAsia="MS PGothic" w:hAnsiTheme="minorHAnsi"/>
          <w:bCs/>
          <w:i/>
          <w:iCs/>
          <w:sz w:val="20"/>
          <w:lang w:val="en-US"/>
        </w:rPr>
        <w:t>fr</w:t>
      </w:r>
    </w:p>
    <w:p w14:paraId="56E29498" w14:textId="77777777" w:rsidR="00704BDF" w:rsidRPr="00F27EF8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</w:rPr>
      </w:pPr>
      <w:r w:rsidRPr="00EC66CC">
        <w:rPr>
          <w:rFonts w:asciiTheme="minorHAnsi" w:hAnsiTheme="minorHAnsi"/>
          <w:b/>
        </w:rPr>
        <w:t>Highlights</w:t>
      </w:r>
    </w:p>
    <w:p w14:paraId="4D6B72FF" w14:textId="77777777" w:rsidR="00704BDF" w:rsidRPr="00EC66CC" w:rsidRDefault="002E4F2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0D Population Balance Equation model</w:t>
      </w:r>
      <w:r w:rsidR="00704BDF" w:rsidRPr="00EC66CC">
        <w:rPr>
          <w:rFonts w:asciiTheme="minorHAnsi" w:hAnsiTheme="minorHAnsi"/>
        </w:rPr>
        <w:t>.</w:t>
      </w:r>
    </w:p>
    <w:p w14:paraId="2E278112" w14:textId="77777777" w:rsidR="00704BDF" w:rsidRPr="00EC66CC" w:rsidRDefault="002E4F2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Breakage and Coalescence kernels formulation</w:t>
      </w:r>
      <w:r w:rsidR="00704BDF" w:rsidRPr="00EC66CC">
        <w:rPr>
          <w:rFonts w:asciiTheme="minorHAnsi" w:hAnsiTheme="minorHAnsi"/>
        </w:rPr>
        <w:t xml:space="preserve">. </w:t>
      </w:r>
    </w:p>
    <w:p w14:paraId="3C8F609D" w14:textId="77777777" w:rsidR="00704BDF" w:rsidRPr="00EC66CC" w:rsidRDefault="002E4F2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Second order structure function accounting for the entire turbulence spectrum.</w:t>
      </w:r>
    </w:p>
    <w:p w14:paraId="637A2F0A" w14:textId="77777777" w:rsidR="00704BDF" w:rsidRPr="00F27EF8" w:rsidRDefault="00704BDF" w:rsidP="00EC32F0">
      <w:pPr>
        <w:snapToGrid w:val="0"/>
        <w:spacing w:after="120"/>
        <w:rPr>
          <w:rFonts w:eastAsia="SimSun"/>
          <w:b/>
          <w:bCs/>
          <w:iCs/>
          <w:color w:val="000000" w:themeColor="text1"/>
          <w:sz w:val="20"/>
          <w:lang w:val="en-US" w:eastAsia="zh-CN"/>
        </w:rPr>
      </w:pPr>
    </w:p>
    <w:p w14:paraId="616B81D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4606AC5" w14:textId="77777777" w:rsidR="00704BDF" w:rsidRPr="008D0BEB" w:rsidRDefault="005E6C5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Liquid-liquid extraction is a common unit operation in </w:t>
      </w:r>
      <w:r w:rsidR="00D46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chemical, food, pharmaceutical and nuclear industries. </w:t>
      </w:r>
      <w:r w:rsidR="009F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optimize and control this </w:t>
      </w:r>
      <w:r w:rsidR="00D466CB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operation</w:t>
      </w:r>
      <w:r w:rsidR="009F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7F24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9F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knowledge of the </w:t>
      </w:r>
      <w:r w:rsidR="007F24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droplet size distribution or the </w:t>
      </w:r>
      <w:r w:rsidR="009558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Sauter mean diameter </w:t>
      </w:r>
      <w:r w:rsidR="009F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9558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73903">
        <w:rPr>
          <w:rFonts w:asciiTheme="minorHAnsi" w:eastAsia="MS PGothic" w:hAnsiTheme="minorHAnsi"/>
          <w:color w:val="000000"/>
          <w:sz w:val="22"/>
          <w:szCs w:val="22"/>
          <w:lang w:val="en-US"/>
        </w:rPr>
        <w:t>needed</w:t>
      </w:r>
      <w:r w:rsidR="009558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F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two properties </w:t>
      </w:r>
      <w:r w:rsidR="0016667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</w:t>
      </w:r>
      <w:r w:rsidR="009F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determined through the </w:t>
      </w:r>
      <w:r w:rsidR="0095582D">
        <w:rPr>
          <w:rFonts w:asciiTheme="minorHAnsi" w:eastAsia="MS PGothic" w:hAnsiTheme="minorHAnsi"/>
          <w:color w:val="000000"/>
          <w:sz w:val="22"/>
          <w:szCs w:val="22"/>
          <w:lang w:val="en-US"/>
        </w:rPr>
        <w:t>Po</w:t>
      </w:r>
      <w:r w:rsidR="009F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150CDA">
        <w:rPr>
          <w:rFonts w:asciiTheme="minorHAnsi" w:eastAsia="MS PGothic" w:hAnsiTheme="minorHAnsi"/>
          <w:color w:val="000000"/>
          <w:sz w:val="22"/>
          <w:szCs w:val="22"/>
          <w:lang w:val="en-US"/>
        </w:rPr>
        <w:t>ulation Balance Equation (PBE</w:t>
      </w:r>
      <w:r w:rsidR="00673903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whose accurate solution</w:t>
      </w:r>
      <w:r w:rsidR="001A6D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depends </w:t>
      </w:r>
      <w:r w:rsidR="006F7ED3"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 w:rsidR="001A6D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modeling of its source terms</w:t>
      </w:r>
      <w:r w:rsidR="002304E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C36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36EC" w:rsidRPr="00F1627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i.e</w:t>
      </w:r>
      <w:r w:rsidR="009C36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A6DA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</w:t>
      </w:r>
      <w:r w:rsidR="0067390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reakage and coalescence kernels. The kernels are of fundamental importance since they</w:t>
      </w:r>
      <w:r w:rsidR="001A6D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express the number of droplet</w:t>
      </w:r>
      <w:r w:rsidR="009C36E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A6D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breaking or coalescing per unit time</w:t>
      </w:r>
      <w:r w:rsidR="00AC6F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16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case of turbulent dispersions, these</w:t>
      </w:r>
      <w:r w:rsidR="009C36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</w:t>
      </w:r>
      <w:r w:rsidR="00E0673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C36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generally</w:t>
      </w:r>
      <w:r w:rsidR="00E067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C6F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assume the </w:t>
      </w:r>
      <w:r w:rsidR="00E0673D">
        <w:rPr>
          <w:rFonts w:asciiTheme="minorHAnsi" w:eastAsia="MS PGothic" w:hAnsiTheme="minorHAnsi"/>
          <w:color w:val="000000"/>
          <w:sz w:val="22"/>
          <w:szCs w:val="22"/>
          <w:lang w:val="en-US"/>
        </w:rPr>
        <w:t>droplets to have dimension in the inertial subrange of turbulence, where the Kolmogorov theory applies.</w:t>
      </w:r>
      <w:r w:rsidR="006739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Therefore, shear stresses and characteristic times are expressed in agreement with the results of this theory. </w:t>
      </w:r>
      <w:r w:rsidR="00E0673D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</w:t>
      </w:r>
      <w:r w:rsidR="00AC10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since </w:t>
      </w:r>
      <w:r w:rsidR="00C629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 solvent extraction process the </w:t>
      </w:r>
      <w:r w:rsidR="00AC10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droplet diameter </w:t>
      </w:r>
      <w:r w:rsidR="00C629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varies </w:t>
      </w:r>
      <w:r w:rsidR="00AC10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microns to </w:t>
      </w:r>
      <w:r w:rsidR="00B02E8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millimeters</w:t>
      </w:r>
      <w:r w:rsidR="00AC10A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many droplets will have dimension in other turbulence ranges (Dissipation, Energy-containing)</w:t>
      </w:r>
      <w:r w:rsidR="00647E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A6DA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</w:t>
      </w:r>
      <w:r w:rsidR="00647E0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02E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47E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general breakage and coalescence </w:t>
      </w:r>
      <w:r w:rsidR="00B02E8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models that account</w:t>
      </w:r>
      <w:r w:rsidR="00647E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entire spectrum of turbulence</w:t>
      </w:r>
      <w:r w:rsidR="006739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2E89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6739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proposed and experimentally validated</w:t>
      </w:r>
      <w:r w:rsidR="00647E0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1ECEFB8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9B52BE6" w14:textId="77777777" w:rsidR="00704BDF" w:rsidRDefault="004B7C0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Coulaloglou and Tavlarides proposed breakage and coalescence kernels </w:t>
      </w:r>
      <w:r w:rsidR="00C629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considering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droplet to have dimension in the inertial subrange of turbulence. In this work, these models </w:t>
      </w:r>
      <w:r w:rsidR="00407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650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extended to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entire turbulence spectrum</w:t>
      </w:r>
      <w:r w:rsidR="00B650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implementing the second-order structure function</w:t>
      </w:r>
      <w:r w:rsidR="00E71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(SOF)</w:t>
      </w:r>
      <w:r w:rsidR="00B650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proposed by Davidson</w:t>
      </w:r>
      <w:r w:rsidR="004165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</w:p>
    <w:p w14:paraId="66621063" w14:textId="77777777" w:rsidR="00237C9B" w:rsidRDefault="004C76CA" w:rsidP="00237C9B">
      <w:pPr>
        <w:pStyle w:val="Primorientrocorpodeltesto"/>
        <w:spacing w:line="480" w:lineRule="auto"/>
        <w:rPr>
          <w:szCs w:val="22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∆u(r)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κ</m:t>
                  </m:r>
                </m:e>
              </m:d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1-3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κr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κr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κr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(κr)²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hAnsi="Cambria Math"/>
                </w:rPr>
                <m:t>dκ</m:t>
              </m:r>
            </m:e>
          </m:nary>
        </m:oMath>
      </m:oMathPara>
    </w:p>
    <w:p w14:paraId="5B1B8D24" w14:textId="77777777" w:rsidR="00F12E3E" w:rsidRDefault="0034383B" w:rsidP="00314F8E">
      <w:pPr>
        <w:snapToGrid w:val="0"/>
        <w:spacing w:before="24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The</w:t>
      </w:r>
      <w:r w:rsidR="001E25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Pope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energy spectrum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κ</m:t>
            </m:r>
          </m:e>
        </m:d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165BD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794A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7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794A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FF409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considered</w:t>
      </w:r>
      <w:r w:rsidR="00794A6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since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94A62"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account</w:t>
      </w:r>
      <w:r w:rsidR="00A2689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</w:t>
      </w:r>
      <w:r w:rsidR="00C629F0">
        <w:rPr>
          <w:rFonts w:asciiTheme="minorHAnsi" w:eastAsia="MS PGothic" w:hAnsiTheme="minorHAnsi"/>
          <w:color w:val="000000"/>
          <w:sz w:val="22"/>
          <w:szCs w:val="22"/>
          <w:lang w:val="en-US"/>
        </w:rPr>
        <w:t>edd</w:t>
      </w:r>
      <w:r w:rsidR="00F16273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C629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energy distribution in the entire turbulence spectrum</w:t>
      </w:r>
      <w:r w:rsidR="006D33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A1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model</w:t>
      </w:r>
      <w:r w:rsidR="00B54E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7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depends on</w:t>
      </w:r>
      <w:r w:rsidR="00B54E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CA1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continuous phase viscosity and the</w:t>
      </w:r>
      <w:r w:rsidR="00785A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turbulent dissipation rate ε.</w:t>
      </w:r>
      <w:r w:rsidR="00B54E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85AA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latter</w:t>
      </w:r>
      <w:r w:rsidR="00B54E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CA1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usually </w:t>
      </w:r>
      <w:r w:rsidR="00B54E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not uniform in the liquid-liquid contactor. </w:t>
      </w:r>
      <w:r w:rsidR="00CA1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Therefore, i</w:t>
      </w:r>
      <w:r w:rsidR="00B0347D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the employed 0D PBE model, the ε</w:t>
      </w:r>
      <w:r w:rsidR="00B54E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347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inhomogenenit</w:t>
      </w:r>
      <w:r w:rsidR="005075B6">
        <w:rPr>
          <w:rFonts w:asciiTheme="minorHAnsi" w:eastAsia="MS PGothic" w:hAnsiTheme="minorHAnsi"/>
          <w:color w:val="000000"/>
          <w:sz w:val="22"/>
          <w:szCs w:val="22"/>
          <w:lang w:val="en-US"/>
        </w:rPr>
        <w:t>ies</w:t>
      </w:r>
      <w:r w:rsidR="00B034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 w:rsidR="005075B6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="00B034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considered through a probability density function obtained from CFD simulation</w:t>
      </w:r>
      <w:r w:rsidR="004165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B0347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Finally, t</w:t>
      </w:r>
      <w:r w:rsidR="00396D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B0347D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proposed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kernels</w:t>
      </w:r>
      <w:r w:rsidR="00237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6DF7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237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442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tested on </w:t>
      </w:r>
      <w:r w:rsidR="00BF61ED">
        <w:rPr>
          <w:rFonts w:asciiTheme="minorHAnsi" w:eastAsia="MS PGothic" w:hAnsiTheme="minorHAnsi"/>
          <w:color w:val="000000"/>
          <w:sz w:val="22"/>
          <w:szCs w:val="22"/>
          <w:lang w:val="en-US"/>
        </w:rPr>
        <w:t>turbulent liquid-liquid dispersion experiments</w:t>
      </w:r>
      <w:r w:rsidR="00D442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 in a </w:t>
      </w:r>
      <w:r w:rsidR="00785AAC">
        <w:rPr>
          <w:rFonts w:asciiTheme="minorHAnsi" w:eastAsia="MS PGothic" w:hAnsiTheme="minorHAnsi"/>
          <w:color w:val="000000"/>
          <w:sz w:val="22"/>
          <w:szCs w:val="22"/>
          <w:lang w:val="en-US"/>
        </w:rPr>
        <w:t>stirred tank</w:t>
      </w:r>
      <w:r w:rsidR="00D442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1L volume</w:t>
      </w:r>
      <w:r w:rsidR="00396D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29F0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equipped with</w:t>
      </w:r>
      <w:r w:rsidR="00396D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Mixel-TT impeller. </w:t>
      </w:r>
      <w:r w:rsidR="006D33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Distilled water was used as </w:t>
      </w:r>
      <w:r w:rsidR="00C629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D3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dispersed phase, while t</w:t>
      </w:r>
      <w:r w:rsidR="00396D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continuous phase </w:t>
      </w:r>
      <w:r w:rsidR="00C629F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consisted of</w:t>
      </w:r>
      <w:r w:rsidR="006D33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29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6D3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mixture of Isane 175 (1.2 cP) and Marcol 82 (12 cP</w:t>
      </w:r>
      <w:r w:rsidR="002D578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56C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experiments were carried out at varying impeller r</w:t>
      </w:r>
      <w:r w:rsidR="00785A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otation speeds (600-700-800rpm), </w:t>
      </w:r>
      <w:r w:rsidR="00456C12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dispersed phase volume fractions (1-2%)</w:t>
      </w:r>
      <w:r w:rsidR="00785A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continuous phase viscosities (1.2 – 4.1 cP)</w:t>
      </w:r>
      <w:r w:rsidR="00456C1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B027C7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96E9C28" w14:textId="77777777" w:rsidR="00704BDF" w:rsidRDefault="0034383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034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of the </w:t>
      </w:r>
      <w:r w:rsidR="00B07697">
        <w:rPr>
          <w:rFonts w:asciiTheme="minorHAnsi" w:eastAsia="MS PGothic" w:hAnsiTheme="minorHAnsi"/>
          <w:color w:val="000000"/>
          <w:sz w:val="22"/>
          <w:szCs w:val="22"/>
          <w:lang w:val="en-US"/>
        </w:rPr>
        <w:t>general model</w:t>
      </w:r>
      <w:r w:rsidR="00833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(Fig. 1, green)</w:t>
      </w:r>
      <w:r w:rsidR="00B07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compared to </w:t>
      </w:r>
      <w:r w:rsidR="00B034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ones of </w:t>
      </w:r>
      <w:r w:rsidR="001E25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07697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 model</w:t>
      </w:r>
      <w:r w:rsidR="00833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(dashed blue)</w:t>
      </w:r>
      <w:r w:rsidR="00B07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the inertial subrange assumption</w:t>
      </w:r>
      <w:r w:rsidR="001152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B07697">
        <w:rPr>
          <w:rFonts w:asciiTheme="minorHAnsi" w:eastAsia="MS PGothic" w:hAnsiTheme="minorHAnsi"/>
          <w:color w:val="000000"/>
          <w:sz w:val="22"/>
          <w:szCs w:val="22"/>
        </w:rPr>
        <w:t xml:space="preserve"> At 1.2 cP (pure Isane</w:t>
      </w:r>
      <w:r w:rsidR="003F5910">
        <w:rPr>
          <w:rFonts w:asciiTheme="minorHAnsi" w:eastAsia="MS PGothic" w:hAnsiTheme="minorHAnsi"/>
          <w:color w:val="000000"/>
          <w:sz w:val="22"/>
          <w:szCs w:val="22"/>
        </w:rPr>
        <w:t>, left</w:t>
      </w:r>
      <w:r w:rsidR="00B07697">
        <w:rPr>
          <w:rFonts w:asciiTheme="minorHAnsi" w:eastAsia="MS PGothic" w:hAnsiTheme="minorHAnsi"/>
          <w:color w:val="000000"/>
          <w:sz w:val="22"/>
          <w:szCs w:val="22"/>
        </w:rPr>
        <w:t xml:space="preserve">), both models were able to predict the time evolution of the Sauter mean diameter. </w:t>
      </w:r>
      <w:r w:rsidR="00E81D33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A2689B">
        <w:rPr>
          <w:rFonts w:asciiTheme="minorHAnsi" w:eastAsia="MS PGothic" w:hAnsiTheme="minorHAnsi"/>
          <w:color w:val="000000"/>
          <w:sz w:val="22"/>
          <w:szCs w:val="22"/>
        </w:rPr>
        <w:t xml:space="preserve">t 2.4 </w:t>
      </w:r>
      <w:r w:rsidR="003F5910">
        <w:rPr>
          <w:rFonts w:asciiTheme="minorHAnsi" w:eastAsia="MS PGothic" w:hAnsiTheme="minorHAnsi"/>
          <w:color w:val="000000"/>
          <w:sz w:val="22"/>
          <w:szCs w:val="22"/>
        </w:rPr>
        <w:t>cP (Isane 70%-Marcol 30%, centre)</w:t>
      </w:r>
      <w:r w:rsidR="00A2689B">
        <w:rPr>
          <w:rFonts w:asciiTheme="minorHAnsi" w:eastAsia="MS PGothic" w:hAnsiTheme="minorHAnsi"/>
          <w:color w:val="000000"/>
          <w:sz w:val="22"/>
          <w:szCs w:val="22"/>
        </w:rPr>
        <w:t xml:space="preserve"> and 4.1 cP</w:t>
      </w:r>
      <w:r w:rsidR="003F5910">
        <w:rPr>
          <w:rFonts w:asciiTheme="minorHAnsi" w:eastAsia="MS PGothic" w:hAnsiTheme="minorHAnsi"/>
          <w:color w:val="000000"/>
          <w:sz w:val="22"/>
          <w:szCs w:val="22"/>
        </w:rPr>
        <w:t xml:space="preserve"> (Isane 70%-Marcol 30%, right)</w:t>
      </w:r>
      <w:r w:rsidR="00B07697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A2689B">
        <w:rPr>
          <w:rFonts w:asciiTheme="minorHAnsi" w:eastAsia="MS PGothic" w:hAnsiTheme="minorHAnsi"/>
          <w:color w:val="000000"/>
          <w:sz w:val="22"/>
          <w:szCs w:val="22"/>
        </w:rPr>
        <w:t xml:space="preserve">while the simulations based on the general model are in good agreement with the experimental data, the </w:t>
      </w:r>
      <w:r w:rsidR="00270BBD">
        <w:rPr>
          <w:rFonts w:asciiTheme="minorHAnsi" w:eastAsia="MS PGothic" w:hAnsiTheme="minorHAnsi"/>
          <w:color w:val="000000"/>
          <w:sz w:val="22"/>
          <w:szCs w:val="22"/>
        </w:rPr>
        <w:t>original</w:t>
      </w:r>
      <w:r w:rsidR="00A2689B">
        <w:rPr>
          <w:rFonts w:asciiTheme="minorHAnsi" w:eastAsia="MS PGothic" w:hAnsiTheme="minorHAnsi"/>
          <w:color w:val="000000"/>
          <w:sz w:val="22"/>
          <w:szCs w:val="22"/>
        </w:rPr>
        <w:t xml:space="preserve"> model </w:t>
      </w:r>
      <w:r w:rsidR="00270BBD">
        <w:rPr>
          <w:rFonts w:asciiTheme="minorHAnsi" w:eastAsia="MS PGothic" w:hAnsiTheme="minorHAnsi"/>
          <w:color w:val="000000"/>
          <w:sz w:val="22"/>
          <w:szCs w:val="22"/>
        </w:rPr>
        <w:t>underestimate the</w:t>
      </w:r>
      <w:r w:rsidR="00A2689B">
        <w:rPr>
          <w:rFonts w:asciiTheme="minorHAnsi" w:eastAsia="MS PGothic" w:hAnsiTheme="minorHAnsi"/>
          <w:color w:val="000000"/>
          <w:sz w:val="22"/>
          <w:szCs w:val="22"/>
        </w:rPr>
        <w:t xml:space="preserve"> Sauter mean diameter. Indeed, </w:t>
      </w:r>
      <w:r w:rsidR="001E25E1">
        <w:rPr>
          <w:rFonts w:asciiTheme="minorHAnsi" w:eastAsia="MS PGothic" w:hAnsiTheme="minorHAnsi"/>
          <w:color w:val="000000"/>
          <w:sz w:val="22"/>
          <w:szCs w:val="22"/>
        </w:rPr>
        <w:t xml:space="preserve">at </w:t>
      </w:r>
      <w:r w:rsidR="00E50A0C">
        <w:rPr>
          <w:rFonts w:asciiTheme="minorHAnsi" w:eastAsia="MS PGothic" w:hAnsiTheme="minorHAnsi"/>
          <w:color w:val="000000"/>
          <w:sz w:val="22"/>
          <w:szCs w:val="22"/>
        </w:rPr>
        <w:t xml:space="preserve">higher </w:t>
      </w:r>
      <w:r w:rsidR="00FF4091">
        <w:rPr>
          <w:rFonts w:asciiTheme="minorHAnsi" w:eastAsia="MS PGothic" w:hAnsiTheme="minorHAnsi"/>
          <w:color w:val="000000"/>
          <w:sz w:val="22"/>
          <w:szCs w:val="22"/>
        </w:rPr>
        <w:t>viscosities</w:t>
      </w:r>
      <w:r w:rsidR="002B3BB1">
        <w:rPr>
          <w:rFonts w:asciiTheme="minorHAnsi" w:eastAsia="MS PGothic" w:hAnsiTheme="minorHAnsi"/>
          <w:color w:val="000000"/>
          <w:sz w:val="22"/>
          <w:szCs w:val="22"/>
        </w:rPr>
        <w:t>, the i</w:t>
      </w:r>
      <w:r w:rsidR="00B0347D">
        <w:rPr>
          <w:rFonts w:asciiTheme="minorHAnsi" w:eastAsia="MS PGothic" w:hAnsiTheme="minorHAnsi"/>
          <w:color w:val="000000"/>
          <w:sz w:val="22"/>
          <w:szCs w:val="22"/>
        </w:rPr>
        <w:t xml:space="preserve">nertial subrange of turbulence </w:t>
      </w:r>
      <w:r w:rsidR="0022025B">
        <w:rPr>
          <w:rFonts w:asciiTheme="minorHAnsi" w:eastAsia="MS PGothic" w:hAnsiTheme="minorHAnsi"/>
          <w:color w:val="000000"/>
          <w:sz w:val="22"/>
          <w:szCs w:val="22"/>
        </w:rPr>
        <w:t xml:space="preserve">is </w:t>
      </w:r>
      <w:r w:rsidR="00395F54">
        <w:rPr>
          <w:rFonts w:asciiTheme="minorHAnsi" w:eastAsia="MS PGothic" w:hAnsiTheme="minorHAnsi"/>
          <w:color w:val="000000"/>
          <w:sz w:val="22"/>
          <w:szCs w:val="22"/>
        </w:rPr>
        <w:t>reduced</w:t>
      </w:r>
      <w:r w:rsidR="0022025B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270BBD">
        <w:rPr>
          <w:rFonts w:asciiTheme="minorHAnsi" w:eastAsia="MS PGothic" w:hAnsiTheme="minorHAnsi"/>
          <w:color w:val="000000"/>
          <w:sz w:val="22"/>
          <w:szCs w:val="22"/>
        </w:rPr>
        <w:t>most of the</w:t>
      </w:r>
      <w:r w:rsidR="0022025B">
        <w:rPr>
          <w:rFonts w:asciiTheme="minorHAnsi" w:eastAsia="MS PGothic" w:hAnsiTheme="minorHAnsi"/>
          <w:color w:val="000000"/>
          <w:sz w:val="22"/>
          <w:szCs w:val="22"/>
        </w:rPr>
        <w:t xml:space="preserve"> droplets have dimension in the Dissipation subrange.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subrange, the dampening effect of the </w:t>
      </w:r>
      <w:r w:rsidR="00E81D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 phase 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viscosity on the eddy turbulent kinetic energy is </w:t>
      </w:r>
      <w:r w:rsidR="00190B32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</w:t>
      </w:r>
      <w:r w:rsidR="005075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more</w:t>
      </w:r>
      <w:r w:rsidR="00190B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important</w:t>
      </w:r>
      <w:r w:rsidR="00190B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approaching the Kolmogorov scale</w:t>
      </w:r>
      <w:r w:rsidR="001E5D6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5D6B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>herefore</w:t>
      </w:r>
      <w:r w:rsidR="001E5D6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model based on the inertial</w:t>
      </w:r>
      <w:r w:rsidR="00BF7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subrange assumption, which do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not account for the </w:t>
      </w:r>
      <w:r w:rsidR="00BF7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 phase 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>viscosity</w:t>
      </w:r>
      <w:r w:rsidR="00BF7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effects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overestimate</w:t>
      </w:r>
      <w:r w:rsidR="00395F5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turbulent kinetic energy</w:t>
      </w:r>
      <w:r w:rsidR="00395F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eddies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consecutively </w:t>
      </w:r>
      <w:r w:rsidR="001E5D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E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>breakup rate</w:t>
      </w:r>
      <w:r w:rsidR="00190B3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2935"/>
        <w:gridCol w:w="2902"/>
      </w:tblGrid>
      <w:tr w:rsidR="00E33162" w14:paraId="0BCD7EDC" w14:textId="77777777" w:rsidTr="00E33162">
        <w:tc>
          <w:tcPr>
            <w:tcW w:w="2925" w:type="dxa"/>
          </w:tcPr>
          <w:p w14:paraId="63696EB7" w14:textId="77777777" w:rsidR="009923D4" w:rsidRDefault="00E33162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DA5602">
              <w:rPr>
                <w:noProof/>
                <w:lang w:val="fr-FR" w:eastAsia="fr-FR"/>
              </w:rPr>
              <w:drawing>
                <wp:inline distT="0" distB="0" distL="0" distR="0" wp14:anchorId="2D798C98" wp14:editId="2B135B7E">
                  <wp:extent cx="1771650" cy="1328000"/>
                  <wp:effectExtent l="0" t="0" r="0" b="5715"/>
                  <wp:docPr id="32" name="Image 32" descr="C:\Users\SC250868\Desktop\Img_Pub\Isa100\1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C250868\Desktop\Img_Pub\Isa100\1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483" cy="135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14:paraId="5EC9478F" w14:textId="77777777" w:rsidR="009923D4" w:rsidRDefault="00E33162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630544">
              <w:rPr>
                <w:noProof/>
                <w:lang w:val="fr-FR" w:eastAsia="fr-FR"/>
              </w:rPr>
              <w:drawing>
                <wp:inline distT="0" distB="0" distL="0" distR="0" wp14:anchorId="20A9B410" wp14:editId="296D81A3">
                  <wp:extent cx="1762125" cy="1320860"/>
                  <wp:effectExtent l="0" t="0" r="0" b="0"/>
                  <wp:docPr id="17" name="Image 17" descr="C:\Users\SC250868\Desktop\Img_Pub\Isa70Mar30\1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C250868\Desktop\Img_Pub\Isa70Mar30\1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51" cy="135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14:paraId="6ACB140F" w14:textId="77777777" w:rsidR="009923D4" w:rsidRDefault="00E33162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5521BD">
              <w:rPr>
                <w:noProof/>
                <w:lang w:val="fr-FR" w:eastAsia="fr-FR"/>
              </w:rPr>
              <w:drawing>
                <wp:inline distT="0" distB="0" distL="0" distR="0" wp14:anchorId="69130A0D" wp14:editId="1A758BA3">
                  <wp:extent cx="1740866" cy="1304925"/>
                  <wp:effectExtent l="0" t="0" r="0" b="0"/>
                  <wp:docPr id="14" name="Image 14" descr="C:\Users\SC250868\Desktop\Img_Pub\1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C250868\Desktop\Img_Pub\1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252" cy="133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877B1" w14:textId="77777777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Caption. [Calibri 9].</w:t>
      </w:r>
    </w:p>
    <w:p w14:paraId="3F649CD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1E2A2C7" w14:textId="77777777" w:rsidR="00BD57BF" w:rsidRDefault="0037453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work, general breakage and coalescence kernels, accounting for the entire spectrum of turbulence</w:t>
      </w:r>
      <w:r w:rsidR="00F53F1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25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proposed. The </w:t>
      </w:r>
      <w:r w:rsidR="00B354D3">
        <w:rPr>
          <w:rFonts w:asciiTheme="minorHAnsi" w:eastAsia="MS PGothic" w:hAnsiTheme="minorHAnsi"/>
          <w:color w:val="000000"/>
          <w:sz w:val="22"/>
          <w:szCs w:val="22"/>
          <w:lang w:val="en-US"/>
        </w:rPr>
        <w:t>new model is</w:t>
      </w:r>
      <w:r w:rsidR="001424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a refined </w:t>
      </w:r>
      <w:r w:rsidR="00B96AB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second-order structure function</w:t>
      </w:r>
      <w:r w:rsidR="001424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an energy spectrum considering all the </w:t>
      </w:r>
      <w:r w:rsidR="00B96ABC">
        <w:rPr>
          <w:rFonts w:asciiTheme="minorHAnsi" w:eastAsia="MS PGothic" w:hAnsiTheme="minorHAnsi"/>
          <w:color w:val="000000"/>
          <w:sz w:val="22"/>
          <w:szCs w:val="22"/>
          <w:lang w:val="en-US"/>
        </w:rPr>
        <w:t>domains of turbulence</w:t>
      </w:r>
      <w:r w:rsidR="00B354D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model</w:t>
      </w:r>
      <w:r w:rsidR="001424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C3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</w:t>
      </w:r>
      <w:r w:rsidR="00B354D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424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good agreement with experimental data</w:t>
      </w:r>
      <w:r w:rsidR="006C3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96ABC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measured in</w:t>
      </w:r>
      <w:r w:rsidR="006C3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liquid-liquid dispersions at </w:t>
      </w:r>
      <w:r w:rsidR="00B96AB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increasing viscosity</w:t>
      </w:r>
      <w:r w:rsidR="0014241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E8B73A0" w14:textId="77777777" w:rsidR="00704BDF" w:rsidRPr="008D0BEB" w:rsidRDefault="00A659A2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06DF97F9" w14:textId="77777777" w:rsidR="00704BDF" w:rsidRPr="008D0BEB" w:rsidRDefault="004165BD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A. P. Davidson, Turbulence: an introduction for scientists and engineers, Oxford University Press, 2004</w:t>
      </w:r>
      <w:r w:rsidR="00704BDF" w:rsidRPr="008D0BEB">
        <w:rPr>
          <w:rFonts w:asciiTheme="minorHAnsi" w:hAnsiTheme="minorHAnsi"/>
          <w:color w:val="000000"/>
        </w:rPr>
        <w:t>.</w:t>
      </w:r>
    </w:p>
    <w:p w14:paraId="4AD5CC93" w14:textId="77777777" w:rsidR="00704BDF" w:rsidRPr="008D0BEB" w:rsidRDefault="004165BD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S. B. Pope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Turbulent flows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Cambridge University Press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2000</w:t>
      </w:r>
      <w:r w:rsidR="00704BDF" w:rsidRPr="008D0BEB">
        <w:rPr>
          <w:rFonts w:asciiTheme="minorHAnsi" w:hAnsiTheme="minorHAnsi"/>
          <w:color w:val="000000"/>
        </w:rPr>
        <w:t xml:space="preserve">. </w:t>
      </w:r>
    </w:p>
    <w:p w14:paraId="0716082F" w14:textId="77777777" w:rsidR="006C39BB" w:rsidRPr="00B96ABC" w:rsidRDefault="004815DC" w:rsidP="006C39B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>S.</w:t>
      </w:r>
      <w:r w:rsidR="00C9397A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Castellano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 w:rsidR="00C9397A">
        <w:rPr>
          <w:rFonts w:asciiTheme="minorHAnsi" w:hAnsiTheme="minorHAnsi"/>
          <w:color w:val="000000"/>
        </w:rPr>
        <w:t xml:space="preserve">N. Othman, D.L. Marchisio, A. Buffo, S. Charton, </w:t>
      </w:r>
      <w:r w:rsidR="006C39BB">
        <w:rPr>
          <w:rFonts w:asciiTheme="minorHAnsi" w:hAnsiTheme="minorHAnsi"/>
          <w:color w:val="000000"/>
        </w:rPr>
        <w:t>Chem. Eng. J.</w:t>
      </w:r>
      <w:r w:rsidR="002E4F2D">
        <w:rPr>
          <w:rFonts w:asciiTheme="minorHAnsi" w:hAnsiTheme="minorHAnsi"/>
          <w:color w:val="000000"/>
        </w:rPr>
        <w:t xml:space="preserve"> 354 (2018), pp. 1197-1207</w:t>
      </w:r>
      <w:r w:rsidR="00704BDF" w:rsidRPr="00DE0019">
        <w:rPr>
          <w:rFonts w:asciiTheme="minorHAnsi" w:hAnsiTheme="minorHAnsi"/>
          <w:color w:val="000000"/>
        </w:rPr>
        <w:t>.</w:t>
      </w:r>
    </w:p>
    <w:p w14:paraId="7344B250" w14:textId="77777777" w:rsidR="00B96ABC" w:rsidRPr="006C39BB" w:rsidRDefault="00B96ABC" w:rsidP="006C39B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>S. Castellano</w:t>
      </w:r>
      <w:r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L. Carrillo, N. Othman, D.L. Marchisio, A. Buffo, S. Charton, </w:t>
      </w:r>
      <w:r w:rsidR="00395F54">
        <w:rPr>
          <w:rFonts w:asciiTheme="minorHAnsi" w:hAnsiTheme="minorHAnsi"/>
          <w:color w:val="000000"/>
        </w:rPr>
        <w:t xml:space="preserve">Chem. Eng. J. (2019), </w:t>
      </w:r>
      <w:r w:rsidR="001E25E1" w:rsidRPr="002D5781">
        <w:rPr>
          <w:rFonts w:asciiTheme="minorHAnsi" w:hAnsiTheme="minorHAnsi"/>
          <w:i/>
          <w:color w:val="000000"/>
        </w:rPr>
        <w:t>accepted</w:t>
      </w:r>
    </w:p>
    <w:sectPr w:rsidR="00B96ABC" w:rsidRPr="006C39B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0B708" w14:textId="77777777" w:rsidR="004C76CA" w:rsidRDefault="004C76CA" w:rsidP="004F5E36">
      <w:r>
        <w:separator/>
      </w:r>
    </w:p>
  </w:endnote>
  <w:endnote w:type="continuationSeparator" w:id="0">
    <w:p w14:paraId="7B50E600" w14:textId="77777777" w:rsidR="004C76CA" w:rsidRDefault="004C76C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DC798" w14:textId="77777777" w:rsidR="004C76CA" w:rsidRDefault="004C76CA" w:rsidP="004F5E36">
      <w:r>
        <w:separator/>
      </w:r>
    </w:p>
  </w:footnote>
  <w:footnote w:type="continuationSeparator" w:id="0">
    <w:p w14:paraId="61317917" w14:textId="77777777" w:rsidR="004C76CA" w:rsidRDefault="004C76C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D90D0" w14:textId="77777777" w:rsidR="004D1162" w:rsidRDefault="00594E9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BC5BB2" wp14:editId="64169FC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FA3292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2FC15D1" wp14:editId="2BDDD72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5D5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894DAE5" wp14:editId="019E8592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4559386" w14:textId="77777777" w:rsidR="00704BDF" w:rsidRDefault="00704BDF">
    <w:pPr>
      <w:pStyle w:val="Intestazione"/>
    </w:pPr>
  </w:p>
  <w:p w14:paraId="7209543E" w14:textId="77777777" w:rsidR="00704BDF" w:rsidRDefault="00704BD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76E79D" wp14:editId="21A04702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0D0EEE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12E0C"/>
    <w:rsid w:val="0003148D"/>
    <w:rsid w:val="00062A9A"/>
    <w:rsid w:val="000A03B2"/>
    <w:rsid w:val="000A5BB0"/>
    <w:rsid w:val="000C15AA"/>
    <w:rsid w:val="000D34BE"/>
    <w:rsid w:val="000E36F1"/>
    <w:rsid w:val="000E3A73"/>
    <w:rsid w:val="000E414A"/>
    <w:rsid w:val="001102A9"/>
    <w:rsid w:val="0011528C"/>
    <w:rsid w:val="0012021D"/>
    <w:rsid w:val="0013121F"/>
    <w:rsid w:val="00134DE4"/>
    <w:rsid w:val="00134E19"/>
    <w:rsid w:val="0014241F"/>
    <w:rsid w:val="00150CDA"/>
    <w:rsid w:val="00150E59"/>
    <w:rsid w:val="0016667E"/>
    <w:rsid w:val="00184AD6"/>
    <w:rsid w:val="00190B32"/>
    <w:rsid w:val="001A0E91"/>
    <w:rsid w:val="001A6DA4"/>
    <w:rsid w:val="001B29CE"/>
    <w:rsid w:val="001B65C1"/>
    <w:rsid w:val="001C684B"/>
    <w:rsid w:val="001D53FC"/>
    <w:rsid w:val="001E25E1"/>
    <w:rsid w:val="001E5D6B"/>
    <w:rsid w:val="001F2EC7"/>
    <w:rsid w:val="001F3052"/>
    <w:rsid w:val="002065DB"/>
    <w:rsid w:val="0022025B"/>
    <w:rsid w:val="002254D1"/>
    <w:rsid w:val="002304EC"/>
    <w:rsid w:val="00231B71"/>
    <w:rsid w:val="00237C9B"/>
    <w:rsid w:val="002447EF"/>
    <w:rsid w:val="00251550"/>
    <w:rsid w:val="00253F9B"/>
    <w:rsid w:val="00254C2E"/>
    <w:rsid w:val="00270BBD"/>
    <w:rsid w:val="0027221A"/>
    <w:rsid w:val="00275B61"/>
    <w:rsid w:val="002B2110"/>
    <w:rsid w:val="002B3BB1"/>
    <w:rsid w:val="002D1F12"/>
    <w:rsid w:val="002D5781"/>
    <w:rsid w:val="002E05B9"/>
    <w:rsid w:val="002E4F2D"/>
    <w:rsid w:val="003009B7"/>
    <w:rsid w:val="00301165"/>
    <w:rsid w:val="0030469C"/>
    <w:rsid w:val="00314F8E"/>
    <w:rsid w:val="0034383B"/>
    <w:rsid w:val="003723D4"/>
    <w:rsid w:val="00374534"/>
    <w:rsid w:val="00385EEE"/>
    <w:rsid w:val="00395F54"/>
    <w:rsid w:val="00396DF7"/>
    <w:rsid w:val="003A7D1C"/>
    <w:rsid w:val="003F5910"/>
    <w:rsid w:val="00401003"/>
    <w:rsid w:val="00407DA7"/>
    <w:rsid w:val="004165BD"/>
    <w:rsid w:val="0044570A"/>
    <w:rsid w:val="00456C12"/>
    <w:rsid w:val="0046164A"/>
    <w:rsid w:val="00462DCD"/>
    <w:rsid w:val="004739FA"/>
    <w:rsid w:val="004815DC"/>
    <w:rsid w:val="004B7C09"/>
    <w:rsid w:val="004C76CA"/>
    <w:rsid w:val="004D1162"/>
    <w:rsid w:val="004E0AE7"/>
    <w:rsid w:val="004E4DD6"/>
    <w:rsid w:val="004F5E36"/>
    <w:rsid w:val="005075B6"/>
    <w:rsid w:val="005119A5"/>
    <w:rsid w:val="005278B7"/>
    <w:rsid w:val="005346C8"/>
    <w:rsid w:val="005902F1"/>
    <w:rsid w:val="00594E9F"/>
    <w:rsid w:val="005A3909"/>
    <w:rsid w:val="005B61E6"/>
    <w:rsid w:val="005C77E1"/>
    <w:rsid w:val="005D5360"/>
    <w:rsid w:val="005D6A2F"/>
    <w:rsid w:val="005E1A82"/>
    <w:rsid w:val="005E6C5D"/>
    <w:rsid w:val="005F0A28"/>
    <w:rsid w:val="005F0E5E"/>
    <w:rsid w:val="00620DEE"/>
    <w:rsid w:val="00623AB4"/>
    <w:rsid w:val="00625639"/>
    <w:rsid w:val="0064184D"/>
    <w:rsid w:val="00646A9B"/>
    <w:rsid w:val="00647E0B"/>
    <w:rsid w:val="00660E3E"/>
    <w:rsid w:val="00662E74"/>
    <w:rsid w:val="00673903"/>
    <w:rsid w:val="006C39BB"/>
    <w:rsid w:val="006C5579"/>
    <w:rsid w:val="006D3389"/>
    <w:rsid w:val="006F3CD4"/>
    <w:rsid w:val="006F7ED3"/>
    <w:rsid w:val="00704BDF"/>
    <w:rsid w:val="00707E71"/>
    <w:rsid w:val="00736B13"/>
    <w:rsid w:val="007447F3"/>
    <w:rsid w:val="0075285A"/>
    <w:rsid w:val="007661C8"/>
    <w:rsid w:val="00782EE8"/>
    <w:rsid w:val="00785AAC"/>
    <w:rsid w:val="00794A62"/>
    <w:rsid w:val="007A5E4F"/>
    <w:rsid w:val="007D52CD"/>
    <w:rsid w:val="007F24E8"/>
    <w:rsid w:val="00813288"/>
    <w:rsid w:val="008168FC"/>
    <w:rsid w:val="00833DDC"/>
    <w:rsid w:val="008479A2"/>
    <w:rsid w:val="0087637F"/>
    <w:rsid w:val="008A1512"/>
    <w:rsid w:val="008D0BEB"/>
    <w:rsid w:val="008E566E"/>
    <w:rsid w:val="00901EB6"/>
    <w:rsid w:val="009450CE"/>
    <w:rsid w:val="0095164B"/>
    <w:rsid w:val="0095582D"/>
    <w:rsid w:val="009669C9"/>
    <w:rsid w:val="00982EA9"/>
    <w:rsid w:val="009859FC"/>
    <w:rsid w:val="009923D4"/>
    <w:rsid w:val="00996483"/>
    <w:rsid w:val="009B7484"/>
    <w:rsid w:val="009C36EC"/>
    <w:rsid w:val="009E788A"/>
    <w:rsid w:val="009F491B"/>
    <w:rsid w:val="00A1763D"/>
    <w:rsid w:val="00A17CEC"/>
    <w:rsid w:val="00A2689B"/>
    <w:rsid w:val="00A27EF0"/>
    <w:rsid w:val="00A659A2"/>
    <w:rsid w:val="00A76EFC"/>
    <w:rsid w:val="00A9626B"/>
    <w:rsid w:val="00A97F29"/>
    <w:rsid w:val="00AB0964"/>
    <w:rsid w:val="00AC10AD"/>
    <w:rsid w:val="00AC6FE3"/>
    <w:rsid w:val="00AE377D"/>
    <w:rsid w:val="00B02E89"/>
    <w:rsid w:val="00B0347D"/>
    <w:rsid w:val="00B07697"/>
    <w:rsid w:val="00B11A26"/>
    <w:rsid w:val="00B354D3"/>
    <w:rsid w:val="00B40518"/>
    <w:rsid w:val="00B54EBA"/>
    <w:rsid w:val="00B61DBF"/>
    <w:rsid w:val="00B650B8"/>
    <w:rsid w:val="00B92958"/>
    <w:rsid w:val="00B96ABC"/>
    <w:rsid w:val="00BC30C9"/>
    <w:rsid w:val="00BD57BF"/>
    <w:rsid w:val="00BE3E58"/>
    <w:rsid w:val="00BF61ED"/>
    <w:rsid w:val="00BF7D90"/>
    <w:rsid w:val="00C01616"/>
    <w:rsid w:val="00C0162B"/>
    <w:rsid w:val="00C345B1"/>
    <w:rsid w:val="00C40142"/>
    <w:rsid w:val="00C469D4"/>
    <w:rsid w:val="00C57182"/>
    <w:rsid w:val="00C629F0"/>
    <w:rsid w:val="00C655FD"/>
    <w:rsid w:val="00C9397A"/>
    <w:rsid w:val="00C94434"/>
    <w:rsid w:val="00CA1C95"/>
    <w:rsid w:val="00CA1E73"/>
    <w:rsid w:val="00CA5A9C"/>
    <w:rsid w:val="00CD5FE2"/>
    <w:rsid w:val="00D02B4C"/>
    <w:rsid w:val="00D0339A"/>
    <w:rsid w:val="00D442EF"/>
    <w:rsid w:val="00D466CB"/>
    <w:rsid w:val="00D84576"/>
    <w:rsid w:val="00DE0019"/>
    <w:rsid w:val="00DE264A"/>
    <w:rsid w:val="00E041E7"/>
    <w:rsid w:val="00E0673D"/>
    <w:rsid w:val="00E23CA1"/>
    <w:rsid w:val="00E33162"/>
    <w:rsid w:val="00E409A8"/>
    <w:rsid w:val="00E50A0C"/>
    <w:rsid w:val="00E71CEC"/>
    <w:rsid w:val="00E7209D"/>
    <w:rsid w:val="00E81D33"/>
    <w:rsid w:val="00E97D77"/>
    <w:rsid w:val="00EA3EE7"/>
    <w:rsid w:val="00EA50E1"/>
    <w:rsid w:val="00EC32F0"/>
    <w:rsid w:val="00ED1015"/>
    <w:rsid w:val="00EE0131"/>
    <w:rsid w:val="00EF4421"/>
    <w:rsid w:val="00F00642"/>
    <w:rsid w:val="00F12E3E"/>
    <w:rsid w:val="00F16273"/>
    <w:rsid w:val="00F20C75"/>
    <w:rsid w:val="00F27EF8"/>
    <w:rsid w:val="00F30C64"/>
    <w:rsid w:val="00F53F15"/>
    <w:rsid w:val="00FB730C"/>
    <w:rsid w:val="00FC2695"/>
    <w:rsid w:val="00FC3E03"/>
    <w:rsid w:val="00FE6A2D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6912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stosegnaposto">
    <w:name w:val="Placeholder Text"/>
    <w:basedOn w:val="Carpredefinitoparagrafo"/>
    <w:uiPriority w:val="99"/>
    <w:semiHidden/>
    <w:locked/>
    <w:rsid w:val="00314F8E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1E25E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9D0F-FF35-4ACA-B809-844E7FEA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5</cp:revision>
  <cp:lastPrinted>2015-05-12T18:31:00Z</cp:lastPrinted>
  <dcterms:created xsi:type="dcterms:W3CDTF">2019-06-12T12:27:00Z</dcterms:created>
  <dcterms:modified xsi:type="dcterms:W3CDTF">2019-08-21T08:51:00Z</dcterms:modified>
</cp:coreProperties>
</file>