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872399" w:rsidRDefault="0087239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it-IT" w:eastAsia="ko-KR"/>
        </w:rPr>
      </w:pPr>
      <w:proofErr w:type="spellStart"/>
      <w:r w:rsidRPr="00872399">
        <w:rPr>
          <w:rFonts w:asciiTheme="minorHAnsi" w:eastAsia="MS PGothic" w:hAnsiTheme="minorHAnsi"/>
          <w:b/>
          <w:bCs/>
          <w:sz w:val="28"/>
          <w:szCs w:val="28"/>
          <w:lang w:val="it-IT"/>
        </w:rPr>
        <w:t>Photoreactors</w:t>
      </w:r>
      <w:proofErr w:type="spellEnd"/>
      <w:r w:rsidRPr="00872399">
        <w:rPr>
          <w:rFonts w:asciiTheme="minorHAnsi" w:eastAsia="MS PGothic" w:hAnsiTheme="minorHAnsi"/>
          <w:b/>
          <w:bCs/>
          <w:sz w:val="28"/>
          <w:szCs w:val="28"/>
          <w:lang w:val="it-IT"/>
        </w:rPr>
        <w:t xml:space="preserve"> design for </w:t>
      </w:r>
      <w:proofErr w:type="spellStart"/>
      <w:r w:rsidRPr="00872399">
        <w:rPr>
          <w:rFonts w:asciiTheme="minorHAnsi" w:eastAsia="MS PGothic" w:hAnsiTheme="minorHAnsi"/>
          <w:b/>
          <w:bCs/>
          <w:sz w:val="28"/>
          <w:szCs w:val="28"/>
          <w:lang w:val="it-IT"/>
        </w:rPr>
        <w:t>fuels</w:t>
      </w:r>
      <w:proofErr w:type="spellEnd"/>
      <w:r w:rsidRPr="00872399">
        <w:rPr>
          <w:rFonts w:asciiTheme="minorHAnsi" w:eastAsia="MS PGothic" w:hAnsiTheme="minorHAnsi"/>
          <w:b/>
          <w:bCs/>
          <w:sz w:val="28"/>
          <w:szCs w:val="28"/>
          <w:lang w:val="it-IT"/>
        </w:rPr>
        <w:t xml:space="preserve"> production</w:t>
      </w:r>
    </w:p>
    <w:p w:rsidR="00DE0019" w:rsidRPr="00D27697" w:rsidRDefault="00872399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Gianguido Ramis</w:t>
      </w:r>
      <w:r w:rsidR="00704BDF" w:rsidRPr="00D2769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D276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Elnaz Bahadori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D276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Antonio Tripodi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2</w:t>
      </w:r>
      <w:r w:rsidR="00D276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736B13" w:rsidRPr="00D27697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Ilenia Rossetti</w:t>
      </w:r>
      <w:r w:rsidR="00704BDF" w:rsidRPr="00D27697">
        <w:rPr>
          <w:rFonts w:eastAsia="SimSun"/>
          <w:color w:val="000000"/>
          <w:vertAlign w:val="superscript"/>
          <w:lang w:val="it-IT" w:eastAsia="zh-CN"/>
        </w:rPr>
        <w:t>2</w:t>
      </w:r>
      <w:r w:rsidR="00DE0019" w:rsidRPr="00D27697">
        <w:rPr>
          <w:rFonts w:eastAsia="SimSun"/>
          <w:color w:val="000000"/>
          <w:lang w:val="it-IT" w:eastAsia="zh-CN"/>
        </w:rPr>
        <w:t xml:space="preserve"> </w:t>
      </w:r>
    </w:p>
    <w:p w:rsidR="00D27697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872399">
        <w:rPr>
          <w:rFonts w:eastAsia="MS PGothic"/>
          <w:i/>
          <w:iCs/>
          <w:color w:val="000000"/>
          <w:sz w:val="20"/>
          <w:lang w:val="it-IT"/>
        </w:rPr>
        <w:t>1</w:t>
      </w:r>
      <w:r w:rsidRPr="00872399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Dip. </w:t>
      </w:r>
      <w:proofErr w:type="gramStart"/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di</w:t>
      </w:r>
      <w:proofErr w:type="gramEnd"/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Ingegneria Civile, Chimica e Ambientale, Università degli Studi di Genova and INSTM Unit Genova, </w:t>
      </w:r>
      <w:r w:rsidR="00872399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Via all’Opera Pia 15A</w:t>
      </w:r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, 161</w:t>
      </w:r>
      <w:r w:rsidR="00872399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00</w:t>
      </w:r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, Genova, </w:t>
      </w:r>
      <w:proofErr w:type="spellStart"/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</w:p>
    <w:p w:rsidR="00704BDF" w:rsidRPr="00D27697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proofErr w:type="gramStart"/>
      <w:r w:rsidRPr="00872399">
        <w:rPr>
          <w:rFonts w:asciiTheme="minorHAnsi" w:eastAsia="MS PGothic" w:hAnsiTheme="minorHAnsi"/>
          <w:i/>
          <w:iCs/>
          <w:color w:val="000000"/>
          <w:sz w:val="20"/>
        </w:rPr>
        <w:t>2</w:t>
      </w:r>
      <w:proofErr w:type="gramEnd"/>
      <w:r w:rsidRPr="00872399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872399" w:rsidRPr="00D27697">
        <w:rPr>
          <w:rFonts w:asciiTheme="minorHAnsi" w:eastAsia="MS PGothic" w:hAnsiTheme="minorHAnsi"/>
          <w:bCs/>
          <w:i/>
          <w:iCs/>
          <w:color w:val="000000"/>
          <w:sz w:val="20"/>
        </w:rPr>
        <w:t>Chemical Plants and Industrial Chemistry Group,</w:t>
      </w:r>
      <w:r w:rsidR="00872399" w:rsidRPr="00D27697">
        <w:rPr>
          <w:rFonts w:asciiTheme="minorHAnsi" w:eastAsia="MS PGothic" w:hAnsiTheme="minorHAnsi"/>
          <w:i/>
          <w:iCs/>
          <w:color w:val="000000"/>
          <w:sz w:val="20"/>
        </w:rPr>
        <w:t xml:space="preserve"> Dip. </w:t>
      </w:r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Chimica, Università degli Studi di Milano, INSTM Unit Milano-Università and CNR-ISTM, via C. Golgi, 19, I-20133 Milano, </w:t>
      </w:r>
      <w:proofErr w:type="spellStart"/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>Italy</w:t>
      </w:r>
      <w:proofErr w:type="spellEnd"/>
      <w:r w:rsidR="00872399" w:rsidRPr="00D27697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  <w:r w:rsidR="00872399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72399">
        <w:rPr>
          <w:rFonts w:asciiTheme="minorHAnsi" w:eastAsia="MS PGothic" w:hAnsiTheme="minorHAnsi"/>
          <w:bCs/>
          <w:i/>
          <w:iCs/>
          <w:sz w:val="20"/>
          <w:lang w:val="en-US"/>
        </w:rPr>
        <w:t>gianguidoramis</w:t>
      </w:r>
      <w:r w:rsidR="00D27697">
        <w:rPr>
          <w:rFonts w:asciiTheme="minorHAnsi" w:eastAsia="MS PGothic" w:hAnsiTheme="minorHAnsi"/>
          <w:bCs/>
          <w:i/>
          <w:iCs/>
          <w:sz w:val="20"/>
          <w:lang w:val="en-US"/>
        </w:rPr>
        <w:t>@uni</w:t>
      </w:r>
      <w:r w:rsidR="00872399">
        <w:rPr>
          <w:rFonts w:asciiTheme="minorHAnsi" w:eastAsia="MS PGothic" w:hAnsiTheme="minorHAnsi"/>
          <w:bCs/>
          <w:i/>
          <w:iCs/>
          <w:sz w:val="20"/>
          <w:lang w:val="en-US"/>
        </w:rPr>
        <w:t>ge</w:t>
      </w:r>
      <w:r w:rsidR="00D27697">
        <w:rPr>
          <w:rFonts w:asciiTheme="minorHAnsi" w:eastAsia="MS PGothic" w:hAnsiTheme="minorHAnsi"/>
          <w:bCs/>
          <w:i/>
          <w:iCs/>
          <w:sz w:val="20"/>
          <w:lang w:val="en-US"/>
        </w:rPr>
        <w:t>.it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E446F6" w:rsidRDefault="0025535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 pressure and high temperature </w:t>
      </w:r>
      <w:proofErr w:type="spellStart"/>
      <w:r>
        <w:rPr>
          <w:rFonts w:asciiTheme="minorHAnsi" w:hAnsiTheme="minorHAnsi"/>
        </w:rPr>
        <w:t>photocatalysis</w:t>
      </w:r>
      <w:proofErr w:type="spellEnd"/>
      <w:r>
        <w:rPr>
          <w:rFonts w:asciiTheme="minorHAnsi" w:hAnsiTheme="minorHAnsi"/>
        </w:rPr>
        <w:t xml:space="preserve"> explored</w:t>
      </w:r>
    </w:p>
    <w:p w:rsidR="00255358" w:rsidRDefault="0025535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Productivity boosted by unconventional reaction conditions</w:t>
      </w:r>
    </w:p>
    <w:p w:rsidR="00255358" w:rsidRPr="00E446F6" w:rsidRDefault="00A12C8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Tunable</w:t>
      </w:r>
      <w:bookmarkStart w:id="0" w:name="_GoBack"/>
      <w:bookmarkEnd w:id="0"/>
      <w:r w:rsidR="00255358">
        <w:rPr>
          <w:rFonts w:asciiTheme="minorHAnsi" w:hAnsiTheme="minorHAnsi"/>
        </w:rPr>
        <w:t xml:space="preserve"> selectivity to different fuels from renewable or waste materials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72399" w:rsidRPr="00872399" w:rsidRDefault="00872399" w:rsidP="0087239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seen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route for the storage of solar energy by producing “solar fuels”, i.e. with artificial photosynthesis. In this work, we dealt with two challenging applications: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the production of hydrogen through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photoreforming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aqueous solutions of organic compounds and ii)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C867B1" w:rsidRPr="008D0BEB" w:rsidRDefault="00872399" w:rsidP="0087239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carbohydrates (glucose, xylose and arabinose, as well as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levulinic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formic acid)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used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renewable substrates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photoreforming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since they may be rather easily obtained from the hydrolysis of biomass. On the other hand, the transformation of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regenerated organic compounds, to be used as fuels or chemicals (CH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HCOOH, HCHO,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CH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OH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also studied. Our attention was predominantly focused on the development of innovative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photoreactors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operating under unconventional conditions, with the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fine tuning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operation parameters. In particular, we have set up and optimized a new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photoreactor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operating at pressure up to 20 bar and relatively high temperature (up to 90°C) which allowed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overcome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of the main limitations for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liquid phase, </w:t>
      </w:r>
      <w:r w:rsidRPr="0087239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i.e.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low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solubility. The possibility to increase the operating pressure also allowed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explore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unconventional reaction conditions, evidencing an unexpected boost of hydrogen productivity when increasing temperature in the case of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photoreforming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carbohydrates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872399" w:rsidP="00872399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>The selected photocatalysts were based on 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s-E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>, since the main focus was reactor optimization. The materials were prepared by flame spray pyrolysis as dense nanoparticles, or in mesoporous form through a soft template synthesis, and compared with commercial samples of nanostructured 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s-E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 xml:space="preserve"> P25 by Evonik. Different metals, such as Cu and Au, Pt, Pd, Ag, Ni, with loading ranging from 0.1 to 1 mol% were added as co-catalysts (mono or bimetallic formulations</w:t>
      </w:r>
      <w:r>
        <w:rPr>
          <w:rFonts w:asciiTheme="minorHAnsi" w:eastAsia="MS PGothic" w:hAnsiTheme="minorHAnsi"/>
          <w:color w:val="000000"/>
          <w:sz w:val="22"/>
          <w:szCs w:val="22"/>
          <w:lang w:val="es-ES"/>
        </w:rPr>
        <w:t>)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 xml:space="preserve">. The role of the metals was that of electron sinks, to inhibit the electron-hole recombination and they were also selected due to the formation of a plasmon resonance band which improves visible light absorption. The 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lastRenderedPageBreak/>
        <w:t xml:space="preserve">photocatalytic activity tests have been carried out in batch mode using a high pressure photoreactor </w:t>
      </w:r>
      <w:r>
        <w:rPr>
          <w:rFonts w:asciiTheme="minorHAnsi" w:eastAsia="MS PGothic" w:hAnsiTheme="minorHAnsi"/>
          <w:color w:val="000000"/>
          <w:sz w:val="22"/>
          <w:szCs w:val="22"/>
          <w:lang w:val="es-ES"/>
        </w:rPr>
        <w:t>(up to 20 bar, 95°C)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>, using a UVA immersion lamp, coaxial with the photoreactor (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sym w:font="Symbol" w:char="F06C"/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s-ES"/>
        </w:rPr>
        <w:t>max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 xml:space="preserve"> = 365 nm, ca. 77 W/m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s-E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s-ES"/>
        </w:rPr>
        <w:t xml:space="preserve">). </w:t>
      </w:r>
      <w:r w:rsidR="00D27697" w:rsidRPr="00D2769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for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photoproduction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have investigated extensively the effect of pressure, temperature, carbohydrate and catalyst concentration, selecting 80°C, 4 bar, 5 g/L of carbohydrate, 0.5 g/L of catalyst and neutral pH as the best operating conditions. The highest productivity was achieved with 0.1 </w:t>
      </w:r>
      <w:proofErr w:type="spellStart"/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mol%Pt</w:t>
      </w:r>
      <w:proofErr w:type="spellEnd"/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/TiO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1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% Au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Pt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/TiO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leading to ca. 14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/h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kg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hydrogen.</w:t>
      </w:r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for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operation at high pressure allowed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boost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conversion to partially reduced compounds (HCOOH, HCHO and CH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OH), with much more limited conversion to CO and CH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present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pressure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photoreactor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showed extremely versatile to drive the reaction towards the desired product among those listed by tuning pressure, temperature, reaction time and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pH.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highest productivities reached up to now were obtained with 0.2% Au/TiO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40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/h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kg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HCOOH (7 bar, 80°C, pH=14, 24 h reaction time), 17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/h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kg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HCHO (7 bar, 80°C, pH=14, 6 h reaction time) and 1.7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/h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kg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cat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OH (7 bar, 80°C, pH=7, 24 h reaction time, 0.2%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CuO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/TiO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catalyst).</w:t>
      </w:r>
      <w:proofErr w:type="gramEnd"/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increase of pressure from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19 bar almost doubled the amount of HCOOH obtained and, also in this case, the increase of temperature allowed to increase the productivity. This was unexpected, since the increase of temperature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often discussed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negative for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photocatalysis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an increased recombination rate of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photogenerated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charges.</w:t>
      </w:r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apparent quantum yield (AQY)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here calculated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follows:</w:t>
      </w:r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Para>
        <m:oMath>
          <m:r>
            <w:rPr>
              <w:rFonts w:ascii="Cambria Math" w:eastAsia="MS PGothic" w:hAnsi="Cambria Math"/>
              <w:color w:val="000000"/>
              <w:sz w:val="22"/>
              <w:szCs w:val="22"/>
            </w:rPr>
            <m:t xml:space="preserve">AQY </m:t>
          </m:r>
          <m:d>
            <m:d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MS PGothic" w:hAnsi="Cambria Math"/>
              <w:color w:val="000000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moles of product</m:t>
              </m:r>
              <m:d>
                <m:dPr>
                  <m:ctrlP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i</m:t>
                  </m:r>
                </m:e>
              </m:d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 xml:space="preserve"> per second × ν(i)</m:t>
              </m:r>
            </m:num>
            <m:den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Incident photons per second</m:t>
              </m:r>
            </m:den>
          </m:f>
        </m:oMath>
      </m:oMathPara>
    </w:p>
    <w:p w:rsidR="00872399" w:rsidRPr="00872399" w:rsidRDefault="00872399" w:rsidP="00872399">
      <w:pPr>
        <w:snapToGrid w:val="0"/>
        <w:spacing w:before="240" w:line="240" w:lineRule="atLeas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Symbol" w:char="F06E"/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is the number of electrons consumed to reduce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desired product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is directly calculated from the productivity data here reported. The incident photons flow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calculated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 measured intensity of radiation. Considering the productivities here reported we have calculated an AQY much higher than 10% in the best cases.</w:t>
      </w:r>
    </w:p>
    <w:p w:rsidR="00E446F6" w:rsidRPr="008D0BEB" w:rsidRDefault="00E446F6" w:rsidP="00E446F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72399" w:rsidRPr="00872399" w:rsidRDefault="00872399" w:rsidP="0087239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In this </w:t>
      </w:r>
      <w:proofErr w:type="gram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work</w:t>
      </w:r>
      <w:proofErr w:type="gram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we have investigated the effect of unconventional reaction conditions,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i.e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high pressure and relatively high temperature, on two of the most challenging photocatalytic processes, such as the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photoreduction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of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and the production of H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from carbohydrates. The increase of temperature to 80-90°C revealed beneficial for both reactions. The increase of pressure boosted the productivity for CO</w:t>
      </w:r>
      <w:r w:rsidRPr="0087239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photoreduction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to results presently unrivalled in the literature. For this latter application, the use of this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photoreactor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 also allowed to tune the selectivity towards different compounds by simply changing the reaction conditions.</w:t>
      </w:r>
    </w:p>
    <w:p w:rsidR="00872399" w:rsidRPr="00872399" w:rsidRDefault="00872399" w:rsidP="0087239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eastAsia="MS PGothic" w:hAnsiTheme="minorHAnsi"/>
          <w:color w:val="000000"/>
          <w:sz w:val="22"/>
          <w:szCs w:val="22"/>
        </w:rPr>
      </w:pPr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The main achievement, besides the interesting products yields, is the development of a new concept of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photoreactor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 xml:space="preserve">, which can open new unexplored routes in </w:t>
      </w:r>
      <w:proofErr w:type="spellStart"/>
      <w:r w:rsidRPr="00872399">
        <w:rPr>
          <w:rFonts w:asciiTheme="minorHAnsi" w:eastAsia="MS PGothic" w:hAnsiTheme="minorHAnsi"/>
          <w:color w:val="000000"/>
          <w:sz w:val="22"/>
          <w:szCs w:val="22"/>
        </w:rPr>
        <w:t>photocatalysis</w:t>
      </w:r>
      <w:proofErr w:type="spellEnd"/>
      <w:r w:rsidRPr="00872399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872399" w:rsidRPr="00872399" w:rsidRDefault="00872399" w:rsidP="00872399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eastAsia="MS PGothic" w:hAnsiTheme="minorHAnsi"/>
          <w:b/>
          <w:color w:val="000000"/>
          <w:sz w:val="22"/>
          <w:szCs w:val="22"/>
        </w:rPr>
      </w:pPr>
    </w:p>
    <w:p w:rsidR="00704BDF" w:rsidRPr="0087239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sectPr w:rsidR="00704BDF" w:rsidRPr="0087239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F2" w:rsidRDefault="005629F2" w:rsidP="004F5E36">
      <w:r>
        <w:separator/>
      </w:r>
    </w:p>
  </w:endnote>
  <w:endnote w:type="continuationSeparator" w:id="0">
    <w:p w:rsidR="005629F2" w:rsidRDefault="005629F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F2" w:rsidRDefault="005629F2" w:rsidP="004F5E36">
      <w:r>
        <w:separator/>
      </w:r>
    </w:p>
  </w:footnote>
  <w:footnote w:type="continuationSeparator" w:id="0">
    <w:p w:rsidR="005629F2" w:rsidRDefault="005629F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3E24673"/>
    <w:multiLevelType w:val="multilevel"/>
    <w:tmpl w:val="ED8E1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212706"/>
    <w:multiLevelType w:val="singleLevel"/>
    <w:tmpl w:val="788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EE5B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74CF"/>
    <w:multiLevelType w:val="hybridMultilevel"/>
    <w:tmpl w:val="081A32E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20"/>
  </w:num>
  <w:num w:numId="17">
    <w:abstractNumId w:val="10"/>
  </w:num>
  <w:num w:numId="18">
    <w:abstractNumId w:val="11"/>
  </w:num>
  <w:num w:numId="19">
    <w:abstractNumId w:val="1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55358"/>
    <w:rsid w:val="0027221A"/>
    <w:rsid w:val="00275B61"/>
    <w:rsid w:val="002C2CCA"/>
    <w:rsid w:val="002D1F12"/>
    <w:rsid w:val="002E265F"/>
    <w:rsid w:val="003009B7"/>
    <w:rsid w:val="0030469C"/>
    <w:rsid w:val="003723D4"/>
    <w:rsid w:val="003A7D1C"/>
    <w:rsid w:val="0046164A"/>
    <w:rsid w:val="00462DCD"/>
    <w:rsid w:val="00476928"/>
    <w:rsid w:val="004D1162"/>
    <w:rsid w:val="004E4DD6"/>
    <w:rsid w:val="004F5E36"/>
    <w:rsid w:val="005119A5"/>
    <w:rsid w:val="005278B7"/>
    <w:rsid w:val="005346C8"/>
    <w:rsid w:val="005629F2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2399"/>
    <w:rsid w:val="0087637F"/>
    <w:rsid w:val="008A1512"/>
    <w:rsid w:val="008D0BEB"/>
    <w:rsid w:val="008E566E"/>
    <w:rsid w:val="00901EB6"/>
    <w:rsid w:val="009450CE"/>
    <w:rsid w:val="0095164B"/>
    <w:rsid w:val="00996483"/>
    <w:rsid w:val="009E01A4"/>
    <w:rsid w:val="009E788A"/>
    <w:rsid w:val="00A12C8D"/>
    <w:rsid w:val="00A1763D"/>
    <w:rsid w:val="00A17CEC"/>
    <w:rsid w:val="00A27EF0"/>
    <w:rsid w:val="00A33C02"/>
    <w:rsid w:val="00A76EFC"/>
    <w:rsid w:val="00A9626B"/>
    <w:rsid w:val="00A97F29"/>
    <w:rsid w:val="00AB0964"/>
    <w:rsid w:val="00AE377D"/>
    <w:rsid w:val="00B30441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27697"/>
    <w:rsid w:val="00D46295"/>
    <w:rsid w:val="00D84576"/>
    <w:rsid w:val="00DE0019"/>
    <w:rsid w:val="00DE264A"/>
    <w:rsid w:val="00E041E7"/>
    <w:rsid w:val="00E23CA1"/>
    <w:rsid w:val="00E409A8"/>
    <w:rsid w:val="00E446F6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7933-B5CD-4C3B-9F21-AB14DA95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Ilenia Rossetti</cp:lastModifiedBy>
  <cp:revision>7</cp:revision>
  <cp:lastPrinted>2015-05-12T18:31:00Z</cp:lastPrinted>
  <dcterms:created xsi:type="dcterms:W3CDTF">2019-01-16T16:45:00Z</dcterms:created>
  <dcterms:modified xsi:type="dcterms:W3CDTF">2019-01-16T17:21:00Z</dcterms:modified>
</cp:coreProperties>
</file>