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A2D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2857781" w14:textId="58A52DA7" w:rsidR="00D06BBD" w:rsidRPr="00D06BBD" w:rsidRDefault="00D06BBD" w:rsidP="00D06BBD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 </w:t>
      </w:r>
      <w:r w:rsidR="00EC2B9F"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Manganese Modified </w:t>
      </w:r>
      <w:r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>Fe</w:t>
      </w:r>
      <w:r w:rsidRPr="00BA2BE6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Pr="00BA2BE6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 xml:space="preserve">4 </w:t>
      </w:r>
      <w:r w:rsidR="00EC2B9F"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Microsphere Catalyst </w:t>
      </w:r>
      <w:r w:rsidR="00EC2B9F">
        <w:rPr>
          <w:rFonts w:asciiTheme="minorHAnsi" w:eastAsia="MS PGothic" w:hAnsiTheme="minorHAnsi"/>
          <w:b/>
          <w:bCs/>
          <w:sz w:val="28"/>
          <w:szCs w:val="28"/>
          <w:lang w:val="en-US"/>
        </w:rPr>
        <w:t>w</w:t>
      </w:r>
      <w:r w:rsidR="00EC2B9F"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ith Effective Active Phase </w:t>
      </w:r>
      <w:r w:rsidR="00EC2B9F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bookmarkStart w:id="0" w:name="_GoBack"/>
      <w:bookmarkEnd w:id="0"/>
      <w:r w:rsidR="00EC2B9F" w:rsidRPr="00D06BBD">
        <w:rPr>
          <w:rFonts w:asciiTheme="minorHAnsi" w:eastAsia="MS PGothic" w:hAnsiTheme="minorHAnsi"/>
          <w:b/>
          <w:bCs/>
          <w:sz w:val="28"/>
          <w:szCs w:val="28"/>
          <w:lang w:val="en-US"/>
        </w:rPr>
        <w:t>f Forming Light Olefins From Syngas</w:t>
      </w:r>
      <w:r w:rsidR="00EC2B9F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65467D8E" w14:textId="77777777" w:rsidR="00D06BBD" w:rsidRPr="00D06BBD" w:rsidRDefault="00D06BBD" w:rsidP="00D06BBD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  <w:r w:rsidRPr="00D06BB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Yi Zhang*</w:t>
      </w:r>
      <w:r w:rsidRPr="00D06BBD">
        <w:rPr>
          <w:rFonts w:asciiTheme="minorHAnsi" w:eastAsia="SimSun" w:hAnsiTheme="minorHAnsi" w:hint="eastAsia"/>
          <w:color w:val="000000"/>
          <w:sz w:val="24"/>
          <w:szCs w:val="24"/>
          <w:lang w:val="en-US" w:eastAsia="zh-CN"/>
        </w:rPr>
        <w:t xml:space="preserve"> and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Yi Liu</w:t>
      </w:r>
      <w:r w:rsidRPr="00D06BB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</w:p>
    <w:p w14:paraId="5C4BADCA" w14:textId="77777777" w:rsidR="00D06BBD" w:rsidRPr="00D06BBD" w:rsidRDefault="00704BDF" w:rsidP="00D06BBD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06BBD" w:rsidRPr="00D06BBD">
        <w:rPr>
          <w:rFonts w:asciiTheme="minorHAnsi" w:eastAsia="MS PGothic" w:hAnsiTheme="minorHAnsi"/>
          <w:i/>
          <w:iCs/>
          <w:color w:val="000000"/>
          <w:sz w:val="20"/>
          <w:vertAlign w:val="superscript"/>
        </w:rPr>
        <w:t>a</w:t>
      </w:r>
      <w:r w:rsidR="00D06BBD" w:rsidRPr="00D06BBD">
        <w:rPr>
          <w:rFonts w:asciiTheme="minorHAnsi" w:eastAsia="MS PGothic" w:hAnsiTheme="minorHAnsi"/>
          <w:i/>
          <w:iCs/>
          <w:color w:val="000000"/>
          <w:sz w:val="20"/>
        </w:rPr>
        <w:t>State Key Laboratory of Organic-Inorganic Composites, Beijing University of Chemical Technology, Beijing, 100029, China</w:t>
      </w:r>
    </w:p>
    <w:p w14:paraId="5E570C3A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06BBD" w:rsidRPr="00D06BBD">
        <w:rPr>
          <w:rFonts w:asciiTheme="minorHAnsi" w:eastAsia="MS PGothic" w:hAnsiTheme="minorHAnsi"/>
          <w:bCs/>
          <w:i/>
          <w:iCs/>
          <w:sz w:val="20"/>
          <w:lang w:val="en-US"/>
        </w:rPr>
        <w:t>yizhang@mail.buct.edu.cn</w:t>
      </w:r>
    </w:p>
    <w:p w14:paraId="4C7CF1D9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056F76F" w14:textId="77777777" w:rsidR="00704BDF" w:rsidRPr="00EC66CC" w:rsidRDefault="00E7293E" w:rsidP="00E7293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EastAsia" w:eastAsiaTheme="minorEastAsia" w:hAnsiTheme="minorEastAsia" w:hint="eastAsia"/>
          <w:lang w:eastAsia="zh-CN"/>
        </w:rPr>
        <w:t>T</w:t>
      </w:r>
      <w:r w:rsidRPr="00E7293E">
        <w:rPr>
          <w:rFonts w:asciiTheme="minorHAnsi" w:hAnsiTheme="minorHAnsi"/>
        </w:rPr>
        <w:t>he MnOx dispersed on the surface of Fe3O4 microsphere</w:t>
      </w:r>
      <w:r w:rsidR="00704BDF" w:rsidRPr="00EC66CC">
        <w:rPr>
          <w:rFonts w:asciiTheme="minorHAnsi" w:hAnsiTheme="minorHAnsi"/>
        </w:rPr>
        <w:t xml:space="preserve">. </w:t>
      </w:r>
    </w:p>
    <w:p w14:paraId="535F42DA" w14:textId="77777777" w:rsidR="00704BDF" w:rsidRPr="00EC66CC" w:rsidRDefault="00E7293E" w:rsidP="00E7293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E7293E">
        <w:rPr>
          <w:rFonts w:asciiTheme="minorHAnsi" w:hAnsiTheme="minorHAnsi"/>
        </w:rPr>
        <w:t>unique promoter-on-iron structure of obtained catalyst</w:t>
      </w:r>
      <w:r w:rsidR="00704BDF" w:rsidRPr="00E7293E"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14:paraId="089483D5" w14:textId="77777777" w:rsidR="00704BDF" w:rsidRPr="00EC66CC" w:rsidRDefault="00E7293E" w:rsidP="00E7293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E7293E">
        <w:rPr>
          <w:rFonts w:asciiTheme="minorHAnsi" w:hAnsiTheme="minorHAnsi"/>
        </w:rPr>
        <w:t>he θ-Fe3C phase plays crucial roles in enhancing the light olefins selectivity</w:t>
      </w:r>
      <w:r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14:paraId="449245AA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A8768F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7D1CBC0" w14:textId="77777777" w:rsidR="00C867B1" w:rsidRPr="00D06BBD" w:rsidRDefault="00D06BBD" w:rsidP="00D06BB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D06BBD">
        <w:rPr>
          <w:rFonts w:asciiTheme="minorHAnsi" w:eastAsia="MS PGothic" w:hAnsiTheme="minorHAnsi"/>
          <w:color w:val="000000"/>
          <w:sz w:val="22"/>
          <w:szCs w:val="22"/>
        </w:rPr>
        <w:t>Light olefins (C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>-C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>) are key building blocks of the chemical industry and typically produced by steam cracking naphtha [1]. The direct conversion of syngas into light olefins via the Fischer-Tropsch synthesis (FTS) process is a promising route to meet the increasing demand for chemical feed-stocks [2]. It is well know that iron carbide is recognized as the active phase for the FTS reaction [3]. Herein, a manganese modified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 xml:space="preserve"> microsphere catalyst was developed as illustrated in </w:t>
      </w:r>
      <w:r w:rsidRPr="00D06BBD">
        <w:rPr>
          <w:rFonts w:asciiTheme="minorHAnsi" w:eastAsia="MS PGothic" w:hAnsiTheme="minorHAnsi"/>
          <w:b/>
          <w:color w:val="000000"/>
          <w:sz w:val="22"/>
          <w:szCs w:val="22"/>
        </w:rPr>
        <w:t>Figure 1A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>, where the MnOx dispersed on the surface of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</w:rPr>
        <w:t xml:space="preserve"> microsphere to avoid the porous structure and solely modify the c</w:t>
      </w:r>
      <w:r w:rsidR="00A66D9A">
        <w:rPr>
          <w:rFonts w:asciiTheme="minorHAnsi" w:eastAsia="MS PGothic" w:hAnsiTheme="minorHAnsi"/>
          <w:color w:val="000000"/>
          <w:sz w:val="22"/>
          <w:szCs w:val="22"/>
        </w:rPr>
        <w:t xml:space="preserve">arburization of the catalysts. </w:t>
      </w:r>
    </w:p>
    <w:p w14:paraId="46827BA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6CEE66D" w14:textId="77777777" w:rsidR="00D06BBD" w:rsidRPr="00D06BBD" w:rsidRDefault="00D06BBD" w:rsidP="00D06BB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microspheres were prepared by a solvothermal method [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For preparation of Mn/Fe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catalyst, in order to improving the dispersion of supported Mn,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ethylene glycol solution of Mn(NO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•4H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 was impregnated onto the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microspheres [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5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followed by drying at 473 K under vacuum.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obtained catalysts were characterized by STEM-Mapping, HRTEM, XAFS, XPS, and Mössbauer spectroscopy. </w:t>
      </w:r>
    </w:p>
    <w:p w14:paraId="1A6AA9E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904051E" w14:textId="77777777" w:rsidR="00D06BBD" w:rsidRPr="00D06BBD" w:rsidRDefault="00D06BBD" w:rsidP="00D06BB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6BB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Pr="00D06BBD">
        <w:rPr>
          <w:rFonts w:asciiTheme="minorHAnsi" w:eastAsia="MS PGothic" w:hAnsiTheme="minorHAnsi" w:hint="eastAsia"/>
          <w:b/>
          <w:color w:val="000000"/>
          <w:sz w:val="22"/>
          <w:szCs w:val="22"/>
          <w:lang w:val="en-US"/>
        </w:rPr>
        <w:t>B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SEM image of the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microspheres, which possess uniformly spherical shape of 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~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300 nm. N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adsorption-desorption isotherms show representative type-</w:t>
      </w:r>
      <w:r w:rsidRPr="00D06BBD">
        <w:rPr>
          <w:rFonts w:ascii="Microsoft YaHei" w:eastAsia="Microsoft YaHei" w:hAnsi="Microsoft YaHei" w:cs="Microsoft YaHei" w:hint="eastAsia"/>
          <w:color w:val="000000"/>
          <w:sz w:val="22"/>
          <w:szCs w:val="22"/>
          <w:lang w:val="en-US"/>
        </w:rPr>
        <w:t>Ⅱ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curves, which is normally obtained with non-porous adsorbents [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6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Meanwhile, it was found that the MnO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located at the edge of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microspheres as shown in </w:t>
      </w:r>
      <w:r w:rsidRPr="00D06BB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Pr="00D06BBD">
        <w:rPr>
          <w:rFonts w:asciiTheme="minorHAnsi" w:eastAsia="MS PGothic" w:hAnsiTheme="minorHAnsi" w:hint="eastAsia"/>
          <w:b/>
          <w:color w:val="000000"/>
          <w:sz w:val="22"/>
          <w:szCs w:val="22"/>
          <w:lang w:val="en-US"/>
        </w:rPr>
        <w:t>C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Hence, MnO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locate on the surface of the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microspheres as designed. It is considered that this unique promoter-on-iron structure of obtained catalyst would contribute to enhancing the promotional effects of manganese and clarifying the different role of iron carbides.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</w:p>
    <w:p w14:paraId="7A450458" w14:textId="77777777" w:rsidR="00D06BBD" w:rsidRDefault="00D06BBD" w:rsidP="00D06BB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prepared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 catalysts were applied to FTS reaction 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for 50 h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1.0 MPa, 593 K, and H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/CO ratio of 1</w:t>
      </w:r>
      <w:r w:rsidR="00E72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Mn/Fe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 with moderate amount of Mn (6 wt %) exhibits the best C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-C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olefins selectivity (60.1 %) and lowest CH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selectivity (9.7 %) with better stability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compared with un-promoted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T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unprecedented efficiency of converting syngas to light olefins could be attributed to the special surface carbonaceous species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, as confirmed by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situ XPS. The 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results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activated catalysts 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show that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presence of significantly different surface carbonaceous species, and the charge of surface carbon atom was influenced by the Mn promoter.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I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 is proposed that a specific carbide phase could be formed on the surface of 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 due to the presence of Mn promoter. T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his is also confirmed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Mössbauer spectroscopy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and EXAFS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s shown in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Mössbauer spectroscopy (Figure 2)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,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a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new carbide phase, identified as cementite (</w:t>
      </w:r>
      <w:r w:rsidRPr="00D06BB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θ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C), was discerned when Mn was added.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Fourier transforms of the EXAFS spectra at the Fe K-edge</w:t>
      </w:r>
      <w:r w:rsidRPr="00D06BB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(Figure </w:t>
      </w:r>
      <w:r w:rsidRPr="00D06BBD">
        <w:rPr>
          <w:rFonts w:asciiTheme="minorHAnsi" w:eastAsia="MS PGothic" w:hAnsiTheme="minorHAnsi" w:hint="eastAsia"/>
          <w:b/>
          <w:color w:val="000000"/>
          <w:sz w:val="22"/>
          <w:szCs w:val="22"/>
          <w:lang w:val="en-US"/>
        </w:rPr>
        <w:t>1D</w:t>
      </w:r>
      <w:r w:rsidRPr="00D06BB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)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 that,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Fe formed another carbide phase, </w:t>
      </w:r>
      <w:r w:rsidRPr="00D06BB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θ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in addition to </w:t>
      </w:r>
      <w:r w:rsidRPr="00D06BB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χ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06BBD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 xml:space="preserve"> 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it is reasonable to conclude that the </w:t>
      </w:r>
      <w:r w:rsidRPr="00D06BB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θ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D06B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D06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C phase plays crucial roles in enhancing the light olefins selectivity.</w:t>
      </w:r>
    </w:p>
    <w:p w14:paraId="44C4A9DE" w14:textId="77777777" w:rsidR="00D06BBD" w:rsidRPr="00D06BBD" w:rsidRDefault="00D06BBD" w:rsidP="00D06BBD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 w:rsidRPr="00D06BBD">
        <w:rPr>
          <w:rFonts w:asciiTheme="minorHAnsi" w:eastAsia="MS PGothic" w:hAnsiTheme="minorHAnsi" w:hint="eastAsia"/>
          <w:noProof/>
          <w:color w:val="000000"/>
          <w:sz w:val="22"/>
          <w:szCs w:val="22"/>
          <w:lang w:val="en-US" w:eastAsia="zh-CN"/>
        </w:rPr>
        <w:drawing>
          <wp:inline distT="0" distB="0" distL="0" distR="0" wp14:anchorId="631BBF36" wp14:editId="3A83610B">
            <wp:extent cx="1485900" cy="1021470"/>
            <wp:effectExtent l="0" t="0" r="0" b="762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" r="7130" b="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12" cy="10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573E7" w14:textId="77777777" w:rsidR="00D06BBD" w:rsidRPr="00A66D9A" w:rsidRDefault="00D06BBD" w:rsidP="00A66D9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A66D9A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(A)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Structural model for the Mn/Fe3O4 catalyst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; (B)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SEM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 xml:space="preserve">images of the 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fresh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Fe3O4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microspheres; (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>C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) TEM images of the 6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wt %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>Mn/Fe3O4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 xml:space="preserve">catalyst after reduction; </w:t>
      </w:r>
      <w:r w:rsidRPr="00A66D9A">
        <w:rPr>
          <w:rFonts w:asciiTheme="minorHAnsi" w:eastAsia="MS PGothic" w:hAnsiTheme="minorHAnsi" w:hint="eastAsia"/>
          <w:color w:val="000000"/>
          <w:szCs w:val="18"/>
          <w:lang w:val="en-US"/>
        </w:rPr>
        <w:t xml:space="preserve">(D) </w:t>
      </w:r>
      <w:r w:rsidRPr="00A66D9A">
        <w:rPr>
          <w:rFonts w:asciiTheme="minorHAnsi" w:eastAsia="MS PGothic" w:hAnsiTheme="minorHAnsi"/>
          <w:color w:val="000000"/>
          <w:szCs w:val="18"/>
          <w:lang w:val="en-US"/>
        </w:rPr>
        <w:t xml:space="preserve">Fourier transformed (FT) k3-weighted χ(k)-function of the EXAFS spectra. Solid lines denote reference samples of Fe3O4, χ-Fe5C2, ε-Fe3C, θ-Fe3C and Fe4C. </w:t>
      </w:r>
    </w:p>
    <w:p w14:paraId="172C3EFC" w14:textId="77777777" w:rsidR="00704BDF" w:rsidRPr="00DE0019" w:rsidRDefault="00A66D9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hAnsiTheme="minorHAnsi"/>
          <w:noProof/>
          <w:lang w:val="en-US" w:eastAsia="zh-CN"/>
        </w:rPr>
        <w:drawing>
          <wp:inline distT="0" distB="0" distL="0" distR="0" wp14:anchorId="5D2EC873" wp14:editId="66CCBB5E">
            <wp:extent cx="1704975" cy="10553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53" cy="106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909C3" w14:textId="77777777" w:rsidR="00704BDF" w:rsidRPr="00DE0019" w:rsidRDefault="00A66D9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Pr="00A66D9A">
        <w:rPr>
          <w:rFonts w:asciiTheme="minorHAnsi" w:hAnsiTheme="minorHAnsi"/>
          <w:b/>
        </w:rPr>
        <w:t xml:space="preserve">2 </w:t>
      </w:r>
      <w:r w:rsidRPr="00A66D9A">
        <w:rPr>
          <w:rFonts w:asciiTheme="minorHAnsi" w:hAnsiTheme="minorHAnsi"/>
        </w:rPr>
        <w:t xml:space="preserve">Mössbauer spectra of the iron-based catalysts after reduction. </w:t>
      </w:r>
    </w:p>
    <w:p w14:paraId="19784AD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6DCF600" w14:textId="77777777" w:rsidR="00A66D9A" w:rsidRPr="00A66D9A" w:rsidRDefault="00A66D9A" w:rsidP="00A66D9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lang w:val="en-US" w:eastAsia="zh-CN"/>
        </w:rPr>
        <w:t>T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non-porous structure combined with dispersed manganese on the Fe</w:t>
      </w:r>
      <w:r w:rsidRPr="00A66D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A66D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microsphere surface contributes to enhancing the promotional effects of Mn and clarifying the different role of iron carbides. </w:t>
      </w:r>
      <w:r w:rsidRPr="00A66D9A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I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was found that the </w:t>
      </w:r>
      <w:r w:rsidRPr="00A66D9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θ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-Fe</w:t>
      </w:r>
      <w:r w:rsidRPr="00A66D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C plays important role to enhance the selectivity of C</w:t>
      </w:r>
      <w:r w:rsidRPr="00A66D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-C</w:t>
      </w:r>
      <w:r w:rsidRPr="00A66D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66D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lefins during the FTS reaction.</w:t>
      </w:r>
    </w:p>
    <w:p w14:paraId="55D61F30" w14:textId="77777777" w:rsidR="00A66D9A" w:rsidRDefault="00704BDF" w:rsidP="00A66D9A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12774F54" w14:textId="77777777" w:rsidR="00A66D9A" w:rsidRPr="00A66D9A" w:rsidRDefault="00A66D9A" w:rsidP="00A66D9A">
      <w:pPr>
        <w:snapToGrid w:val="0"/>
        <w:spacing w:before="240" w:line="300" w:lineRule="auto"/>
        <w:rPr>
          <w:rFonts w:asciiTheme="minorHAnsi" w:hAnsiTheme="minorHAnsi"/>
          <w:color w:val="000000"/>
          <w:sz w:val="20"/>
        </w:rPr>
      </w:pPr>
      <w:r w:rsidRPr="00A66D9A">
        <w:rPr>
          <w:rFonts w:asciiTheme="minorHAnsi" w:hAnsiTheme="minorHAnsi"/>
          <w:color w:val="000000"/>
          <w:sz w:val="20"/>
        </w:rPr>
        <w:t xml:space="preserve">[1] </w:t>
      </w:r>
      <w:r w:rsidRPr="00A66D9A">
        <w:rPr>
          <w:rFonts w:asciiTheme="minorHAnsi" w:hAnsiTheme="minorHAnsi" w:hint="eastAsia"/>
          <w:color w:val="000000"/>
          <w:sz w:val="20"/>
        </w:rPr>
        <w:t xml:space="preserve">B. </w:t>
      </w:r>
      <w:r w:rsidRPr="00A66D9A">
        <w:rPr>
          <w:rFonts w:asciiTheme="minorHAnsi" w:hAnsiTheme="minorHAnsi"/>
          <w:color w:val="000000"/>
          <w:sz w:val="20"/>
        </w:rPr>
        <w:t xml:space="preserve">Hu, </w:t>
      </w:r>
      <w:r w:rsidRPr="00A66D9A">
        <w:rPr>
          <w:rFonts w:asciiTheme="minorHAnsi" w:hAnsiTheme="minorHAnsi" w:hint="eastAsia"/>
          <w:color w:val="000000"/>
          <w:sz w:val="20"/>
        </w:rPr>
        <w:t>S.</w:t>
      </w:r>
      <w:r w:rsidRPr="00A66D9A">
        <w:rPr>
          <w:rFonts w:asciiTheme="minorHAnsi" w:hAnsiTheme="minorHAnsi"/>
          <w:color w:val="000000"/>
          <w:sz w:val="20"/>
        </w:rPr>
        <w:t xml:space="preserve"> Frueh, </w:t>
      </w:r>
      <w:r w:rsidRPr="00A66D9A">
        <w:rPr>
          <w:rFonts w:asciiTheme="minorHAnsi" w:hAnsiTheme="minorHAnsi" w:hint="eastAsia"/>
          <w:color w:val="000000"/>
          <w:sz w:val="20"/>
        </w:rPr>
        <w:t>H. F.</w:t>
      </w:r>
      <w:r w:rsidRPr="00A66D9A">
        <w:rPr>
          <w:rFonts w:asciiTheme="minorHAnsi" w:hAnsiTheme="minorHAnsi"/>
          <w:color w:val="000000"/>
          <w:sz w:val="20"/>
        </w:rPr>
        <w:t xml:space="preserve"> Garces, </w:t>
      </w:r>
      <w:r w:rsidRPr="00A66D9A">
        <w:rPr>
          <w:rFonts w:asciiTheme="minorHAnsi" w:hAnsiTheme="minorHAnsi" w:hint="eastAsia"/>
          <w:color w:val="000000"/>
          <w:sz w:val="20"/>
        </w:rPr>
        <w:t>L.</w:t>
      </w:r>
      <w:r w:rsidRPr="00A66D9A">
        <w:rPr>
          <w:rFonts w:asciiTheme="minorHAnsi" w:hAnsiTheme="minorHAnsi"/>
          <w:color w:val="000000"/>
          <w:sz w:val="20"/>
        </w:rPr>
        <w:t xml:space="preserve"> Zhang, </w:t>
      </w:r>
      <w:r w:rsidRPr="00A66D9A">
        <w:rPr>
          <w:rFonts w:asciiTheme="minorHAnsi" w:hAnsiTheme="minorHAnsi" w:hint="eastAsia"/>
          <w:color w:val="000000"/>
          <w:sz w:val="20"/>
        </w:rPr>
        <w:t>M.</w:t>
      </w:r>
      <w:r w:rsidRPr="00A66D9A">
        <w:rPr>
          <w:rFonts w:asciiTheme="minorHAnsi" w:hAnsiTheme="minorHAnsi"/>
          <w:color w:val="000000"/>
          <w:sz w:val="20"/>
        </w:rPr>
        <w:t xml:space="preserve"> Aindow, </w:t>
      </w:r>
      <w:r w:rsidRPr="00A66D9A">
        <w:rPr>
          <w:rFonts w:asciiTheme="minorHAnsi" w:hAnsiTheme="minorHAnsi" w:hint="eastAsia"/>
          <w:color w:val="000000"/>
          <w:sz w:val="20"/>
        </w:rPr>
        <w:t>C.</w:t>
      </w:r>
      <w:r w:rsidRPr="00A66D9A">
        <w:rPr>
          <w:rFonts w:asciiTheme="minorHAnsi" w:hAnsiTheme="minorHAnsi"/>
          <w:color w:val="000000"/>
          <w:sz w:val="20"/>
        </w:rPr>
        <w:t xml:space="preserve"> Brooks, </w:t>
      </w:r>
      <w:r w:rsidRPr="00A66D9A">
        <w:rPr>
          <w:rFonts w:asciiTheme="minorHAnsi" w:hAnsiTheme="minorHAnsi" w:hint="eastAsia"/>
          <w:color w:val="000000"/>
          <w:sz w:val="20"/>
        </w:rPr>
        <w:t>E.</w:t>
      </w:r>
      <w:r w:rsidRPr="00A66D9A">
        <w:rPr>
          <w:rFonts w:asciiTheme="minorHAnsi" w:hAnsiTheme="minorHAnsi"/>
          <w:color w:val="000000"/>
          <w:sz w:val="20"/>
        </w:rPr>
        <w:t xml:space="preserve"> Kreidler, </w:t>
      </w:r>
      <w:r w:rsidRPr="00A66D9A">
        <w:rPr>
          <w:rFonts w:asciiTheme="minorHAnsi" w:hAnsiTheme="minorHAnsi" w:hint="eastAsia"/>
          <w:color w:val="000000"/>
          <w:sz w:val="20"/>
        </w:rPr>
        <w:t>S. L.</w:t>
      </w:r>
      <w:r w:rsidRPr="00A66D9A">
        <w:rPr>
          <w:rFonts w:asciiTheme="minorHAnsi" w:hAnsiTheme="minorHAnsi"/>
          <w:color w:val="000000"/>
          <w:sz w:val="20"/>
        </w:rPr>
        <w:t xml:space="preserve"> Suib, Appl. Catal. B, 2013, </w:t>
      </w:r>
      <w:r w:rsidRPr="00A66D9A">
        <w:rPr>
          <w:rFonts w:asciiTheme="minorHAnsi" w:hAnsiTheme="minorHAnsi" w:hint="eastAsia"/>
          <w:color w:val="000000"/>
          <w:sz w:val="20"/>
        </w:rPr>
        <w:t>132-133</w:t>
      </w:r>
      <w:r w:rsidRPr="00A66D9A">
        <w:rPr>
          <w:rFonts w:asciiTheme="minorHAnsi" w:hAnsiTheme="minorHAnsi"/>
          <w:color w:val="000000"/>
          <w:sz w:val="20"/>
        </w:rPr>
        <w:t>: 54.</w:t>
      </w:r>
    </w:p>
    <w:p w14:paraId="062B09A8" w14:textId="77777777" w:rsidR="00A66D9A" w:rsidRPr="00A66D9A" w:rsidRDefault="00A66D9A" w:rsidP="00A66D9A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66D9A">
        <w:rPr>
          <w:rFonts w:asciiTheme="minorHAnsi" w:hAnsiTheme="minorHAnsi"/>
          <w:color w:val="000000"/>
        </w:rPr>
        <w:t>[2] H. M. T. Galvis, J.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 xml:space="preserve">H. Bitter, C. B. Khare, M. Ruitenbeek, A.I. Dugulan, K.P. de Jong, Science. 2012, </w:t>
      </w:r>
      <w:r w:rsidRPr="00A66D9A">
        <w:rPr>
          <w:rFonts w:asciiTheme="minorHAnsi" w:hAnsiTheme="minorHAnsi" w:hint="eastAsia"/>
          <w:color w:val="000000"/>
        </w:rPr>
        <w:t>335</w:t>
      </w:r>
      <w:r w:rsidRPr="00A66D9A">
        <w:rPr>
          <w:rFonts w:asciiTheme="minorHAnsi" w:hAnsiTheme="minorHAnsi"/>
          <w:color w:val="000000"/>
        </w:rPr>
        <w:t>: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 xml:space="preserve"> 835.</w:t>
      </w:r>
    </w:p>
    <w:p w14:paraId="3C1E3817" w14:textId="77777777" w:rsidR="00A66D9A" w:rsidRPr="00A66D9A" w:rsidRDefault="00A66D9A" w:rsidP="00A66D9A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66D9A">
        <w:rPr>
          <w:rFonts w:asciiTheme="minorHAnsi" w:hAnsiTheme="minorHAnsi"/>
          <w:color w:val="000000"/>
        </w:rPr>
        <w:t xml:space="preserve">[3] S. Li, R. J. O’Brien, G. D. Meitzner, H. Hamdeh, B. H. Davis, E. Iglesia, Appl. Catal. A 2001, </w:t>
      </w:r>
      <w:r w:rsidRPr="00A66D9A">
        <w:rPr>
          <w:rFonts w:asciiTheme="minorHAnsi" w:hAnsiTheme="minorHAnsi" w:hint="eastAsia"/>
          <w:color w:val="000000"/>
        </w:rPr>
        <w:t>219</w:t>
      </w:r>
      <w:r w:rsidRPr="00A66D9A">
        <w:rPr>
          <w:rFonts w:asciiTheme="minorHAnsi" w:hAnsiTheme="minorHAnsi"/>
          <w:color w:val="000000"/>
        </w:rPr>
        <w:t>: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 xml:space="preserve"> 215.</w:t>
      </w:r>
    </w:p>
    <w:p w14:paraId="6E5A9DD3" w14:textId="77777777" w:rsidR="00A66D9A" w:rsidRPr="00A66D9A" w:rsidRDefault="00A66D9A" w:rsidP="00A66D9A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66D9A">
        <w:rPr>
          <w:rFonts w:asciiTheme="minorHAnsi" w:hAnsiTheme="minorHAnsi"/>
          <w:color w:val="000000"/>
        </w:rPr>
        <w:t>[4] J. Liu, Z. K. Sun, Y. H. Deng, Y. Zou, C. Y. Li, X. H. Guo, L. Q. Xiong, Y. Gao, F. Y. Li, D. Y. Zhao, Angew. Chem. Int. Ed.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 xml:space="preserve">2009,  </w:t>
      </w:r>
      <w:r w:rsidRPr="00A66D9A">
        <w:rPr>
          <w:rFonts w:asciiTheme="minorHAnsi" w:hAnsiTheme="minorHAnsi" w:hint="eastAsia"/>
          <w:color w:val="000000"/>
        </w:rPr>
        <w:t>48</w:t>
      </w:r>
      <w:r w:rsidRPr="00A66D9A">
        <w:rPr>
          <w:rFonts w:asciiTheme="minorHAnsi" w:hAnsiTheme="minorHAnsi"/>
          <w:color w:val="000000"/>
        </w:rPr>
        <w:t>: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>5875.</w:t>
      </w:r>
    </w:p>
    <w:p w14:paraId="25658ED5" w14:textId="77777777" w:rsidR="00A66D9A" w:rsidRPr="00A66D9A" w:rsidRDefault="00A66D9A" w:rsidP="00A66D9A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66D9A">
        <w:rPr>
          <w:rFonts w:asciiTheme="minorHAnsi" w:hAnsiTheme="minorHAnsi"/>
          <w:color w:val="000000"/>
        </w:rPr>
        <w:t xml:space="preserve">[5] </w:t>
      </w:r>
      <w:r w:rsidRPr="00A66D9A">
        <w:rPr>
          <w:rFonts w:asciiTheme="minorHAnsi" w:hAnsiTheme="minorHAnsi" w:hint="eastAsia"/>
          <w:color w:val="000000"/>
        </w:rPr>
        <w:t>Y. Liu</w:t>
      </w:r>
      <w:r w:rsidRPr="00A66D9A">
        <w:rPr>
          <w:rFonts w:asciiTheme="minorHAnsi" w:hAnsiTheme="minorHAnsi"/>
          <w:color w:val="000000"/>
        </w:rPr>
        <w:t xml:space="preserve">, J. F. Chen, </w:t>
      </w:r>
      <w:r w:rsidRPr="00A66D9A">
        <w:rPr>
          <w:rFonts w:asciiTheme="minorHAnsi" w:hAnsiTheme="minorHAnsi" w:hint="eastAsia"/>
          <w:color w:val="000000"/>
        </w:rPr>
        <w:t>J</w:t>
      </w:r>
      <w:r w:rsidRPr="00A66D9A">
        <w:rPr>
          <w:rFonts w:asciiTheme="minorHAnsi" w:hAnsiTheme="minorHAnsi"/>
          <w:color w:val="000000"/>
        </w:rPr>
        <w:t xml:space="preserve">. </w:t>
      </w:r>
      <w:r w:rsidRPr="00A66D9A">
        <w:rPr>
          <w:rFonts w:asciiTheme="minorHAnsi" w:hAnsiTheme="minorHAnsi" w:hint="eastAsia"/>
          <w:color w:val="000000"/>
        </w:rPr>
        <w:t>Bao</w:t>
      </w:r>
      <w:r w:rsidRPr="00A66D9A">
        <w:rPr>
          <w:rFonts w:asciiTheme="minorHAnsi" w:hAnsiTheme="minorHAnsi"/>
          <w:color w:val="000000"/>
        </w:rPr>
        <w:t xml:space="preserve">, Y. Zhang, </w:t>
      </w:r>
      <w:r w:rsidRPr="00A66D9A">
        <w:rPr>
          <w:rFonts w:asciiTheme="minorHAnsi" w:hAnsiTheme="minorHAnsi" w:hint="eastAsia"/>
          <w:color w:val="000000"/>
        </w:rPr>
        <w:t xml:space="preserve">ACS </w:t>
      </w:r>
      <w:r w:rsidRPr="00A66D9A">
        <w:rPr>
          <w:rFonts w:asciiTheme="minorHAnsi" w:hAnsiTheme="minorHAnsi"/>
          <w:color w:val="000000"/>
        </w:rPr>
        <w:t>Catal. 201</w:t>
      </w:r>
      <w:r w:rsidRPr="00A66D9A">
        <w:rPr>
          <w:rFonts w:asciiTheme="minorHAnsi" w:hAnsiTheme="minorHAnsi" w:hint="eastAsia"/>
          <w:color w:val="000000"/>
        </w:rPr>
        <w:t>5</w:t>
      </w:r>
      <w:r w:rsidRPr="00A66D9A">
        <w:rPr>
          <w:rFonts w:asciiTheme="minorHAnsi" w:hAnsiTheme="minorHAnsi"/>
          <w:color w:val="000000"/>
        </w:rPr>
        <w:t xml:space="preserve">, </w:t>
      </w:r>
      <w:r w:rsidRPr="00A66D9A">
        <w:rPr>
          <w:rFonts w:asciiTheme="minorHAnsi" w:hAnsiTheme="minorHAnsi" w:hint="eastAsia"/>
          <w:color w:val="000000"/>
        </w:rPr>
        <w:t>5</w:t>
      </w:r>
      <w:r w:rsidRPr="00A66D9A">
        <w:rPr>
          <w:rFonts w:asciiTheme="minorHAnsi" w:hAnsiTheme="minorHAnsi"/>
          <w:color w:val="000000"/>
        </w:rPr>
        <w:t>:</w:t>
      </w:r>
      <w:r w:rsidRPr="00A66D9A">
        <w:rPr>
          <w:rFonts w:asciiTheme="minorHAnsi" w:hAnsiTheme="minorHAnsi" w:hint="eastAsia"/>
          <w:color w:val="000000"/>
        </w:rPr>
        <w:t xml:space="preserve"> </w:t>
      </w:r>
      <w:r w:rsidRPr="00A66D9A">
        <w:rPr>
          <w:rFonts w:asciiTheme="minorHAnsi" w:hAnsiTheme="minorHAnsi"/>
          <w:color w:val="000000"/>
        </w:rPr>
        <w:t xml:space="preserve"> </w:t>
      </w:r>
      <w:r w:rsidRPr="00A66D9A">
        <w:rPr>
          <w:rFonts w:asciiTheme="minorHAnsi" w:hAnsiTheme="minorHAnsi" w:hint="eastAsia"/>
          <w:color w:val="000000"/>
        </w:rPr>
        <w:t>3905</w:t>
      </w:r>
      <w:r w:rsidRPr="00A66D9A">
        <w:rPr>
          <w:rFonts w:asciiTheme="minorHAnsi" w:hAnsiTheme="minorHAnsi"/>
          <w:color w:val="000000"/>
        </w:rPr>
        <w:t>.</w:t>
      </w:r>
    </w:p>
    <w:p w14:paraId="44253980" w14:textId="77777777" w:rsidR="00704BDF" w:rsidRPr="00704BDF" w:rsidRDefault="00A66D9A" w:rsidP="00A66D9A">
      <w:pPr>
        <w:pStyle w:val="FirstParagraph"/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A66D9A">
        <w:rPr>
          <w:rFonts w:asciiTheme="minorHAnsi" w:hAnsiTheme="minorHAnsi"/>
          <w:color w:val="000000"/>
        </w:rPr>
        <w:t>[6] K. S. W. Sing, Pure. Appl. Chem. 1985,</w:t>
      </w:r>
      <w:r w:rsidRPr="00A66D9A">
        <w:rPr>
          <w:rFonts w:asciiTheme="minorHAnsi" w:hAnsiTheme="minorHAnsi" w:hint="eastAsia"/>
          <w:color w:val="000000"/>
        </w:rPr>
        <w:t>57</w:t>
      </w:r>
      <w:r w:rsidRPr="00A66D9A">
        <w:rPr>
          <w:rFonts w:asciiTheme="minorHAnsi" w:hAnsiTheme="minorHAnsi"/>
          <w:color w:val="000000"/>
        </w:rPr>
        <w:t>: 603.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A6DB" w14:textId="77777777" w:rsidR="00E10564" w:rsidRDefault="00E10564" w:rsidP="004F5E36">
      <w:r>
        <w:separator/>
      </w:r>
    </w:p>
  </w:endnote>
  <w:endnote w:type="continuationSeparator" w:id="0">
    <w:p w14:paraId="2606AC96" w14:textId="77777777" w:rsidR="00E10564" w:rsidRDefault="00E1056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93332" w14:textId="77777777" w:rsidR="00E10564" w:rsidRDefault="00E10564" w:rsidP="004F5E36">
      <w:r>
        <w:separator/>
      </w:r>
    </w:p>
  </w:footnote>
  <w:footnote w:type="continuationSeparator" w:id="0">
    <w:p w14:paraId="2E2EA206" w14:textId="77777777" w:rsidR="00E10564" w:rsidRDefault="00E1056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C490" w14:textId="77777777" w:rsidR="004D1162" w:rsidRDefault="00594E9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998251" wp14:editId="2F292D7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4D76B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59C16E51" wp14:editId="6CB1F59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0DAC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0227655F" wp14:editId="3C6893F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D8938CD" w14:textId="77777777" w:rsidR="00704BDF" w:rsidRDefault="00704BDF">
    <w:pPr>
      <w:pStyle w:val="Intestazione"/>
    </w:pPr>
  </w:p>
  <w:p w14:paraId="44550EF4" w14:textId="77777777" w:rsidR="00704BDF" w:rsidRDefault="00704BD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0B217" wp14:editId="1CBCDA8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E62E0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93518"/>
    <w:multiLevelType w:val="hybridMultilevel"/>
    <w:tmpl w:val="316C4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6D88"/>
    <w:multiLevelType w:val="hybridMultilevel"/>
    <w:tmpl w:val="B4E65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7E5D73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66D9A"/>
    <w:rsid w:val="00A76EFC"/>
    <w:rsid w:val="00A9626B"/>
    <w:rsid w:val="00A97F29"/>
    <w:rsid w:val="00AB0964"/>
    <w:rsid w:val="00AE377D"/>
    <w:rsid w:val="00B56DD1"/>
    <w:rsid w:val="00B61DBF"/>
    <w:rsid w:val="00BA2BE6"/>
    <w:rsid w:val="00BC30C9"/>
    <w:rsid w:val="00BE3E58"/>
    <w:rsid w:val="00C01616"/>
    <w:rsid w:val="00C0162B"/>
    <w:rsid w:val="00C13018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6BBD"/>
    <w:rsid w:val="00D84576"/>
    <w:rsid w:val="00DE0019"/>
    <w:rsid w:val="00DE264A"/>
    <w:rsid w:val="00E041E7"/>
    <w:rsid w:val="00E10564"/>
    <w:rsid w:val="00E23CA1"/>
    <w:rsid w:val="00E409A8"/>
    <w:rsid w:val="00E7209D"/>
    <w:rsid w:val="00E7293E"/>
    <w:rsid w:val="00EA50E1"/>
    <w:rsid w:val="00EC2B9F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4227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A66D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87C4-6AEC-4098-9F33-2060F5B9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8</cp:revision>
  <cp:lastPrinted>2015-05-12T18:31:00Z</cp:lastPrinted>
  <dcterms:created xsi:type="dcterms:W3CDTF">2018-05-26T08:49:00Z</dcterms:created>
  <dcterms:modified xsi:type="dcterms:W3CDTF">2019-08-21T08:50:00Z</dcterms:modified>
</cp:coreProperties>
</file>