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3B2" w:rsidRPr="000A03B2" w:rsidRDefault="000A03B2" w:rsidP="00162ACC">
      <w:pPr>
        <w:pStyle w:val="CETAuthors"/>
        <w:tabs>
          <w:tab w:val="clear" w:pos="7100"/>
          <w:tab w:val="right" w:pos="9070"/>
        </w:tabs>
        <w:spacing w:line="240" w:lineRule="auto"/>
        <w:rPr>
          <w:lang w:val="en-US"/>
        </w:rPr>
        <w:sectPr w:rsidR="000A03B2" w:rsidRPr="000A03B2" w:rsidSect="00704BDF">
          <w:headerReference w:type="default" r:id="rId8"/>
          <w:headerReference w:type="first" r:id="rId9"/>
          <w:type w:val="continuous"/>
          <w:pgSz w:w="11906" w:h="16838" w:code="9"/>
          <w:pgMar w:top="1985" w:right="1418" w:bottom="1701" w:left="1418" w:header="993" w:footer="0" w:gutter="0"/>
          <w:cols w:space="708"/>
          <w:titlePg/>
          <w:docGrid w:linePitch="360"/>
        </w:sectPr>
      </w:pPr>
    </w:p>
    <w:p w:rsidR="00704BDF" w:rsidRPr="00DE0019" w:rsidRDefault="00020109" w:rsidP="00162ACC">
      <w:pPr>
        <w:snapToGrid w:val="0"/>
        <w:spacing w:after="360" w:line="240" w:lineRule="auto"/>
        <w:jc w:val="center"/>
        <w:rPr>
          <w:rFonts w:asciiTheme="minorHAnsi" w:eastAsia="MS PGothic" w:hAnsiTheme="minorHAnsi"/>
          <w:b/>
          <w:bCs/>
          <w:sz w:val="28"/>
          <w:szCs w:val="28"/>
          <w:lang w:val="en-US" w:eastAsia="ko-KR"/>
        </w:rPr>
      </w:pPr>
      <w:r w:rsidRPr="00020109">
        <w:rPr>
          <w:rFonts w:asciiTheme="minorHAnsi" w:eastAsia="MS PGothic" w:hAnsiTheme="minorHAnsi"/>
          <w:b/>
          <w:bCs/>
          <w:sz w:val="28"/>
          <w:szCs w:val="28"/>
          <w:lang w:val="en-US"/>
        </w:rPr>
        <w:t>OXIDATIVE COUPLING OF METHANE IN A GAS-SOLID VORTEX REACTOR</w:t>
      </w:r>
    </w:p>
    <w:p w:rsidR="00020109" w:rsidRDefault="00020109" w:rsidP="00162ACC">
      <w:pPr>
        <w:snapToGrid w:val="0"/>
        <w:spacing w:after="120" w:line="240" w:lineRule="auto"/>
        <w:jc w:val="center"/>
        <w:rPr>
          <w:rFonts w:asciiTheme="minorHAnsi" w:eastAsia="SimSun" w:hAnsiTheme="minorHAnsi"/>
          <w:color w:val="000000"/>
          <w:sz w:val="24"/>
          <w:szCs w:val="24"/>
          <w:u w:val="single"/>
          <w:lang w:val="en-US" w:eastAsia="zh-CN"/>
        </w:rPr>
      </w:pPr>
      <w:r w:rsidRPr="00020109">
        <w:rPr>
          <w:rFonts w:asciiTheme="minorHAnsi" w:eastAsia="SimSun" w:hAnsiTheme="minorHAnsi"/>
          <w:color w:val="000000"/>
          <w:sz w:val="24"/>
          <w:szCs w:val="24"/>
          <w:u w:val="single"/>
          <w:lang w:val="en-US" w:eastAsia="zh-CN"/>
        </w:rPr>
        <w:t>Kevin M. Van Geem</w:t>
      </w:r>
      <w:r w:rsidRPr="00020109">
        <w:rPr>
          <w:rFonts w:asciiTheme="minorHAnsi" w:eastAsia="SimSun" w:hAnsiTheme="minorHAnsi"/>
          <w:color w:val="000000"/>
          <w:sz w:val="24"/>
          <w:szCs w:val="24"/>
          <w:u w:val="single"/>
          <w:vertAlign w:val="superscript"/>
          <w:lang w:val="en-US" w:eastAsia="zh-CN"/>
        </w:rPr>
        <w:t>*,1</w:t>
      </w:r>
      <w:r w:rsidRPr="00020109">
        <w:rPr>
          <w:rFonts w:asciiTheme="minorHAnsi" w:eastAsia="SimSun" w:hAnsiTheme="minorHAnsi"/>
          <w:color w:val="000000"/>
          <w:sz w:val="24"/>
          <w:szCs w:val="24"/>
          <w:u w:val="single"/>
          <w:lang w:val="en-US" w:eastAsia="zh-CN"/>
        </w:rPr>
        <w:t xml:space="preserve"> </w:t>
      </w:r>
    </w:p>
    <w:p w:rsidR="00704BDF" w:rsidRPr="00DE0019" w:rsidRDefault="00704BDF" w:rsidP="00162ACC">
      <w:pPr>
        <w:snapToGrid w:val="0"/>
        <w:spacing w:after="120" w:line="240" w:lineRule="auto"/>
        <w:jc w:val="center"/>
        <w:rPr>
          <w:rFonts w:asciiTheme="minorHAnsi" w:eastAsia="MS PGothic" w:hAnsiTheme="minorHAnsi"/>
          <w:i/>
          <w:iCs/>
          <w:color w:val="000000"/>
          <w:sz w:val="20"/>
          <w:lang w:val="en-US"/>
        </w:rPr>
      </w:pPr>
      <w:r w:rsidRPr="00A15B93">
        <w:rPr>
          <w:rFonts w:eastAsia="MS PGothic"/>
          <w:i/>
          <w:iCs/>
          <w:color w:val="000000"/>
          <w:sz w:val="20"/>
          <w:lang w:val="en-US"/>
        </w:rPr>
        <w:t>1</w:t>
      </w:r>
      <w:r w:rsidRPr="00DE0019">
        <w:rPr>
          <w:rFonts w:asciiTheme="minorHAnsi" w:eastAsia="MS PGothic" w:hAnsiTheme="minorHAnsi"/>
          <w:i/>
          <w:iCs/>
          <w:color w:val="000000"/>
          <w:sz w:val="20"/>
          <w:lang w:val="en-US"/>
        </w:rPr>
        <w:t xml:space="preserve"> </w:t>
      </w:r>
      <w:r w:rsidR="00020109" w:rsidRPr="00020109">
        <w:rPr>
          <w:rFonts w:asciiTheme="minorHAnsi" w:eastAsia="MS PGothic" w:hAnsiTheme="minorHAnsi"/>
          <w:i/>
          <w:iCs/>
          <w:color w:val="000000"/>
          <w:sz w:val="20"/>
          <w:lang w:val="en-US"/>
        </w:rPr>
        <w:t>Laboratory for Chemical Technology, Ghent University</w:t>
      </w:r>
      <w:r w:rsidR="00020109">
        <w:rPr>
          <w:rFonts w:asciiTheme="minorHAnsi" w:eastAsia="MS PGothic" w:hAnsiTheme="minorHAnsi"/>
          <w:i/>
          <w:iCs/>
          <w:color w:val="000000"/>
          <w:sz w:val="20"/>
          <w:lang w:val="en-US"/>
        </w:rPr>
        <w:t xml:space="preserve"> </w:t>
      </w:r>
      <w:r w:rsidR="00020109" w:rsidRPr="00020109">
        <w:rPr>
          <w:rFonts w:asciiTheme="minorHAnsi" w:eastAsia="MS PGothic" w:hAnsiTheme="minorHAnsi"/>
          <w:i/>
          <w:iCs/>
          <w:color w:val="000000"/>
          <w:sz w:val="20"/>
          <w:lang w:val="en-US"/>
        </w:rPr>
        <w:t xml:space="preserve">Technologiepark </w:t>
      </w:r>
      <w:r w:rsidR="00020109">
        <w:rPr>
          <w:rFonts w:asciiTheme="minorHAnsi" w:eastAsia="MS PGothic" w:hAnsiTheme="minorHAnsi"/>
          <w:i/>
          <w:iCs/>
          <w:color w:val="000000"/>
          <w:sz w:val="20"/>
          <w:lang w:val="en-US"/>
        </w:rPr>
        <w:t>125</w:t>
      </w:r>
      <w:r w:rsidR="00020109" w:rsidRPr="00020109">
        <w:rPr>
          <w:rFonts w:asciiTheme="minorHAnsi" w:eastAsia="MS PGothic" w:hAnsiTheme="minorHAnsi"/>
          <w:i/>
          <w:iCs/>
          <w:color w:val="000000"/>
          <w:sz w:val="20"/>
          <w:lang w:val="en-US"/>
        </w:rPr>
        <w:t>, 9052 Zwijnaarde, Belgium</w:t>
      </w:r>
    </w:p>
    <w:p w:rsidR="00704BDF" w:rsidRPr="00DE0019" w:rsidRDefault="00704BDF" w:rsidP="00162ACC">
      <w:pPr>
        <w:snapToGrid w:val="0"/>
        <w:spacing w:line="240" w:lineRule="auto"/>
        <w:jc w:val="center"/>
        <w:rPr>
          <w:rFonts w:asciiTheme="minorHAnsi" w:eastAsia="MS PGothic" w:hAnsiTheme="minorHAnsi"/>
          <w:bCs/>
          <w:i/>
          <w:iCs/>
          <w:sz w:val="20"/>
          <w:lang w:val="en-US"/>
        </w:rPr>
      </w:pPr>
      <w:r w:rsidRPr="00DE0019">
        <w:rPr>
          <w:rFonts w:asciiTheme="minorHAnsi" w:eastAsia="MS PGothic" w:hAnsiTheme="minorHAnsi"/>
          <w:bCs/>
          <w:i/>
          <w:iCs/>
          <w:color w:val="000000"/>
          <w:sz w:val="20"/>
          <w:lang w:val="en-US"/>
        </w:rPr>
        <w:t>*Corresponding author</w:t>
      </w:r>
      <w:r w:rsidRPr="00DE0019">
        <w:rPr>
          <w:rFonts w:asciiTheme="minorHAnsi" w:eastAsia="MS PGothic" w:hAnsiTheme="minorHAnsi"/>
          <w:bCs/>
          <w:i/>
          <w:iCs/>
          <w:sz w:val="20"/>
          <w:lang w:val="en-US" w:eastAsia="ko-KR"/>
        </w:rPr>
        <w:t>:</w:t>
      </w:r>
      <w:r w:rsidRPr="00DE0019">
        <w:rPr>
          <w:rFonts w:asciiTheme="minorHAnsi" w:eastAsia="MS PGothic" w:hAnsiTheme="minorHAnsi"/>
          <w:bCs/>
          <w:i/>
          <w:iCs/>
          <w:sz w:val="20"/>
          <w:lang w:val="en-US"/>
        </w:rPr>
        <w:t xml:space="preserve"> </w:t>
      </w:r>
      <w:r w:rsidR="00020109">
        <w:rPr>
          <w:rFonts w:asciiTheme="minorHAnsi" w:eastAsia="MS PGothic" w:hAnsiTheme="minorHAnsi"/>
          <w:bCs/>
          <w:i/>
          <w:iCs/>
          <w:sz w:val="20"/>
          <w:lang w:val="en-US"/>
        </w:rPr>
        <w:t>kevin.vangeem@ugent.be</w:t>
      </w:r>
    </w:p>
    <w:p w:rsidR="00704BDF" w:rsidRPr="00EC66CC" w:rsidRDefault="00704BDF" w:rsidP="00162ACC">
      <w:pPr>
        <w:pStyle w:val="AbstractHeading"/>
        <w:tabs>
          <w:tab w:val="left" w:pos="3547"/>
          <w:tab w:val="center" w:pos="4694"/>
        </w:tabs>
        <w:spacing w:before="240" w:after="0" w:line="240" w:lineRule="auto"/>
        <w:ind w:firstLine="357"/>
        <w:rPr>
          <w:rFonts w:asciiTheme="minorHAnsi" w:hAnsiTheme="minorHAnsi"/>
          <w:b/>
        </w:rPr>
      </w:pPr>
      <w:r w:rsidRPr="00EC66CC">
        <w:rPr>
          <w:rFonts w:asciiTheme="minorHAnsi" w:hAnsiTheme="minorHAnsi"/>
          <w:b/>
        </w:rPr>
        <w:t>Highlights</w:t>
      </w:r>
    </w:p>
    <w:p w:rsidR="00020109" w:rsidRDefault="00020109" w:rsidP="00162ACC">
      <w:pPr>
        <w:pStyle w:val="AbstractBody"/>
        <w:numPr>
          <w:ilvl w:val="0"/>
          <w:numId w:val="16"/>
        </w:numPr>
        <w:spacing w:line="240" w:lineRule="auto"/>
        <w:rPr>
          <w:rFonts w:asciiTheme="minorHAnsi" w:hAnsiTheme="minorHAnsi"/>
        </w:rPr>
      </w:pPr>
      <w:r>
        <w:rPr>
          <w:rFonts w:asciiTheme="minorHAnsi" w:hAnsiTheme="minorHAnsi"/>
        </w:rPr>
        <w:t>oxidative coupling of methane in 3D printed reactor</w:t>
      </w:r>
    </w:p>
    <w:p w:rsidR="00020109" w:rsidRDefault="00020109" w:rsidP="00162ACC">
      <w:pPr>
        <w:pStyle w:val="AbstractBody"/>
        <w:numPr>
          <w:ilvl w:val="0"/>
          <w:numId w:val="16"/>
        </w:numPr>
        <w:spacing w:line="240" w:lineRule="auto"/>
        <w:rPr>
          <w:rFonts w:asciiTheme="minorHAnsi" w:hAnsiTheme="minorHAnsi"/>
        </w:rPr>
      </w:pPr>
      <w:r>
        <w:rPr>
          <w:rFonts w:asciiTheme="minorHAnsi" w:hAnsiTheme="minorHAnsi"/>
        </w:rPr>
        <w:t>gas-solid vortex reactor optimization</w:t>
      </w:r>
    </w:p>
    <w:p w:rsidR="00020109" w:rsidRDefault="00020109" w:rsidP="00162ACC">
      <w:pPr>
        <w:pStyle w:val="AbstractBody"/>
        <w:numPr>
          <w:ilvl w:val="0"/>
          <w:numId w:val="16"/>
        </w:numPr>
        <w:spacing w:line="240" w:lineRule="auto"/>
        <w:rPr>
          <w:rFonts w:asciiTheme="minorHAnsi" w:hAnsiTheme="minorHAnsi"/>
        </w:rPr>
      </w:pPr>
      <w:r>
        <w:rPr>
          <w:rFonts w:asciiTheme="minorHAnsi" w:hAnsiTheme="minorHAnsi"/>
        </w:rPr>
        <w:t xml:space="preserve">reactive simulation using </w:t>
      </w:r>
      <w:r w:rsidRPr="00020109">
        <w:rPr>
          <w:rFonts w:asciiTheme="minorHAnsi" w:hAnsiTheme="minorHAnsi"/>
        </w:rPr>
        <w:t>computational fluid dynamics</w:t>
      </w:r>
      <w:r>
        <w:rPr>
          <w:rFonts w:asciiTheme="minorHAnsi" w:hAnsiTheme="minorHAnsi"/>
        </w:rPr>
        <w:t xml:space="preserve"> </w:t>
      </w:r>
    </w:p>
    <w:p w:rsidR="00704BDF" w:rsidRPr="00A15B93" w:rsidRDefault="00704BDF" w:rsidP="00162ACC">
      <w:pPr>
        <w:snapToGrid w:val="0"/>
        <w:spacing w:after="120" w:line="240" w:lineRule="auto"/>
        <w:jc w:val="center"/>
        <w:rPr>
          <w:rFonts w:eastAsia="SimSun"/>
          <w:bCs/>
          <w:i/>
          <w:iCs/>
          <w:color w:val="0000FF"/>
          <w:sz w:val="20"/>
          <w:lang w:val="en-US" w:eastAsia="zh-CN"/>
        </w:rPr>
      </w:pPr>
    </w:p>
    <w:p w:rsidR="00704BDF" w:rsidRPr="008D0BEB" w:rsidRDefault="00704BDF" w:rsidP="00162ACC">
      <w:pPr>
        <w:snapToGrid w:val="0"/>
        <w:spacing w:line="240" w:lineRule="auto"/>
        <w:rPr>
          <w:rFonts w:asciiTheme="minorHAnsi" w:eastAsia="MS PGothic" w:hAnsiTheme="minorHAnsi"/>
          <w:b/>
          <w:bCs/>
          <w:color w:val="000000"/>
          <w:sz w:val="22"/>
          <w:szCs w:val="22"/>
          <w:lang w:val="en-US" w:eastAsia="ko-KR"/>
        </w:rPr>
      </w:pPr>
      <w:r w:rsidRPr="008D0BEB">
        <w:rPr>
          <w:rFonts w:asciiTheme="minorHAnsi" w:eastAsia="MS PGothic" w:hAnsiTheme="minorHAnsi"/>
          <w:b/>
          <w:bCs/>
          <w:color w:val="000000"/>
          <w:sz w:val="22"/>
          <w:szCs w:val="22"/>
          <w:lang w:val="en-US"/>
        </w:rPr>
        <w:t>1. Introduction</w:t>
      </w:r>
    </w:p>
    <w:p w:rsidR="00162ACC" w:rsidRPr="00020109" w:rsidRDefault="00020109" w:rsidP="00162ACC">
      <w:pPr>
        <w:spacing w:line="240" w:lineRule="auto"/>
        <w:rPr>
          <w:rFonts w:asciiTheme="minorHAnsi" w:hAnsiTheme="minorHAnsi"/>
          <w:sz w:val="22"/>
          <w:szCs w:val="22"/>
        </w:rPr>
      </w:pPr>
      <w:r w:rsidRPr="00020109">
        <w:rPr>
          <w:rFonts w:asciiTheme="minorHAnsi" w:hAnsiTheme="minorHAnsi"/>
          <w:noProof/>
          <w:sz w:val="22"/>
        </w:rPr>
        <mc:AlternateContent>
          <mc:Choice Requires="wps">
            <w:drawing>
              <wp:anchor distT="45720" distB="45720" distL="114300" distR="114300" simplePos="0" relativeHeight="251659264" behindDoc="0" locked="0" layoutInCell="1" allowOverlap="1">
                <wp:simplePos x="0" y="0"/>
                <wp:positionH relativeFrom="column">
                  <wp:posOffset>3502660</wp:posOffset>
                </wp:positionH>
                <wp:positionV relativeFrom="paragraph">
                  <wp:posOffset>135255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020109" w:rsidRDefault="00020109" w:rsidP="00020109">
                            <w:pPr>
                              <w:keepNext/>
                              <w:jc w:val="center"/>
                            </w:pPr>
                            <w:r w:rsidRPr="00AC521D">
                              <w:rPr>
                                <w:noProof/>
                              </w:rPr>
                              <w:drawing>
                                <wp:inline distT="0" distB="0" distL="0" distR="0" wp14:anchorId="4B507CEE" wp14:editId="69D58D00">
                                  <wp:extent cx="3009900" cy="1696448"/>
                                  <wp:effectExtent l="0" t="0" r="0" b="0"/>
                                  <wp:docPr id="2" name="Picture 2" descr="N:\Project\VM-lavdwall\Documents\Articles\Vandewalle - Review OCM\CES-D-18-01305_reviewH&amp;M\First revision\new-figs\Fig11_GSV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roject\VM-lavdwall\Documents\Articles\Vandewalle - Review OCM\CES-D-18-01305_reviewH&amp;M\First revision\new-figs\Fig11_GSV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09900" cy="1696448"/>
                                          </a:xfrm>
                                          <a:prstGeom prst="rect">
                                            <a:avLst/>
                                          </a:prstGeom>
                                          <a:noFill/>
                                          <a:ln>
                                            <a:noFill/>
                                          </a:ln>
                                        </pic:spPr>
                                      </pic:pic>
                                    </a:graphicData>
                                  </a:graphic>
                                </wp:inline>
                              </w:drawing>
                            </w:r>
                          </w:p>
                          <w:p w:rsidR="00020109" w:rsidRPr="00020109" w:rsidRDefault="00020109" w:rsidP="00020109">
                            <w:pPr>
                              <w:pStyle w:val="Caption"/>
                              <w:jc w:val="center"/>
                              <w:rPr>
                                <w:color w:val="auto"/>
                              </w:rPr>
                            </w:pPr>
                            <w:bookmarkStart w:id="0" w:name="_Ref525548277"/>
                            <w:r w:rsidRPr="00020109">
                              <w:rPr>
                                <w:color w:val="auto"/>
                              </w:rPr>
                              <w:t xml:space="preserve">Figure </w:t>
                            </w:r>
                            <w:r w:rsidRPr="00020109">
                              <w:rPr>
                                <w:color w:val="auto"/>
                              </w:rPr>
                              <w:fldChar w:fldCharType="begin"/>
                            </w:r>
                            <w:r w:rsidRPr="00020109">
                              <w:rPr>
                                <w:color w:val="auto"/>
                              </w:rPr>
                              <w:instrText xml:space="preserve"> SEQ Figure \* ARABIC </w:instrText>
                            </w:r>
                            <w:r w:rsidRPr="00020109">
                              <w:rPr>
                                <w:color w:val="auto"/>
                              </w:rPr>
                              <w:fldChar w:fldCharType="separate"/>
                            </w:r>
                            <w:r w:rsidRPr="00020109">
                              <w:rPr>
                                <w:noProof/>
                                <w:color w:val="auto"/>
                              </w:rPr>
                              <w:t>1</w:t>
                            </w:r>
                            <w:r w:rsidRPr="00020109">
                              <w:rPr>
                                <w:color w:val="auto"/>
                              </w:rPr>
                              <w:fldChar w:fldCharType="end"/>
                            </w:r>
                            <w:bookmarkEnd w:id="0"/>
                            <w:r w:rsidRPr="00020109">
                              <w:rPr>
                                <w:color w:val="auto"/>
                              </w:rPr>
                              <w:t>. Gas-solid vortex reactor in a static geometry.</w:t>
                            </w:r>
                          </w:p>
                          <w:p w:rsidR="00020109" w:rsidRDefault="0002010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5.8pt;margin-top:10.6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">
                <v:textbox style="mso-fit-shape-to-text:t">
                  <w:txbxContent>
                    <w:p w:rsidR="00020109" w:rsidRDefault="00020109" w:rsidP="00020109">
                      <w:pPr>
                        <w:keepNext/>
                        <w:jc w:val="center"/>
                      </w:pPr>
                      <w:r w:rsidRPr="00AC521D">
                        <w:rPr>
                          <w:noProof/>
                        </w:rPr>
                        <w:drawing>
                          <wp:inline distT="0" distB="0" distL="0" distR="0" wp14:anchorId="4B507CEE" wp14:editId="69D58D00">
                            <wp:extent cx="3009900" cy="1696448"/>
                            <wp:effectExtent l="0" t="0" r="0" b="0"/>
                            <wp:docPr id="2" name="Picture 2" descr="N:\Project\VM-lavdwall\Documents\Articles\Vandewalle - Review OCM\CES-D-18-01305_reviewH&amp;M\First revision\new-figs\Fig11_GSV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roject\VM-lavdwall\Documents\Articles\Vandewalle - Review OCM\CES-D-18-01305_reviewH&amp;M\First revision\new-figs\Fig11_GSV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09900" cy="1696448"/>
                                    </a:xfrm>
                                    <a:prstGeom prst="rect">
                                      <a:avLst/>
                                    </a:prstGeom>
                                    <a:noFill/>
                                    <a:ln>
                                      <a:noFill/>
                                    </a:ln>
                                  </pic:spPr>
                                </pic:pic>
                              </a:graphicData>
                            </a:graphic>
                          </wp:inline>
                        </w:drawing>
                      </w:r>
                    </w:p>
                    <w:p w:rsidR="00020109" w:rsidRPr="00020109" w:rsidRDefault="00020109" w:rsidP="00020109">
                      <w:pPr>
                        <w:pStyle w:val="Caption"/>
                        <w:jc w:val="center"/>
                        <w:rPr>
                          <w:color w:val="auto"/>
                        </w:rPr>
                      </w:pPr>
                      <w:bookmarkStart w:id="1" w:name="_Ref525548277"/>
                      <w:r w:rsidRPr="00020109">
                        <w:rPr>
                          <w:color w:val="auto"/>
                        </w:rPr>
                        <w:t xml:space="preserve">Figure </w:t>
                      </w:r>
                      <w:r w:rsidRPr="00020109">
                        <w:rPr>
                          <w:color w:val="auto"/>
                        </w:rPr>
                        <w:fldChar w:fldCharType="begin"/>
                      </w:r>
                      <w:r w:rsidRPr="00020109">
                        <w:rPr>
                          <w:color w:val="auto"/>
                        </w:rPr>
                        <w:instrText xml:space="preserve"> SEQ Figure \* ARABIC </w:instrText>
                      </w:r>
                      <w:r w:rsidRPr="00020109">
                        <w:rPr>
                          <w:color w:val="auto"/>
                        </w:rPr>
                        <w:fldChar w:fldCharType="separate"/>
                      </w:r>
                      <w:r w:rsidRPr="00020109">
                        <w:rPr>
                          <w:noProof/>
                          <w:color w:val="auto"/>
                        </w:rPr>
                        <w:t>1</w:t>
                      </w:r>
                      <w:r w:rsidRPr="00020109">
                        <w:rPr>
                          <w:color w:val="auto"/>
                        </w:rPr>
                        <w:fldChar w:fldCharType="end"/>
                      </w:r>
                      <w:bookmarkEnd w:id="1"/>
                      <w:r w:rsidRPr="00020109">
                        <w:rPr>
                          <w:color w:val="auto"/>
                        </w:rPr>
                        <w:t>. Gas-solid vortex reactor in a static geometry.</w:t>
                      </w:r>
                    </w:p>
                    <w:p w:rsidR="00020109" w:rsidRDefault="00020109"/>
                  </w:txbxContent>
                </v:textbox>
                <w10:wrap type="square"/>
              </v:shape>
            </w:pict>
          </mc:Fallback>
        </mc:AlternateContent>
      </w:r>
      <w:r w:rsidRPr="00020109">
        <w:rPr>
          <w:rFonts w:asciiTheme="minorHAnsi" w:hAnsiTheme="minorHAnsi"/>
          <w:sz w:val="22"/>
          <w:szCs w:val="22"/>
        </w:rPr>
        <w:t xml:space="preserve">Oxidative coupling of </w:t>
      </w:r>
      <w:r w:rsidRPr="00020109">
        <w:rPr>
          <w:rFonts w:asciiTheme="minorHAnsi" w:hAnsiTheme="minorHAnsi"/>
          <w:sz w:val="22"/>
          <w:szCs w:val="22"/>
        </w:rPr>
        <w:t>methane is</w:t>
      </w:r>
      <w:r w:rsidRPr="00020109">
        <w:rPr>
          <w:rFonts w:asciiTheme="minorHAnsi" w:hAnsiTheme="minorHAnsi"/>
          <w:sz w:val="22"/>
          <w:szCs w:val="22"/>
        </w:rPr>
        <w:t xml:space="preserve"> considered one of the most promising routes to directly convert methane into more valuable hydrocarbons. The uncertain economics related to the tradeoff between conversion and C2 selectivities is an important reason why OCM is currently not industrially applied.</w:t>
      </w:r>
      <w:r w:rsidR="00162ACC">
        <w:rPr>
          <w:rFonts w:asciiTheme="minorHAnsi" w:hAnsiTheme="minorHAnsi"/>
          <w:sz w:val="22"/>
          <w:szCs w:val="22"/>
        </w:rPr>
        <w:fldChar w:fldCharType="begin"/>
      </w:r>
      <w:r w:rsidR="00162ACC">
        <w:rPr>
          <w:rFonts w:asciiTheme="minorHAnsi" w:hAnsiTheme="minorHAnsi"/>
          <w:sz w:val="22"/>
          <w:szCs w:val="22"/>
        </w:rPr>
        <w:instrText xml:space="preserve"> ADDIN EN.CITE &lt;EndNote&gt;&lt;Cite&gt;&lt;Author&gt;Ismael l Amghizar&lt;/Author&gt;&lt;RecNum&gt;4569&lt;/RecNum&gt;&lt;DisplayText&gt;&lt;style face="superscript"&gt;1&lt;/style&gt;&lt;/DisplayText&gt;&lt;record&gt;&lt;rec-number&gt;4569&lt;/rec-number&gt;&lt;foreign-keys&gt;&lt;key app="EN" db-id="s5tdzr5r8tvszhezvxyx9w98ee5axp25faar" timestamp="1492084056"&gt;4569&lt;/key&gt;&lt;/foreign-keys&gt;&lt;ref-type name="Journal Article"&gt;17&lt;/ref-type&gt;&lt;contributors&gt;&lt;authors&gt;&lt;author&gt;Ismael l Amghizar,Laurien A. Vandewalle,Kevin M. Van Geem,Guy B. Marin&lt;/author&gt;&lt;/authors&gt;&lt;/contributors&gt;&lt;titles&gt;&lt;title&gt;New Trends in Olefin Production&lt;/title&gt;&lt;secondary-title&gt;Engineering&lt;/secondary-title&gt;&lt;/titles&gt;&lt;periodical&gt;&lt;full-title&gt;Engineering&lt;/full-title&gt;&lt;/periodical&gt;&lt;pages&gt;0-&lt;/pages&gt;&lt;volume&gt;3&lt;/volume&gt;&lt;dates&gt;&lt;/dates&gt;&lt;isbn&gt;2095-8099&lt;/isbn&gt;&lt;urls&gt;&lt;related-urls&gt;&lt;url&gt;{http://engineering.org.cn/EN/10.1016/J.ENG.2017.02.006&lt;/url&gt;&lt;/related-urls&gt;&lt;/urls&gt;&lt;electronic-resource-num&gt;10.1016/j.eng.2017.02.006&lt;/electronic-resource-num&gt;&lt;/record&gt;&lt;/Cite&gt;&lt;/EndNote&gt;</w:instrText>
      </w:r>
      <w:r w:rsidR="00162ACC">
        <w:rPr>
          <w:rFonts w:asciiTheme="minorHAnsi" w:hAnsiTheme="minorHAnsi"/>
          <w:sz w:val="22"/>
          <w:szCs w:val="22"/>
        </w:rPr>
        <w:fldChar w:fldCharType="separate"/>
      </w:r>
      <w:r w:rsidR="00162ACC" w:rsidRPr="00162ACC">
        <w:rPr>
          <w:rFonts w:asciiTheme="minorHAnsi" w:hAnsiTheme="minorHAnsi"/>
          <w:noProof/>
          <w:sz w:val="22"/>
          <w:szCs w:val="22"/>
          <w:vertAlign w:val="superscript"/>
        </w:rPr>
        <w:t>1</w:t>
      </w:r>
      <w:r w:rsidR="00162ACC">
        <w:rPr>
          <w:rFonts w:asciiTheme="minorHAnsi" w:hAnsiTheme="minorHAnsi"/>
          <w:sz w:val="22"/>
          <w:szCs w:val="22"/>
        </w:rPr>
        <w:fldChar w:fldCharType="end"/>
      </w:r>
      <w:r w:rsidRPr="00020109">
        <w:rPr>
          <w:rFonts w:asciiTheme="minorHAnsi" w:hAnsiTheme="minorHAnsi"/>
          <w:sz w:val="22"/>
          <w:szCs w:val="22"/>
        </w:rPr>
        <w:t xml:space="preserve"> In the last decades, numerous studies have focused on developing a viable catalyst that has the potential to improve the low C2 yields. However, so far, the research on catalyst development has not led to any major breakthrough. One of the reasons is that next to the catalyst aspects, reactor design is of crucial importance for OCM. The lack of an appropriate reactor is one of the primary reasons why OCM has not been commercialized at industrial scale. </w:t>
      </w:r>
      <w:bookmarkStart w:id="2" w:name="_GoBack"/>
      <w:bookmarkEnd w:id="2"/>
      <w:r w:rsidRPr="00020109">
        <w:rPr>
          <w:rFonts w:asciiTheme="minorHAnsi" w:hAnsiTheme="minorHAnsi"/>
          <w:sz w:val="22"/>
          <w:szCs w:val="22"/>
        </w:rPr>
        <w:t xml:space="preserve">Previous studies based on bifurcation theory </w:t>
      </w:r>
      <w:r w:rsidRPr="00020109">
        <w:rPr>
          <w:rFonts w:asciiTheme="minorHAnsi" w:hAnsiTheme="minorHAnsi"/>
          <w:sz w:val="22"/>
          <w:szCs w:val="22"/>
        </w:rPr>
        <w:fldChar w:fldCharType="begin" w:fldLock="1"/>
      </w:r>
      <w:r w:rsidRPr="00020109">
        <w:rPr>
          <w:rFonts w:asciiTheme="minorHAnsi" w:hAnsiTheme="minorHAnsi"/>
          <w:sz w:val="22"/>
          <w:szCs w:val="22"/>
        </w:rPr>
        <w:instrText>ADDIN CSL_CITATION {"citationItems":[{"id":"ITEM-1","itemData":{"DOI":"10.1016/j.cej.2018.02.004","ISSN":"13858947","abstract":"We present a detailed bifurcation analysis of methane oxidative coupling in the gas phase using a global kinetic model for the various oxidation, reforming and dehydrogenation reactions. The kinetic model satisfies the thermodynamic constraints and is validated with literature data as well as new data obtained under near isothermal conditions. It is used to determine the methane conversion and C</w:instrText>
      </w:r>
      <w:r w:rsidRPr="00020109">
        <w:rPr>
          <w:rFonts w:asciiTheme="minorHAnsi" w:hAnsiTheme="minorHAnsi" w:cs="Cambria Math"/>
          <w:sz w:val="22"/>
          <w:szCs w:val="22"/>
        </w:rPr>
        <w:instrText>₂</w:instrText>
      </w:r>
      <w:r w:rsidRPr="00020109">
        <w:rPr>
          <w:rFonts w:asciiTheme="minorHAnsi" w:hAnsiTheme="minorHAnsi"/>
          <w:sz w:val="22"/>
          <w:szCs w:val="22"/>
        </w:rPr>
        <w:instrText>-products selectivity under various feed and operating conditions in large scale ideal adiabatic reactors. It is found that at higher CH</w:instrText>
      </w:r>
      <w:r w:rsidRPr="00020109">
        <w:rPr>
          <w:rFonts w:asciiTheme="minorHAnsi" w:hAnsiTheme="minorHAnsi" w:cs="Cambria Math"/>
          <w:sz w:val="22"/>
          <w:szCs w:val="22"/>
        </w:rPr>
        <w:instrText>₄</w:instrText>
      </w:r>
      <w:r w:rsidRPr="00020109">
        <w:rPr>
          <w:rFonts w:asciiTheme="minorHAnsi" w:hAnsiTheme="minorHAnsi"/>
          <w:sz w:val="22"/>
          <w:szCs w:val="22"/>
        </w:rPr>
        <w:instrText>/O</w:instrText>
      </w:r>
      <w:r w:rsidRPr="00020109">
        <w:rPr>
          <w:rFonts w:asciiTheme="minorHAnsi" w:hAnsiTheme="minorHAnsi" w:cs="Cambria Math"/>
          <w:sz w:val="22"/>
          <w:szCs w:val="22"/>
        </w:rPr>
        <w:instrText>₂</w:instrText>
      </w:r>
      <w:r w:rsidRPr="00020109">
        <w:rPr>
          <w:rFonts w:asciiTheme="minorHAnsi" w:hAnsiTheme="minorHAnsi"/>
          <w:sz w:val="22"/>
          <w:szCs w:val="22"/>
        </w:rPr>
        <w:instrText xml:space="preserve"> ratios (e.g. &gt; 4), ignition and extinction points exist only at either high feed temperatures and/or space times, which may not be of practical interest. Autothermal operation on the ignited branch with feed at near ambient conditions (</w:instrText>
      </w:r>
      <w:r w:rsidRPr="00020109">
        <w:rPr>
          <w:rFonts w:ascii="Cambria Math" w:hAnsi="Cambria Math" w:cs="Cambria Math"/>
          <w:sz w:val="22"/>
          <w:szCs w:val="22"/>
        </w:rPr>
        <w:instrText>∼</w:instrText>
      </w:r>
      <w:r w:rsidRPr="00020109">
        <w:rPr>
          <w:rFonts w:asciiTheme="minorHAnsi" w:hAnsiTheme="minorHAnsi"/>
          <w:sz w:val="22"/>
          <w:szCs w:val="22"/>
        </w:rPr>
        <w:instrText>300K and 1 bar) is feasible for practical range of space times (1 ms to 1 s) only for low CH</w:instrText>
      </w:r>
      <w:r w:rsidRPr="00020109">
        <w:rPr>
          <w:rFonts w:asciiTheme="minorHAnsi" w:hAnsiTheme="minorHAnsi" w:cs="Cambria Math"/>
          <w:sz w:val="22"/>
          <w:szCs w:val="22"/>
        </w:rPr>
        <w:instrText>₄</w:instrText>
      </w:r>
      <w:r w:rsidRPr="00020109">
        <w:rPr>
          <w:rFonts w:asciiTheme="minorHAnsi" w:hAnsiTheme="minorHAnsi"/>
          <w:sz w:val="22"/>
          <w:szCs w:val="22"/>
        </w:rPr>
        <w:instrText>/O</w:instrText>
      </w:r>
      <w:r w:rsidRPr="00020109">
        <w:rPr>
          <w:rFonts w:asciiTheme="minorHAnsi" w:hAnsiTheme="minorHAnsi" w:cs="Cambria Math"/>
          <w:sz w:val="22"/>
          <w:szCs w:val="22"/>
        </w:rPr>
        <w:instrText>₂</w:instrText>
      </w:r>
      <w:r w:rsidRPr="00020109">
        <w:rPr>
          <w:rFonts w:asciiTheme="minorHAnsi" w:hAnsiTheme="minorHAnsi"/>
          <w:sz w:val="22"/>
          <w:szCs w:val="22"/>
        </w:rPr>
        <w:instrText xml:space="preserve"> ratios (e.g. 1.7 to 2.5), which includes the flammability range. Further, the best ethylene yields are obtained on the ignited branch close to the extinction point while best C</w:instrText>
      </w:r>
      <w:r w:rsidRPr="00020109">
        <w:rPr>
          <w:rFonts w:asciiTheme="minorHAnsi" w:hAnsiTheme="minorHAnsi" w:cs="Cambria Math"/>
          <w:sz w:val="22"/>
          <w:szCs w:val="22"/>
        </w:rPr>
        <w:instrText>₂</w:instrText>
      </w:r>
      <w:r w:rsidRPr="00020109">
        <w:rPr>
          <w:rFonts w:asciiTheme="minorHAnsi" w:hAnsiTheme="minorHAnsi"/>
          <w:sz w:val="22"/>
          <w:szCs w:val="22"/>
        </w:rPr>
        <w:instrText xml:space="preserve"> yields may be obtained at higher space times or feed temperatures. Feeds with a high CH</w:instrText>
      </w:r>
      <w:r w:rsidRPr="00020109">
        <w:rPr>
          <w:rFonts w:asciiTheme="minorHAnsi" w:hAnsiTheme="minorHAnsi" w:cs="Cambria Math"/>
          <w:sz w:val="22"/>
          <w:szCs w:val="22"/>
        </w:rPr>
        <w:instrText>₄</w:instrText>
      </w:r>
      <w:r w:rsidRPr="00020109">
        <w:rPr>
          <w:rFonts w:asciiTheme="minorHAnsi" w:hAnsiTheme="minorHAnsi"/>
          <w:sz w:val="22"/>
          <w:szCs w:val="22"/>
        </w:rPr>
        <w:instrText>/O</w:instrText>
      </w:r>
      <w:r w:rsidRPr="00020109">
        <w:rPr>
          <w:rFonts w:asciiTheme="minorHAnsi" w:hAnsiTheme="minorHAnsi" w:cs="Cambria Math"/>
          <w:sz w:val="22"/>
          <w:szCs w:val="22"/>
        </w:rPr>
        <w:instrText>₂</w:instrText>
      </w:r>
      <w:r w:rsidRPr="00020109">
        <w:rPr>
          <w:rFonts w:asciiTheme="minorHAnsi" w:hAnsiTheme="minorHAnsi"/>
          <w:sz w:val="22"/>
          <w:szCs w:val="22"/>
        </w:rPr>
        <w:instrText xml:space="preserve"> ratio lead to higher selectivity of C</w:instrText>
      </w:r>
      <w:r w:rsidRPr="00020109">
        <w:rPr>
          <w:rFonts w:asciiTheme="minorHAnsi" w:hAnsiTheme="minorHAnsi" w:cs="Cambria Math"/>
          <w:sz w:val="22"/>
          <w:szCs w:val="22"/>
        </w:rPr>
        <w:instrText>₂</w:instrText>
      </w:r>
      <w:r w:rsidRPr="00020109">
        <w:rPr>
          <w:rFonts w:asciiTheme="minorHAnsi" w:hAnsiTheme="minorHAnsi"/>
          <w:sz w:val="22"/>
          <w:szCs w:val="22"/>
        </w:rPr>
        <w:instrText>H</w:instrText>
      </w:r>
      <w:r w:rsidRPr="00020109">
        <w:rPr>
          <w:rFonts w:asciiTheme="minorHAnsi" w:hAnsiTheme="minorHAnsi" w:cs="Cambria Math"/>
          <w:sz w:val="22"/>
          <w:szCs w:val="22"/>
        </w:rPr>
        <w:instrText>₄</w:instrText>
      </w:r>
      <w:r w:rsidRPr="00020109">
        <w:rPr>
          <w:rFonts w:asciiTheme="minorHAnsi" w:hAnsiTheme="minorHAnsi"/>
          <w:sz w:val="22"/>
          <w:szCs w:val="22"/>
        </w:rPr>
        <w:instrText xml:space="preserve"> but lower methane conversion and require higher inlet temperatures. The ratio C</w:instrText>
      </w:r>
      <w:r w:rsidRPr="00020109">
        <w:rPr>
          <w:rFonts w:asciiTheme="minorHAnsi" w:hAnsiTheme="minorHAnsi" w:cs="Cambria Math"/>
          <w:sz w:val="22"/>
          <w:szCs w:val="22"/>
        </w:rPr>
        <w:instrText>₂</w:instrText>
      </w:r>
      <w:r w:rsidRPr="00020109">
        <w:rPr>
          <w:rFonts w:asciiTheme="minorHAnsi" w:hAnsiTheme="minorHAnsi"/>
          <w:sz w:val="22"/>
          <w:szCs w:val="22"/>
        </w:rPr>
        <w:instrText>H</w:instrText>
      </w:r>
      <w:r w:rsidRPr="00020109">
        <w:rPr>
          <w:rFonts w:asciiTheme="minorHAnsi" w:hAnsiTheme="minorHAnsi" w:cs="Cambria Math"/>
          <w:sz w:val="22"/>
          <w:szCs w:val="22"/>
        </w:rPr>
        <w:instrText>₄</w:instrText>
      </w:r>
      <w:r w:rsidRPr="00020109">
        <w:rPr>
          <w:rFonts w:asciiTheme="minorHAnsi" w:hAnsiTheme="minorHAnsi"/>
          <w:sz w:val="22"/>
          <w:szCs w:val="22"/>
        </w:rPr>
        <w:instrText>/C</w:instrText>
      </w:r>
      <w:r w:rsidRPr="00020109">
        <w:rPr>
          <w:rFonts w:asciiTheme="minorHAnsi" w:hAnsiTheme="minorHAnsi" w:cs="Cambria Math"/>
          <w:sz w:val="22"/>
          <w:szCs w:val="22"/>
        </w:rPr>
        <w:instrText>₂</w:instrText>
      </w:r>
      <w:r w:rsidRPr="00020109">
        <w:rPr>
          <w:rFonts w:asciiTheme="minorHAnsi" w:hAnsiTheme="minorHAnsi"/>
          <w:sz w:val="22"/>
          <w:szCs w:val="22"/>
        </w:rPr>
        <w:instrText>H</w:instrText>
      </w:r>
      <w:r w:rsidRPr="00020109">
        <w:rPr>
          <w:rFonts w:asciiTheme="minorHAnsi" w:hAnsiTheme="minorHAnsi" w:cs="Cambria Math"/>
          <w:sz w:val="22"/>
          <w:szCs w:val="22"/>
        </w:rPr>
        <w:instrText>₂</w:instrText>
      </w:r>
      <w:r w:rsidRPr="00020109">
        <w:rPr>
          <w:rFonts w:asciiTheme="minorHAnsi" w:hAnsiTheme="minorHAnsi"/>
          <w:sz w:val="22"/>
          <w:szCs w:val="22"/>
        </w:rPr>
        <w:instrText xml:space="preserve"> decreases as the methane conversion increases or CH</w:instrText>
      </w:r>
      <w:r w:rsidRPr="00020109">
        <w:rPr>
          <w:rFonts w:asciiTheme="minorHAnsi" w:hAnsiTheme="minorHAnsi" w:cs="Cambria Math"/>
          <w:sz w:val="22"/>
          <w:szCs w:val="22"/>
        </w:rPr>
        <w:instrText>₄</w:instrText>
      </w:r>
      <w:r w:rsidRPr="00020109">
        <w:rPr>
          <w:rFonts w:asciiTheme="minorHAnsi" w:hAnsiTheme="minorHAnsi"/>
          <w:sz w:val="22"/>
          <w:szCs w:val="22"/>
        </w:rPr>
        <w:instrText>/O</w:instrText>
      </w:r>
      <w:r w:rsidRPr="00020109">
        <w:rPr>
          <w:rFonts w:asciiTheme="minorHAnsi" w:hAnsiTheme="minorHAnsi" w:cs="Cambria Math"/>
          <w:sz w:val="22"/>
          <w:szCs w:val="22"/>
        </w:rPr>
        <w:instrText>₂</w:instrText>
      </w:r>
      <w:r w:rsidRPr="00020109">
        <w:rPr>
          <w:rFonts w:asciiTheme="minorHAnsi" w:hAnsiTheme="minorHAnsi"/>
          <w:sz w:val="22"/>
          <w:szCs w:val="22"/>
        </w:rPr>
        <w:instrText xml:space="preserve"> ratio decreases. While oxidation (exothermic) chemistry dominates on the ignited branch near the extinction point, the dehydrogenation and reforming (endothermic) chemistries dominate as the space time or feed temperature is increased. It is shown that the highest yield of intermediate products and largest region of autothermal operation is obtained for an ideal reactor with perfect thermal back-mixing and zero species back-mixing (lumped thermal reactor model).","author":[{"dropping-particle":"","family":"Sun","given":"Zhe","non-dropping-particle":"","parse-names":false,"suffix":""},{"dropping-particle":"","family":"Kota","given":"Arun","non-dropping-particle":"","parse-names":false,"suffix":""},{"dropping-particle":"","family":"Sarsani","given":"Sagar","non-dropping-particle":"","parse-names":false,"suffix":""},{"dropping-particle":"","family":"West","given":"David H.","non-dropping-particle":"","parse-names":false,"suffix":""},{"dropping-particle":"","family":"Balakotaiah","given":"Vemuri","non-dropping-particle":"","parse-names":false,"suffix":""}],"container-title":"Chemical Engineering Journal","id":"ITEM-1","issued":{"date-parts":[["2018","2"]]},"title":"Bifurcation Analysis of Methane Oxidative Coupling without Catalyst","type":"article-journal"},"uris":["http://www.mendeley.com/documents/?uuid=db53bc0f-0066-4606-999d-d75f995f60f6"]},{"id":"ITEM-2","itemData":{"DOI":"10.1016/J.CES.2018.08.053","ISSN":"0009-2509","abstract":"Understanding ignition and extinction behavior is of crucial importance for oxidative coupling of methane (OCM). Therefore, for the first time the bifurcation behavior of OCM has been investigated while considering both homogeneous gas phase reactions and heterogeneous reactions using a detailed microkinetic model. Three different adiabatic reactor models are considered: a plug flow reactor (PFR), a continuously stirred tank reactor (CSTR) and a lumped thermal reactor (LTR) model. The latter represents the limiting case with zero backmixing (cf. PFR behavior) for species and perfect thermal backmixing (cf. CSTR behavior). For homogeneous processes this reactor type could for example be realized by adding a high thermal conductivity inert to the reactor tubes, for catalytic processes a high thermal conductivity catalyst could be used. The bifurcation behavior in these reactor types is compared with a focus on methane conversion, C2 yields and their dependence on operating conditions such as inlet composition, inlet temperature and space time. Steady state multiplicity is observed for adiabatic CSTR and LTR models. This multiplicity of steady states is not observed for isothermal reactor models, indicating that it is caused solely by thermal backmixing and is not related to chemical feedback features such as autocatalysis. The start-up procedures or initial conditions determine the actual steady state that is obtained. Among the three investigated reactor types, a LTR shows the highest product yields and the lowest extinction temperatures, which allows autothermal operation at a much lower inlet temperature compared to a PFR and CSTR. For OCM without catalyst, autothermal operation on the ignited branch at ambient inlet temperatures and reasonable space times is only possible by using methane-to-oxygen ratios below 3 leading to low selectivities. For catalytic OCM compared to OCM without catalyst, the range for autothermal operation is much broader and it is much easier to find feasible operating conditions allowing autothermal operation at ambient inlet temperatures. By operating a LTR on the ignited branch at ambient inlet temperature of 300 K, methane-to-oxygen ratio CH4:O2 = 6, space time V/FCH4,0 = 0.02 s, bulk density of Sn-Li/MgO = 1000 kgcat/m3 and pressure P = 1 bar, overall C2 selectivities (i.e. sum of ethane, ethylene and acetylene selectivity) of 80% can be obtained at methane conversions as high as 30%.","author":[{"dropping-particle":"","family":"Vandewalle","given":"Laurien A.","non-dropping-particle":"","parse-names":false,"suffix":""},{"dropping-particle":"","family":"Lengyel","given":"Istvan","non-dropping-particle":"","parse-names":false,"suffix":""},{"dropping-particle":"","family":"West","given":"David H.","non-dropping-particle":"","parse-names":false,"suffix":""},{"dropping-particle":"","family":"Geem","given":"Kevin M.","non-dropping-particle":"Van","parse-names":false,"suffix":""},{"dropping-particle":"","family":"Marin","given":"Guy B.","non-dropping-particle":"","parse-names":false,"suffix":""}],"container-title":"Chemical Engineering Science","id":"ITEM-2","issued":{"date-parts":[["2018","9","4"]]},"publisher":"Pergamon","title":"Catalyst ignition and extinction: A microkinetics-based bifurcation study of adiabatic reactors for oxidative coupling of methane","type":"article-journal"},"uris":["http://www.mendeley.com/documents/?uuid=599b0484-b703-3f1f-9dbd-c7fbf24ea278"]}],"mendeley":{"formattedCitation":"(Sun et al., 2018; Vandewalle et al., 2018a)","plainTextFormattedCitation":"(Sun et al., 2018; Vandewalle et al., 2018a)","previouslyFormattedCitation":"(Sun et al., 2018; Vandewalle et al., 2018a)"},"properties":{"noteIndex":0},"schema":"https://github.com/citation-style-language/schema/raw/master/csl-citation.json"}</w:instrText>
      </w:r>
      <w:r w:rsidRPr="00020109">
        <w:rPr>
          <w:rFonts w:asciiTheme="minorHAnsi" w:hAnsiTheme="minorHAnsi"/>
          <w:sz w:val="22"/>
          <w:szCs w:val="22"/>
        </w:rPr>
        <w:fldChar w:fldCharType="separate"/>
      </w:r>
      <w:r w:rsidRPr="00020109">
        <w:rPr>
          <w:rFonts w:asciiTheme="minorHAnsi" w:hAnsiTheme="minorHAnsi"/>
          <w:sz w:val="22"/>
          <w:szCs w:val="22"/>
        </w:rPr>
        <w:fldChar w:fldCharType="end"/>
      </w:r>
      <w:r w:rsidR="00162ACC">
        <w:rPr>
          <w:rFonts w:asciiTheme="minorHAnsi" w:hAnsiTheme="minorHAnsi"/>
          <w:sz w:val="22"/>
          <w:szCs w:val="22"/>
        </w:rPr>
        <w:fldChar w:fldCharType="begin"/>
      </w:r>
      <w:r w:rsidR="00162ACC">
        <w:rPr>
          <w:rFonts w:asciiTheme="minorHAnsi" w:hAnsiTheme="minorHAnsi"/>
          <w:sz w:val="22"/>
          <w:szCs w:val="22"/>
        </w:rPr>
        <w:instrText xml:space="preserve"> ADDIN EN.CITE &lt;EndNote&gt;&lt;Cite&gt;&lt;Author&gt;Vandewalle&lt;/Author&gt;&lt;Year&gt;2018&lt;/Year&gt;&lt;RecNum&gt;4889&lt;/RecNum&gt;&lt;DisplayText&gt;&lt;style face="superscript"&gt;2&lt;/style&gt;&lt;/DisplayText&gt;&lt;record&gt;&lt;rec-number&gt;4889&lt;/rec-number&gt;&lt;foreign-keys&gt;&lt;key app="EN" db-id="s5tdzr5r8tvszhezvxyx9w98ee5axp25faar" timestamp="1547628882"&gt;4889&lt;/key&gt;&lt;/foreign-keys&gt;&lt;ref-type name="Journal Article"&gt;17&lt;/ref-type&gt;&lt;contributors&gt;&lt;authors&gt;&lt;author&gt;Vandewalle, Laurien A.&lt;/author&gt;&lt;author&gt;Lengyel, Istvan&lt;/author&gt;&lt;author&gt;West, David H.&lt;/author&gt;&lt;author&gt;Van Geem, Kevin M.&lt;/author&gt;&lt;author&gt;Marin, Guy B.&lt;/author&gt;&lt;/authors&gt;&lt;/contributors&gt;&lt;titles&gt;&lt;title&gt;Catalyst ignition and extinction: A microkinetics-based bifurcation study of adiabatic reactors for oxidative coupling of methane&lt;/title&gt;&lt;secondary-title&gt;Chemical Engineering Science&lt;/secondary-title&gt;&lt;/titles&gt;&lt;periodical&gt;&lt;full-title&gt;Chemical Engineering Science&lt;/full-title&gt;&lt;/periodical&gt;&lt;keywords&gt;&lt;keyword&gt;Oxidative coupling of methane&lt;/keyword&gt;&lt;keyword&gt;Bifurcation analysis&lt;/keyword&gt;&lt;keyword&gt;Ignition&lt;/keyword&gt;&lt;keyword&gt;Extinction&lt;/keyword&gt;&lt;keyword&gt;Autothermal operation&lt;/keyword&gt;&lt;/keywords&gt;&lt;dates&gt;&lt;year&gt;2018&lt;/year&gt;&lt;pub-dates&gt;&lt;date&gt;2018/09/04/&lt;/date&gt;&lt;/pub-dates&gt;&lt;/dates&gt;&lt;isbn&gt;0009-2509&lt;/isbn&gt;&lt;urls&gt;&lt;related-urls&gt;&lt;url&gt;http://www.sciencedirect.com/science/article/pii/S000925091830633X&lt;/url&gt;&lt;/related-urls&gt;&lt;/urls&gt;&lt;electronic-resource-num&gt;https://doi.org/10.1016/j.ces.2018.08.053&lt;/electronic-resource-num&gt;&lt;/record&gt;&lt;/Cite&gt;&lt;/EndNote&gt;</w:instrText>
      </w:r>
      <w:r w:rsidR="00162ACC">
        <w:rPr>
          <w:rFonts w:asciiTheme="minorHAnsi" w:hAnsiTheme="minorHAnsi"/>
          <w:sz w:val="22"/>
          <w:szCs w:val="22"/>
        </w:rPr>
        <w:fldChar w:fldCharType="separate"/>
      </w:r>
      <w:r w:rsidR="00162ACC" w:rsidRPr="00162ACC">
        <w:rPr>
          <w:rFonts w:asciiTheme="minorHAnsi" w:hAnsiTheme="minorHAnsi"/>
          <w:noProof/>
          <w:sz w:val="22"/>
          <w:szCs w:val="22"/>
          <w:vertAlign w:val="superscript"/>
        </w:rPr>
        <w:t>2</w:t>
      </w:r>
      <w:r w:rsidR="00162ACC">
        <w:rPr>
          <w:rFonts w:asciiTheme="minorHAnsi" w:hAnsiTheme="minorHAnsi"/>
          <w:sz w:val="22"/>
          <w:szCs w:val="22"/>
        </w:rPr>
        <w:fldChar w:fldCharType="end"/>
      </w:r>
      <w:r w:rsidR="00162ACC">
        <w:rPr>
          <w:rFonts w:asciiTheme="minorHAnsi" w:hAnsiTheme="minorHAnsi"/>
          <w:sz w:val="22"/>
          <w:szCs w:val="22"/>
        </w:rPr>
        <w:t xml:space="preserve"> </w:t>
      </w:r>
      <w:r w:rsidRPr="00020109">
        <w:rPr>
          <w:rFonts w:asciiTheme="minorHAnsi" w:hAnsiTheme="minorHAnsi"/>
          <w:sz w:val="22"/>
          <w:szCs w:val="22"/>
        </w:rPr>
        <w:t xml:space="preserve">have shown that the key features of an ideal OCM reactor are high thermal backmixing (i.e. high effective thermal conductivity) and low species backmixing (i.e. narrow residence time distributions). Narrow residence time distributions, i.e. plug flow behavior, is necessary to control and maximize the selectivity towards the intermediate products ethane and ethylene. High effective thermal conductivity creates the opportunity to exploit the bifurcation behavior and operate an OCM reactor autothermally, in this way utilizing the reaction heat in the best possible way. Both these characteristics can be obtained in the gas-solid vortex reactor (GSVR) that is studied in this work. In a gas-solid vortex reactor in a static geometry, gas is injected tangentially via a number of inlet slots (see </w:t>
      </w:r>
      <w:r w:rsidRPr="00020109">
        <w:rPr>
          <w:rFonts w:asciiTheme="minorHAnsi" w:hAnsiTheme="minorHAnsi"/>
          <w:sz w:val="22"/>
          <w:szCs w:val="22"/>
        </w:rPr>
        <w:fldChar w:fldCharType="begin"/>
      </w:r>
      <w:r w:rsidRPr="00020109">
        <w:rPr>
          <w:rFonts w:asciiTheme="minorHAnsi" w:hAnsiTheme="minorHAnsi"/>
          <w:sz w:val="22"/>
          <w:szCs w:val="22"/>
        </w:rPr>
        <w:instrText xml:space="preserve"> REF _Ref525548277 \h </w:instrText>
      </w:r>
      <w:r w:rsidRPr="00020109">
        <w:rPr>
          <w:rFonts w:asciiTheme="minorHAnsi" w:hAnsiTheme="minorHAnsi"/>
          <w:sz w:val="22"/>
          <w:szCs w:val="22"/>
        </w:rPr>
      </w:r>
      <w:r w:rsidRPr="00020109">
        <w:rPr>
          <w:rFonts w:asciiTheme="minorHAnsi" w:hAnsiTheme="minorHAnsi"/>
          <w:sz w:val="22"/>
          <w:szCs w:val="22"/>
        </w:rPr>
        <w:instrText xml:space="preserve"> \* MERGEFORMAT </w:instrText>
      </w:r>
      <w:r w:rsidRPr="00020109">
        <w:rPr>
          <w:rFonts w:asciiTheme="minorHAnsi" w:hAnsiTheme="minorHAnsi"/>
          <w:sz w:val="22"/>
          <w:szCs w:val="22"/>
        </w:rPr>
        <w:fldChar w:fldCharType="separate"/>
      </w:r>
      <w:r w:rsidRPr="00020109">
        <w:rPr>
          <w:rFonts w:asciiTheme="minorHAnsi" w:hAnsiTheme="minorHAnsi"/>
          <w:sz w:val="22"/>
          <w:szCs w:val="22"/>
        </w:rPr>
        <w:t xml:space="preserve">Figure </w:t>
      </w:r>
      <w:r w:rsidRPr="00020109">
        <w:rPr>
          <w:rFonts w:asciiTheme="minorHAnsi" w:hAnsiTheme="minorHAnsi"/>
          <w:noProof/>
          <w:sz w:val="22"/>
          <w:szCs w:val="22"/>
        </w:rPr>
        <w:t>1</w:t>
      </w:r>
      <w:r w:rsidRPr="00020109">
        <w:rPr>
          <w:rFonts w:asciiTheme="minorHAnsi" w:hAnsiTheme="minorHAnsi"/>
          <w:sz w:val="22"/>
          <w:szCs w:val="22"/>
        </w:rPr>
        <w:fldChar w:fldCharType="end"/>
      </w:r>
      <w:r w:rsidRPr="00020109">
        <w:rPr>
          <w:rFonts w:asciiTheme="minorHAnsi" w:hAnsiTheme="minorHAnsi"/>
          <w:sz w:val="22"/>
          <w:szCs w:val="22"/>
        </w:rPr>
        <w:t xml:space="preserve">). The swirling gas transfers its momentum to the particles in the reactor chamber, which in turn start rotating. A fluidized state is obtained when the drag force exerted by the gas balances the apparent weight of the particles in the centrifugal force field. </w:t>
      </w:r>
      <w:r w:rsidR="00162ACC" w:rsidRPr="00020109">
        <w:rPr>
          <w:rFonts w:asciiTheme="minorHAnsi" w:hAnsiTheme="minorHAnsi"/>
          <w:sz w:val="22"/>
        </w:rPr>
        <w:t>In contrast to conventional gravitational fluidized beds, higher gas throughput, lower</w:t>
      </w:r>
    </w:p>
    <w:p w:rsidR="00020109" w:rsidRPr="00162ACC" w:rsidRDefault="00162ACC" w:rsidP="00162ACC">
      <w:pPr>
        <w:spacing w:line="240" w:lineRule="auto"/>
        <w:rPr>
          <w:rFonts w:asciiTheme="minorHAnsi" w:hAnsiTheme="minorHAnsi"/>
          <w:sz w:val="22"/>
          <w:szCs w:val="22"/>
        </w:rPr>
      </w:pPr>
      <w:r>
        <w:rPr>
          <w:rFonts w:asciiTheme="minorHAnsi" w:hAnsiTheme="minorHAnsi"/>
          <w:sz w:val="22"/>
          <w:szCs w:val="22"/>
        </w:rPr>
        <w:t>r</w:t>
      </w:r>
      <w:r w:rsidR="00020109" w:rsidRPr="00020109">
        <w:rPr>
          <w:rFonts w:asciiTheme="minorHAnsi" w:hAnsiTheme="minorHAnsi"/>
          <w:sz w:val="22"/>
        </w:rPr>
        <w:t>esidence time</w:t>
      </w:r>
      <w:r>
        <w:rPr>
          <w:rFonts w:asciiTheme="minorHAnsi" w:hAnsiTheme="minorHAnsi"/>
          <w:sz w:val="22"/>
        </w:rPr>
        <w:t>s</w:t>
      </w:r>
      <w:r w:rsidR="00020109" w:rsidRPr="00020109">
        <w:rPr>
          <w:rFonts w:asciiTheme="minorHAnsi" w:hAnsiTheme="minorHAnsi"/>
          <w:sz w:val="22"/>
        </w:rPr>
        <w:t>, more uniform beds, higher slip velocities and hence better heat and mass transfer can be achieved in this reactor type. Therefore, the GSVR is an excellent candidate for process intensification. As the reactor can combine short residence times and narrow residence time distributions with optimal heat transfer characteristics, it is a very promising technology for OCM.</w:t>
      </w:r>
      <w:r>
        <w:rPr>
          <w:rFonts w:asciiTheme="minorHAnsi" w:hAnsiTheme="minorHAnsi"/>
          <w:sz w:val="22"/>
          <w:szCs w:val="22"/>
        </w:rPr>
        <w:t xml:space="preserve"> </w:t>
      </w:r>
      <w:r w:rsidR="00020109" w:rsidRPr="00020109">
        <w:rPr>
          <w:rFonts w:asciiTheme="minorHAnsi" w:hAnsiTheme="minorHAnsi"/>
          <w:sz w:val="22"/>
        </w:rPr>
        <w:t xml:space="preserve">In this work, the open-source CFD package OpenFOAM is used to simulate an adiabatic gas-solid </w:t>
      </w:r>
      <w:r w:rsidR="00020109" w:rsidRPr="00020109">
        <w:rPr>
          <w:rFonts w:asciiTheme="minorHAnsi" w:hAnsiTheme="minorHAnsi"/>
          <w:sz w:val="22"/>
        </w:rPr>
        <w:lastRenderedPageBreak/>
        <w:t xml:space="preserve">vortex reactor using an Euler-Euler approach. Detailed microkinetic models are used for different types of catalyst (Sn-Li/MgO, Mn/Na2WO4/SiO2, Sr/La2O3). The effect of operating conditions and reactor geometry is evaluated. </w:t>
      </w:r>
    </w:p>
    <w:p w:rsidR="00162ACC" w:rsidRPr="00020109" w:rsidRDefault="00162ACC" w:rsidP="00162ACC">
      <w:pPr>
        <w:spacing w:line="240" w:lineRule="auto"/>
        <w:rPr>
          <w:rFonts w:asciiTheme="minorHAnsi" w:hAnsiTheme="minorHAnsi"/>
          <w:sz w:val="22"/>
        </w:rPr>
      </w:pPr>
    </w:p>
    <w:p w:rsidR="00704BDF" w:rsidRPr="008D0BEB" w:rsidRDefault="00704BDF" w:rsidP="00162ACC">
      <w:pPr>
        <w:snapToGrid w:val="0"/>
        <w:spacing w:after="120" w:line="240" w:lineRule="auto"/>
        <w:rPr>
          <w:rFonts w:asciiTheme="minorHAnsi" w:eastAsia="MS PGothic" w:hAnsiTheme="minorHAnsi"/>
          <w:color w:val="000000"/>
          <w:sz w:val="22"/>
          <w:szCs w:val="22"/>
          <w:lang w:val="en-US"/>
        </w:rPr>
      </w:pPr>
      <w:r w:rsidRPr="008D0BEB">
        <w:rPr>
          <w:rFonts w:asciiTheme="minorHAnsi" w:eastAsia="MS PGothic" w:hAnsiTheme="minorHAnsi"/>
          <w:b/>
          <w:bCs/>
          <w:color w:val="000000"/>
          <w:sz w:val="22"/>
          <w:szCs w:val="22"/>
          <w:lang w:val="en-US"/>
        </w:rPr>
        <w:t>2. Methods</w:t>
      </w:r>
    </w:p>
    <w:p w:rsidR="00020109" w:rsidRPr="00020109" w:rsidRDefault="00020109" w:rsidP="00162ACC">
      <w:pPr>
        <w:spacing w:line="240" w:lineRule="auto"/>
        <w:rPr>
          <w:rFonts w:asciiTheme="minorHAnsi" w:hAnsiTheme="minorHAnsi"/>
          <w:sz w:val="22"/>
          <w:szCs w:val="22"/>
        </w:rPr>
      </w:pPr>
      <w:r w:rsidRPr="00020109">
        <w:rPr>
          <w:rFonts w:asciiTheme="minorHAnsi" w:hAnsiTheme="minorHAnsi"/>
          <w:sz w:val="22"/>
          <w:szCs w:val="22"/>
        </w:rPr>
        <w:t>The simulated GSVR geometry is adopted from the work of</w:t>
      </w:r>
      <w:r w:rsidR="00204240">
        <w:rPr>
          <w:rFonts w:asciiTheme="minorHAnsi" w:hAnsiTheme="minorHAnsi"/>
          <w:sz w:val="22"/>
          <w:szCs w:val="22"/>
        </w:rPr>
        <w:t xml:space="preserve"> Gonzalez-Quiroga et al. </w:t>
      </w:r>
      <w:r w:rsidR="00204240">
        <w:rPr>
          <w:rFonts w:asciiTheme="minorHAnsi" w:hAnsiTheme="minorHAnsi"/>
          <w:sz w:val="22"/>
          <w:szCs w:val="22"/>
        </w:rPr>
        <w:fldChar w:fldCharType="begin"/>
      </w:r>
      <w:r w:rsidR="00204240">
        <w:rPr>
          <w:rFonts w:asciiTheme="minorHAnsi" w:hAnsiTheme="minorHAnsi"/>
          <w:sz w:val="22"/>
          <w:szCs w:val="22"/>
        </w:rPr>
        <w:instrText xml:space="preserve"> ADDIN EN.CITE &lt;EndNote&gt;&lt;Cite&gt;&lt;Author&gt;Gonzalez-Quiroga&lt;/Author&gt;&lt;Year&gt;2017&lt;/Year&gt;&lt;RecNum&gt;4668&lt;/RecNum&gt;&lt;DisplayText&gt;&lt;style face="superscript"&gt;3&lt;/style&gt;&lt;/DisplayText&gt;&lt;record&gt;&lt;rec-number&gt;4668&lt;/rec-number&gt;&lt;foreign-keys&gt;&lt;key app="EN" db-id="s5tdzr5r8tvszhezvxyx9w98ee5axp25faar" timestamp="1516120870"&gt;4668&lt;/key&gt;&lt;/foreign-keys&gt;&lt;ref-type name="Journal Article"&gt;17&lt;/ref-type&gt;&lt;contributors&gt;&lt;authors&gt;&lt;author&gt;Gonzalez-Quiroga, A.&lt;/author&gt;&lt;author&gt;Reyniers, P. A.&lt;/author&gt;&lt;author&gt;Kulkarni, S. R.&lt;/author&gt;&lt;author&gt;Torregrosa, M. M.&lt;/author&gt;&lt;author&gt;Perreault, P.&lt;/author&gt;&lt;author&gt;Heynderickx, G. J.&lt;/author&gt;&lt;author&gt;Van Geem, K. M.&lt;/author&gt;&lt;author&gt;Marin, G. B.&lt;/author&gt;&lt;/authors&gt;&lt;/contributors&gt;&lt;titles&gt;&lt;title&gt;Design and cold flow testing of a Gas-Solid Vortex Reactor demonstration unit for biomass fast pyrolysis&lt;/title&gt;&lt;secondary-title&gt;Chemical Engineering Journal&lt;/secondary-title&gt;&lt;/titles&gt;&lt;periodical&gt;&lt;full-title&gt;Chemical Engineering Journal&lt;/full-title&gt;&lt;/periodical&gt;&lt;pages&gt;198-210&lt;/pages&gt;&lt;volume&gt;329&lt;/volume&gt;&lt;dates&gt;&lt;year&gt;2017&lt;/year&gt;&lt;pub-dates&gt;&lt;date&gt;Dec&lt;/date&gt;&lt;/pub-dates&gt;&lt;/dates&gt;&lt;isbn&gt;1385-8947&lt;/isbn&gt;&lt;accession-num&gt;WOS:000410765700020&lt;/accession-num&gt;&lt;urls&gt;&lt;related-urls&gt;&lt;url&gt;&amp;lt;Go to ISI&amp;gt;://WOS:000410765700020&lt;/url&gt;&lt;/related-urls&gt;&lt;/urls&gt;&lt;electronic-resource-num&gt;10.1016/j.cej.2017.06.003&lt;/electronic-resource-num&gt;&lt;/record&gt;&lt;/Cite&gt;&lt;/EndNote&gt;</w:instrText>
      </w:r>
      <w:r w:rsidR="00204240">
        <w:rPr>
          <w:rFonts w:asciiTheme="minorHAnsi" w:hAnsiTheme="minorHAnsi"/>
          <w:sz w:val="22"/>
          <w:szCs w:val="22"/>
        </w:rPr>
        <w:fldChar w:fldCharType="separate"/>
      </w:r>
      <w:r w:rsidR="00204240" w:rsidRPr="00204240">
        <w:rPr>
          <w:rFonts w:asciiTheme="minorHAnsi" w:hAnsiTheme="minorHAnsi"/>
          <w:noProof/>
          <w:sz w:val="22"/>
          <w:szCs w:val="22"/>
          <w:vertAlign w:val="superscript"/>
        </w:rPr>
        <w:t>3</w:t>
      </w:r>
      <w:r w:rsidR="00204240">
        <w:rPr>
          <w:rFonts w:asciiTheme="minorHAnsi" w:hAnsiTheme="minorHAnsi"/>
          <w:sz w:val="22"/>
          <w:szCs w:val="22"/>
        </w:rPr>
        <w:fldChar w:fldCharType="end"/>
      </w:r>
      <w:r w:rsidR="00204240">
        <w:rPr>
          <w:rFonts w:asciiTheme="minorHAnsi" w:hAnsiTheme="minorHAnsi"/>
          <w:sz w:val="22"/>
          <w:szCs w:val="22"/>
        </w:rPr>
        <w:t xml:space="preserve"> </w:t>
      </w:r>
      <w:r w:rsidRPr="00020109">
        <w:rPr>
          <w:rFonts w:asciiTheme="minorHAnsi" w:hAnsiTheme="minorHAnsi"/>
          <w:sz w:val="22"/>
          <w:szCs w:val="22"/>
        </w:rPr>
        <w:t>It basically consists of a cylindrical unit positioned along a vertical axis with eight gas injection slots of 1 mm width, equally distributed over the circumferential wall and tangentially inclined at a 10° angle. A reactor diameter of 80 mm and length of 15 mm are defined.</w:t>
      </w:r>
      <w:r>
        <w:rPr>
          <w:rFonts w:asciiTheme="minorHAnsi" w:hAnsiTheme="minorHAnsi"/>
          <w:sz w:val="22"/>
          <w:szCs w:val="22"/>
        </w:rPr>
        <w:t xml:space="preserve"> </w:t>
      </w:r>
      <w:r w:rsidRPr="00020109">
        <w:rPr>
          <w:rFonts w:asciiTheme="minorHAnsi" w:hAnsiTheme="minorHAnsi"/>
          <w:sz w:val="22"/>
          <w:szCs w:val="22"/>
        </w:rPr>
        <w:t>The reactive two-phase flow in the GSVR is simulated with an Euler-Euler approach using the open-source CFD package OpenFOAM. A dedicated solver was developed, coupling OpenFOAM and Cantera, the latter being used as mechanism interpreter. This allows to use detailed microkinetic models. In this work, the microkinetic model consists of 39 gas phase react</w:t>
      </w:r>
      <w:r w:rsidR="00204240">
        <w:rPr>
          <w:rFonts w:asciiTheme="minorHAnsi" w:hAnsiTheme="minorHAnsi"/>
          <w:sz w:val="22"/>
          <w:szCs w:val="22"/>
        </w:rPr>
        <w:t>ions and 26 catalytic reactions</w:t>
      </w:r>
      <w:r w:rsidRPr="00020109">
        <w:rPr>
          <w:rFonts w:asciiTheme="minorHAnsi" w:hAnsiTheme="minorHAnsi"/>
          <w:sz w:val="22"/>
          <w:szCs w:val="22"/>
        </w:rPr>
        <w:fldChar w:fldCharType="begin" w:fldLock="1"/>
      </w:r>
      <w:r w:rsidRPr="00020109">
        <w:rPr>
          <w:rFonts w:asciiTheme="minorHAnsi" w:hAnsiTheme="minorHAnsi"/>
          <w:sz w:val="22"/>
          <w:szCs w:val="22"/>
        </w:rPr>
        <w:instrText>ADDIN CSL_CITATION {"citationItems":[{"id":"ITEM-1","itemData":{"DOI":"10.1021/ie403160s","ISBN":"0888-5885 1520-5045","ISSN":"0888-5885","author":[{"dropping-particle":"","family":"Kechagiopoulos","given":"Panagiotis N","non-dropping-particle":"","parse-names":false,"suffix":""},{"dropping-particle":"","family":"Thybaut","given":"Joris W","non-dropping-particle":"","parse-names":false,"suffix":""},{"dropping-particle":"","family":"Marin","given":"Guy B","non-dropping-particle":"","parse-names":false,"suffix":""}],"container-title":"Industrial &amp; Engineering Chemistry Research","id":"ITEM-1","issue":"5","issued":{"date-parts":[["2014","2","5"]]},"page":"1825-1840","title":"Oxidative Coupling of Methane: A Microkinetic Model Accounting for Intraparticle Surface-Intermediates Concentration Profiles","type":"article-journal","volume":"53"},"uris":["http://www.mendeley.com/documents/?uuid=f5e58f62-7d8c-42fd-a6e2-dad8f00cbc96"]}],"mendeley":{"formattedCitation":"(Kechagiopoulos et al., 2014)","plainTextFormattedCitation":"(Kechagiopoulos et al., 2014)","previouslyFormattedCitation":"(Kechagiopoulos et al., 2014)"},"properties":{"noteIndex":0},"schema":"https://github.com/citation-style-language/schema/raw/master/csl-citation.json"}</w:instrText>
      </w:r>
      <w:r w:rsidRPr="00020109">
        <w:rPr>
          <w:rFonts w:asciiTheme="minorHAnsi" w:hAnsiTheme="minorHAnsi"/>
          <w:sz w:val="22"/>
          <w:szCs w:val="22"/>
        </w:rPr>
        <w:fldChar w:fldCharType="separate"/>
      </w:r>
      <w:r w:rsidRPr="00020109">
        <w:rPr>
          <w:rFonts w:asciiTheme="minorHAnsi" w:hAnsiTheme="minorHAnsi"/>
          <w:sz w:val="22"/>
          <w:szCs w:val="22"/>
        </w:rPr>
        <w:fldChar w:fldCharType="end"/>
      </w:r>
      <w:r w:rsidRPr="00020109">
        <w:rPr>
          <w:rFonts w:asciiTheme="minorHAnsi" w:hAnsiTheme="minorHAnsi"/>
          <w:sz w:val="22"/>
          <w:szCs w:val="22"/>
        </w:rPr>
        <w:t>.</w:t>
      </w:r>
      <w:r w:rsidR="00204240">
        <w:rPr>
          <w:rFonts w:asciiTheme="minorHAnsi" w:hAnsiTheme="minorHAnsi"/>
          <w:sz w:val="22"/>
          <w:szCs w:val="22"/>
        </w:rPr>
        <w:fldChar w:fldCharType="begin"/>
      </w:r>
      <w:r w:rsidR="00204240">
        <w:rPr>
          <w:rFonts w:asciiTheme="minorHAnsi" w:hAnsiTheme="minorHAnsi"/>
          <w:sz w:val="22"/>
          <w:szCs w:val="22"/>
        </w:rPr>
        <w:instrText xml:space="preserve"> ADDIN EN.CITE &lt;EndNote&gt;&lt;Cite&gt;&lt;Author&gt;Kechagiopoulos&lt;/Author&gt;&lt;Year&gt;2014&lt;/Year&gt;&lt;RecNum&gt;4540&lt;/RecNum&gt;&lt;DisplayText&gt;&lt;style face="superscript"&gt;4&lt;/style&gt;&lt;/DisplayText&gt;&lt;record&gt;&lt;rec-number&gt;4540&lt;/rec-number&gt;&lt;foreign-keys&gt;&lt;key app="EN" db-id="s5tdzr5r8tvszhezvxyx9w98ee5axp25faar" timestamp="1485963035"&gt;4540&lt;/key&gt;&lt;/foreign-keys&gt;&lt;ref-type name="Journal Article"&gt;17&lt;/ref-type&gt;&lt;contributors&gt;&lt;authors&gt;&lt;author&gt;Kechagiopoulos, Panagiotis N.&lt;/author&gt;&lt;author&gt;Thybaut, Joris W.&lt;/author&gt;&lt;author&gt;Marin, Guy B.&lt;/author&gt;&lt;/authors&gt;&lt;/contributors&gt;&lt;titles&gt;&lt;title&gt;Oxidative Coupling of Methane: A Microkinetic Model Accounting for Intraparticle Surface-Intermediates Concentration Profiles&lt;/title&gt;&lt;secondary-title&gt;Industrial &amp;amp; Engineering Chemistry Research&lt;/secondary-title&gt;&lt;/titles&gt;&lt;periodical&gt;&lt;full-title&gt;Industrial &amp;amp; Engineering Chemistry Research&lt;/full-title&gt;&lt;/periodical&gt;&lt;pages&gt;1825-1840&lt;/pages&gt;&lt;volume&gt;53&lt;/volume&gt;&lt;number&gt;5&lt;/number&gt;&lt;dates&gt;&lt;year&gt;2014&lt;/year&gt;&lt;pub-dates&gt;&lt;date&gt;2014/02/05&lt;/date&gt;&lt;/pub-dates&gt;&lt;/dates&gt;&lt;publisher&gt;American Chemical Society&lt;/publisher&gt;&lt;isbn&gt;0888-5885&lt;/isbn&gt;&lt;urls&gt;&lt;related-urls&gt;&lt;url&gt;http://dx.doi.org/10.1021/ie403160s&lt;/url&gt;&lt;/related-urls&gt;&lt;/urls&gt;&lt;electronic-resource-num&gt;10.1021/ie403160s&lt;/electronic-resource-num&gt;&lt;/record&gt;&lt;/Cite&gt;&lt;/EndNote&gt;</w:instrText>
      </w:r>
      <w:r w:rsidR="00204240">
        <w:rPr>
          <w:rFonts w:asciiTheme="minorHAnsi" w:hAnsiTheme="minorHAnsi"/>
          <w:sz w:val="22"/>
          <w:szCs w:val="22"/>
        </w:rPr>
        <w:fldChar w:fldCharType="separate"/>
      </w:r>
      <w:r w:rsidR="00204240" w:rsidRPr="00204240">
        <w:rPr>
          <w:rFonts w:asciiTheme="minorHAnsi" w:hAnsiTheme="minorHAnsi"/>
          <w:noProof/>
          <w:sz w:val="22"/>
          <w:szCs w:val="22"/>
          <w:vertAlign w:val="superscript"/>
        </w:rPr>
        <w:t>4</w:t>
      </w:r>
      <w:r w:rsidR="00204240">
        <w:rPr>
          <w:rFonts w:asciiTheme="minorHAnsi" w:hAnsiTheme="minorHAnsi"/>
          <w:sz w:val="22"/>
          <w:szCs w:val="22"/>
        </w:rPr>
        <w:fldChar w:fldCharType="end"/>
      </w:r>
      <w:r w:rsidRPr="00020109">
        <w:rPr>
          <w:rFonts w:asciiTheme="minorHAnsi" w:hAnsiTheme="minorHAnsi"/>
          <w:sz w:val="22"/>
          <w:szCs w:val="22"/>
        </w:rPr>
        <w:t xml:space="preserve"> The same model can be used for different catalysts (Sn-Li/MgO, Mn/Na2WO4/SiO2, Sr/La2O3), provided the kinetic parameters are adjusted accordingly. The GSVR is simulated as an adiabatic unit.</w:t>
      </w:r>
    </w:p>
    <w:p w:rsidR="00704BDF" w:rsidRDefault="00704BDF" w:rsidP="00162ACC">
      <w:pPr>
        <w:snapToGrid w:val="0"/>
        <w:spacing w:before="240" w:line="240" w:lineRule="auto"/>
        <w:rPr>
          <w:rFonts w:asciiTheme="minorHAnsi" w:eastAsia="MS PGothic" w:hAnsiTheme="minorHAnsi"/>
          <w:b/>
          <w:bCs/>
          <w:color w:val="000000"/>
          <w:sz w:val="22"/>
          <w:szCs w:val="22"/>
          <w:lang w:val="en-US"/>
        </w:rPr>
      </w:pPr>
      <w:r w:rsidRPr="008D0BEB">
        <w:rPr>
          <w:rFonts w:asciiTheme="minorHAnsi" w:eastAsia="MS PGothic" w:hAnsiTheme="minorHAnsi"/>
          <w:b/>
          <w:bCs/>
          <w:color w:val="000000"/>
          <w:sz w:val="22"/>
          <w:szCs w:val="22"/>
          <w:lang w:val="en-US"/>
        </w:rPr>
        <w:t>3. Results and discussion</w:t>
      </w:r>
    </w:p>
    <w:p w:rsidR="00020109" w:rsidRPr="00020109" w:rsidRDefault="00162ACC" w:rsidP="00162ACC">
      <w:pPr>
        <w:spacing w:line="240" w:lineRule="auto"/>
        <w:rPr>
          <w:rFonts w:asciiTheme="minorHAnsi" w:hAnsiTheme="minorHAnsi"/>
          <w:sz w:val="22"/>
        </w:rPr>
      </w:pPr>
      <w:r w:rsidRPr="00162ACC">
        <w:rPr>
          <w:rFonts w:asciiTheme="minorHAnsi" w:hAnsiTheme="minorHAnsi"/>
          <w:noProof/>
          <w:sz w:val="22"/>
        </w:rPr>
        <mc:AlternateContent>
          <mc:Choice Requires="wps">
            <w:drawing>
              <wp:anchor distT="45720" distB="45720" distL="114300" distR="114300" simplePos="0" relativeHeight="251661312" behindDoc="0" locked="0" layoutInCell="1" allowOverlap="1">
                <wp:simplePos x="0" y="0"/>
                <wp:positionH relativeFrom="column">
                  <wp:posOffset>3616960</wp:posOffset>
                </wp:positionH>
                <wp:positionV relativeFrom="paragraph">
                  <wp:posOffset>7620</wp:posOffset>
                </wp:positionV>
                <wp:extent cx="2360930" cy="1404620"/>
                <wp:effectExtent l="0" t="0" r="2286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162ACC" w:rsidRDefault="00162ACC" w:rsidP="00162ACC">
                            <w:pPr>
                              <w:keepNext/>
                            </w:pPr>
                            <w:r w:rsidRPr="005D0347">
                              <w:rPr>
                                <w:noProof/>
                              </w:rPr>
                              <w:drawing>
                                <wp:inline distT="0" distB="0" distL="0" distR="0" wp14:anchorId="7919454C" wp14:editId="59845B43">
                                  <wp:extent cx="2552700" cy="1582782"/>
                                  <wp:effectExtent l="0" t="0" r="0" b="0"/>
                                  <wp:docPr id="166" name="Picture 165">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5CA2CCC1-BDAA-4547-B559-E2BF3FBB6B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165">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5CA2CCC1-BDAA-4547-B559-E2BF3FBB6BB1}"/>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7909" t="18493" r="23732" b="8922"/>
                                          <a:stretch/>
                                        </pic:blipFill>
                                        <pic:spPr>
                                          <a:xfrm>
                                            <a:off x="0" y="0"/>
                                            <a:ext cx="2557956" cy="1586041"/>
                                          </a:xfrm>
                                          <a:prstGeom prst="rect">
                                            <a:avLst/>
                                          </a:prstGeom>
                                        </pic:spPr>
                                      </pic:pic>
                                    </a:graphicData>
                                  </a:graphic>
                                </wp:inline>
                              </w:drawing>
                            </w:r>
                          </w:p>
                          <w:p w:rsidR="00162ACC" w:rsidRPr="00020109" w:rsidRDefault="00162ACC" w:rsidP="00162ACC">
                            <w:pPr>
                              <w:pStyle w:val="Caption"/>
                              <w:rPr>
                                <w:color w:val="auto"/>
                              </w:rPr>
                            </w:pPr>
                            <w:bookmarkStart w:id="3" w:name="_Ref525551706"/>
                            <w:r w:rsidRPr="00020109">
                              <w:rPr>
                                <w:color w:val="auto"/>
                              </w:rPr>
                              <w:t xml:space="preserve">Figure </w:t>
                            </w:r>
                            <w:r w:rsidRPr="00020109">
                              <w:rPr>
                                <w:color w:val="auto"/>
                              </w:rPr>
                              <w:fldChar w:fldCharType="begin"/>
                            </w:r>
                            <w:r w:rsidRPr="00020109">
                              <w:rPr>
                                <w:color w:val="auto"/>
                              </w:rPr>
                              <w:instrText xml:space="preserve"> SEQ Figure \* ARABIC </w:instrText>
                            </w:r>
                            <w:r w:rsidRPr="00020109">
                              <w:rPr>
                                <w:color w:val="auto"/>
                              </w:rPr>
                              <w:fldChar w:fldCharType="separate"/>
                            </w:r>
                            <w:r w:rsidRPr="00020109">
                              <w:rPr>
                                <w:noProof/>
                                <w:color w:val="auto"/>
                              </w:rPr>
                              <w:t>2</w:t>
                            </w:r>
                            <w:r w:rsidRPr="00020109">
                              <w:rPr>
                                <w:color w:val="auto"/>
                              </w:rPr>
                              <w:fldChar w:fldCharType="end"/>
                            </w:r>
                            <w:bookmarkEnd w:id="3"/>
                            <w:r w:rsidRPr="00020109">
                              <w:rPr>
                                <w:color w:val="auto"/>
                              </w:rPr>
                              <w:t>. Gas streamlines, shown on top of the catalyst volume fraction field. Simulated conditions: 16-slot GSVR, 75 m/s slot velocity (CH</w:t>
                            </w:r>
                            <w:r w:rsidRPr="00020109">
                              <w:rPr>
                                <w:color w:val="auto"/>
                                <w:vertAlign w:val="subscript"/>
                              </w:rPr>
                              <w:t>4</w:t>
                            </w:r>
                            <w:r w:rsidRPr="00020109">
                              <w:rPr>
                                <w:color w:val="auto"/>
                              </w:rPr>
                              <w:t>:O</w:t>
                            </w:r>
                            <w:r w:rsidRPr="00020109">
                              <w:rPr>
                                <w:color w:val="auto"/>
                                <w:vertAlign w:val="subscript"/>
                              </w:rPr>
                              <w:t>2</w:t>
                            </w:r>
                            <w:r w:rsidRPr="00020109">
                              <w:rPr>
                                <w:color w:val="auto"/>
                              </w:rPr>
                              <w:t xml:space="preserve"> = 4), 11.2 g catalyst particles  (2300 kg/m</w:t>
                            </w:r>
                            <w:r w:rsidRPr="00020109">
                              <w:rPr>
                                <w:color w:val="auto"/>
                                <w:vertAlign w:val="superscript"/>
                              </w:rPr>
                              <w:t>3</w:t>
                            </w:r>
                            <w:r w:rsidRPr="00020109">
                              <w:rPr>
                                <w:color w:val="auto"/>
                              </w:rPr>
                              <w:t xml:space="preserve">, </w:t>
                            </w:r>
                            <w:r w:rsidRPr="00020109">
                              <w:rPr>
                                <w:rFonts w:ascii="Cambria Math" w:hAnsi="Cambria Math" w:cs="Cambria Math"/>
                                <w:color w:val="auto"/>
                              </w:rPr>
                              <w:t>∅</w:t>
                            </w:r>
                            <w:r w:rsidRPr="00020109">
                              <w:rPr>
                                <w:color w:val="auto"/>
                              </w:rPr>
                              <w:t xml:space="preserve"> 500 </w:t>
                            </w:r>
                            <w:r w:rsidRPr="00020109">
                              <w:rPr>
                                <w:rFonts w:cs="Times"/>
                                <w:color w:val="auto"/>
                              </w:rPr>
                              <w:t>µ</w:t>
                            </w:r>
                            <w:r w:rsidRPr="00020109">
                              <w:rPr>
                                <w:color w:val="auto"/>
                              </w:rPr>
                              <w:t>m)</w:t>
                            </w:r>
                          </w:p>
                          <w:p w:rsidR="00162ACC" w:rsidRDefault="00162AC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284.8pt;margin-top:.6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">
                <v:textbox style="mso-fit-shape-to-text:t">
                  <w:txbxContent>
                    <w:p w:rsidR="00162ACC" w:rsidRDefault="00162ACC" w:rsidP="00162ACC">
                      <w:pPr>
                        <w:keepNext/>
                      </w:pPr>
                      <w:r w:rsidRPr="005D0347">
                        <w:rPr>
                          <w:noProof/>
                        </w:rPr>
                        <w:drawing>
                          <wp:inline distT="0" distB="0" distL="0" distR="0" wp14:anchorId="7919454C" wp14:editId="59845B43">
                            <wp:extent cx="2552700" cy="1582782"/>
                            <wp:effectExtent l="0" t="0" r="0" b="0"/>
                            <wp:docPr id="166" name="Picture 165">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5CA2CCC1-BDAA-4547-B559-E2BF3FBB6B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165">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5CA2CCC1-BDAA-4547-B559-E2BF3FBB6BB1}"/>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7909" t="18493" r="23732" b="8922"/>
                                    <a:stretch/>
                                  </pic:blipFill>
                                  <pic:spPr>
                                    <a:xfrm>
                                      <a:off x="0" y="0"/>
                                      <a:ext cx="2557956" cy="1586041"/>
                                    </a:xfrm>
                                    <a:prstGeom prst="rect">
                                      <a:avLst/>
                                    </a:prstGeom>
                                  </pic:spPr>
                                </pic:pic>
                              </a:graphicData>
                            </a:graphic>
                          </wp:inline>
                        </w:drawing>
                      </w:r>
                    </w:p>
                    <w:p w:rsidR="00162ACC" w:rsidRPr="00020109" w:rsidRDefault="00162ACC" w:rsidP="00162ACC">
                      <w:pPr>
                        <w:pStyle w:val="Caption"/>
                        <w:rPr>
                          <w:color w:val="auto"/>
                        </w:rPr>
                      </w:pPr>
                      <w:bookmarkStart w:id="4" w:name="_Ref525551706"/>
                      <w:r w:rsidRPr="00020109">
                        <w:rPr>
                          <w:color w:val="auto"/>
                        </w:rPr>
                        <w:t xml:space="preserve">Figure </w:t>
                      </w:r>
                      <w:r w:rsidRPr="00020109">
                        <w:rPr>
                          <w:color w:val="auto"/>
                        </w:rPr>
                        <w:fldChar w:fldCharType="begin"/>
                      </w:r>
                      <w:r w:rsidRPr="00020109">
                        <w:rPr>
                          <w:color w:val="auto"/>
                        </w:rPr>
                        <w:instrText xml:space="preserve"> SEQ Figure \* ARABIC </w:instrText>
                      </w:r>
                      <w:r w:rsidRPr="00020109">
                        <w:rPr>
                          <w:color w:val="auto"/>
                        </w:rPr>
                        <w:fldChar w:fldCharType="separate"/>
                      </w:r>
                      <w:r w:rsidRPr="00020109">
                        <w:rPr>
                          <w:noProof/>
                          <w:color w:val="auto"/>
                        </w:rPr>
                        <w:t>2</w:t>
                      </w:r>
                      <w:r w:rsidRPr="00020109">
                        <w:rPr>
                          <w:color w:val="auto"/>
                        </w:rPr>
                        <w:fldChar w:fldCharType="end"/>
                      </w:r>
                      <w:bookmarkEnd w:id="4"/>
                      <w:r w:rsidRPr="00020109">
                        <w:rPr>
                          <w:color w:val="auto"/>
                        </w:rPr>
                        <w:t>. Gas streamlines, shown on top of the catalyst volume fraction field. Simulated conditions: 16-slot GSVR, 75 m/s slot velocity (CH</w:t>
                      </w:r>
                      <w:r w:rsidRPr="00020109">
                        <w:rPr>
                          <w:color w:val="auto"/>
                          <w:vertAlign w:val="subscript"/>
                        </w:rPr>
                        <w:t>4</w:t>
                      </w:r>
                      <w:r w:rsidRPr="00020109">
                        <w:rPr>
                          <w:color w:val="auto"/>
                        </w:rPr>
                        <w:t>:O</w:t>
                      </w:r>
                      <w:r w:rsidRPr="00020109">
                        <w:rPr>
                          <w:color w:val="auto"/>
                          <w:vertAlign w:val="subscript"/>
                        </w:rPr>
                        <w:t>2</w:t>
                      </w:r>
                      <w:r w:rsidRPr="00020109">
                        <w:rPr>
                          <w:color w:val="auto"/>
                        </w:rPr>
                        <w:t xml:space="preserve"> = 4), 11.2 g catalyst particles  (2300 kg/m</w:t>
                      </w:r>
                      <w:r w:rsidRPr="00020109">
                        <w:rPr>
                          <w:color w:val="auto"/>
                          <w:vertAlign w:val="superscript"/>
                        </w:rPr>
                        <w:t>3</w:t>
                      </w:r>
                      <w:r w:rsidRPr="00020109">
                        <w:rPr>
                          <w:color w:val="auto"/>
                        </w:rPr>
                        <w:t xml:space="preserve">, </w:t>
                      </w:r>
                      <w:r w:rsidRPr="00020109">
                        <w:rPr>
                          <w:rFonts w:ascii="Cambria Math" w:hAnsi="Cambria Math" w:cs="Cambria Math"/>
                          <w:color w:val="auto"/>
                        </w:rPr>
                        <w:t>∅</w:t>
                      </w:r>
                      <w:r w:rsidRPr="00020109">
                        <w:rPr>
                          <w:color w:val="auto"/>
                        </w:rPr>
                        <w:t xml:space="preserve"> 500 </w:t>
                      </w:r>
                      <w:r w:rsidRPr="00020109">
                        <w:rPr>
                          <w:rFonts w:cs="Times"/>
                          <w:color w:val="auto"/>
                        </w:rPr>
                        <w:t>µ</w:t>
                      </w:r>
                      <w:r w:rsidRPr="00020109">
                        <w:rPr>
                          <w:color w:val="auto"/>
                        </w:rPr>
                        <w:t>m)</w:t>
                      </w:r>
                    </w:p>
                    <w:p w:rsidR="00162ACC" w:rsidRDefault="00162ACC"/>
                  </w:txbxContent>
                </v:textbox>
                <w10:wrap type="square"/>
              </v:shape>
            </w:pict>
          </mc:Fallback>
        </mc:AlternateContent>
      </w:r>
      <w:r w:rsidR="00020109" w:rsidRPr="00020109">
        <w:rPr>
          <w:rFonts w:asciiTheme="minorHAnsi" w:hAnsiTheme="minorHAnsi"/>
          <w:sz w:val="22"/>
        </w:rPr>
        <w:t xml:space="preserve">Non-reactive simulations show that narrow residence times can indeed be obtained in the GSVR. Plug flow behavior for species/mass transport is indicated by the quasi parallel streamlines (see </w:t>
      </w:r>
      <w:r w:rsidR="00020109" w:rsidRPr="00020109">
        <w:rPr>
          <w:rFonts w:asciiTheme="minorHAnsi" w:hAnsiTheme="minorHAnsi"/>
          <w:sz w:val="22"/>
        </w:rPr>
        <w:fldChar w:fldCharType="begin"/>
      </w:r>
      <w:r w:rsidR="00020109" w:rsidRPr="00020109">
        <w:rPr>
          <w:rFonts w:asciiTheme="minorHAnsi" w:hAnsiTheme="minorHAnsi"/>
          <w:sz w:val="22"/>
        </w:rPr>
        <w:instrText xml:space="preserve"> REF _Ref525551706 \h </w:instrText>
      </w:r>
      <w:r w:rsidR="00020109" w:rsidRPr="00020109">
        <w:rPr>
          <w:rFonts w:asciiTheme="minorHAnsi" w:hAnsiTheme="minorHAnsi"/>
          <w:sz w:val="22"/>
        </w:rPr>
      </w:r>
      <w:r w:rsidR="00020109" w:rsidRPr="00020109">
        <w:rPr>
          <w:rFonts w:asciiTheme="minorHAnsi" w:hAnsiTheme="minorHAnsi"/>
          <w:sz w:val="22"/>
        </w:rPr>
        <w:instrText xml:space="preserve"> \* MERGEFORMAT </w:instrText>
      </w:r>
      <w:r w:rsidR="00020109" w:rsidRPr="00020109">
        <w:rPr>
          <w:rFonts w:asciiTheme="minorHAnsi" w:hAnsiTheme="minorHAnsi"/>
          <w:sz w:val="22"/>
        </w:rPr>
        <w:fldChar w:fldCharType="separate"/>
      </w:r>
      <w:r w:rsidR="00020109" w:rsidRPr="00020109">
        <w:rPr>
          <w:rFonts w:asciiTheme="minorHAnsi" w:hAnsiTheme="minorHAnsi"/>
          <w:sz w:val="22"/>
        </w:rPr>
        <w:t xml:space="preserve">Figure </w:t>
      </w:r>
      <w:r w:rsidR="00020109" w:rsidRPr="00020109">
        <w:rPr>
          <w:rFonts w:asciiTheme="minorHAnsi" w:hAnsiTheme="minorHAnsi"/>
          <w:noProof/>
          <w:sz w:val="22"/>
        </w:rPr>
        <w:t>2</w:t>
      </w:r>
      <w:r w:rsidR="00020109" w:rsidRPr="00020109">
        <w:rPr>
          <w:rFonts w:asciiTheme="minorHAnsi" w:hAnsiTheme="minorHAnsi"/>
          <w:sz w:val="22"/>
        </w:rPr>
        <w:fldChar w:fldCharType="end"/>
      </w:r>
      <w:r w:rsidR="00020109" w:rsidRPr="00020109">
        <w:rPr>
          <w:rFonts w:asciiTheme="minorHAnsi" w:hAnsiTheme="minorHAnsi"/>
          <w:sz w:val="22"/>
        </w:rPr>
        <w:t>) and a simulated Péclet number &gt;&gt; 1.</w:t>
      </w:r>
      <w:r w:rsidR="00020109" w:rsidRPr="00020109">
        <w:rPr>
          <w:rFonts w:asciiTheme="minorHAnsi" w:hAnsiTheme="minorHAnsi"/>
          <w:sz w:val="22"/>
        </w:rPr>
        <w:t xml:space="preserve"> </w:t>
      </w:r>
      <w:r w:rsidR="00020109" w:rsidRPr="00020109">
        <w:rPr>
          <w:rFonts w:asciiTheme="minorHAnsi" w:hAnsiTheme="minorHAnsi"/>
          <w:sz w:val="22"/>
        </w:rPr>
        <w:t>Preliminary reactive simulations also indicate a good thermal mixing in the reactor, without hot spot formation. High C2 selectivities ~75% can be obtained, but in the non-ignited state, methane conversion is limited because of the very small residence times (&lt;5 ms) in the catalyst bed. Employing the effects of ignition/extinction behavior, the methane conversion can be increased while maintaining a high C2 selectivity, and at the same time working at lower inlet temperatures.</w:t>
      </w:r>
    </w:p>
    <w:p w:rsidR="00704BDF" w:rsidRPr="008D0BEB" w:rsidRDefault="00704BDF" w:rsidP="00162ACC">
      <w:pPr>
        <w:snapToGrid w:val="0"/>
        <w:spacing w:before="240" w:line="240" w:lineRule="auto"/>
        <w:rPr>
          <w:rFonts w:asciiTheme="minorHAnsi" w:eastAsia="MS PGothic" w:hAnsiTheme="minorHAnsi"/>
          <w:color w:val="000000"/>
          <w:sz w:val="22"/>
          <w:szCs w:val="22"/>
          <w:lang w:val="en-US" w:eastAsia="ko-KR"/>
        </w:rPr>
      </w:pPr>
      <w:r w:rsidRPr="008D0BEB">
        <w:rPr>
          <w:rFonts w:asciiTheme="minorHAnsi" w:eastAsia="MS PGothic" w:hAnsiTheme="minorHAnsi"/>
          <w:b/>
          <w:bCs/>
          <w:color w:val="000000"/>
          <w:sz w:val="22"/>
          <w:szCs w:val="22"/>
          <w:lang w:val="en-US"/>
        </w:rPr>
        <w:t>4. Conclusion</w:t>
      </w:r>
      <w:r w:rsidRPr="008D0BEB">
        <w:rPr>
          <w:rFonts w:asciiTheme="minorHAnsi" w:eastAsia="MS PGothic" w:hAnsiTheme="minorHAnsi"/>
          <w:b/>
          <w:bCs/>
          <w:color w:val="000000"/>
          <w:sz w:val="22"/>
          <w:szCs w:val="22"/>
          <w:lang w:val="en-US" w:eastAsia="ko-KR"/>
        </w:rPr>
        <w:t>s</w:t>
      </w:r>
    </w:p>
    <w:p w:rsidR="00020109" w:rsidRPr="00020109" w:rsidRDefault="00020109" w:rsidP="00162ACC">
      <w:pPr>
        <w:spacing w:line="240" w:lineRule="auto"/>
        <w:rPr>
          <w:rFonts w:asciiTheme="minorHAnsi" w:hAnsiTheme="minorHAnsi"/>
          <w:sz w:val="22"/>
          <w:szCs w:val="22"/>
        </w:rPr>
      </w:pPr>
      <w:r w:rsidRPr="00020109">
        <w:rPr>
          <w:rFonts w:asciiTheme="minorHAnsi" w:hAnsiTheme="minorHAnsi"/>
          <w:sz w:val="22"/>
          <w:szCs w:val="22"/>
        </w:rPr>
        <w:t xml:space="preserve">In this work a new reactor technology is proposed for the oxidative coupling of methane (OCM). A gas-solid vortex reactor (GSVR) combines the two most important features required in an ideal OCM reactor: good heat management and narrow residence time distributions. This allows to utilize the exothermic reaction heat in the best possible way while also maximizing the selectivity towards intermediate C2 products. Computational Fluid Dynamic simulations are used to optimize and design the GSVR specifically for OCM. The CFD simulations show that the narrow residence time distributions and efficient heat management in the GSVR can give rise to C2 yields ~25 %. </w:t>
      </w:r>
    </w:p>
    <w:p w:rsidR="00704BDF" w:rsidRPr="00204240" w:rsidRDefault="00704BDF" w:rsidP="00204240">
      <w:pPr>
        <w:snapToGrid w:val="0"/>
        <w:spacing w:before="240" w:line="240" w:lineRule="auto"/>
        <w:rPr>
          <w:rFonts w:asciiTheme="minorHAnsi" w:eastAsia="SimSun" w:hAnsiTheme="minorHAnsi"/>
          <w:b/>
          <w:bCs/>
          <w:color w:val="000000"/>
          <w:sz w:val="20"/>
          <w:lang w:val="en-US" w:eastAsia="zh-CN"/>
        </w:rPr>
      </w:pPr>
      <w:r w:rsidRPr="008D0BEB">
        <w:rPr>
          <w:rFonts w:asciiTheme="minorHAnsi" w:eastAsia="MS PGothic" w:hAnsiTheme="minorHAnsi"/>
          <w:b/>
          <w:bCs/>
          <w:color w:val="000000"/>
          <w:sz w:val="20"/>
          <w:lang w:val="en-US"/>
        </w:rPr>
        <w:t xml:space="preserve">References </w:t>
      </w:r>
      <w:r w:rsidR="00162ACC">
        <w:rPr>
          <w:rFonts w:asciiTheme="minorHAnsi" w:eastAsia="MS PGothic" w:hAnsiTheme="minorHAnsi"/>
          <w:b/>
          <w:bCs/>
          <w:color w:val="000000"/>
          <w:sz w:val="20"/>
          <w:lang w:val="en-US"/>
        </w:rPr>
        <w:t xml:space="preserve"> </w:t>
      </w:r>
    </w:p>
    <w:p w:rsidR="00204240" w:rsidRPr="00204240" w:rsidRDefault="00162ACC" w:rsidP="00204240">
      <w:pPr>
        <w:pStyle w:val="EndNoteBibliography"/>
        <w:ind w:left="720" w:hanging="720"/>
      </w:pPr>
      <w:r>
        <w:rPr>
          <w:rFonts w:asciiTheme="minorHAnsi" w:eastAsia="SimSun" w:hAnsiTheme="minorHAnsi"/>
          <w:sz w:val="22"/>
          <w:szCs w:val="22"/>
          <w:lang w:eastAsia="zh-CN"/>
        </w:rPr>
        <w:fldChar w:fldCharType="begin"/>
      </w:r>
      <w:r>
        <w:rPr>
          <w:rFonts w:asciiTheme="minorHAnsi" w:eastAsia="SimSun" w:hAnsiTheme="minorHAnsi"/>
          <w:sz w:val="22"/>
          <w:szCs w:val="22"/>
          <w:lang w:eastAsia="zh-CN"/>
        </w:rPr>
        <w:instrText xml:space="preserve"> ADDIN EN.REFLIST </w:instrText>
      </w:r>
      <w:r>
        <w:rPr>
          <w:rFonts w:asciiTheme="minorHAnsi" w:eastAsia="SimSun" w:hAnsiTheme="minorHAnsi"/>
          <w:sz w:val="22"/>
          <w:szCs w:val="22"/>
          <w:lang w:eastAsia="zh-CN"/>
        </w:rPr>
        <w:fldChar w:fldCharType="separate"/>
      </w:r>
      <w:r w:rsidR="00204240" w:rsidRPr="00204240">
        <w:t>1.</w:t>
      </w:r>
      <w:r w:rsidR="00204240" w:rsidRPr="00204240">
        <w:tab/>
        <w:t xml:space="preserve">L. A. V. Ismael l Amghizar, Kevin M. Van Geem,Guy B. Marin, </w:t>
      </w:r>
      <w:r w:rsidR="00204240" w:rsidRPr="00204240">
        <w:rPr>
          <w:i/>
        </w:rPr>
        <w:t>Engineering</w:t>
      </w:r>
      <w:r w:rsidR="00204240" w:rsidRPr="00204240">
        <w:t xml:space="preserve">, </w:t>
      </w:r>
      <w:r w:rsidR="00204240" w:rsidRPr="00204240">
        <w:rPr>
          <w:b/>
        </w:rPr>
        <w:t>3</w:t>
      </w:r>
      <w:r w:rsidR="00204240" w:rsidRPr="00204240">
        <w:t>, 0-.</w:t>
      </w:r>
    </w:p>
    <w:p w:rsidR="00204240" w:rsidRPr="00204240" w:rsidRDefault="00204240" w:rsidP="00204240">
      <w:pPr>
        <w:pStyle w:val="EndNoteBibliography"/>
        <w:ind w:left="720" w:hanging="720"/>
      </w:pPr>
      <w:r w:rsidRPr="00204240">
        <w:t>2.</w:t>
      </w:r>
      <w:r w:rsidRPr="00204240">
        <w:tab/>
        <w:t xml:space="preserve">L. A. Vandewalle, I. Lengyel, D. H. West, K. M. Van Geem and G. B. Marin, </w:t>
      </w:r>
      <w:r w:rsidRPr="00204240">
        <w:rPr>
          <w:i/>
        </w:rPr>
        <w:t>Chemical Engineering Science</w:t>
      </w:r>
      <w:r w:rsidRPr="00204240">
        <w:t>, 2018, DOI: https://doi.org/10.1016/j.ces.2018.08.053.</w:t>
      </w:r>
    </w:p>
    <w:p w:rsidR="00204240" w:rsidRPr="00204240" w:rsidRDefault="00204240" w:rsidP="00204240">
      <w:pPr>
        <w:pStyle w:val="EndNoteBibliography"/>
        <w:ind w:left="720" w:hanging="720"/>
      </w:pPr>
      <w:r w:rsidRPr="00204240">
        <w:t>3.</w:t>
      </w:r>
      <w:r w:rsidRPr="00204240">
        <w:tab/>
        <w:t xml:space="preserve">A. Gonzalez-Quiroga, P. A. Reyniers, S. R. Kulkarni, M. M. Torregrosa, P. Perreault, G. J. Heynderickx, K. M. Van Geem and G. B. Marin, </w:t>
      </w:r>
      <w:r w:rsidRPr="00204240">
        <w:rPr>
          <w:i/>
        </w:rPr>
        <w:t>Chemical Engineering Journal</w:t>
      </w:r>
      <w:r w:rsidRPr="00204240">
        <w:t xml:space="preserve">, 2017, </w:t>
      </w:r>
      <w:r w:rsidRPr="00204240">
        <w:rPr>
          <w:b/>
        </w:rPr>
        <w:t>329</w:t>
      </w:r>
      <w:r w:rsidRPr="00204240">
        <w:t>, 198-210.</w:t>
      </w:r>
    </w:p>
    <w:p w:rsidR="00204240" w:rsidRPr="00204240" w:rsidRDefault="00204240" w:rsidP="00204240">
      <w:pPr>
        <w:pStyle w:val="EndNoteBibliography"/>
        <w:ind w:left="720" w:hanging="720"/>
      </w:pPr>
      <w:r w:rsidRPr="00204240">
        <w:t>4.</w:t>
      </w:r>
      <w:r w:rsidRPr="00204240">
        <w:tab/>
        <w:t xml:space="preserve">P. N. Kechagiopoulos, J. W. Thybaut and G. B. Marin, </w:t>
      </w:r>
      <w:r w:rsidRPr="00204240">
        <w:rPr>
          <w:i/>
        </w:rPr>
        <w:t>Industrial &amp; Engineering Chemistry Research</w:t>
      </w:r>
      <w:r w:rsidRPr="00204240">
        <w:t xml:space="preserve">, 2014, </w:t>
      </w:r>
      <w:r w:rsidRPr="00204240">
        <w:rPr>
          <w:b/>
        </w:rPr>
        <w:t>53</w:t>
      </w:r>
      <w:r w:rsidRPr="00204240">
        <w:t>, 1825-1840.</w:t>
      </w:r>
    </w:p>
    <w:p w:rsidR="00704BDF" w:rsidRPr="00704BDF" w:rsidRDefault="00162ACC"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r>
        <w:rPr>
          <w:rFonts w:asciiTheme="minorHAnsi" w:eastAsia="SimSun" w:hAnsiTheme="minorHAnsi"/>
          <w:sz w:val="22"/>
          <w:szCs w:val="22"/>
          <w:lang w:eastAsia="zh-CN"/>
        </w:rPr>
        <w:fldChar w:fldCharType="end"/>
      </w:r>
    </w:p>
    <w:sectPr w:rsidR="00704BDF" w:rsidRPr="00704BDF" w:rsidSect="002065DB">
      <w:type w:val="continuous"/>
      <w:pgSz w:w="11906" w:h="16838" w:code="9"/>
      <w:pgMar w:top="2552" w:right="1418" w:bottom="1134" w:left="1701" w:header="1128"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8D2" w:rsidRDefault="006A58D2" w:rsidP="004F5E36">
      <w:r>
        <w:separator/>
      </w:r>
    </w:p>
  </w:endnote>
  <w:endnote w:type="continuationSeparator" w:id="0">
    <w:p w:rsidR="006A58D2" w:rsidRDefault="006A58D2"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8D2" w:rsidRDefault="006A58D2" w:rsidP="004F5E36">
      <w:r>
        <w:separator/>
      </w:r>
    </w:p>
  </w:footnote>
  <w:footnote w:type="continuationSeparator" w:id="0">
    <w:p w:rsidR="006A58D2" w:rsidRDefault="006A58D2" w:rsidP="004F5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162" w:rsidRDefault="00594E9F">
    <w:pPr>
      <w:pStyle w:val="Header"/>
    </w:pPr>
    <w:r>
      <w:rPr>
        <w:noProof/>
        <w:lang w:val="en-US"/>
      </w:rPr>
      <mc:AlternateContent>
        <mc:Choice Requires="wps">
          <w:drawing>
            <wp:anchor distT="0" distB="0" distL="114300" distR="114300" simplePos="0" relativeHeight="251666432" behindDoc="0" locked="0" layoutInCell="1" allowOverlap="1" wp14:anchorId="32B6CC69" wp14:editId="29CCA16E">
              <wp:simplePos x="0" y="0"/>
              <wp:positionH relativeFrom="column">
                <wp:posOffset>19050</wp:posOffset>
              </wp:positionH>
              <wp:positionV relativeFrom="paragraph">
                <wp:posOffset>799465</wp:posOffset>
              </wp:positionV>
              <wp:extent cx="5581650" cy="0"/>
              <wp:effectExtent l="38100" t="38100" r="76200" b="95250"/>
              <wp:wrapNone/>
              <wp:docPr id="86" name="Connettore 1 86"/>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00206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6402DFF5" id="Connettore 1 8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62.95pt" to="441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" strokecolor="#002060" strokeweight="2pt">
              <v:shadow on="t" color="black" opacity="24903f" origin=",.5" offset="0,.55556mm"/>
            </v:line>
          </w:pict>
        </mc:Fallback>
      </mc:AlternateContent>
    </w:r>
    <w:r w:rsidR="004D1162">
      <w:rPr>
        <w:noProof/>
        <w:lang w:val="en-US"/>
      </w:rPr>
      <w:drawing>
        <wp:anchor distT="0" distB="0" distL="114300" distR="114300" simplePos="0" relativeHeight="251662336" behindDoc="0" locked="0" layoutInCell="1" allowOverlap="1" wp14:anchorId="47FBB032" wp14:editId="1DA35BB6">
          <wp:simplePos x="0" y="0"/>
          <wp:positionH relativeFrom="column">
            <wp:posOffset>28575</wp:posOffset>
          </wp:positionH>
          <wp:positionV relativeFrom="paragraph">
            <wp:posOffset>-208915</wp:posOffset>
          </wp:positionV>
          <wp:extent cx="1104900" cy="914153"/>
          <wp:effectExtent l="0" t="0" r="0" b="635"/>
          <wp:wrapNone/>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BDF" w:rsidRPr="00DE0019" w:rsidRDefault="00704BDF" w:rsidP="00704BDF">
    <w:pPr>
      <w:ind w:left="-426" w:right="-285"/>
      <w:jc w:val="center"/>
      <w:rPr>
        <w:rFonts w:asciiTheme="minorHAnsi" w:hAnsiTheme="minorHAnsi"/>
        <w:b/>
        <w:i/>
        <w:color w:val="002060"/>
        <w:sz w:val="24"/>
        <w:szCs w:val="24"/>
        <w:lang w:val="en-US"/>
      </w:rPr>
    </w:pPr>
    <w:r>
      <w:rPr>
        <w:noProof/>
        <w:lang w:val="en-US"/>
      </w:rPr>
      <w:drawing>
        <wp:anchor distT="0" distB="0" distL="114300" distR="114300" simplePos="0" relativeHeight="251659264" behindDoc="0" locked="0" layoutInCell="1" allowOverlap="1" wp14:anchorId="22E5C9AD" wp14:editId="6476C65D">
          <wp:simplePos x="0" y="0"/>
          <wp:positionH relativeFrom="column">
            <wp:posOffset>142875</wp:posOffset>
          </wp:positionH>
          <wp:positionV relativeFrom="paragraph">
            <wp:posOffset>-144780</wp:posOffset>
          </wp:positionV>
          <wp:extent cx="1104900" cy="914153"/>
          <wp:effectExtent l="0" t="0" r="0" b="635"/>
          <wp:wrapNone/>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r>
      <w:rPr>
        <w:b/>
        <w:i/>
        <w:color w:val="8A046D"/>
        <w:sz w:val="28"/>
        <w:szCs w:val="28"/>
      </w:rPr>
      <w:t xml:space="preserve">           </w:t>
    </w:r>
    <w:r w:rsidR="00DE0019" w:rsidRPr="00DE0019">
      <w:rPr>
        <w:rFonts w:asciiTheme="minorHAnsi" w:hAnsiTheme="minorHAnsi"/>
        <w:b/>
        <w:i/>
        <w:color w:val="002060"/>
        <w:sz w:val="24"/>
        <w:szCs w:val="24"/>
        <w:lang w:val="en-US"/>
      </w:rPr>
      <w:t>ECCE12</w:t>
    </w:r>
    <w:r w:rsidRPr="00DE0019">
      <w:rPr>
        <w:rFonts w:asciiTheme="minorHAnsi" w:hAnsiTheme="minorHAnsi"/>
        <w:b/>
        <w:i/>
        <w:color w:val="002060"/>
        <w:sz w:val="24"/>
        <w:szCs w:val="24"/>
        <w:lang w:val="en-US"/>
      </w:rPr>
      <w:br/>
      <w:t xml:space="preserve">                              The </w:t>
    </w:r>
    <w:r w:rsidR="00DE0019" w:rsidRPr="00DE0019">
      <w:rPr>
        <w:rFonts w:asciiTheme="minorHAnsi" w:hAnsiTheme="minorHAnsi"/>
        <w:b/>
        <w:i/>
        <w:color w:val="002060"/>
        <w:sz w:val="24"/>
        <w:szCs w:val="24"/>
        <w:lang w:val="en-US"/>
      </w:rPr>
      <w:t>12</w:t>
    </w:r>
    <w:r w:rsidRPr="00DE0019">
      <w:rPr>
        <w:rFonts w:asciiTheme="minorHAnsi" w:hAnsiTheme="minorHAnsi"/>
        <w:b/>
        <w:i/>
        <w:color w:val="002060"/>
        <w:sz w:val="24"/>
        <w:szCs w:val="24"/>
        <w:vertAlign w:val="superscript"/>
        <w:lang w:val="en-US"/>
      </w:rPr>
      <w:t>th</w:t>
    </w:r>
    <w:r w:rsidR="00DE0019" w:rsidRPr="00DE0019">
      <w:rPr>
        <w:rFonts w:asciiTheme="minorHAnsi" w:hAnsiTheme="minorHAnsi"/>
        <w:b/>
        <w:i/>
        <w:color w:val="002060"/>
        <w:sz w:val="24"/>
        <w:szCs w:val="24"/>
        <w:vertAlign w:val="superscript"/>
        <w:lang w:val="en-US"/>
      </w:rPr>
      <w:t xml:space="preserve"> </w:t>
    </w:r>
    <w:r w:rsidRPr="00DE0019">
      <w:rPr>
        <w:rFonts w:asciiTheme="minorHAnsi" w:hAnsiTheme="minorHAnsi"/>
        <w:b/>
        <w:i/>
        <w:color w:val="002060"/>
        <w:sz w:val="24"/>
        <w:szCs w:val="24"/>
        <w:lang w:val="en-US"/>
      </w:rPr>
      <w:t xml:space="preserve">EUROPEAN CONGRESS OF </w:t>
    </w:r>
    <w:r w:rsidR="00DE0019" w:rsidRPr="00DE0019">
      <w:rPr>
        <w:rFonts w:asciiTheme="minorHAnsi" w:hAnsiTheme="minorHAnsi"/>
        <w:b/>
        <w:i/>
        <w:color w:val="002060"/>
        <w:sz w:val="24"/>
        <w:szCs w:val="24"/>
        <w:lang w:val="en-US"/>
      </w:rPr>
      <w:t>CHEMICAL ENGINEERING</w:t>
    </w:r>
    <w:r w:rsidRPr="00DE0019">
      <w:rPr>
        <w:rFonts w:asciiTheme="minorHAnsi" w:hAnsiTheme="minorHAnsi"/>
        <w:b/>
        <w:i/>
        <w:color w:val="002060"/>
        <w:sz w:val="24"/>
        <w:szCs w:val="24"/>
        <w:lang w:val="en-US"/>
      </w:rPr>
      <w:br/>
      <w:t xml:space="preserve">                               Florence 15-19 September 201</w:t>
    </w:r>
    <w:r w:rsidR="00EA50E1" w:rsidRPr="00DE0019">
      <w:rPr>
        <w:rFonts w:asciiTheme="minorHAnsi" w:hAnsiTheme="minorHAnsi"/>
        <w:b/>
        <w:i/>
        <w:color w:val="002060"/>
        <w:sz w:val="24"/>
        <w:szCs w:val="24"/>
        <w:lang w:val="en-US"/>
      </w:rPr>
      <w:t>9</w:t>
    </w:r>
  </w:p>
  <w:p w:rsidR="00704BDF" w:rsidRDefault="00704BDF">
    <w:pPr>
      <w:pStyle w:val="Header"/>
    </w:pPr>
  </w:p>
  <w:p w:rsidR="00704BDF" w:rsidRDefault="00704BDF">
    <w:pPr>
      <w:pStyle w:val="Heade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128270</wp:posOffset>
              </wp:positionH>
              <wp:positionV relativeFrom="paragraph">
                <wp:posOffset>76200</wp:posOffset>
              </wp:positionV>
              <wp:extent cx="5581650" cy="0"/>
              <wp:effectExtent l="38100" t="38100" r="76200" b="95250"/>
              <wp:wrapNone/>
              <wp:docPr id="12" name="Connettore 1 12"/>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00206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274280B6" id="Connettore 1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pt,6pt" to="44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" strokecolor="#002060" strokeweight="2pt">
              <v:shadow on="t" color="black" opacity="24903f" origin=",.5" offset="0,.55556m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D77DAC"/>
    <w:multiLevelType w:val="hybridMultilevel"/>
    <w:tmpl w:val="BA9C7924"/>
    <w:lvl w:ilvl="0" w:tplc="F81E504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2438217E"/>
    <w:multiLevelType w:val="multilevel"/>
    <w:tmpl w:val="0784B0C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51E0394"/>
    <w:multiLevelType w:val="hybridMultilevel"/>
    <w:tmpl w:val="ED14CA0C"/>
    <w:lvl w:ilvl="0" w:tplc="B13489D8">
      <w:start w:val="1"/>
      <w:numFmt w:val="bullet"/>
      <w:pStyle w:val="CETnumberingbullets"/>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865266D"/>
    <w:multiLevelType w:val="hybridMultilevel"/>
    <w:tmpl w:val="7AB4E1CE"/>
    <w:lvl w:ilvl="0" w:tplc="33FE03FA">
      <w:start w:val="1"/>
      <w:numFmt w:val="lowerLetter"/>
      <w:pStyle w:val="CETnumberinga"/>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90A4DF9"/>
    <w:multiLevelType w:val="hybridMultilevel"/>
    <w:tmpl w:val="3322F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2"/>
  </w:num>
  <w:num w:numId="14">
    <w:abstractNumId w:val="14"/>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reen Chemistry&lt;/Style&gt;&lt;LeftDelim&gt;{&lt;/LeftDelim&gt;&lt;RightDelim&gt;}&lt;/RightDelim&gt;&lt;FontName&gt;Times&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tdzr5r8tvszhezvxyx9w98ee5axp25faar&quot;&gt;My EndNote Library&lt;record-ids&gt;&lt;item&gt;4540&lt;/item&gt;&lt;item&gt;4569&lt;/item&gt;&lt;item&gt;4668&lt;/item&gt;&lt;item&gt;4889&lt;/item&gt;&lt;/record-ids&gt;&lt;/item&gt;&lt;/Libraries&gt;"/>
  </w:docVars>
  <w:rsids>
    <w:rsidRoot w:val="000E414A"/>
    <w:rsid w:val="000027C0"/>
    <w:rsid w:val="000117CB"/>
    <w:rsid w:val="00020109"/>
    <w:rsid w:val="0003148D"/>
    <w:rsid w:val="00062A9A"/>
    <w:rsid w:val="000A03B2"/>
    <w:rsid w:val="000D34BE"/>
    <w:rsid w:val="000E36F1"/>
    <w:rsid w:val="000E3A73"/>
    <w:rsid w:val="000E414A"/>
    <w:rsid w:val="0013121F"/>
    <w:rsid w:val="00134DE4"/>
    <w:rsid w:val="00150E59"/>
    <w:rsid w:val="00162ACC"/>
    <w:rsid w:val="00184AD6"/>
    <w:rsid w:val="001B65C1"/>
    <w:rsid w:val="001C684B"/>
    <w:rsid w:val="001D53FC"/>
    <w:rsid w:val="001F2EC7"/>
    <w:rsid w:val="00204240"/>
    <w:rsid w:val="002065DB"/>
    <w:rsid w:val="002447EF"/>
    <w:rsid w:val="00251550"/>
    <w:rsid w:val="0027221A"/>
    <w:rsid w:val="00275B61"/>
    <w:rsid w:val="00291F23"/>
    <w:rsid w:val="002D1F12"/>
    <w:rsid w:val="003009B7"/>
    <w:rsid w:val="0030469C"/>
    <w:rsid w:val="003723D4"/>
    <w:rsid w:val="003A7D1C"/>
    <w:rsid w:val="0046164A"/>
    <w:rsid w:val="00462DCD"/>
    <w:rsid w:val="004D1162"/>
    <w:rsid w:val="004E4DD6"/>
    <w:rsid w:val="004F5E36"/>
    <w:rsid w:val="005119A5"/>
    <w:rsid w:val="005278B7"/>
    <w:rsid w:val="005346C8"/>
    <w:rsid w:val="00594E9F"/>
    <w:rsid w:val="005B61E6"/>
    <w:rsid w:val="005C77E1"/>
    <w:rsid w:val="005D6A2F"/>
    <w:rsid w:val="005E1A82"/>
    <w:rsid w:val="005F0A28"/>
    <w:rsid w:val="005F0E5E"/>
    <w:rsid w:val="00620DEE"/>
    <w:rsid w:val="00625639"/>
    <w:rsid w:val="0064184D"/>
    <w:rsid w:val="00660E3E"/>
    <w:rsid w:val="00662E74"/>
    <w:rsid w:val="006A58D2"/>
    <w:rsid w:val="006C5579"/>
    <w:rsid w:val="00704BDF"/>
    <w:rsid w:val="00736B13"/>
    <w:rsid w:val="007447F3"/>
    <w:rsid w:val="007661C8"/>
    <w:rsid w:val="007D52CD"/>
    <w:rsid w:val="00813288"/>
    <w:rsid w:val="008168FC"/>
    <w:rsid w:val="008479A2"/>
    <w:rsid w:val="0087637F"/>
    <w:rsid w:val="008A1512"/>
    <w:rsid w:val="008D0BEB"/>
    <w:rsid w:val="008E566E"/>
    <w:rsid w:val="00901EB6"/>
    <w:rsid w:val="009450CE"/>
    <w:rsid w:val="0095164B"/>
    <w:rsid w:val="00996483"/>
    <w:rsid w:val="009E788A"/>
    <w:rsid w:val="00A1763D"/>
    <w:rsid w:val="00A17CEC"/>
    <w:rsid w:val="00A27EF0"/>
    <w:rsid w:val="00A76EFC"/>
    <w:rsid w:val="00A9626B"/>
    <w:rsid w:val="00A97F29"/>
    <w:rsid w:val="00AB0964"/>
    <w:rsid w:val="00AE377D"/>
    <w:rsid w:val="00B61DBF"/>
    <w:rsid w:val="00BC30C9"/>
    <w:rsid w:val="00BE3E58"/>
    <w:rsid w:val="00C01616"/>
    <w:rsid w:val="00C0162B"/>
    <w:rsid w:val="00C345B1"/>
    <w:rsid w:val="00C40142"/>
    <w:rsid w:val="00C57182"/>
    <w:rsid w:val="00C655FD"/>
    <w:rsid w:val="00C867B1"/>
    <w:rsid w:val="00C94434"/>
    <w:rsid w:val="00CA1C95"/>
    <w:rsid w:val="00CA5A9C"/>
    <w:rsid w:val="00CD5FE2"/>
    <w:rsid w:val="00D02B4C"/>
    <w:rsid w:val="00D84576"/>
    <w:rsid w:val="00DE0019"/>
    <w:rsid w:val="00DE264A"/>
    <w:rsid w:val="00E041E7"/>
    <w:rsid w:val="00E23CA1"/>
    <w:rsid w:val="00E409A8"/>
    <w:rsid w:val="00E7209D"/>
    <w:rsid w:val="00EA50E1"/>
    <w:rsid w:val="00EE0131"/>
    <w:rsid w:val="00F30C64"/>
    <w:rsid w:val="00FB730C"/>
    <w:rsid w:val="00FC2695"/>
    <w:rsid w:val="00FC3E03"/>
    <w:rsid w:val="00FE6A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A392649-00D9-457E-A53F-1DA297A7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semiHidden="1" w:unhideWhenUsed="1"/>
    <w:lsdException w:name="Outline List 3" w:semiHidden="1" w:unhideWhenUsed="1"/>
    <w:lsdException w:name="Table Simple 1" w:semiHidden="1" w:uiPriority="0" w:unhideWhenUsed="1"/>
    <w:lsdException w:name="Table Simple 2" w:locked="1" w:semiHidden="1" w:unhideWhenUsed="1"/>
    <w:lsdException w:name="Table Simple 3" w:locked="1" w:semiHidden="1" w:unhideWhenUsed="1"/>
    <w:lsdException w:name="Table Classic 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uiPriority="29"/>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locked/>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locked/>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locked/>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locked/>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locked/>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locked/>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locked/>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locked/>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rsid w:val="009E788A"/>
    <w:pPr>
      <w:keepNext/>
      <w:numPr>
        <w:ilvl w:val="2"/>
        <w:numId w:val="1"/>
      </w:numPr>
      <w:suppressAutoHyphens/>
      <w:spacing w:before="120" w:line="240" w:lineRule="auto"/>
    </w:pPr>
    <w:rPr>
      <w:rFonts w:ascii="Arial" w:eastAsia="Times New Roman" w:hAnsi="Arial" w:cs="Times New Roman"/>
      <w:b/>
      <w:sz w:val="18"/>
      <w:szCs w:val="20"/>
      <w:lang w:val="en-US"/>
    </w:rPr>
  </w:style>
  <w:style w:type="paragraph" w:customStyle="1" w:styleId="CETAddress">
    <w:name w:val="CET Address"/>
    <w:link w:val="CETAddressCarattere"/>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locked/>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rsid w:val="00FC2695"/>
    <w:pPr>
      <w:spacing w:before="200" w:after="120" w:line="240" w:lineRule="auto"/>
    </w:pPr>
    <w:rPr>
      <w:rFonts w:ascii="Arial" w:eastAsia="Times New Roman" w:hAnsi="Arial" w:cs="Times New Roman"/>
      <w:b/>
      <w:sz w:val="18"/>
      <w:szCs w:val="20"/>
      <w:lang w:val="en-GB"/>
    </w:rPr>
  </w:style>
  <w:style w:type="paragraph" w:customStyle="1" w:styleId="CETReference-text">
    <w:name w:val="CET Reference-text"/>
    <w:rsid w:val="009E788A"/>
    <w:pPr>
      <w:spacing w:after="0" w:line="264" w:lineRule="auto"/>
      <w:ind w:left="284" w:hanging="284"/>
      <w:jc w:val="both"/>
    </w:pPr>
    <w:rPr>
      <w:rFonts w:ascii="Arial" w:eastAsia="Times New Roman" w:hAnsi="Arial" w:cs="Times New Roman"/>
      <w:sz w:val="18"/>
      <w:szCs w:val="20"/>
      <w:lang w:val="en-GB"/>
    </w:rPr>
  </w:style>
  <w:style w:type="paragraph" w:customStyle="1" w:styleId="CETCaption">
    <w:name w:val="CET Caption"/>
    <w:link w:val="CETCaptionCarattere"/>
    <w:rsid w:val="009E788A"/>
    <w:pPr>
      <w:spacing w:before="240" w:after="240" w:line="264" w:lineRule="auto"/>
      <w:jc w:val="both"/>
    </w:pPr>
    <w:rPr>
      <w:rFonts w:ascii="Arial" w:eastAsia="Times New Roman" w:hAnsi="Arial" w:cs="Times New Roman"/>
      <w:i/>
      <w:sz w:val="18"/>
      <w:szCs w:val="20"/>
      <w:lang w:val="en-GB"/>
    </w:rPr>
  </w:style>
  <w:style w:type="paragraph" w:customStyle="1" w:styleId="CET-table-title">
    <w:name w:val="CET-table-title"/>
    <w:rsid w:val="000E414A"/>
    <w:pPr>
      <w:keepNext/>
      <w:spacing w:before="240" w:after="80" w:line="240" w:lineRule="exact"/>
    </w:pPr>
    <w:rPr>
      <w:rFonts w:ascii="Arial" w:eastAsia="Times New Roman" w:hAnsi="Arial" w:cs="Times New Roman"/>
      <w:i/>
      <w:sz w:val="18"/>
      <w:szCs w:val="20"/>
      <w:lang w:val="en-US"/>
    </w:rPr>
  </w:style>
  <w:style w:type="character" w:customStyle="1" w:styleId="CETheadingxCarattere">
    <w:name w:val="CET headingx Carattere"/>
    <w:link w:val="CETheadingx"/>
    <w:rsid w:val="009E788A"/>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paragraph" w:customStyle="1" w:styleId="CETAcknowledgements">
    <w:name w:val="CET_Acknowledgements"/>
    <w:next w:val="CETBodytext"/>
    <w:qFormat/>
    <w:rsid w:val="00FC2695"/>
    <w:pPr>
      <w:spacing w:before="200" w:after="120"/>
    </w:pPr>
    <w:rPr>
      <w:rFonts w:ascii="Arial" w:eastAsia="Times New Roman" w:hAnsi="Arial" w:cs="Times New Roman"/>
      <w:b/>
      <w:sz w:val="18"/>
      <w:szCs w:val="20"/>
      <w:lang w:val="en-GB"/>
    </w:rPr>
  </w:style>
  <w:style w:type="paragraph" w:styleId="BalloonText">
    <w:name w:val="Balloon Text"/>
    <w:basedOn w:val="Normal"/>
    <w:link w:val="BalloonTextChar"/>
    <w:uiPriority w:val="99"/>
    <w:semiHidden/>
    <w:unhideWhenUsed/>
    <w:lock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Normal"/>
    <w:next w:val="Normal"/>
    <w:uiPriority w:val="37"/>
    <w:semiHidden/>
    <w:unhideWhenUsed/>
    <w:rsid w:val="0003148D"/>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lock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nhideWhenUsed/>
    <w:qFormat/>
    <w:locked/>
    <w:rsid w:val="0003148D"/>
    <w:pPr>
      <w:spacing w:line="240" w:lineRule="auto"/>
    </w:pPr>
    <w:rPr>
      <w:b/>
      <w:bCs/>
      <w:color w:val="4F81BD" w:themeColor="accent1"/>
      <w:szCs w:val="18"/>
    </w:rPr>
  </w:style>
  <w:style w:type="paragraph" w:styleId="List">
    <w:name w:val="List"/>
    <w:basedOn w:val="Normal"/>
    <w:uiPriority w:val="99"/>
    <w:semiHidden/>
    <w:unhideWhenUsed/>
    <w:locked/>
    <w:rsid w:val="0003148D"/>
    <w:pPr>
      <w:ind w:left="283" w:hanging="283"/>
      <w:contextualSpacing/>
    </w:pPr>
  </w:style>
  <w:style w:type="paragraph" w:styleId="List2">
    <w:name w:val="List 2"/>
    <w:basedOn w:val="Normal"/>
    <w:uiPriority w:val="99"/>
    <w:semiHidden/>
    <w:unhideWhenUsed/>
    <w:locked/>
    <w:rsid w:val="0003148D"/>
    <w:pPr>
      <w:ind w:left="566" w:hanging="283"/>
      <w:contextualSpacing/>
    </w:pPr>
  </w:style>
  <w:style w:type="paragraph" w:styleId="List3">
    <w:name w:val="List 3"/>
    <w:basedOn w:val="Normal"/>
    <w:uiPriority w:val="99"/>
    <w:semiHidden/>
    <w:unhideWhenUsed/>
    <w:locked/>
    <w:rsid w:val="0003148D"/>
    <w:pPr>
      <w:ind w:left="849" w:hanging="283"/>
      <w:contextualSpacing/>
    </w:pPr>
  </w:style>
  <w:style w:type="paragraph" w:styleId="List4">
    <w:name w:val="List 4"/>
    <w:basedOn w:val="Normal"/>
    <w:uiPriority w:val="99"/>
    <w:semiHidden/>
    <w:unhideWhenUsed/>
    <w:locked/>
    <w:rsid w:val="0003148D"/>
    <w:pPr>
      <w:ind w:left="1132" w:hanging="283"/>
      <w:contextualSpacing/>
    </w:pPr>
  </w:style>
  <w:style w:type="paragraph" w:styleId="List5">
    <w:name w:val="List 5"/>
    <w:basedOn w:val="Normal"/>
    <w:uiPriority w:val="99"/>
    <w:semiHidden/>
    <w:unhideWhenUsed/>
    <w:locked/>
    <w:rsid w:val="0003148D"/>
    <w:pPr>
      <w:ind w:left="1415" w:hanging="283"/>
      <w:contextualSpacing/>
    </w:pPr>
  </w:style>
  <w:style w:type="paragraph" w:styleId="ListContinue">
    <w:name w:val="List Continue"/>
    <w:basedOn w:val="Normal"/>
    <w:uiPriority w:val="99"/>
    <w:semiHidden/>
    <w:unhideWhenUsed/>
    <w:locked/>
    <w:rsid w:val="0003148D"/>
    <w:pPr>
      <w:spacing w:after="120"/>
      <w:ind w:left="283"/>
      <w:contextualSpacing/>
    </w:pPr>
  </w:style>
  <w:style w:type="paragraph" w:styleId="ListContinue2">
    <w:name w:val="List Continue 2"/>
    <w:basedOn w:val="Normal"/>
    <w:uiPriority w:val="99"/>
    <w:semiHidden/>
    <w:unhideWhenUsed/>
    <w:locked/>
    <w:rsid w:val="0003148D"/>
    <w:pPr>
      <w:spacing w:after="120"/>
      <w:ind w:left="566"/>
      <w:contextualSpacing/>
    </w:pPr>
  </w:style>
  <w:style w:type="paragraph" w:styleId="ListContinue3">
    <w:name w:val="List Continue 3"/>
    <w:basedOn w:val="Normal"/>
    <w:uiPriority w:val="99"/>
    <w:semiHidden/>
    <w:unhideWhenUsed/>
    <w:locked/>
    <w:rsid w:val="0003148D"/>
    <w:pPr>
      <w:spacing w:after="120"/>
      <w:ind w:left="849"/>
      <w:contextualSpacing/>
    </w:pPr>
  </w:style>
  <w:style w:type="paragraph" w:styleId="ListContinue4">
    <w:name w:val="List Continue 4"/>
    <w:basedOn w:val="Normal"/>
    <w:uiPriority w:val="99"/>
    <w:semiHidden/>
    <w:unhideWhenUsed/>
    <w:locked/>
    <w:rsid w:val="0003148D"/>
    <w:pPr>
      <w:spacing w:after="120"/>
      <w:ind w:left="1132"/>
      <w:contextualSpacing/>
    </w:pPr>
  </w:style>
  <w:style w:type="paragraph" w:styleId="ListContinue5">
    <w:name w:val="List Continue 5"/>
    <w:basedOn w:val="Normal"/>
    <w:uiPriority w:val="99"/>
    <w:semiHidden/>
    <w:unhideWhenUsed/>
    <w:locked/>
    <w:rsid w:val="0003148D"/>
    <w:pPr>
      <w:spacing w:after="120"/>
      <w:ind w:left="1415"/>
      <w:contextualSpacing/>
    </w:pPr>
  </w:style>
  <w:style w:type="paragraph" w:styleId="Signature">
    <w:name w:val="Signature"/>
    <w:basedOn w:val="Normal"/>
    <w:link w:val="SignatureChar"/>
    <w:uiPriority w:val="99"/>
    <w:semiHidden/>
    <w:unhideWhenUsed/>
    <w:lock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lock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lock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lock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locked/>
    <w:rsid w:val="0003148D"/>
    <w:pPr>
      <w:spacing w:line="240" w:lineRule="auto"/>
      <w:ind w:left="220" w:hanging="220"/>
    </w:pPr>
  </w:style>
  <w:style w:type="paragraph" w:styleId="Index2">
    <w:name w:val="index 2"/>
    <w:basedOn w:val="Normal"/>
    <w:next w:val="Normal"/>
    <w:autoRedefine/>
    <w:uiPriority w:val="99"/>
    <w:semiHidden/>
    <w:unhideWhenUsed/>
    <w:locked/>
    <w:rsid w:val="0003148D"/>
    <w:pPr>
      <w:spacing w:line="240" w:lineRule="auto"/>
      <w:ind w:left="440" w:hanging="220"/>
    </w:pPr>
  </w:style>
  <w:style w:type="paragraph" w:styleId="Index3">
    <w:name w:val="index 3"/>
    <w:basedOn w:val="Normal"/>
    <w:next w:val="Normal"/>
    <w:autoRedefine/>
    <w:uiPriority w:val="99"/>
    <w:semiHidden/>
    <w:unhideWhenUsed/>
    <w:locked/>
    <w:rsid w:val="0003148D"/>
    <w:pPr>
      <w:spacing w:line="240" w:lineRule="auto"/>
      <w:ind w:left="660" w:hanging="220"/>
    </w:pPr>
  </w:style>
  <w:style w:type="paragraph" w:styleId="Index4">
    <w:name w:val="index 4"/>
    <w:basedOn w:val="Normal"/>
    <w:next w:val="Normal"/>
    <w:autoRedefine/>
    <w:uiPriority w:val="99"/>
    <w:semiHidden/>
    <w:unhideWhenUsed/>
    <w:locked/>
    <w:rsid w:val="0003148D"/>
    <w:pPr>
      <w:spacing w:line="240" w:lineRule="auto"/>
      <w:ind w:left="880" w:hanging="220"/>
    </w:pPr>
  </w:style>
  <w:style w:type="paragraph" w:styleId="Index5">
    <w:name w:val="index 5"/>
    <w:basedOn w:val="Normal"/>
    <w:next w:val="Normal"/>
    <w:autoRedefine/>
    <w:uiPriority w:val="99"/>
    <w:semiHidden/>
    <w:unhideWhenUsed/>
    <w:locked/>
    <w:rsid w:val="0003148D"/>
    <w:pPr>
      <w:spacing w:line="240" w:lineRule="auto"/>
      <w:ind w:left="1100" w:hanging="220"/>
    </w:pPr>
  </w:style>
  <w:style w:type="paragraph" w:styleId="Index6">
    <w:name w:val="index 6"/>
    <w:basedOn w:val="Normal"/>
    <w:next w:val="Normal"/>
    <w:autoRedefine/>
    <w:uiPriority w:val="99"/>
    <w:semiHidden/>
    <w:unhideWhenUsed/>
    <w:locked/>
    <w:rsid w:val="0003148D"/>
    <w:pPr>
      <w:spacing w:line="240" w:lineRule="auto"/>
      <w:ind w:left="1320" w:hanging="220"/>
    </w:pPr>
  </w:style>
  <w:style w:type="paragraph" w:styleId="Index7">
    <w:name w:val="index 7"/>
    <w:basedOn w:val="Normal"/>
    <w:next w:val="Normal"/>
    <w:autoRedefine/>
    <w:uiPriority w:val="99"/>
    <w:semiHidden/>
    <w:unhideWhenUsed/>
    <w:locked/>
    <w:rsid w:val="0003148D"/>
    <w:pPr>
      <w:spacing w:line="240" w:lineRule="auto"/>
      <w:ind w:left="1540" w:hanging="220"/>
    </w:pPr>
  </w:style>
  <w:style w:type="paragraph" w:styleId="Index8">
    <w:name w:val="index 8"/>
    <w:basedOn w:val="Normal"/>
    <w:next w:val="Normal"/>
    <w:autoRedefine/>
    <w:uiPriority w:val="99"/>
    <w:semiHidden/>
    <w:unhideWhenUsed/>
    <w:locked/>
    <w:rsid w:val="0003148D"/>
    <w:pPr>
      <w:spacing w:line="240" w:lineRule="auto"/>
      <w:ind w:left="1760" w:hanging="220"/>
    </w:pPr>
  </w:style>
  <w:style w:type="paragraph" w:styleId="Index9">
    <w:name w:val="index 9"/>
    <w:basedOn w:val="Normal"/>
    <w:next w:val="Normal"/>
    <w:autoRedefine/>
    <w:uiPriority w:val="99"/>
    <w:semiHidden/>
    <w:unhideWhenUsed/>
    <w:locked/>
    <w:rsid w:val="0003148D"/>
    <w:pPr>
      <w:spacing w:line="240" w:lineRule="auto"/>
      <w:ind w:left="1980" w:hanging="220"/>
    </w:pPr>
  </w:style>
  <w:style w:type="paragraph" w:styleId="TableofFigures">
    <w:name w:val="table of figures"/>
    <w:basedOn w:val="Normal"/>
    <w:next w:val="Normal"/>
    <w:uiPriority w:val="99"/>
    <w:semiHidden/>
    <w:unhideWhenUsed/>
    <w:locked/>
    <w:rsid w:val="0003148D"/>
  </w:style>
  <w:style w:type="paragraph" w:styleId="TableofAuthorities">
    <w:name w:val="table of authorities"/>
    <w:basedOn w:val="Normal"/>
    <w:next w:val="Normal"/>
    <w:uiPriority w:val="99"/>
    <w:semiHidden/>
    <w:unhideWhenUsed/>
    <w:locked/>
    <w:rsid w:val="0003148D"/>
    <w:pPr>
      <w:ind w:left="220" w:hanging="220"/>
    </w:pPr>
  </w:style>
  <w:style w:type="paragraph" w:styleId="EnvelopeAddress">
    <w:name w:val="envelope address"/>
    <w:basedOn w:val="Normal"/>
    <w:uiPriority w:val="99"/>
    <w:semiHidden/>
    <w:unhideWhenUsed/>
    <w:lock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lock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lock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lock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lock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lock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locked/>
    <w:rsid w:val="0003148D"/>
    <w:rPr>
      <w:sz w:val="24"/>
      <w:szCs w:val="24"/>
    </w:rPr>
  </w:style>
  <w:style w:type="paragraph" w:styleId="ListNumber">
    <w:name w:val="List Number"/>
    <w:basedOn w:val="Normal"/>
    <w:uiPriority w:val="99"/>
    <w:semiHidden/>
    <w:unhideWhenUsed/>
    <w:locked/>
    <w:rsid w:val="0003148D"/>
    <w:pPr>
      <w:numPr>
        <w:numId w:val="2"/>
      </w:numPr>
      <w:contextualSpacing/>
    </w:pPr>
  </w:style>
  <w:style w:type="paragraph" w:styleId="ListNumber2">
    <w:name w:val="List Number 2"/>
    <w:basedOn w:val="Normal"/>
    <w:uiPriority w:val="99"/>
    <w:semiHidden/>
    <w:unhideWhenUsed/>
    <w:locked/>
    <w:rsid w:val="0003148D"/>
    <w:pPr>
      <w:numPr>
        <w:numId w:val="3"/>
      </w:numPr>
      <w:contextualSpacing/>
    </w:pPr>
  </w:style>
  <w:style w:type="paragraph" w:styleId="ListNumber3">
    <w:name w:val="List Number 3"/>
    <w:basedOn w:val="Normal"/>
    <w:uiPriority w:val="99"/>
    <w:semiHidden/>
    <w:unhideWhenUsed/>
    <w:locked/>
    <w:rsid w:val="0003148D"/>
    <w:pPr>
      <w:numPr>
        <w:numId w:val="4"/>
      </w:numPr>
      <w:contextualSpacing/>
    </w:pPr>
  </w:style>
  <w:style w:type="paragraph" w:styleId="ListNumber4">
    <w:name w:val="List Number 4"/>
    <w:basedOn w:val="Normal"/>
    <w:uiPriority w:val="99"/>
    <w:semiHidden/>
    <w:unhideWhenUsed/>
    <w:locked/>
    <w:rsid w:val="0003148D"/>
    <w:pPr>
      <w:numPr>
        <w:numId w:val="5"/>
      </w:numPr>
      <w:contextualSpacing/>
    </w:pPr>
  </w:style>
  <w:style w:type="paragraph" w:styleId="ListNumber5">
    <w:name w:val="List Number 5"/>
    <w:basedOn w:val="Normal"/>
    <w:uiPriority w:val="99"/>
    <w:semiHidden/>
    <w:unhideWhenUsed/>
    <w:locked/>
    <w:rsid w:val="0003148D"/>
    <w:pPr>
      <w:numPr>
        <w:numId w:val="6"/>
      </w:numPr>
      <w:contextualSpacing/>
    </w:pPr>
  </w:style>
  <w:style w:type="paragraph" w:styleId="HTMLPreformatted">
    <w:name w:val="HTML Preformatted"/>
    <w:basedOn w:val="Normal"/>
    <w:link w:val="HTMLPreformattedChar"/>
    <w:uiPriority w:val="99"/>
    <w:semiHidden/>
    <w:unhideWhenUsed/>
    <w:lock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lock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lock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lock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locked/>
    <w:rsid w:val="0003148D"/>
    <w:pPr>
      <w:numPr>
        <w:numId w:val="7"/>
      </w:numPr>
      <w:contextualSpacing/>
    </w:pPr>
  </w:style>
  <w:style w:type="paragraph" w:styleId="ListBullet2">
    <w:name w:val="List Bullet 2"/>
    <w:basedOn w:val="Normal"/>
    <w:uiPriority w:val="99"/>
    <w:semiHidden/>
    <w:unhideWhenUsed/>
    <w:locked/>
    <w:rsid w:val="0003148D"/>
    <w:pPr>
      <w:numPr>
        <w:numId w:val="8"/>
      </w:numPr>
      <w:contextualSpacing/>
    </w:pPr>
  </w:style>
  <w:style w:type="paragraph" w:styleId="ListBullet3">
    <w:name w:val="List Bullet 3"/>
    <w:basedOn w:val="Normal"/>
    <w:uiPriority w:val="99"/>
    <w:semiHidden/>
    <w:unhideWhenUsed/>
    <w:locked/>
    <w:rsid w:val="0003148D"/>
    <w:pPr>
      <w:numPr>
        <w:numId w:val="9"/>
      </w:numPr>
      <w:contextualSpacing/>
    </w:pPr>
  </w:style>
  <w:style w:type="paragraph" w:styleId="ListBullet4">
    <w:name w:val="List Bullet 4"/>
    <w:basedOn w:val="Normal"/>
    <w:uiPriority w:val="99"/>
    <w:semiHidden/>
    <w:unhideWhenUsed/>
    <w:locked/>
    <w:rsid w:val="0003148D"/>
    <w:pPr>
      <w:numPr>
        <w:numId w:val="10"/>
      </w:numPr>
      <w:contextualSpacing/>
    </w:pPr>
  </w:style>
  <w:style w:type="paragraph" w:styleId="ListBullet5">
    <w:name w:val="List Bullet 5"/>
    <w:basedOn w:val="Normal"/>
    <w:uiPriority w:val="99"/>
    <w:semiHidden/>
    <w:unhideWhenUsed/>
    <w:locked/>
    <w:rsid w:val="0003148D"/>
    <w:pPr>
      <w:numPr>
        <w:numId w:val="11"/>
      </w:numPr>
      <w:contextualSpacing/>
    </w:pPr>
  </w:style>
  <w:style w:type="paragraph" w:styleId="BodyTextIndent2">
    <w:name w:val="Body Text Indent 2"/>
    <w:basedOn w:val="Normal"/>
    <w:link w:val="BodyTextIndent2Char"/>
    <w:uiPriority w:val="99"/>
    <w:semiHidden/>
    <w:unhideWhenUsed/>
    <w:lock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lock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locked/>
    <w:rsid w:val="0003148D"/>
    <w:pPr>
      <w:ind w:left="720"/>
    </w:pPr>
  </w:style>
  <w:style w:type="paragraph" w:styleId="CommentText">
    <w:name w:val="annotation text"/>
    <w:basedOn w:val="Normal"/>
    <w:link w:val="CommentTextChar"/>
    <w:uiPriority w:val="99"/>
    <w:semiHidden/>
    <w:unhideWhenUsed/>
    <w:locked/>
    <w:rsid w:val="0003148D"/>
    <w:pPr>
      <w:spacing w:line="240" w:lineRule="auto"/>
    </w:pPr>
  </w:style>
  <w:style w:type="character" w:customStyle="1" w:styleId="CommentTextChar">
    <w:name w:val="Comment Text Char"/>
    <w:basedOn w:val="DefaultParagraphFont"/>
    <w:link w:val="CommentText"/>
    <w:uiPriority w:val="99"/>
    <w:semiHidden/>
    <w:rsid w:val="0003148D"/>
    <w:rPr>
      <w:sz w:val="20"/>
      <w:szCs w:val="20"/>
    </w:rPr>
  </w:style>
  <w:style w:type="paragraph" w:styleId="CommentSubject">
    <w:name w:val="annotation subject"/>
    <w:basedOn w:val="CommentText"/>
    <w:next w:val="CommentText"/>
    <w:link w:val="CommentSubjectChar"/>
    <w:uiPriority w:val="99"/>
    <w:semiHidden/>
    <w:unhideWhenUsed/>
    <w:lock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locked/>
    <w:rsid w:val="0003148D"/>
    <w:pPr>
      <w:spacing w:after="100"/>
    </w:pPr>
  </w:style>
  <w:style w:type="paragraph" w:styleId="TOC2">
    <w:name w:val="toc 2"/>
    <w:basedOn w:val="Normal"/>
    <w:next w:val="Normal"/>
    <w:autoRedefine/>
    <w:uiPriority w:val="39"/>
    <w:semiHidden/>
    <w:unhideWhenUsed/>
    <w:locked/>
    <w:rsid w:val="0003148D"/>
    <w:pPr>
      <w:spacing w:after="100"/>
      <w:ind w:left="220"/>
    </w:pPr>
  </w:style>
  <w:style w:type="paragraph" w:styleId="TOC3">
    <w:name w:val="toc 3"/>
    <w:basedOn w:val="Normal"/>
    <w:next w:val="Normal"/>
    <w:autoRedefine/>
    <w:uiPriority w:val="39"/>
    <w:semiHidden/>
    <w:unhideWhenUsed/>
    <w:locked/>
    <w:rsid w:val="0003148D"/>
    <w:pPr>
      <w:spacing w:after="100"/>
      <w:ind w:left="440"/>
    </w:pPr>
  </w:style>
  <w:style w:type="paragraph" w:styleId="TOC4">
    <w:name w:val="toc 4"/>
    <w:basedOn w:val="Normal"/>
    <w:next w:val="Normal"/>
    <w:autoRedefine/>
    <w:uiPriority w:val="39"/>
    <w:semiHidden/>
    <w:unhideWhenUsed/>
    <w:locked/>
    <w:rsid w:val="0003148D"/>
    <w:pPr>
      <w:spacing w:after="100"/>
      <w:ind w:left="660"/>
    </w:pPr>
  </w:style>
  <w:style w:type="paragraph" w:styleId="TOC5">
    <w:name w:val="toc 5"/>
    <w:basedOn w:val="Normal"/>
    <w:next w:val="Normal"/>
    <w:autoRedefine/>
    <w:uiPriority w:val="39"/>
    <w:semiHidden/>
    <w:unhideWhenUsed/>
    <w:locked/>
    <w:rsid w:val="0003148D"/>
    <w:pPr>
      <w:spacing w:after="100"/>
      <w:ind w:left="880"/>
    </w:pPr>
  </w:style>
  <w:style w:type="paragraph" w:styleId="TOC6">
    <w:name w:val="toc 6"/>
    <w:basedOn w:val="Normal"/>
    <w:next w:val="Normal"/>
    <w:autoRedefine/>
    <w:uiPriority w:val="39"/>
    <w:semiHidden/>
    <w:unhideWhenUsed/>
    <w:locked/>
    <w:rsid w:val="0003148D"/>
    <w:pPr>
      <w:spacing w:after="100"/>
      <w:ind w:left="1100"/>
    </w:pPr>
  </w:style>
  <w:style w:type="paragraph" w:styleId="TOC7">
    <w:name w:val="toc 7"/>
    <w:basedOn w:val="Normal"/>
    <w:next w:val="Normal"/>
    <w:autoRedefine/>
    <w:uiPriority w:val="39"/>
    <w:semiHidden/>
    <w:unhideWhenUsed/>
    <w:locked/>
    <w:rsid w:val="0003148D"/>
    <w:pPr>
      <w:spacing w:after="100"/>
      <w:ind w:left="1320"/>
    </w:pPr>
  </w:style>
  <w:style w:type="paragraph" w:styleId="TOC8">
    <w:name w:val="toc 8"/>
    <w:basedOn w:val="Normal"/>
    <w:next w:val="Normal"/>
    <w:autoRedefine/>
    <w:uiPriority w:val="39"/>
    <w:semiHidden/>
    <w:unhideWhenUsed/>
    <w:locked/>
    <w:rsid w:val="0003148D"/>
    <w:pPr>
      <w:spacing w:after="100"/>
      <w:ind w:left="1540"/>
    </w:pPr>
  </w:style>
  <w:style w:type="paragraph" w:styleId="TOC9">
    <w:name w:val="toc 9"/>
    <w:basedOn w:val="Normal"/>
    <w:next w:val="Normal"/>
    <w:autoRedefine/>
    <w:uiPriority w:val="39"/>
    <w:semiHidden/>
    <w:unhideWhenUsed/>
    <w:locked/>
    <w:rsid w:val="0003148D"/>
    <w:pPr>
      <w:spacing w:after="100"/>
      <w:ind w:left="1760"/>
    </w:pPr>
  </w:style>
  <w:style w:type="paragraph" w:styleId="BlockText">
    <w:name w:val="Block Text"/>
    <w:basedOn w:val="Normal"/>
    <w:uiPriority w:val="99"/>
    <w:semiHidden/>
    <w:unhideWhenUsed/>
    <w:lock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lock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lock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lock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lock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lock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lock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qFormat/>
    <w:rsid w:val="00901EB6"/>
    <w:rPr>
      <w:b/>
    </w:rPr>
  </w:style>
  <w:style w:type="paragraph" w:customStyle="1" w:styleId="CETnumberingbullets">
    <w:name w:val="CET numbering (bullets)"/>
    <w:rsid w:val="00C57182"/>
    <w:pPr>
      <w:numPr>
        <w:numId w:val="13"/>
      </w:numPr>
      <w:spacing w:after="120" w:line="264" w:lineRule="auto"/>
    </w:pPr>
    <w:rPr>
      <w:rFonts w:ascii="Arial" w:eastAsia="Times New Roman" w:hAnsi="Arial" w:cs="Times New Roman"/>
      <w:sz w:val="18"/>
      <w:szCs w:val="20"/>
      <w:lang w:val="en-GB"/>
    </w:rPr>
  </w:style>
  <w:style w:type="paragraph" w:customStyle="1" w:styleId="CETnumbering1">
    <w:name w:val="CET numbering (1"/>
    <w:aliases w:val="2..)"/>
    <w:rsid w:val="00184AD6"/>
    <w:pPr>
      <w:numPr>
        <w:numId w:val="14"/>
      </w:numPr>
      <w:spacing w:after="120" w:line="264" w:lineRule="auto"/>
      <w:ind w:left="714" w:hanging="357"/>
    </w:pPr>
    <w:rPr>
      <w:rFonts w:ascii="Arial" w:eastAsia="Times New Roman" w:hAnsi="Arial" w:cs="Times New Roman"/>
      <w:sz w:val="18"/>
      <w:szCs w:val="20"/>
      <w:lang w:val="en-US"/>
    </w:rPr>
  </w:style>
  <w:style w:type="paragraph" w:customStyle="1" w:styleId="CETnumberinga">
    <w:name w:val="CET numbering (a"/>
    <w:aliases w:val="b,..)"/>
    <w:rsid w:val="00C57182"/>
    <w:pPr>
      <w:numPr>
        <w:numId w:val="15"/>
      </w:numPr>
      <w:spacing w:after="120" w:line="264" w:lineRule="auto"/>
      <w:ind w:left="714" w:hanging="357"/>
    </w:pPr>
    <w:rPr>
      <w:rFonts w:ascii="Arial" w:eastAsia="Times New Roman" w:hAnsi="Arial" w:cs="Times New Roman"/>
      <w:sz w:val="18"/>
      <w:szCs w:val="20"/>
      <w:lang w:val="en-GB"/>
    </w:rPr>
  </w:style>
  <w:style w:type="paragraph" w:styleId="Header">
    <w:name w:val="header"/>
    <w:basedOn w:val="Normal"/>
    <w:link w:val="HeaderChar"/>
    <w:uiPriority w:val="99"/>
    <w:unhideWhenUsed/>
    <w:lock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lock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locked/>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Body">
    <w:name w:val="Abstract Body"/>
    <w:basedOn w:val="Normal"/>
    <w:rsid w:val="00704BDF"/>
    <w:pPr>
      <w:tabs>
        <w:tab w:val="clear" w:pos="7100"/>
      </w:tabs>
      <w:spacing w:line="240" w:lineRule="atLeast"/>
      <w:ind w:left="720" w:right="720"/>
    </w:pPr>
    <w:rPr>
      <w:rFonts w:ascii="Times" w:hAnsi="Times"/>
      <w:sz w:val="20"/>
      <w:lang w:val="en-US"/>
    </w:rPr>
  </w:style>
  <w:style w:type="paragraph" w:customStyle="1" w:styleId="AbstractHeading">
    <w:name w:val="Abstract Heading"/>
    <w:basedOn w:val="Normal"/>
    <w:rsid w:val="00704BDF"/>
    <w:pPr>
      <w:tabs>
        <w:tab w:val="clear" w:pos="7100"/>
      </w:tabs>
      <w:spacing w:before="480" w:after="120" w:line="240" w:lineRule="atLeast"/>
      <w:ind w:firstLine="360"/>
    </w:pPr>
    <w:rPr>
      <w:rFonts w:ascii="Times" w:hAnsi="Times"/>
      <w:i/>
      <w:sz w:val="20"/>
      <w:lang w:val="en-US"/>
    </w:rPr>
  </w:style>
  <w:style w:type="paragraph" w:customStyle="1" w:styleId="FirstParagraph">
    <w:name w:val="First Paragraph"/>
    <w:basedOn w:val="Normal"/>
    <w:rsid w:val="00704BDF"/>
    <w:pPr>
      <w:tabs>
        <w:tab w:val="clear" w:pos="7100"/>
      </w:tabs>
      <w:spacing w:line="240" w:lineRule="atLeast"/>
    </w:pPr>
    <w:rPr>
      <w:rFonts w:ascii="Times" w:hAnsi="Times"/>
      <w:sz w:val="20"/>
      <w:lang w:val="en-US"/>
    </w:rPr>
  </w:style>
  <w:style w:type="paragraph" w:customStyle="1" w:styleId="EndNoteBibliographyTitle">
    <w:name w:val="EndNote Bibliography Title"/>
    <w:basedOn w:val="Normal"/>
    <w:link w:val="EndNoteBibliographyTitleChar"/>
    <w:rsid w:val="00162ACC"/>
    <w:pPr>
      <w:jc w:val="center"/>
    </w:pPr>
    <w:rPr>
      <w:rFonts w:ascii="Times" w:hAnsi="Times" w:cs="Times"/>
      <w:noProof/>
      <w:sz w:val="20"/>
      <w:lang w:val="en-US"/>
    </w:rPr>
  </w:style>
  <w:style w:type="character" w:customStyle="1" w:styleId="EndNoteBibliographyTitleChar">
    <w:name w:val="EndNote Bibliography Title Char"/>
    <w:basedOn w:val="DefaultParagraphFont"/>
    <w:link w:val="EndNoteBibliographyTitle"/>
    <w:rsid w:val="00162ACC"/>
    <w:rPr>
      <w:rFonts w:ascii="Times" w:eastAsia="Times New Roman" w:hAnsi="Times" w:cs="Times"/>
      <w:noProof/>
      <w:sz w:val="20"/>
      <w:szCs w:val="20"/>
      <w:lang w:val="en-US"/>
    </w:rPr>
  </w:style>
  <w:style w:type="paragraph" w:customStyle="1" w:styleId="EndNoteBibliography">
    <w:name w:val="EndNote Bibliography"/>
    <w:basedOn w:val="Normal"/>
    <w:link w:val="EndNoteBibliographyChar"/>
    <w:rsid w:val="00162ACC"/>
    <w:pPr>
      <w:spacing w:line="240" w:lineRule="auto"/>
    </w:pPr>
    <w:rPr>
      <w:rFonts w:ascii="Times" w:hAnsi="Times" w:cs="Times"/>
      <w:noProof/>
      <w:sz w:val="20"/>
      <w:lang w:val="en-US"/>
    </w:rPr>
  </w:style>
  <w:style w:type="character" w:customStyle="1" w:styleId="EndNoteBibliographyChar">
    <w:name w:val="EndNote Bibliography Char"/>
    <w:basedOn w:val="DefaultParagraphFont"/>
    <w:link w:val="EndNoteBibliography"/>
    <w:rsid w:val="00162ACC"/>
    <w:rPr>
      <w:rFonts w:ascii="Times" w:eastAsia="Times New Roman" w:hAnsi="Times" w:cs="Times"/>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9A54E-367A-4FBA-88CD-3DE59F485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2843</Words>
  <Characters>16208</Characters>
  <Application>Microsoft Office Word</Application>
  <DocSecurity>0</DocSecurity>
  <Lines>135</Lines>
  <Paragraphs>38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19013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Kevin Van Geem</cp:lastModifiedBy>
  <cp:revision>2</cp:revision>
  <cp:lastPrinted>2015-05-12T18:31:00Z</cp:lastPrinted>
  <dcterms:created xsi:type="dcterms:W3CDTF">2019-01-16T08:57:00Z</dcterms:created>
  <dcterms:modified xsi:type="dcterms:W3CDTF">2019-01-16T08:57:00Z</dcterms:modified>
</cp:coreProperties>
</file>