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5B1BE"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7E3095AB" w14:textId="6E4E91A9" w:rsidR="00704BDF" w:rsidRPr="00DE0019" w:rsidRDefault="00E42938"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lastRenderedPageBreak/>
        <w:t>Economic analysis of o</w:t>
      </w:r>
      <w:r w:rsidR="00AA66A5" w:rsidRPr="00AA66A5">
        <w:rPr>
          <w:rFonts w:asciiTheme="minorHAnsi" w:eastAsia="MS PGothic" w:hAnsiTheme="minorHAnsi"/>
          <w:b/>
          <w:bCs/>
          <w:sz w:val="28"/>
          <w:szCs w:val="28"/>
          <w:lang w:val="en-US"/>
        </w:rPr>
        <w:t>xy-combustion technology</w:t>
      </w:r>
      <w:r>
        <w:rPr>
          <w:rFonts w:asciiTheme="minorHAnsi" w:eastAsia="MS PGothic" w:hAnsiTheme="minorHAnsi"/>
          <w:b/>
          <w:bCs/>
          <w:sz w:val="28"/>
          <w:szCs w:val="28"/>
          <w:lang w:val="en-US"/>
        </w:rPr>
        <w:t xml:space="preserve"> with carbon capture</w:t>
      </w:r>
    </w:p>
    <w:p w14:paraId="28EAC48C" w14:textId="53E8E6C3" w:rsidR="00DE0019" w:rsidRPr="00DE0019" w:rsidRDefault="00AA66A5" w:rsidP="00704BDF">
      <w:pPr>
        <w:snapToGrid w:val="0"/>
        <w:spacing w:after="120"/>
        <w:jc w:val="center"/>
        <w:rPr>
          <w:rFonts w:eastAsia="SimSun"/>
          <w:color w:val="000000"/>
          <w:lang w:val="en-US" w:eastAsia="zh-CN"/>
        </w:rPr>
      </w:pPr>
      <w:r w:rsidRPr="00AA66A5">
        <w:rPr>
          <w:rFonts w:asciiTheme="minorHAnsi" w:eastAsia="SimSun" w:hAnsiTheme="minorHAnsi"/>
          <w:color w:val="000000"/>
          <w:sz w:val="24"/>
          <w:szCs w:val="24"/>
          <w:u w:val="single"/>
          <w:lang w:val="en-US" w:eastAsia="zh-CN"/>
        </w:rPr>
        <w:tab/>
        <w:t>Thang Toan Vu</w:t>
      </w:r>
      <w:r>
        <w:rPr>
          <w:rFonts w:asciiTheme="minorHAnsi" w:eastAsia="SimSun" w:hAnsiTheme="minorHAnsi"/>
          <w:color w:val="000000"/>
          <w:sz w:val="24"/>
          <w:szCs w:val="24"/>
          <w:u w:val="single"/>
          <w:vertAlign w:val="superscript"/>
          <w:lang w:val="en-US" w:eastAsia="zh-CN"/>
        </w:rPr>
        <w:t>1</w:t>
      </w:r>
      <w:r w:rsidRPr="00AA66A5">
        <w:rPr>
          <w:rFonts w:asciiTheme="minorHAnsi" w:eastAsia="SimSun" w:hAnsiTheme="minorHAnsi"/>
          <w:color w:val="000000"/>
          <w:sz w:val="24"/>
          <w:szCs w:val="24"/>
          <w:u w:val="single"/>
          <w:lang w:val="en-US" w:eastAsia="zh-CN"/>
        </w:rPr>
        <w:t>, Young-Il Lim</w:t>
      </w:r>
      <w:r>
        <w:rPr>
          <w:rFonts w:asciiTheme="minorHAnsi" w:eastAsia="SimSun" w:hAnsiTheme="minorHAnsi"/>
          <w:color w:val="000000"/>
          <w:sz w:val="24"/>
          <w:szCs w:val="24"/>
          <w:u w:val="single"/>
          <w:vertAlign w:val="superscript"/>
          <w:lang w:val="en-US" w:eastAsia="zh-CN"/>
        </w:rPr>
        <w:t>1</w:t>
      </w:r>
      <w:r w:rsidR="00723F04">
        <w:rPr>
          <w:rFonts w:asciiTheme="minorHAnsi" w:eastAsia="SimSun" w:hAnsiTheme="minorHAnsi"/>
          <w:color w:val="000000"/>
          <w:sz w:val="24"/>
          <w:szCs w:val="24"/>
          <w:u w:val="single"/>
          <w:vertAlign w:val="superscript"/>
          <w:lang w:val="en-US" w:eastAsia="zh-CN"/>
        </w:rPr>
        <w:t>*</w:t>
      </w:r>
      <w:r w:rsidRPr="00AA66A5">
        <w:rPr>
          <w:rFonts w:asciiTheme="minorHAnsi" w:eastAsia="SimSun" w:hAnsiTheme="minorHAnsi"/>
          <w:color w:val="000000"/>
          <w:sz w:val="24"/>
          <w:szCs w:val="24"/>
          <w:u w:val="single"/>
          <w:lang w:val="en-US" w:eastAsia="zh-CN"/>
        </w:rPr>
        <w:t xml:space="preserve">, </w:t>
      </w:r>
      <w:proofErr w:type="spellStart"/>
      <w:r w:rsidRPr="00AA66A5">
        <w:rPr>
          <w:rFonts w:asciiTheme="minorHAnsi" w:eastAsia="SimSun" w:hAnsiTheme="minorHAnsi"/>
          <w:color w:val="000000"/>
          <w:sz w:val="24"/>
          <w:szCs w:val="24"/>
          <w:u w:val="single"/>
          <w:lang w:val="en-US" w:eastAsia="zh-CN"/>
        </w:rPr>
        <w:t>Daesung</w:t>
      </w:r>
      <w:proofErr w:type="spellEnd"/>
      <w:r w:rsidRPr="00AA66A5">
        <w:rPr>
          <w:rFonts w:asciiTheme="minorHAnsi" w:eastAsia="SimSun" w:hAnsiTheme="minorHAnsi"/>
          <w:color w:val="000000"/>
          <w:sz w:val="24"/>
          <w:szCs w:val="24"/>
          <w:u w:val="single"/>
          <w:lang w:val="en-US" w:eastAsia="zh-CN"/>
        </w:rPr>
        <w:t xml:space="preserve"> Song</w:t>
      </w:r>
      <w:r>
        <w:rPr>
          <w:rFonts w:asciiTheme="minorHAnsi" w:eastAsia="SimSun" w:hAnsiTheme="minorHAnsi"/>
          <w:color w:val="000000"/>
          <w:sz w:val="24"/>
          <w:szCs w:val="24"/>
          <w:u w:val="single"/>
          <w:vertAlign w:val="superscript"/>
          <w:lang w:val="en-US" w:eastAsia="zh-CN"/>
        </w:rPr>
        <w:t>2</w:t>
      </w:r>
      <w:r w:rsidRPr="00AA66A5">
        <w:rPr>
          <w:rFonts w:asciiTheme="minorHAnsi" w:eastAsia="SimSun" w:hAnsiTheme="minorHAnsi"/>
          <w:color w:val="000000"/>
          <w:sz w:val="24"/>
          <w:szCs w:val="24"/>
          <w:u w:val="single"/>
          <w:lang w:val="en-US" w:eastAsia="zh-CN"/>
        </w:rPr>
        <w:t xml:space="preserve">, Tai-Young </w:t>
      </w:r>
      <w:r w:rsidR="00290321" w:rsidRPr="00290321">
        <w:rPr>
          <w:rFonts w:asciiTheme="minorHAnsi" w:eastAsia="SimSun" w:hAnsiTheme="minorHAnsi"/>
          <w:color w:val="000000"/>
          <w:sz w:val="24"/>
          <w:szCs w:val="24"/>
          <w:u w:val="single"/>
          <w:lang w:val="en-US" w:eastAsia="zh-CN"/>
        </w:rPr>
        <w:t>Mun</w:t>
      </w:r>
      <w:r>
        <w:rPr>
          <w:rFonts w:asciiTheme="minorHAnsi" w:eastAsia="SimSun" w:hAnsiTheme="minorHAnsi"/>
          <w:color w:val="000000"/>
          <w:sz w:val="24"/>
          <w:szCs w:val="24"/>
          <w:u w:val="single"/>
          <w:vertAlign w:val="superscript"/>
          <w:lang w:val="en-US" w:eastAsia="zh-CN"/>
        </w:rPr>
        <w:t>3</w:t>
      </w:r>
      <w:r w:rsidRPr="00AA66A5">
        <w:rPr>
          <w:rFonts w:asciiTheme="minorHAnsi" w:eastAsia="SimSun" w:hAnsiTheme="minorHAnsi"/>
          <w:color w:val="000000"/>
          <w:sz w:val="24"/>
          <w:szCs w:val="24"/>
          <w:u w:val="single"/>
          <w:lang w:val="en-US" w:eastAsia="zh-CN"/>
        </w:rPr>
        <w:t>, Young-</w:t>
      </w:r>
      <w:proofErr w:type="spellStart"/>
      <w:r w:rsidRPr="00AA66A5">
        <w:rPr>
          <w:rFonts w:asciiTheme="minorHAnsi" w:eastAsia="SimSun" w:hAnsiTheme="minorHAnsi"/>
          <w:color w:val="000000"/>
          <w:sz w:val="24"/>
          <w:szCs w:val="24"/>
          <w:u w:val="single"/>
          <w:lang w:val="en-US" w:eastAsia="zh-CN"/>
        </w:rPr>
        <w:t>Cheol</w:t>
      </w:r>
      <w:proofErr w:type="spellEnd"/>
      <w:r w:rsidRPr="00AA66A5">
        <w:rPr>
          <w:rFonts w:asciiTheme="minorHAnsi" w:eastAsia="SimSun" w:hAnsiTheme="minorHAnsi"/>
          <w:color w:val="000000"/>
          <w:sz w:val="24"/>
          <w:szCs w:val="24"/>
          <w:u w:val="single"/>
          <w:lang w:val="en-US" w:eastAsia="zh-CN"/>
        </w:rPr>
        <w:t xml:space="preserve"> Park</w:t>
      </w:r>
      <w:r>
        <w:rPr>
          <w:rFonts w:asciiTheme="minorHAnsi" w:eastAsia="SimSun" w:hAnsiTheme="minorHAnsi"/>
          <w:color w:val="000000"/>
          <w:sz w:val="24"/>
          <w:szCs w:val="24"/>
          <w:u w:val="single"/>
          <w:vertAlign w:val="superscript"/>
          <w:lang w:val="en-US" w:eastAsia="zh-CN"/>
        </w:rPr>
        <w:t>3</w:t>
      </w:r>
      <w:r w:rsidR="00254499">
        <w:rPr>
          <w:rFonts w:asciiTheme="minorHAnsi" w:eastAsia="SimSun" w:hAnsiTheme="minorHAnsi"/>
          <w:color w:val="000000"/>
          <w:sz w:val="24"/>
          <w:szCs w:val="24"/>
          <w:u w:val="single"/>
          <w:lang w:val="en-US" w:eastAsia="zh-CN"/>
        </w:rPr>
        <w:t>,</w:t>
      </w:r>
      <w:r w:rsidRPr="00AA66A5">
        <w:rPr>
          <w:rFonts w:asciiTheme="minorHAnsi" w:eastAsia="SimSun" w:hAnsiTheme="minorHAnsi"/>
          <w:color w:val="000000"/>
          <w:sz w:val="24"/>
          <w:szCs w:val="24"/>
          <w:u w:val="single"/>
          <w:lang w:val="en-US" w:eastAsia="zh-CN"/>
        </w:rPr>
        <w:t xml:space="preserve"> Jai-Goo Lee</w:t>
      </w:r>
      <w:r>
        <w:rPr>
          <w:rFonts w:asciiTheme="minorHAnsi" w:eastAsia="SimSun" w:hAnsiTheme="minorHAnsi"/>
          <w:color w:val="000000"/>
          <w:sz w:val="24"/>
          <w:szCs w:val="24"/>
          <w:u w:val="single"/>
          <w:vertAlign w:val="superscript"/>
          <w:lang w:val="en-US" w:eastAsia="zh-CN"/>
        </w:rPr>
        <w:t>3</w:t>
      </w:r>
    </w:p>
    <w:p w14:paraId="0273E3DB" w14:textId="0CA82DC4" w:rsidR="00862663" w:rsidRDefault="00704BDF" w:rsidP="00704BDF">
      <w:pPr>
        <w:snapToGrid w:val="0"/>
        <w:spacing w:after="120"/>
        <w:jc w:val="center"/>
        <w:rPr>
          <w:rFonts w:asciiTheme="minorHAnsi" w:eastAsia="MS PGothic" w:hAnsiTheme="minorHAnsi"/>
          <w:i/>
          <w:iCs/>
          <w:color w:val="000000"/>
          <w:sz w:val="20"/>
          <w:lang w:val="en-US"/>
        </w:rPr>
      </w:pPr>
      <w:r w:rsidRPr="005F09E9">
        <w:rPr>
          <w:rFonts w:eastAsia="MS PGothic"/>
          <w:i/>
          <w:iCs/>
          <w:color w:val="000000"/>
          <w:sz w:val="20"/>
          <w:vertAlign w:val="superscript"/>
          <w:lang w:val="en-US"/>
        </w:rPr>
        <w:t>1</w:t>
      </w:r>
      <w:r w:rsidR="00862663" w:rsidRPr="00862663">
        <w:rPr>
          <w:rFonts w:asciiTheme="minorHAnsi" w:eastAsia="MS PGothic" w:hAnsiTheme="minorHAnsi"/>
          <w:i/>
          <w:iCs/>
          <w:color w:val="000000"/>
          <w:sz w:val="20"/>
          <w:lang w:val="en-US"/>
        </w:rPr>
        <w:t xml:space="preserve">Department of Chemical Engineering, </w:t>
      </w:r>
      <w:proofErr w:type="spellStart"/>
      <w:r w:rsidR="00862663" w:rsidRPr="00862663">
        <w:rPr>
          <w:rFonts w:asciiTheme="minorHAnsi" w:eastAsia="MS PGothic" w:hAnsiTheme="minorHAnsi"/>
          <w:i/>
          <w:iCs/>
          <w:color w:val="000000"/>
          <w:sz w:val="20"/>
          <w:lang w:val="en-US"/>
        </w:rPr>
        <w:t>Hankyong</w:t>
      </w:r>
      <w:proofErr w:type="spellEnd"/>
      <w:r w:rsidR="00862663" w:rsidRPr="00862663">
        <w:rPr>
          <w:rFonts w:asciiTheme="minorHAnsi" w:eastAsia="MS PGothic" w:hAnsiTheme="minorHAnsi"/>
          <w:i/>
          <w:iCs/>
          <w:color w:val="000000"/>
          <w:sz w:val="20"/>
          <w:lang w:val="en-US"/>
        </w:rPr>
        <w:t xml:space="preserve"> National University, </w:t>
      </w:r>
      <w:proofErr w:type="spellStart"/>
      <w:r w:rsidR="00254499" w:rsidRPr="00254499">
        <w:rPr>
          <w:rFonts w:asciiTheme="minorHAnsi" w:eastAsia="MS PGothic" w:hAnsiTheme="minorHAnsi"/>
          <w:i/>
          <w:iCs/>
          <w:color w:val="000000"/>
          <w:sz w:val="20"/>
          <w:lang w:val="en-US"/>
        </w:rPr>
        <w:t>Gyeonggi</w:t>
      </w:r>
      <w:proofErr w:type="spellEnd"/>
      <w:r w:rsidR="00254499" w:rsidRPr="00254499">
        <w:rPr>
          <w:rFonts w:asciiTheme="minorHAnsi" w:eastAsia="MS PGothic" w:hAnsiTheme="minorHAnsi"/>
          <w:i/>
          <w:iCs/>
          <w:color w:val="000000"/>
          <w:sz w:val="20"/>
          <w:lang w:val="en-US"/>
        </w:rPr>
        <w:t xml:space="preserve">-do, </w:t>
      </w:r>
      <w:proofErr w:type="spellStart"/>
      <w:r w:rsidR="00254499" w:rsidRPr="00254499">
        <w:rPr>
          <w:rFonts w:asciiTheme="minorHAnsi" w:eastAsia="MS PGothic" w:hAnsiTheme="minorHAnsi"/>
          <w:i/>
          <w:iCs/>
          <w:color w:val="000000"/>
          <w:sz w:val="20"/>
          <w:lang w:val="en-US"/>
        </w:rPr>
        <w:t>Anseong-si</w:t>
      </w:r>
      <w:proofErr w:type="spellEnd"/>
      <w:r w:rsidR="00254499" w:rsidRPr="00254499">
        <w:rPr>
          <w:rFonts w:asciiTheme="minorHAnsi" w:eastAsia="MS PGothic" w:hAnsiTheme="minorHAnsi"/>
          <w:i/>
          <w:iCs/>
          <w:color w:val="000000"/>
          <w:sz w:val="20"/>
          <w:lang w:val="en-US"/>
        </w:rPr>
        <w:t xml:space="preserve">, </w:t>
      </w:r>
      <w:proofErr w:type="spellStart"/>
      <w:r w:rsidR="00254499" w:rsidRPr="00254499">
        <w:rPr>
          <w:rFonts w:asciiTheme="minorHAnsi" w:eastAsia="MS PGothic" w:hAnsiTheme="minorHAnsi"/>
          <w:i/>
          <w:iCs/>
          <w:color w:val="000000"/>
          <w:sz w:val="20"/>
          <w:lang w:val="en-US"/>
        </w:rPr>
        <w:t>Jungang-ro</w:t>
      </w:r>
      <w:proofErr w:type="spellEnd"/>
      <w:r w:rsidR="00254499" w:rsidRPr="00254499">
        <w:rPr>
          <w:rFonts w:asciiTheme="minorHAnsi" w:eastAsia="MS PGothic" w:hAnsiTheme="minorHAnsi"/>
          <w:i/>
          <w:iCs/>
          <w:color w:val="000000"/>
          <w:sz w:val="20"/>
          <w:lang w:val="en-US"/>
        </w:rPr>
        <w:t xml:space="preserve"> 327, 17579 Korea</w:t>
      </w:r>
      <w:r w:rsidRPr="00DE0019">
        <w:rPr>
          <w:rFonts w:asciiTheme="minorHAnsi" w:eastAsia="MS PGothic" w:hAnsiTheme="minorHAnsi"/>
          <w:i/>
          <w:iCs/>
          <w:color w:val="000000"/>
          <w:sz w:val="20"/>
          <w:lang w:val="en-US"/>
        </w:rPr>
        <w:t xml:space="preserve"> </w:t>
      </w:r>
    </w:p>
    <w:p w14:paraId="5182F96A" w14:textId="2AF06EAD" w:rsidR="00704BDF" w:rsidRDefault="00704BDF" w:rsidP="00704BDF">
      <w:pPr>
        <w:snapToGrid w:val="0"/>
        <w:spacing w:after="120"/>
        <w:jc w:val="center"/>
        <w:rPr>
          <w:rFonts w:asciiTheme="minorHAnsi" w:eastAsia="MS PGothic" w:hAnsiTheme="minorHAnsi"/>
          <w:i/>
          <w:iCs/>
          <w:color w:val="000000"/>
          <w:sz w:val="20"/>
          <w:lang w:val="en-US"/>
        </w:rPr>
      </w:pPr>
      <w:r w:rsidRPr="005F09E9">
        <w:rPr>
          <w:rFonts w:asciiTheme="minorHAnsi" w:eastAsia="MS PGothic" w:hAnsiTheme="minorHAnsi"/>
          <w:i/>
          <w:iCs/>
          <w:color w:val="000000"/>
          <w:sz w:val="20"/>
          <w:vertAlign w:val="superscript"/>
          <w:lang w:val="en-US"/>
        </w:rPr>
        <w:t>2</w:t>
      </w:r>
      <w:r w:rsidR="00862663" w:rsidRPr="00862663">
        <w:rPr>
          <w:rFonts w:asciiTheme="minorHAnsi" w:eastAsia="MS PGothic" w:hAnsiTheme="minorHAnsi"/>
          <w:i/>
          <w:iCs/>
          <w:color w:val="000000"/>
          <w:sz w:val="20"/>
          <w:lang w:val="en-US"/>
        </w:rPr>
        <w:t xml:space="preserve">Department of Safety Engineering, </w:t>
      </w:r>
      <w:proofErr w:type="spellStart"/>
      <w:r w:rsidR="00862663" w:rsidRPr="00862663">
        <w:rPr>
          <w:rFonts w:asciiTheme="minorHAnsi" w:eastAsia="MS PGothic" w:hAnsiTheme="minorHAnsi"/>
          <w:i/>
          <w:iCs/>
          <w:color w:val="000000"/>
          <w:sz w:val="20"/>
          <w:lang w:val="en-US"/>
        </w:rPr>
        <w:t>Hankyong</w:t>
      </w:r>
      <w:proofErr w:type="spellEnd"/>
      <w:r w:rsidR="00862663" w:rsidRPr="00862663">
        <w:rPr>
          <w:rFonts w:asciiTheme="minorHAnsi" w:eastAsia="MS PGothic" w:hAnsiTheme="minorHAnsi"/>
          <w:i/>
          <w:iCs/>
          <w:color w:val="000000"/>
          <w:sz w:val="20"/>
          <w:lang w:val="en-US"/>
        </w:rPr>
        <w:t xml:space="preserve"> National University, </w:t>
      </w:r>
      <w:proofErr w:type="spellStart"/>
      <w:r w:rsidR="00254499" w:rsidRPr="00254499">
        <w:rPr>
          <w:rFonts w:asciiTheme="minorHAnsi" w:eastAsia="MS PGothic" w:hAnsiTheme="minorHAnsi"/>
          <w:i/>
          <w:iCs/>
          <w:color w:val="000000"/>
          <w:sz w:val="20"/>
          <w:lang w:val="en-US"/>
        </w:rPr>
        <w:t>Gyeonggi</w:t>
      </w:r>
      <w:proofErr w:type="spellEnd"/>
      <w:r w:rsidR="00254499" w:rsidRPr="00254499">
        <w:rPr>
          <w:rFonts w:asciiTheme="minorHAnsi" w:eastAsia="MS PGothic" w:hAnsiTheme="minorHAnsi"/>
          <w:i/>
          <w:iCs/>
          <w:color w:val="000000"/>
          <w:sz w:val="20"/>
          <w:lang w:val="en-US"/>
        </w:rPr>
        <w:t xml:space="preserve">-do, </w:t>
      </w:r>
      <w:proofErr w:type="spellStart"/>
      <w:r w:rsidR="00254499" w:rsidRPr="00254499">
        <w:rPr>
          <w:rFonts w:asciiTheme="minorHAnsi" w:eastAsia="MS PGothic" w:hAnsiTheme="minorHAnsi"/>
          <w:i/>
          <w:iCs/>
          <w:color w:val="000000"/>
          <w:sz w:val="20"/>
          <w:lang w:val="en-US"/>
        </w:rPr>
        <w:t>Anseong-si</w:t>
      </w:r>
      <w:proofErr w:type="spellEnd"/>
      <w:r w:rsidR="00254499" w:rsidRPr="00254499">
        <w:rPr>
          <w:rFonts w:asciiTheme="minorHAnsi" w:eastAsia="MS PGothic" w:hAnsiTheme="minorHAnsi"/>
          <w:i/>
          <w:iCs/>
          <w:color w:val="000000"/>
          <w:sz w:val="20"/>
          <w:lang w:val="en-US"/>
        </w:rPr>
        <w:t xml:space="preserve">, </w:t>
      </w:r>
      <w:proofErr w:type="spellStart"/>
      <w:r w:rsidR="00254499" w:rsidRPr="00254499">
        <w:rPr>
          <w:rFonts w:asciiTheme="minorHAnsi" w:eastAsia="MS PGothic" w:hAnsiTheme="minorHAnsi"/>
          <w:i/>
          <w:iCs/>
          <w:color w:val="000000"/>
          <w:sz w:val="20"/>
          <w:lang w:val="en-US"/>
        </w:rPr>
        <w:t>Jungang-ro</w:t>
      </w:r>
      <w:proofErr w:type="spellEnd"/>
      <w:r w:rsidR="00254499" w:rsidRPr="00254499">
        <w:rPr>
          <w:rFonts w:asciiTheme="minorHAnsi" w:eastAsia="MS PGothic" w:hAnsiTheme="minorHAnsi"/>
          <w:i/>
          <w:iCs/>
          <w:color w:val="000000"/>
          <w:sz w:val="20"/>
          <w:lang w:val="en-US"/>
        </w:rPr>
        <w:t xml:space="preserve"> 327, 17579 Korea</w:t>
      </w:r>
    </w:p>
    <w:p w14:paraId="23CEC351" w14:textId="05982867" w:rsidR="00862663" w:rsidRPr="00DE0019" w:rsidRDefault="00862663" w:rsidP="00704BDF">
      <w:pPr>
        <w:snapToGrid w:val="0"/>
        <w:spacing w:after="120"/>
        <w:jc w:val="center"/>
        <w:rPr>
          <w:rFonts w:asciiTheme="minorHAnsi" w:eastAsia="MS PGothic" w:hAnsiTheme="minorHAnsi"/>
          <w:i/>
          <w:iCs/>
          <w:color w:val="000000"/>
          <w:sz w:val="20"/>
          <w:lang w:val="en-US"/>
        </w:rPr>
      </w:pPr>
      <w:r w:rsidRPr="005F09E9">
        <w:rPr>
          <w:rFonts w:asciiTheme="minorHAnsi" w:eastAsia="MS PGothic" w:hAnsiTheme="minorHAnsi"/>
          <w:i/>
          <w:iCs/>
          <w:color w:val="000000"/>
          <w:sz w:val="20"/>
          <w:vertAlign w:val="superscript"/>
          <w:lang w:val="en-US"/>
        </w:rPr>
        <w:t>3</w:t>
      </w:r>
      <w:r w:rsidR="00E42938" w:rsidRPr="00C07F4C">
        <w:rPr>
          <w:rFonts w:asciiTheme="minorHAnsi" w:eastAsia="MS PGothic" w:hAnsiTheme="minorHAnsi"/>
          <w:i/>
          <w:iCs/>
          <w:color w:val="000000"/>
          <w:sz w:val="20"/>
          <w:lang w:val="en-US"/>
        </w:rPr>
        <w:t xml:space="preserve">Korea Institute of Energy Research, Daejeon, </w:t>
      </w:r>
      <w:proofErr w:type="spellStart"/>
      <w:r w:rsidR="00E42938" w:rsidRPr="00C07F4C">
        <w:rPr>
          <w:rFonts w:asciiTheme="minorHAnsi" w:eastAsia="MS PGothic" w:hAnsiTheme="minorHAnsi"/>
          <w:i/>
          <w:iCs/>
          <w:color w:val="000000"/>
          <w:sz w:val="20"/>
          <w:lang w:val="en-US"/>
        </w:rPr>
        <w:t>Yuseong-</w:t>
      </w:r>
      <w:r w:rsidR="00E42938" w:rsidRPr="009C4837">
        <w:rPr>
          <w:rFonts w:asciiTheme="minorHAnsi" w:eastAsia="MS PGothic" w:hAnsiTheme="minorHAnsi"/>
          <w:i/>
          <w:iCs/>
          <w:noProof/>
          <w:color w:val="000000"/>
          <w:sz w:val="20"/>
          <w:lang w:val="en-US"/>
        </w:rPr>
        <w:t>gu</w:t>
      </w:r>
      <w:proofErr w:type="spellEnd"/>
      <w:r w:rsidR="00E42938" w:rsidRPr="00C07F4C">
        <w:rPr>
          <w:rFonts w:asciiTheme="minorHAnsi" w:eastAsia="MS PGothic" w:hAnsiTheme="minorHAnsi"/>
          <w:i/>
          <w:iCs/>
          <w:color w:val="000000"/>
          <w:sz w:val="20"/>
          <w:lang w:val="en-US"/>
        </w:rPr>
        <w:t xml:space="preserve">, </w:t>
      </w:r>
      <w:proofErr w:type="spellStart"/>
      <w:r w:rsidR="00E42938" w:rsidRPr="00C07F4C">
        <w:rPr>
          <w:rFonts w:asciiTheme="minorHAnsi" w:eastAsia="MS PGothic" w:hAnsiTheme="minorHAnsi"/>
          <w:i/>
          <w:iCs/>
          <w:color w:val="000000"/>
          <w:sz w:val="20"/>
          <w:lang w:val="en-US"/>
        </w:rPr>
        <w:t>Gajeong-</w:t>
      </w:r>
      <w:r w:rsidR="00E42938" w:rsidRPr="009C4837">
        <w:rPr>
          <w:rFonts w:asciiTheme="minorHAnsi" w:eastAsia="MS PGothic" w:hAnsiTheme="minorHAnsi"/>
          <w:i/>
          <w:iCs/>
          <w:noProof/>
          <w:color w:val="000000"/>
          <w:sz w:val="20"/>
          <w:lang w:val="en-US"/>
        </w:rPr>
        <w:t>ro</w:t>
      </w:r>
      <w:proofErr w:type="spellEnd"/>
      <w:r w:rsidR="00E42938" w:rsidRPr="00C07F4C">
        <w:rPr>
          <w:rFonts w:asciiTheme="minorHAnsi" w:eastAsia="MS PGothic" w:hAnsiTheme="minorHAnsi"/>
          <w:i/>
          <w:iCs/>
          <w:color w:val="000000"/>
          <w:sz w:val="20"/>
          <w:lang w:val="en-US"/>
        </w:rPr>
        <w:t xml:space="preserve"> 152, 34129 Korea</w:t>
      </w:r>
      <w:r w:rsidR="00E42938">
        <w:rPr>
          <w:rFonts w:asciiTheme="minorHAnsi" w:eastAsia="MS PGothic" w:hAnsiTheme="minorHAnsi"/>
          <w:i/>
          <w:iCs/>
          <w:color w:val="000000"/>
          <w:sz w:val="20"/>
          <w:lang w:val="en-US"/>
        </w:rPr>
        <w:t xml:space="preserve"> </w:t>
      </w:r>
      <w:r>
        <w:rPr>
          <w:rFonts w:asciiTheme="minorHAnsi" w:eastAsia="MS PGothic" w:hAnsiTheme="minorHAnsi"/>
          <w:i/>
          <w:iCs/>
          <w:color w:val="000000"/>
          <w:sz w:val="20"/>
          <w:lang w:val="en-US"/>
        </w:rPr>
        <w:t xml:space="preserve"> </w:t>
      </w:r>
    </w:p>
    <w:p w14:paraId="28A72715" w14:textId="3BA021A6"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862663" w:rsidRPr="00862A81">
        <w:rPr>
          <w:rFonts w:asciiTheme="minorHAnsi" w:eastAsia="MS PGothic" w:hAnsiTheme="minorHAnsi"/>
          <w:bCs/>
          <w:i/>
          <w:iCs/>
          <w:sz w:val="20"/>
          <w:lang w:val="en-US"/>
        </w:rPr>
        <w:t>limyi@hknu.ac.kr</w:t>
      </w:r>
    </w:p>
    <w:p w14:paraId="2F9326B9"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3B4155BC" w14:textId="4C0E5EBF" w:rsidR="00704BDF" w:rsidRPr="00EC66CC" w:rsidRDefault="00E42938" w:rsidP="00704BDF">
      <w:pPr>
        <w:pStyle w:val="AbstractBody"/>
        <w:numPr>
          <w:ilvl w:val="0"/>
          <w:numId w:val="16"/>
        </w:numPr>
        <w:rPr>
          <w:rFonts w:asciiTheme="minorHAnsi" w:hAnsiTheme="minorHAnsi"/>
        </w:rPr>
      </w:pPr>
      <w:r>
        <w:rPr>
          <w:rFonts w:asciiTheme="minorHAnsi" w:hAnsiTheme="minorHAnsi"/>
        </w:rPr>
        <w:t xml:space="preserve">Process simulation for </w:t>
      </w:r>
      <w:r w:rsidR="00723F04">
        <w:rPr>
          <w:rFonts w:asciiTheme="minorHAnsi" w:hAnsiTheme="minorHAnsi"/>
        </w:rPr>
        <w:t xml:space="preserve">500 </w:t>
      </w:r>
      <w:proofErr w:type="spellStart"/>
      <w:r w:rsidR="00723F04">
        <w:rPr>
          <w:rFonts w:asciiTheme="minorHAnsi" w:hAnsiTheme="minorHAnsi"/>
        </w:rPr>
        <w:t>MW</w:t>
      </w:r>
      <w:r w:rsidR="00723F04" w:rsidRPr="00723F04">
        <w:rPr>
          <w:rFonts w:asciiTheme="minorHAnsi" w:hAnsiTheme="minorHAnsi"/>
          <w:vertAlign w:val="subscript"/>
        </w:rPr>
        <w:t>e</w:t>
      </w:r>
      <w:proofErr w:type="spellEnd"/>
      <w:r w:rsidR="00723F04">
        <w:rPr>
          <w:rFonts w:asciiTheme="minorHAnsi" w:hAnsiTheme="minorHAnsi"/>
        </w:rPr>
        <w:t xml:space="preserve"> </w:t>
      </w:r>
      <w:r>
        <w:rPr>
          <w:rFonts w:asciiTheme="minorHAnsi" w:hAnsiTheme="minorHAnsi"/>
        </w:rPr>
        <w:t>air and oxy-coal p</w:t>
      </w:r>
      <w:r w:rsidR="00862663">
        <w:rPr>
          <w:rFonts w:asciiTheme="minorHAnsi" w:hAnsiTheme="minorHAnsi"/>
        </w:rPr>
        <w:t>ower plant</w:t>
      </w:r>
      <w:r w:rsidR="004F34CA">
        <w:rPr>
          <w:rFonts w:asciiTheme="minorHAnsi" w:hAnsiTheme="minorHAnsi"/>
        </w:rPr>
        <w:t>s</w:t>
      </w:r>
      <w:r w:rsidR="00862663">
        <w:rPr>
          <w:rFonts w:asciiTheme="minorHAnsi" w:hAnsiTheme="minorHAnsi"/>
        </w:rPr>
        <w:t xml:space="preserve"> with CO</w:t>
      </w:r>
      <w:r w:rsidR="00862663">
        <w:rPr>
          <w:rFonts w:asciiTheme="minorHAnsi" w:hAnsiTheme="minorHAnsi"/>
          <w:vertAlign w:val="subscript"/>
        </w:rPr>
        <w:t>2</w:t>
      </w:r>
      <w:r w:rsidR="00862663">
        <w:rPr>
          <w:rFonts w:asciiTheme="minorHAnsi" w:hAnsiTheme="minorHAnsi"/>
        </w:rPr>
        <w:t xml:space="preserve"> capture</w:t>
      </w:r>
    </w:p>
    <w:p w14:paraId="393B25CE" w14:textId="67E2D9B9" w:rsidR="00704BDF" w:rsidRPr="00EC66CC" w:rsidRDefault="00E42938" w:rsidP="00704BDF">
      <w:pPr>
        <w:pStyle w:val="AbstractBody"/>
        <w:numPr>
          <w:ilvl w:val="0"/>
          <w:numId w:val="16"/>
        </w:numPr>
        <w:rPr>
          <w:rFonts w:asciiTheme="minorHAnsi" w:hAnsiTheme="minorHAnsi"/>
        </w:rPr>
      </w:pPr>
      <w:r>
        <w:rPr>
          <w:rFonts w:asciiTheme="minorHAnsi" w:hAnsiTheme="minorHAnsi"/>
        </w:rPr>
        <w:t xml:space="preserve">Amine absorber unit </w:t>
      </w:r>
      <w:r w:rsidR="004F34CA">
        <w:rPr>
          <w:rFonts w:asciiTheme="minorHAnsi" w:hAnsiTheme="minorHAnsi"/>
        </w:rPr>
        <w:t xml:space="preserve">(AAU) </w:t>
      </w:r>
      <w:r>
        <w:rPr>
          <w:rFonts w:asciiTheme="minorHAnsi" w:hAnsiTheme="minorHAnsi"/>
        </w:rPr>
        <w:t>and CO</w:t>
      </w:r>
      <w:r w:rsidRPr="005F09E9">
        <w:rPr>
          <w:rFonts w:asciiTheme="minorHAnsi" w:hAnsiTheme="minorHAnsi"/>
          <w:vertAlign w:val="subscript"/>
        </w:rPr>
        <w:t>2</w:t>
      </w:r>
      <w:r w:rsidR="005F09E9">
        <w:rPr>
          <w:rFonts w:asciiTheme="minorHAnsi" w:hAnsiTheme="minorHAnsi"/>
        </w:rPr>
        <w:t xml:space="preserve"> processing u</w:t>
      </w:r>
      <w:r>
        <w:rPr>
          <w:rFonts w:asciiTheme="minorHAnsi" w:hAnsiTheme="minorHAnsi"/>
        </w:rPr>
        <w:t>n</w:t>
      </w:r>
      <w:r w:rsidR="005F09E9">
        <w:rPr>
          <w:rFonts w:asciiTheme="minorHAnsi" w:hAnsiTheme="minorHAnsi"/>
        </w:rPr>
        <w:t>i</w:t>
      </w:r>
      <w:r>
        <w:rPr>
          <w:rFonts w:asciiTheme="minorHAnsi" w:hAnsiTheme="minorHAnsi"/>
        </w:rPr>
        <w:t xml:space="preserve">t </w:t>
      </w:r>
      <w:r w:rsidR="004F34CA">
        <w:rPr>
          <w:rFonts w:asciiTheme="minorHAnsi" w:hAnsiTheme="minorHAnsi"/>
        </w:rPr>
        <w:t>(CPU) for CO</w:t>
      </w:r>
      <w:r w:rsidR="004F34CA" w:rsidRPr="005F09E9">
        <w:rPr>
          <w:rFonts w:asciiTheme="minorHAnsi" w:hAnsiTheme="minorHAnsi"/>
          <w:vertAlign w:val="subscript"/>
        </w:rPr>
        <w:t>2</w:t>
      </w:r>
      <w:r w:rsidR="004F34CA">
        <w:rPr>
          <w:rFonts w:asciiTheme="minorHAnsi" w:hAnsiTheme="minorHAnsi"/>
        </w:rPr>
        <w:t xml:space="preserve"> capture </w:t>
      </w:r>
    </w:p>
    <w:p w14:paraId="0A4F6FE4" w14:textId="4339AED8" w:rsidR="00862663" w:rsidRPr="00E31DF6" w:rsidRDefault="00862663" w:rsidP="00E31DF6">
      <w:pPr>
        <w:pStyle w:val="AbstractBody"/>
        <w:numPr>
          <w:ilvl w:val="0"/>
          <w:numId w:val="16"/>
        </w:numPr>
        <w:rPr>
          <w:rFonts w:asciiTheme="minorHAnsi" w:hAnsiTheme="minorHAnsi"/>
        </w:rPr>
      </w:pPr>
      <w:r>
        <w:rPr>
          <w:rFonts w:asciiTheme="minorHAnsi" w:hAnsiTheme="minorHAnsi"/>
        </w:rPr>
        <w:t xml:space="preserve">Oxy-combustion with </w:t>
      </w:r>
      <w:r w:rsidR="005F09E9">
        <w:rPr>
          <w:rFonts w:asciiTheme="minorHAnsi" w:hAnsiTheme="minorHAnsi"/>
        </w:rPr>
        <w:t>CPU</w:t>
      </w:r>
      <w:r>
        <w:rPr>
          <w:rFonts w:asciiTheme="minorHAnsi" w:hAnsiTheme="minorHAnsi"/>
        </w:rPr>
        <w:t xml:space="preserve"> </w:t>
      </w:r>
      <w:r w:rsidR="005070AA">
        <w:rPr>
          <w:rFonts w:asciiTheme="minorHAnsi" w:hAnsiTheme="minorHAnsi"/>
        </w:rPr>
        <w:t>wa</w:t>
      </w:r>
      <w:r>
        <w:rPr>
          <w:rFonts w:asciiTheme="minorHAnsi" w:hAnsiTheme="minorHAnsi"/>
        </w:rPr>
        <w:t>s</w:t>
      </w:r>
      <w:r w:rsidR="005070AA">
        <w:rPr>
          <w:rFonts w:asciiTheme="minorHAnsi" w:hAnsiTheme="minorHAnsi"/>
        </w:rPr>
        <w:t xml:space="preserve"> </w:t>
      </w:r>
      <w:r w:rsidR="005F09E9">
        <w:rPr>
          <w:rFonts w:asciiTheme="minorHAnsi" w:hAnsiTheme="minorHAnsi"/>
        </w:rPr>
        <w:t>more efficient than air-combustion with AAU</w:t>
      </w:r>
    </w:p>
    <w:p w14:paraId="2D6154C7" w14:textId="77777777" w:rsidR="00704BDF" w:rsidRPr="00A15B93" w:rsidRDefault="00704BDF" w:rsidP="00704BDF">
      <w:pPr>
        <w:snapToGrid w:val="0"/>
        <w:spacing w:after="120"/>
        <w:jc w:val="center"/>
        <w:rPr>
          <w:rFonts w:eastAsia="SimSun"/>
          <w:bCs/>
          <w:i/>
          <w:iCs/>
          <w:color w:val="0000FF"/>
          <w:sz w:val="20"/>
          <w:lang w:val="en-US" w:eastAsia="zh-CN"/>
        </w:rPr>
      </w:pPr>
    </w:p>
    <w:p w14:paraId="09FE263F"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760DEB17" w14:textId="2F62B3E3" w:rsidR="00C867B1" w:rsidRPr="008D0BEB" w:rsidRDefault="007D29C4" w:rsidP="00C867B1">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Carbon dioxide (CO</w:t>
      </w:r>
      <w:r>
        <w:rPr>
          <w:rFonts w:asciiTheme="minorHAnsi" w:eastAsia="MS PGothic" w:hAnsiTheme="minorHAnsi"/>
          <w:color w:val="000000"/>
          <w:sz w:val="22"/>
          <w:szCs w:val="22"/>
          <w:vertAlign w:val="subscript"/>
          <w:lang w:val="en-US"/>
        </w:rPr>
        <w:t>2</w:t>
      </w:r>
      <w:r w:rsidR="001762B2" w:rsidRPr="001762B2">
        <w:rPr>
          <w:rFonts w:asciiTheme="minorHAnsi" w:eastAsia="MS PGothic" w:hAnsiTheme="minorHAnsi"/>
          <w:color w:val="000000"/>
          <w:sz w:val="22"/>
          <w:szCs w:val="22"/>
          <w:lang w:val="en-US"/>
        </w:rPr>
        <w:t xml:space="preserve">) </w:t>
      </w:r>
      <w:r w:rsidR="005070AA">
        <w:rPr>
          <w:rFonts w:asciiTheme="minorHAnsi" w:eastAsia="MS PGothic" w:hAnsiTheme="minorHAnsi"/>
          <w:color w:val="000000"/>
          <w:sz w:val="22"/>
          <w:szCs w:val="22"/>
          <w:lang w:val="en-US"/>
        </w:rPr>
        <w:t>ha</w:t>
      </w:r>
      <w:r w:rsidR="001762B2" w:rsidRPr="001762B2">
        <w:rPr>
          <w:rFonts w:asciiTheme="minorHAnsi" w:eastAsia="MS PGothic" w:hAnsiTheme="minorHAnsi"/>
          <w:color w:val="000000"/>
          <w:sz w:val="22"/>
          <w:szCs w:val="22"/>
          <w:lang w:val="en-US"/>
        </w:rPr>
        <w:t>s</w:t>
      </w:r>
      <w:r w:rsidR="005070AA">
        <w:rPr>
          <w:rFonts w:asciiTheme="minorHAnsi" w:eastAsia="MS PGothic" w:hAnsiTheme="minorHAnsi"/>
          <w:color w:val="000000"/>
          <w:sz w:val="22"/>
          <w:szCs w:val="22"/>
          <w:lang w:val="en-US"/>
        </w:rPr>
        <w:t xml:space="preserve"> been</w:t>
      </w:r>
      <w:r w:rsidR="001762B2" w:rsidRPr="001762B2">
        <w:rPr>
          <w:rFonts w:asciiTheme="minorHAnsi" w:eastAsia="MS PGothic" w:hAnsiTheme="minorHAnsi"/>
          <w:color w:val="000000"/>
          <w:sz w:val="22"/>
          <w:szCs w:val="22"/>
          <w:lang w:val="en-US"/>
        </w:rPr>
        <w:t xml:space="preserve"> considered as </w:t>
      </w:r>
      <w:r w:rsidR="004F34CA">
        <w:rPr>
          <w:rFonts w:asciiTheme="minorHAnsi" w:eastAsia="MS PGothic" w:hAnsiTheme="minorHAnsi"/>
          <w:color w:val="000000"/>
          <w:sz w:val="22"/>
          <w:szCs w:val="22"/>
          <w:lang w:val="en-US"/>
        </w:rPr>
        <w:t xml:space="preserve">a </w:t>
      </w:r>
      <w:r w:rsidR="001762B2" w:rsidRPr="001762B2">
        <w:rPr>
          <w:rFonts w:asciiTheme="minorHAnsi" w:eastAsia="MS PGothic" w:hAnsiTheme="minorHAnsi"/>
          <w:color w:val="000000"/>
          <w:sz w:val="22"/>
          <w:szCs w:val="22"/>
          <w:lang w:val="en-US"/>
        </w:rPr>
        <w:t>major g</w:t>
      </w:r>
      <w:r w:rsidR="00091AAA">
        <w:rPr>
          <w:rFonts w:asciiTheme="minorHAnsi" w:eastAsia="MS PGothic" w:hAnsiTheme="minorHAnsi"/>
          <w:color w:val="000000"/>
          <w:sz w:val="22"/>
          <w:szCs w:val="22"/>
          <w:lang w:val="en-US"/>
        </w:rPr>
        <w:t>reen</w:t>
      </w:r>
      <w:r w:rsidR="001762B2" w:rsidRPr="001762B2">
        <w:rPr>
          <w:rFonts w:asciiTheme="minorHAnsi" w:eastAsia="MS PGothic" w:hAnsiTheme="minorHAnsi"/>
          <w:color w:val="000000"/>
          <w:sz w:val="22"/>
          <w:szCs w:val="22"/>
          <w:lang w:val="en-US"/>
        </w:rPr>
        <w:t>house gas</w:t>
      </w:r>
      <w:r w:rsidR="0064462F">
        <w:rPr>
          <w:rFonts w:asciiTheme="minorHAnsi" w:eastAsia="MS PGothic" w:hAnsiTheme="minorHAnsi"/>
          <w:color w:val="000000"/>
          <w:sz w:val="22"/>
          <w:szCs w:val="22"/>
          <w:lang w:val="en-US"/>
        </w:rPr>
        <w:t xml:space="preserve"> (GHG)</w:t>
      </w:r>
      <w:r w:rsidR="001762B2" w:rsidRPr="001762B2">
        <w:rPr>
          <w:rFonts w:asciiTheme="minorHAnsi" w:eastAsia="MS PGothic" w:hAnsiTheme="minorHAnsi"/>
          <w:color w:val="000000"/>
          <w:sz w:val="22"/>
          <w:szCs w:val="22"/>
          <w:lang w:val="en-US"/>
        </w:rPr>
        <w:t xml:space="preserve">, and </w:t>
      </w:r>
      <w:r w:rsidR="00E31DF6">
        <w:rPr>
          <w:rFonts w:asciiTheme="minorHAnsi" w:eastAsia="MS PGothic" w:hAnsiTheme="minorHAnsi"/>
          <w:color w:val="000000"/>
          <w:sz w:val="22"/>
          <w:szCs w:val="22"/>
          <w:lang w:val="en-US"/>
        </w:rPr>
        <w:t xml:space="preserve">the </w:t>
      </w:r>
      <w:r w:rsidR="001762B2" w:rsidRPr="001762B2">
        <w:rPr>
          <w:rFonts w:asciiTheme="minorHAnsi" w:eastAsia="MS PGothic" w:hAnsiTheme="minorHAnsi"/>
          <w:color w:val="000000"/>
          <w:sz w:val="22"/>
          <w:szCs w:val="22"/>
          <w:lang w:val="en-US"/>
        </w:rPr>
        <w:t>fossil fuel</w:t>
      </w:r>
      <w:r w:rsidR="00E31DF6">
        <w:rPr>
          <w:rFonts w:asciiTheme="minorHAnsi" w:eastAsia="MS PGothic" w:hAnsiTheme="minorHAnsi"/>
          <w:color w:val="000000"/>
          <w:sz w:val="22"/>
          <w:szCs w:val="22"/>
          <w:lang w:val="en-US"/>
        </w:rPr>
        <w:t xml:space="preserve"> combustion </w:t>
      </w:r>
      <w:r w:rsidR="0064462F">
        <w:rPr>
          <w:rFonts w:asciiTheme="minorHAnsi" w:eastAsia="MS PGothic" w:hAnsiTheme="minorHAnsi"/>
          <w:color w:val="000000"/>
          <w:sz w:val="22"/>
          <w:szCs w:val="22"/>
          <w:lang w:val="en-US"/>
        </w:rPr>
        <w:t xml:space="preserve">produced about 41% of global GHG in 2010 </w:t>
      </w:r>
      <w:r w:rsidR="001762B2" w:rsidRPr="001762B2">
        <w:rPr>
          <w:rFonts w:asciiTheme="minorHAnsi" w:eastAsia="MS PGothic" w:hAnsiTheme="minorHAnsi"/>
          <w:color w:val="000000"/>
          <w:sz w:val="22"/>
          <w:szCs w:val="22"/>
          <w:lang w:val="en-US"/>
        </w:rPr>
        <w:t>[1]</w:t>
      </w:r>
      <w:r w:rsidR="001762B2">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w:t>
      </w:r>
      <w:r w:rsidR="005D70CF">
        <w:rPr>
          <w:rFonts w:asciiTheme="minorHAnsi" w:eastAsia="MS PGothic" w:hAnsiTheme="minorHAnsi"/>
          <w:color w:val="000000"/>
          <w:sz w:val="22"/>
          <w:szCs w:val="22"/>
          <w:lang w:val="en-US"/>
        </w:rPr>
        <w:t>T</w:t>
      </w:r>
      <w:r w:rsidR="0010130C">
        <w:rPr>
          <w:rFonts w:asciiTheme="minorHAnsi" w:eastAsia="MS PGothic" w:hAnsiTheme="minorHAnsi"/>
          <w:color w:val="000000"/>
          <w:sz w:val="22"/>
          <w:szCs w:val="22"/>
          <w:lang w:val="en-US"/>
        </w:rPr>
        <w:t xml:space="preserve">he </w:t>
      </w:r>
      <w:r w:rsidR="005D70CF">
        <w:rPr>
          <w:rFonts w:asciiTheme="minorHAnsi" w:eastAsia="MS PGothic" w:hAnsiTheme="minorHAnsi"/>
          <w:color w:val="000000"/>
          <w:sz w:val="22"/>
          <w:szCs w:val="22"/>
          <w:lang w:val="en-US"/>
        </w:rPr>
        <w:t>CO</w:t>
      </w:r>
      <w:r w:rsidR="005D70CF">
        <w:rPr>
          <w:rFonts w:asciiTheme="minorHAnsi" w:eastAsia="MS PGothic" w:hAnsiTheme="minorHAnsi"/>
          <w:color w:val="000000"/>
          <w:sz w:val="22"/>
          <w:szCs w:val="22"/>
          <w:vertAlign w:val="subscript"/>
          <w:lang w:val="en-US"/>
        </w:rPr>
        <w:t>2</w:t>
      </w:r>
      <w:r w:rsidR="005D70CF" w:rsidRPr="007D29C4">
        <w:rPr>
          <w:rFonts w:asciiTheme="minorHAnsi" w:eastAsia="MS PGothic" w:hAnsiTheme="minorHAnsi"/>
          <w:color w:val="000000"/>
          <w:sz w:val="22"/>
          <w:szCs w:val="22"/>
          <w:lang w:val="en-US"/>
        </w:rPr>
        <w:t xml:space="preserve"> </w:t>
      </w:r>
      <w:r w:rsidR="0010130C">
        <w:rPr>
          <w:rFonts w:asciiTheme="minorHAnsi" w:eastAsia="MS PGothic" w:hAnsiTheme="minorHAnsi"/>
          <w:color w:val="000000"/>
          <w:sz w:val="22"/>
          <w:szCs w:val="22"/>
          <w:lang w:val="en-US"/>
        </w:rPr>
        <w:t xml:space="preserve">capture </w:t>
      </w:r>
      <w:r w:rsidR="0064462F">
        <w:rPr>
          <w:rFonts w:asciiTheme="minorHAnsi" w:eastAsia="MS PGothic" w:hAnsiTheme="minorHAnsi"/>
          <w:color w:val="000000"/>
          <w:sz w:val="22"/>
          <w:szCs w:val="22"/>
          <w:lang w:val="en-US"/>
        </w:rPr>
        <w:t xml:space="preserve">and storage </w:t>
      </w:r>
      <w:r w:rsidR="005D70CF">
        <w:rPr>
          <w:rFonts w:asciiTheme="minorHAnsi" w:eastAsia="MS PGothic" w:hAnsiTheme="minorHAnsi"/>
          <w:color w:val="000000"/>
          <w:sz w:val="22"/>
          <w:szCs w:val="22"/>
          <w:lang w:val="en-US"/>
        </w:rPr>
        <w:t>(CCS)</w:t>
      </w:r>
      <w:r w:rsidR="0010130C">
        <w:rPr>
          <w:rFonts w:asciiTheme="minorHAnsi" w:eastAsia="MS PGothic" w:hAnsiTheme="minorHAnsi"/>
          <w:color w:val="000000"/>
          <w:sz w:val="22"/>
          <w:szCs w:val="22"/>
          <w:lang w:val="en-US"/>
        </w:rPr>
        <w:t xml:space="preserve"> </w:t>
      </w:r>
      <w:r w:rsidRPr="007D29C4">
        <w:rPr>
          <w:rFonts w:asciiTheme="minorHAnsi" w:eastAsia="MS PGothic" w:hAnsiTheme="minorHAnsi"/>
          <w:color w:val="000000"/>
          <w:sz w:val="22"/>
          <w:szCs w:val="22"/>
          <w:lang w:val="en-US"/>
        </w:rPr>
        <w:t xml:space="preserve">is important </w:t>
      </w:r>
      <w:r w:rsidR="005D70CF">
        <w:rPr>
          <w:rFonts w:asciiTheme="minorHAnsi" w:eastAsia="MS PGothic" w:hAnsiTheme="minorHAnsi"/>
          <w:color w:val="000000"/>
          <w:sz w:val="22"/>
          <w:szCs w:val="22"/>
          <w:lang w:val="en-US"/>
        </w:rPr>
        <w:t xml:space="preserve">for the coal-fired power plant </w:t>
      </w:r>
      <w:r w:rsidRPr="007D29C4">
        <w:rPr>
          <w:rFonts w:asciiTheme="minorHAnsi" w:eastAsia="MS PGothic" w:hAnsiTheme="minorHAnsi"/>
          <w:color w:val="000000"/>
          <w:sz w:val="22"/>
          <w:szCs w:val="22"/>
          <w:lang w:val="en-US"/>
        </w:rPr>
        <w:t xml:space="preserve">to </w:t>
      </w:r>
      <w:r w:rsidR="0064462F">
        <w:rPr>
          <w:rFonts w:asciiTheme="minorHAnsi" w:eastAsia="MS PGothic" w:hAnsiTheme="minorHAnsi"/>
          <w:color w:val="000000"/>
          <w:sz w:val="22"/>
          <w:szCs w:val="22"/>
          <w:lang w:val="en-US"/>
        </w:rPr>
        <w:t>meet future targets on reduction of GHG emissions [</w:t>
      </w:r>
      <w:r w:rsidR="005D70CF">
        <w:rPr>
          <w:rFonts w:asciiTheme="minorHAnsi" w:eastAsia="MS PGothic" w:hAnsiTheme="minorHAnsi"/>
          <w:color w:val="000000"/>
          <w:sz w:val="22"/>
          <w:szCs w:val="22"/>
          <w:lang w:val="en-US"/>
        </w:rPr>
        <w:t>2</w:t>
      </w:r>
      <w:r w:rsidR="0064462F">
        <w:rPr>
          <w:rFonts w:asciiTheme="minorHAnsi" w:eastAsia="MS PGothic" w:hAnsiTheme="minorHAnsi"/>
          <w:color w:val="000000"/>
          <w:sz w:val="22"/>
          <w:szCs w:val="22"/>
          <w:lang w:val="en-US"/>
        </w:rPr>
        <w:t>].</w:t>
      </w:r>
      <w:r w:rsidR="005D70CF">
        <w:rPr>
          <w:rFonts w:asciiTheme="minorHAnsi" w:eastAsia="MS PGothic" w:hAnsiTheme="minorHAnsi"/>
          <w:color w:val="000000"/>
          <w:sz w:val="22"/>
          <w:szCs w:val="22"/>
          <w:lang w:val="en-US"/>
        </w:rPr>
        <w:t xml:space="preserve"> The amine absorber unit (AAU) is typically used in the air-coal combustion power plant for </w:t>
      </w:r>
      <w:r w:rsidR="001709A8">
        <w:rPr>
          <w:rFonts w:asciiTheme="minorHAnsi" w:eastAsia="MS PGothic" w:hAnsiTheme="minorHAnsi"/>
          <w:color w:val="000000"/>
          <w:sz w:val="22"/>
          <w:szCs w:val="22"/>
          <w:lang w:val="en-US"/>
        </w:rPr>
        <w:t>CCS</w:t>
      </w:r>
      <w:r w:rsidR="0080684B">
        <w:rPr>
          <w:rFonts w:asciiTheme="minorHAnsi" w:eastAsia="MS PGothic" w:hAnsiTheme="minorHAnsi"/>
          <w:color w:val="000000"/>
          <w:sz w:val="22"/>
          <w:szCs w:val="22"/>
          <w:lang w:val="en-US"/>
        </w:rPr>
        <w:t xml:space="preserve"> [3.4]</w:t>
      </w:r>
      <w:r w:rsidR="001709A8">
        <w:rPr>
          <w:rFonts w:asciiTheme="minorHAnsi" w:eastAsia="MS PGothic" w:hAnsiTheme="minorHAnsi"/>
          <w:color w:val="000000"/>
          <w:sz w:val="22"/>
          <w:szCs w:val="22"/>
          <w:lang w:val="en-US"/>
        </w:rPr>
        <w:t>. The CO</w:t>
      </w:r>
      <w:r w:rsidR="001709A8" w:rsidRPr="001709A8">
        <w:rPr>
          <w:rFonts w:asciiTheme="minorHAnsi" w:eastAsia="MS PGothic" w:hAnsiTheme="minorHAnsi"/>
          <w:color w:val="000000"/>
          <w:sz w:val="22"/>
          <w:szCs w:val="22"/>
          <w:vertAlign w:val="subscript"/>
          <w:lang w:val="en-US"/>
        </w:rPr>
        <w:t>2</w:t>
      </w:r>
      <w:r w:rsidR="001709A8">
        <w:rPr>
          <w:rFonts w:asciiTheme="minorHAnsi" w:eastAsia="MS PGothic" w:hAnsiTheme="minorHAnsi"/>
          <w:color w:val="000000"/>
          <w:sz w:val="22"/>
          <w:szCs w:val="22"/>
          <w:lang w:val="en-US"/>
        </w:rPr>
        <w:t xml:space="preserve"> processing unit (CPU) </w:t>
      </w:r>
      <w:r w:rsidR="005D70CF">
        <w:rPr>
          <w:rFonts w:asciiTheme="minorHAnsi" w:eastAsia="MS PGothic" w:hAnsiTheme="minorHAnsi"/>
          <w:color w:val="000000"/>
          <w:sz w:val="22"/>
          <w:szCs w:val="22"/>
          <w:lang w:val="en-US"/>
        </w:rPr>
        <w:t>with</w:t>
      </w:r>
      <w:r w:rsidR="001709A8">
        <w:rPr>
          <w:rFonts w:asciiTheme="minorHAnsi" w:eastAsia="MS PGothic" w:hAnsiTheme="minorHAnsi"/>
          <w:color w:val="000000"/>
          <w:sz w:val="22"/>
          <w:szCs w:val="22"/>
          <w:lang w:val="en-US"/>
        </w:rPr>
        <w:t xml:space="preserve"> a cold box is applied to the oxy-coal power plant due to high CO</w:t>
      </w:r>
      <w:r w:rsidR="001709A8" w:rsidRPr="001709A8">
        <w:rPr>
          <w:rFonts w:asciiTheme="minorHAnsi" w:eastAsia="MS PGothic" w:hAnsiTheme="minorHAnsi"/>
          <w:color w:val="000000"/>
          <w:sz w:val="22"/>
          <w:szCs w:val="22"/>
          <w:vertAlign w:val="subscript"/>
          <w:lang w:val="en-US"/>
        </w:rPr>
        <w:t>2</w:t>
      </w:r>
      <w:r w:rsidR="001709A8">
        <w:rPr>
          <w:rFonts w:asciiTheme="minorHAnsi" w:eastAsia="MS PGothic" w:hAnsiTheme="minorHAnsi"/>
          <w:color w:val="000000"/>
          <w:sz w:val="22"/>
          <w:szCs w:val="22"/>
          <w:lang w:val="en-US"/>
        </w:rPr>
        <w:t xml:space="preserve"> content in flue gas</w:t>
      </w:r>
      <w:r w:rsidR="0080684B">
        <w:rPr>
          <w:rFonts w:asciiTheme="minorHAnsi" w:eastAsia="MS PGothic" w:hAnsiTheme="minorHAnsi"/>
          <w:color w:val="000000"/>
          <w:sz w:val="22"/>
          <w:szCs w:val="22"/>
          <w:lang w:val="en-US"/>
        </w:rPr>
        <w:t xml:space="preserve"> [2]</w:t>
      </w:r>
      <w:r w:rsidR="001709A8">
        <w:rPr>
          <w:rFonts w:asciiTheme="minorHAnsi" w:eastAsia="MS PGothic" w:hAnsiTheme="minorHAnsi"/>
          <w:color w:val="000000"/>
          <w:sz w:val="22"/>
          <w:szCs w:val="22"/>
          <w:lang w:val="en-US"/>
        </w:rPr>
        <w:t>. However, few researchers have addressed the energy and economic analys</w:t>
      </w:r>
      <w:r w:rsidR="00BD4A0F">
        <w:rPr>
          <w:rFonts w:asciiTheme="minorHAnsi" w:eastAsia="MS PGothic" w:hAnsiTheme="minorHAnsi"/>
          <w:color w:val="000000"/>
          <w:sz w:val="22"/>
          <w:szCs w:val="22"/>
          <w:lang w:val="en-US"/>
        </w:rPr>
        <w:t>e</w:t>
      </w:r>
      <w:r w:rsidR="001709A8">
        <w:rPr>
          <w:rFonts w:asciiTheme="minorHAnsi" w:eastAsia="MS PGothic" w:hAnsiTheme="minorHAnsi"/>
          <w:color w:val="000000"/>
          <w:sz w:val="22"/>
          <w:szCs w:val="22"/>
          <w:lang w:val="en-US"/>
        </w:rPr>
        <w:t xml:space="preserve">s under the same </w:t>
      </w:r>
      <w:r w:rsidR="00BD4A0F">
        <w:rPr>
          <w:rFonts w:asciiTheme="minorHAnsi" w:eastAsia="MS PGothic" w:hAnsiTheme="minorHAnsi"/>
          <w:color w:val="000000"/>
          <w:sz w:val="22"/>
          <w:szCs w:val="22"/>
          <w:lang w:val="en-US"/>
        </w:rPr>
        <w:t xml:space="preserve">operating parameters of the two plants with CCS. </w:t>
      </w:r>
      <w:r w:rsidR="00C47A33" w:rsidRPr="00C47A33">
        <w:rPr>
          <w:rFonts w:asciiTheme="minorHAnsi" w:eastAsia="MS PGothic" w:hAnsiTheme="minorHAnsi"/>
          <w:color w:val="000000"/>
          <w:sz w:val="22"/>
          <w:szCs w:val="22"/>
          <w:lang w:val="en-US"/>
        </w:rPr>
        <w:t>There</w:t>
      </w:r>
      <w:r w:rsidR="00C47A33">
        <w:rPr>
          <w:rFonts w:asciiTheme="minorHAnsi" w:eastAsia="MS PGothic" w:hAnsiTheme="minorHAnsi"/>
          <w:color w:val="000000"/>
          <w:sz w:val="22"/>
          <w:szCs w:val="22"/>
          <w:lang w:val="en-US"/>
        </w:rPr>
        <w:t xml:space="preserve"> remains a need for a comparis</w:t>
      </w:r>
      <w:r w:rsidR="00C47A33" w:rsidRPr="00C47A33">
        <w:rPr>
          <w:rFonts w:asciiTheme="minorHAnsi" w:eastAsia="MS PGothic" w:hAnsiTheme="minorHAnsi"/>
          <w:color w:val="000000"/>
          <w:sz w:val="22"/>
          <w:szCs w:val="22"/>
          <w:lang w:val="en-US"/>
        </w:rPr>
        <w:t xml:space="preserve">on between </w:t>
      </w:r>
      <w:r w:rsidR="005D70CF">
        <w:rPr>
          <w:rFonts w:asciiTheme="minorHAnsi" w:eastAsia="MS PGothic" w:hAnsiTheme="minorHAnsi"/>
          <w:color w:val="000000"/>
          <w:sz w:val="22"/>
          <w:szCs w:val="22"/>
          <w:lang w:val="en-US"/>
        </w:rPr>
        <w:t xml:space="preserve">the two </w:t>
      </w:r>
      <w:r w:rsidR="00BD4A0F">
        <w:rPr>
          <w:rFonts w:asciiTheme="minorHAnsi" w:eastAsia="MS PGothic" w:hAnsiTheme="minorHAnsi"/>
          <w:color w:val="000000"/>
          <w:sz w:val="22"/>
          <w:szCs w:val="22"/>
          <w:lang w:val="en-US"/>
        </w:rPr>
        <w:t>plants to identify the economic feasibility</w:t>
      </w:r>
      <w:r w:rsidR="00C47A33">
        <w:rPr>
          <w:rFonts w:asciiTheme="minorHAnsi" w:eastAsia="MS PGothic" w:hAnsiTheme="minorHAnsi"/>
          <w:color w:val="000000"/>
          <w:sz w:val="22"/>
          <w:szCs w:val="22"/>
          <w:lang w:val="en-US"/>
        </w:rPr>
        <w:t xml:space="preserve">. </w:t>
      </w:r>
      <w:r w:rsidR="002806ED" w:rsidRPr="002806ED">
        <w:rPr>
          <w:rFonts w:asciiTheme="minorHAnsi" w:eastAsia="MS PGothic" w:hAnsiTheme="minorHAnsi"/>
          <w:color w:val="000000"/>
          <w:sz w:val="22"/>
          <w:szCs w:val="22"/>
          <w:lang w:val="en-US"/>
        </w:rPr>
        <w:t xml:space="preserve">This study </w:t>
      </w:r>
      <w:r w:rsidR="00BD4A0F">
        <w:rPr>
          <w:rFonts w:asciiTheme="minorHAnsi" w:eastAsia="MS PGothic" w:hAnsiTheme="minorHAnsi"/>
          <w:color w:val="000000"/>
          <w:sz w:val="22"/>
          <w:szCs w:val="22"/>
          <w:lang w:val="en-US"/>
        </w:rPr>
        <w:t xml:space="preserve">aims to develop the process flow diagram (PFD) of the two plants with and without CCS, and to evaluate economic values such as the total capital investment (TCI), total production cost (TPC), </w:t>
      </w:r>
      <w:r w:rsidR="00C54FE9">
        <w:rPr>
          <w:rFonts w:asciiTheme="minorHAnsi" w:eastAsia="MS PGothic" w:hAnsiTheme="minorHAnsi"/>
          <w:color w:val="000000"/>
          <w:sz w:val="22"/>
          <w:szCs w:val="22"/>
          <w:lang w:val="en-US"/>
        </w:rPr>
        <w:t xml:space="preserve">capital investment cost (CIC), </w:t>
      </w:r>
      <w:r w:rsidR="00BD4A0F" w:rsidRPr="003D447A">
        <w:rPr>
          <w:rFonts w:asciiTheme="minorHAnsi" w:eastAsia="MS PGothic" w:hAnsiTheme="minorHAnsi"/>
          <w:color w:val="000000"/>
          <w:sz w:val="22"/>
          <w:szCs w:val="22"/>
          <w:lang w:val="en-US"/>
        </w:rPr>
        <w:t>carbon capture cost (CCC)</w:t>
      </w:r>
      <w:r w:rsidR="00BD4A0F">
        <w:rPr>
          <w:rFonts w:asciiTheme="minorHAnsi" w:eastAsia="MS PGothic" w:hAnsiTheme="minorHAnsi"/>
          <w:color w:val="000000"/>
          <w:sz w:val="22"/>
          <w:szCs w:val="22"/>
          <w:lang w:val="en-US"/>
        </w:rPr>
        <w:t>,</w:t>
      </w:r>
      <w:r w:rsidR="00BD4A0F" w:rsidRPr="003D447A">
        <w:t xml:space="preserve"> </w:t>
      </w:r>
      <w:r w:rsidR="00BD4A0F">
        <w:t xml:space="preserve">and </w:t>
      </w:r>
      <w:proofErr w:type="spellStart"/>
      <w:r w:rsidR="00BD4A0F" w:rsidRPr="003D447A">
        <w:rPr>
          <w:rFonts w:asciiTheme="minorHAnsi" w:eastAsia="MS PGothic" w:hAnsiTheme="minorHAnsi"/>
          <w:color w:val="000000"/>
          <w:sz w:val="22"/>
          <w:szCs w:val="22"/>
          <w:lang w:val="en-US"/>
        </w:rPr>
        <w:t>levelized</w:t>
      </w:r>
      <w:proofErr w:type="spellEnd"/>
      <w:r w:rsidR="00BD4A0F">
        <w:rPr>
          <w:rFonts w:asciiTheme="minorHAnsi" w:eastAsia="MS PGothic" w:hAnsiTheme="minorHAnsi"/>
          <w:color w:val="000000"/>
          <w:sz w:val="22"/>
          <w:szCs w:val="22"/>
          <w:lang w:val="en-US"/>
        </w:rPr>
        <w:t>-</w:t>
      </w:r>
      <w:r w:rsidR="00BD4A0F" w:rsidRPr="003D447A">
        <w:rPr>
          <w:rFonts w:asciiTheme="minorHAnsi" w:eastAsia="MS PGothic" w:hAnsiTheme="minorHAnsi"/>
          <w:color w:val="000000"/>
          <w:sz w:val="22"/>
          <w:szCs w:val="22"/>
          <w:lang w:val="en-US"/>
        </w:rPr>
        <w:t>cost of electricity</w:t>
      </w:r>
      <w:r w:rsidR="00BD4A0F">
        <w:rPr>
          <w:rFonts w:asciiTheme="minorHAnsi" w:eastAsia="MS PGothic" w:hAnsiTheme="minorHAnsi"/>
          <w:color w:val="000000"/>
          <w:sz w:val="22"/>
          <w:szCs w:val="22"/>
          <w:lang w:val="en-US"/>
        </w:rPr>
        <w:t xml:space="preserve"> (LCOE)</w:t>
      </w:r>
      <w:r w:rsidR="002A0CEB">
        <w:rPr>
          <w:rFonts w:asciiTheme="minorHAnsi" w:eastAsia="MS PGothic" w:hAnsiTheme="minorHAnsi"/>
          <w:color w:val="000000"/>
          <w:sz w:val="22"/>
          <w:szCs w:val="22"/>
          <w:lang w:val="en-US"/>
        </w:rPr>
        <w:t>.</w:t>
      </w:r>
    </w:p>
    <w:p w14:paraId="0F00D801" w14:textId="77777777"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2E6B6193" w14:textId="2BBE8153" w:rsidR="00704BDF" w:rsidRDefault="00706BA0" w:rsidP="00704BDF">
      <w:pPr>
        <w:snapToGrid w:val="0"/>
        <w:spacing w:after="120"/>
        <w:rPr>
          <w:rFonts w:asciiTheme="minorHAnsi" w:eastAsia="MS PGothic" w:hAnsiTheme="minorHAnsi"/>
          <w:color w:val="000000"/>
          <w:sz w:val="22"/>
          <w:szCs w:val="22"/>
          <w:lang w:val="en-US"/>
        </w:rPr>
      </w:pPr>
      <w:r w:rsidRPr="00706BA0">
        <w:rPr>
          <w:rFonts w:asciiTheme="minorHAnsi" w:eastAsia="MS PGothic" w:hAnsiTheme="minorHAnsi"/>
          <w:color w:val="000000"/>
          <w:sz w:val="22"/>
          <w:szCs w:val="22"/>
          <w:lang w:val="en-US"/>
        </w:rPr>
        <w:t xml:space="preserve">The </w:t>
      </w:r>
      <w:r w:rsidR="00845103">
        <w:rPr>
          <w:rFonts w:asciiTheme="minorHAnsi" w:eastAsia="MS PGothic" w:hAnsiTheme="minorHAnsi"/>
          <w:color w:val="000000"/>
          <w:sz w:val="22"/>
          <w:szCs w:val="22"/>
          <w:lang w:val="en-US"/>
        </w:rPr>
        <w:t xml:space="preserve">PFDs of the two </w:t>
      </w:r>
      <w:r w:rsidRPr="00706BA0">
        <w:rPr>
          <w:rFonts w:asciiTheme="minorHAnsi" w:eastAsia="MS PGothic" w:hAnsiTheme="minorHAnsi"/>
          <w:color w:val="000000"/>
          <w:sz w:val="22"/>
          <w:szCs w:val="22"/>
          <w:lang w:val="en-US"/>
        </w:rPr>
        <w:t>power plant</w:t>
      </w:r>
      <w:r w:rsidR="00845103">
        <w:rPr>
          <w:rFonts w:asciiTheme="minorHAnsi" w:eastAsia="MS PGothic" w:hAnsiTheme="minorHAnsi"/>
          <w:color w:val="000000"/>
          <w:sz w:val="22"/>
          <w:szCs w:val="22"/>
          <w:lang w:val="en-US"/>
        </w:rPr>
        <w:t xml:space="preserve">s </w:t>
      </w:r>
      <w:r w:rsidR="00026DEE">
        <w:rPr>
          <w:rFonts w:asciiTheme="minorHAnsi" w:eastAsia="MS PGothic" w:hAnsiTheme="minorHAnsi"/>
          <w:color w:val="000000"/>
          <w:sz w:val="22"/>
          <w:szCs w:val="22"/>
          <w:lang w:val="en-US"/>
        </w:rPr>
        <w:t xml:space="preserve">were </w:t>
      </w:r>
      <w:r w:rsidRPr="00706BA0">
        <w:rPr>
          <w:rFonts w:asciiTheme="minorHAnsi" w:eastAsia="MS PGothic" w:hAnsiTheme="minorHAnsi"/>
          <w:color w:val="000000"/>
          <w:sz w:val="22"/>
          <w:szCs w:val="22"/>
          <w:lang w:val="en-US"/>
        </w:rPr>
        <w:t xml:space="preserve">simulated by </w:t>
      </w:r>
      <w:r w:rsidR="009027B6">
        <w:rPr>
          <w:rFonts w:asciiTheme="minorHAnsi" w:eastAsia="MS PGothic" w:hAnsiTheme="minorHAnsi"/>
          <w:color w:val="000000"/>
          <w:sz w:val="22"/>
          <w:szCs w:val="22"/>
          <w:lang w:val="en-US"/>
        </w:rPr>
        <w:t xml:space="preserve">a commercial </w:t>
      </w:r>
      <w:r w:rsidR="00845103">
        <w:rPr>
          <w:rFonts w:asciiTheme="minorHAnsi" w:eastAsia="MS PGothic" w:hAnsiTheme="minorHAnsi"/>
          <w:color w:val="000000"/>
          <w:sz w:val="22"/>
          <w:szCs w:val="22"/>
          <w:lang w:val="en-US"/>
        </w:rPr>
        <w:t>code (</w:t>
      </w:r>
      <w:r w:rsidRPr="00706BA0">
        <w:rPr>
          <w:rFonts w:asciiTheme="minorHAnsi" w:eastAsia="MS PGothic" w:hAnsiTheme="minorHAnsi"/>
          <w:color w:val="000000"/>
          <w:sz w:val="22"/>
          <w:szCs w:val="22"/>
          <w:lang w:val="en-US"/>
        </w:rPr>
        <w:t>A</w:t>
      </w:r>
      <w:r w:rsidR="00845103">
        <w:rPr>
          <w:rFonts w:asciiTheme="minorHAnsi" w:eastAsia="MS PGothic" w:hAnsiTheme="minorHAnsi"/>
          <w:color w:val="000000"/>
          <w:sz w:val="22"/>
          <w:szCs w:val="22"/>
          <w:lang w:val="en-US"/>
        </w:rPr>
        <w:t>SPEN</w:t>
      </w:r>
      <w:r w:rsidRPr="00706BA0">
        <w:rPr>
          <w:rFonts w:asciiTheme="minorHAnsi" w:eastAsia="MS PGothic" w:hAnsiTheme="minorHAnsi"/>
          <w:color w:val="000000"/>
          <w:sz w:val="22"/>
          <w:szCs w:val="22"/>
          <w:lang w:val="en-US"/>
        </w:rPr>
        <w:t xml:space="preserve"> Plus</w:t>
      </w:r>
      <w:r w:rsidR="00845103">
        <w:rPr>
          <w:rFonts w:asciiTheme="minorHAnsi" w:eastAsia="MS PGothic" w:hAnsiTheme="minorHAnsi"/>
          <w:color w:val="000000"/>
          <w:sz w:val="22"/>
          <w:szCs w:val="22"/>
          <w:lang w:val="en-US"/>
        </w:rPr>
        <w:t>)</w:t>
      </w:r>
      <w:r w:rsidRPr="00706BA0">
        <w:rPr>
          <w:rFonts w:asciiTheme="minorHAnsi" w:eastAsia="MS PGothic" w:hAnsiTheme="minorHAnsi"/>
          <w:color w:val="000000"/>
          <w:sz w:val="22"/>
          <w:szCs w:val="22"/>
          <w:lang w:val="en-US"/>
        </w:rPr>
        <w:t xml:space="preserve"> to calculate the mass and energy balances. The </w:t>
      </w:r>
      <w:r w:rsidR="00845103">
        <w:rPr>
          <w:rFonts w:asciiTheme="minorHAnsi" w:eastAsia="MS PGothic" w:hAnsiTheme="minorHAnsi"/>
          <w:color w:val="000000"/>
          <w:sz w:val="22"/>
          <w:szCs w:val="22"/>
          <w:lang w:val="en-US"/>
        </w:rPr>
        <w:t xml:space="preserve">PFD of the </w:t>
      </w:r>
      <w:r>
        <w:rPr>
          <w:rFonts w:asciiTheme="minorHAnsi" w:eastAsia="MS PGothic" w:hAnsiTheme="minorHAnsi"/>
          <w:color w:val="000000"/>
          <w:sz w:val="22"/>
          <w:szCs w:val="22"/>
          <w:lang w:val="en-US"/>
        </w:rPr>
        <w:t>air</w:t>
      </w:r>
      <w:r w:rsidR="00845103">
        <w:rPr>
          <w:rFonts w:asciiTheme="minorHAnsi" w:eastAsia="MS PGothic" w:hAnsiTheme="minorHAnsi"/>
          <w:color w:val="000000"/>
          <w:sz w:val="22"/>
          <w:szCs w:val="22"/>
          <w:lang w:val="en-US"/>
        </w:rPr>
        <w:t xml:space="preserve">-coal power plant </w:t>
      </w:r>
      <w:r w:rsidRPr="00706BA0">
        <w:rPr>
          <w:rFonts w:asciiTheme="minorHAnsi" w:eastAsia="MS PGothic" w:hAnsiTheme="minorHAnsi"/>
          <w:color w:val="000000"/>
          <w:sz w:val="22"/>
          <w:szCs w:val="22"/>
          <w:lang w:val="en-US"/>
        </w:rPr>
        <w:t>consist</w:t>
      </w:r>
      <w:r w:rsidR="00845103">
        <w:rPr>
          <w:rFonts w:asciiTheme="minorHAnsi" w:eastAsia="MS PGothic" w:hAnsiTheme="minorHAnsi"/>
          <w:color w:val="000000"/>
          <w:sz w:val="22"/>
          <w:szCs w:val="22"/>
          <w:lang w:val="en-US"/>
        </w:rPr>
        <w:t>ed</w:t>
      </w:r>
      <w:r w:rsidRPr="00706BA0">
        <w:rPr>
          <w:rFonts w:asciiTheme="minorHAnsi" w:eastAsia="MS PGothic" w:hAnsiTheme="minorHAnsi"/>
          <w:color w:val="000000"/>
          <w:sz w:val="22"/>
          <w:szCs w:val="22"/>
          <w:lang w:val="en-US"/>
        </w:rPr>
        <w:t xml:space="preserve"> of </w:t>
      </w:r>
      <w:r w:rsidR="003D447A">
        <w:rPr>
          <w:rFonts w:asciiTheme="minorHAnsi" w:eastAsia="MS PGothic" w:hAnsiTheme="minorHAnsi"/>
          <w:color w:val="000000"/>
          <w:sz w:val="22"/>
          <w:szCs w:val="22"/>
          <w:lang w:val="en-US"/>
        </w:rPr>
        <w:t>five</w:t>
      </w:r>
      <w:r w:rsidR="00C8402C">
        <w:rPr>
          <w:rFonts w:asciiTheme="minorHAnsi" w:eastAsia="MS PGothic" w:hAnsiTheme="minorHAnsi"/>
          <w:color w:val="000000"/>
          <w:sz w:val="22"/>
          <w:szCs w:val="22"/>
          <w:lang w:val="en-US"/>
        </w:rPr>
        <w:t xml:space="preserve"> main areas: </w:t>
      </w:r>
      <w:r w:rsidRPr="00706BA0">
        <w:rPr>
          <w:rFonts w:asciiTheme="minorHAnsi" w:eastAsia="MS PGothic" w:hAnsiTheme="minorHAnsi"/>
          <w:color w:val="000000"/>
          <w:sz w:val="22"/>
          <w:szCs w:val="22"/>
          <w:lang w:val="en-US"/>
        </w:rPr>
        <w:t>A100 (</w:t>
      </w:r>
      <w:r w:rsidR="00845103">
        <w:rPr>
          <w:rFonts w:asciiTheme="minorHAnsi" w:eastAsia="MS PGothic" w:hAnsiTheme="minorHAnsi"/>
          <w:color w:val="000000"/>
          <w:sz w:val="22"/>
          <w:szCs w:val="22"/>
          <w:lang w:val="en-US"/>
        </w:rPr>
        <w:t>c</w:t>
      </w:r>
      <w:r w:rsidR="003D447A">
        <w:rPr>
          <w:rFonts w:asciiTheme="minorHAnsi" w:eastAsia="MS PGothic" w:hAnsiTheme="minorHAnsi"/>
          <w:color w:val="000000"/>
          <w:sz w:val="22"/>
          <w:szCs w:val="22"/>
          <w:lang w:val="en-US"/>
        </w:rPr>
        <w:t>oal pretreatment</w:t>
      </w:r>
      <w:r w:rsidRPr="00706BA0">
        <w:rPr>
          <w:rFonts w:asciiTheme="minorHAnsi" w:eastAsia="MS PGothic" w:hAnsiTheme="minorHAnsi"/>
          <w:color w:val="000000"/>
          <w:sz w:val="22"/>
          <w:szCs w:val="22"/>
          <w:lang w:val="en-US"/>
        </w:rPr>
        <w:t>), A200 (</w:t>
      </w:r>
      <w:r w:rsidR="00845103">
        <w:rPr>
          <w:rFonts w:asciiTheme="minorHAnsi" w:eastAsia="MS PGothic" w:hAnsiTheme="minorHAnsi"/>
          <w:color w:val="000000"/>
          <w:sz w:val="22"/>
          <w:szCs w:val="22"/>
          <w:lang w:val="en-US"/>
        </w:rPr>
        <w:t>c</w:t>
      </w:r>
      <w:r w:rsidR="00C8402C">
        <w:rPr>
          <w:rFonts w:asciiTheme="minorHAnsi" w:eastAsia="MS PGothic" w:hAnsiTheme="minorHAnsi"/>
          <w:color w:val="000000"/>
          <w:sz w:val="22"/>
          <w:szCs w:val="22"/>
          <w:lang w:val="en-US"/>
        </w:rPr>
        <w:t>irculating fluidized</w:t>
      </w:r>
      <w:r w:rsidR="00845103">
        <w:rPr>
          <w:rFonts w:asciiTheme="minorHAnsi" w:eastAsia="MS PGothic" w:hAnsiTheme="minorHAnsi"/>
          <w:color w:val="000000"/>
          <w:sz w:val="22"/>
          <w:szCs w:val="22"/>
          <w:lang w:val="en-US"/>
        </w:rPr>
        <w:t>-</w:t>
      </w:r>
      <w:r w:rsidR="00C8402C">
        <w:rPr>
          <w:rFonts w:asciiTheme="minorHAnsi" w:eastAsia="MS PGothic" w:hAnsiTheme="minorHAnsi"/>
          <w:color w:val="000000"/>
          <w:sz w:val="22"/>
          <w:szCs w:val="22"/>
          <w:lang w:val="en-US"/>
        </w:rPr>
        <w:t>b</w:t>
      </w:r>
      <w:r w:rsidR="003D447A" w:rsidRPr="003D447A">
        <w:rPr>
          <w:rFonts w:asciiTheme="minorHAnsi" w:eastAsia="MS PGothic" w:hAnsiTheme="minorHAnsi"/>
          <w:color w:val="000000"/>
          <w:sz w:val="22"/>
          <w:szCs w:val="22"/>
          <w:lang w:val="en-US"/>
        </w:rPr>
        <w:t xml:space="preserve">ed </w:t>
      </w:r>
      <w:r w:rsidR="00C8402C">
        <w:rPr>
          <w:rFonts w:asciiTheme="minorHAnsi" w:eastAsia="MS PGothic" w:hAnsiTheme="minorHAnsi"/>
          <w:color w:val="000000"/>
          <w:sz w:val="22"/>
          <w:szCs w:val="22"/>
          <w:lang w:val="en-US"/>
        </w:rPr>
        <w:t>c</w:t>
      </w:r>
      <w:r w:rsidR="003D447A" w:rsidRPr="003D447A">
        <w:rPr>
          <w:rFonts w:asciiTheme="minorHAnsi" w:eastAsia="MS PGothic" w:hAnsiTheme="minorHAnsi"/>
          <w:color w:val="000000"/>
          <w:sz w:val="22"/>
          <w:szCs w:val="22"/>
          <w:lang w:val="en-US"/>
        </w:rPr>
        <w:t>ombustion</w:t>
      </w:r>
      <w:r w:rsidR="00C8402C">
        <w:rPr>
          <w:rFonts w:asciiTheme="minorHAnsi" w:eastAsia="MS PGothic" w:hAnsiTheme="minorHAnsi"/>
          <w:color w:val="000000"/>
          <w:sz w:val="22"/>
          <w:szCs w:val="22"/>
          <w:lang w:val="en-US"/>
        </w:rPr>
        <w:t>-CFBC), A300 (</w:t>
      </w:r>
      <w:r w:rsidR="00845103">
        <w:rPr>
          <w:rFonts w:asciiTheme="minorHAnsi" w:eastAsia="MS PGothic" w:hAnsiTheme="minorHAnsi"/>
          <w:color w:val="000000"/>
          <w:sz w:val="22"/>
          <w:szCs w:val="22"/>
          <w:lang w:val="en-US"/>
        </w:rPr>
        <w:t>e</w:t>
      </w:r>
      <w:r w:rsidRPr="00706BA0">
        <w:rPr>
          <w:rFonts w:asciiTheme="minorHAnsi" w:eastAsia="MS PGothic" w:hAnsiTheme="minorHAnsi"/>
          <w:color w:val="000000"/>
          <w:sz w:val="22"/>
          <w:szCs w:val="22"/>
          <w:lang w:val="en-US"/>
        </w:rPr>
        <w:t>lectr</w:t>
      </w:r>
      <w:r w:rsidR="00C8402C">
        <w:rPr>
          <w:rFonts w:asciiTheme="minorHAnsi" w:eastAsia="MS PGothic" w:hAnsiTheme="minorHAnsi"/>
          <w:color w:val="000000"/>
          <w:sz w:val="22"/>
          <w:szCs w:val="22"/>
          <w:lang w:val="en-US"/>
        </w:rPr>
        <w:t xml:space="preserve">icity generation), A400 </w:t>
      </w:r>
      <w:r w:rsidRPr="00706BA0">
        <w:rPr>
          <w:rFonts w:asciiTheme="minorHAnsi" w:eastAsia="MS PGothic" w:hAnsiTheme="minorHAnsi"/>
          <w:color w:val="000000"/>
          <w:sz w:val="22"/>
          <w:szCs w:val="22"/>
          <w:lang w:val="en-US"/>
        </w:rPr>
        <w:t>(</w:t>
      </w:r>
      <w:r w:rsidR="00845103">
        <w:rPr>
          <w:rFonts w:asciiTheme="minorHAnsi" w:eastAsia="MS PGothic" w:hAnsiTheme="minorHAnsi"/>
          <w:color w:val="000000"/>
          <w:sz w:val="22"/>
          <w:szCs w:val="22"/>
          <w:lang w:val="en-US"/>
        </w:rPr>
        <w:t>f</w:t>
      </w:r>
      <w:r w:rsidR="003D447A">
        <w:rPr>
          <w:rFonts w:asciiTheme="minorHAnsi" w:eastAsia="MS PGothic" w:hAnsiTheme="minorHAnsi"/>
          <w:color w:val="000000"/>
          <w:sz w:val="22"/>
          <w:szCs w:val="22"/>
          <w:lang w:val="en-US"/>
        </w:rPr>
        <w:t>lue gas desulfuriz</w:t>
      </w:r>
      <w:r w:rsidR="00091AAA">
        <w:rPr>
          <w:rFonts w:asciiTheme="minorHAnsi" w:eastAsia="MS PGothic" w:hAnsiTheme="minorHAnsi"/>
          <w:color w:val="000000"/>
          <w:sz w:val="22"/>
          <w:szCs w:val="22"/>
          <w:lang w:val="en-US"/>
        </w:rPr>
        <w:t>a</w:t>
      </w:r>
      <w:r w:rsidR="003D447A">
        <w:rPr>
          <w:rFonts w:asciiTheme="minorHAnsi" w:eastAsia="MS PGothic" w:hAnsiTheme="minorHAnsi"/>
          <w:color w:val="000000"/>
          <w:sz w:val="22"/>
          <w:szCs w:val="22"/>
          <w:lang w:val="en-US"/>
        </w:rPr>
        <w:t>tion</w:t>
      </w:r>
      <w:r w:rsidR="00845103">
        <w:rPr>
          <w:rFonts w:asciiTheme="minorHAnsi" w:eastAsia="MS PGothic" w:hAnsiTheme="minorHAnsi"/>
          <w:color w:val="000000"/>
          <w:sz w:val="22"/>
          <w:szCs w:val="22"/>
          <w:lang w:val="en-US"/>
        </w:rPr>
        <w:t>-FGD</w:t>
      </w:r>
      <w:r>
        <w:rPr>
          <w:rFonts w:asciiTheme="minorHAnsi" w:eastAsia="MS PGothic" w:hAnsiTheme="minorHAnsi"/>
          <w:color w:val="000000"/>
          <w:sz w:val="22"/>
          <w:szCs w:val="22"/>
          <w:lang w:val="en-US"/>
        </w:rPr>
        <w:t>),</w:t>
      </w:r>
      <w:r w:rsidR="00C8402C">
        <w:rPr>
          <w:rFonts w:asciiTheme="minorHAnsi" w:eastAsia="MS PGothic" w:hAnsiTheme="minorHAnsi"/>
          <w:color w:val="000000"/>
          <w:sz w:val="22"/>
          <w:szCs w:val="22"/>
          <w:lang w:val="en-US"/>
        </w:rPr>
        <w:t xml:space="preserve"> </w:t>
      </w:r>
      <w:r w:rsidR="00845103">
        <w:rPr>
          <w:rFonts w:asciiTheme="minorHAnsi" w:eastAsia="MS PGothic" w:hAnsiTheme="minorHAnsi"/>
          <w:color w:val="000000"/>
          <w:sz w:val="22"/>
          <w:szCs w:val="22"/>
          <w:lang w:val="en-US"/>
        </w:rPr>
        <w:t xml:space="preserve">and </w:t>
      </w:r>
      <w:r w:rsidR="00C8402C">
        <w:rPr>
          <w:rFonts w:asciiTheme="minorHAnsi" w:eastAsia="MS PGothic" w:hAnsiTheme="minorHAnsi"/>
          <w:color w:val="000000"/>
          <w:sz w:val="22"/>
          <w:szCs w:val="22"/>
          <w:lang w:val="en-US"/>
        </w:rPr>
        <w:t xml:space="preserve">A500 </w:t>
      </w:r>
      <w:r w:rsidRPr="00706BA0">
        <w:rPr>
          <w:rFonts w:asciiTheme="minorHAnsi" w:eastAsia="MS PGothic" w:hAnsiTheme="minorHAnsi"/>
          <w:color w:val="000000"/>
          <w:sz w:val="22"/>
          <w:szCs w:val="22"/>
          <w:lang w:val="en-US"/>
        </w:rPr>
        <w:t>(</w:t>
      </w:r>
      <w:r w:rsidR="00845103">
        <w:rPr>
          <w:rFonts w:asciiTheme="minorHAnsi" w:eastAsia="MS PGothic" w:hAnsiTheme="minorHAnsi"/>
          <w:color w:val="000000"/>
          <w:sz w:val="22"/>
          <w:szCs w:val="22"/>
          <w:lang w:val="en-US"/>
        </w:rPr>
        <w:t>AAU</w:t>
      </w:r>
      <w:r w:rsidRPr="00706BA0">
        <w:rPr>
          <w:rFonts w:asciiTheme="minorHAnsi" w:eastAsia="MS PGothic" w:hAnsiTheme="minorHAnsi"/>
          <w:color w:val="000000"/>
          <w:sz w:val="22"/>
          <w:szCs w:val="22"/>
          <w:lang w:val="en-US"/>
        </w:rPr>
        <w:t xml:space="preserve">). </w:t>
      </w:r>
      <w:r w:rsidR="00845103">
        <w:rPr>
          <w:rFonts w:asciiTheme="minorHAnsi" w:eastAsia="MS PGothic" w:hAnsiTheme="minorHAnsi"/>
          <w:color w:val="000000"/>
          <w:sz w:val="22"/>
          <w:szCs w:val="22"/>
          <w:lang w:val="en-US"/>
        </w:rPr>
        <w:t xml:space="preserve">In the oxy-coal power plant, A400 was replaced by a flue gas conditioning (FGC), </w:t>
      </w:r>
      <w:r w:rsidR="00C8402C">
        <w:rPr>
          <w:rFonts w:asciiTheme="minorHAnsi" w:eastAsia="MS PGothic" w:hAnsiTheme="minorHAnsi"/>
          <w:color w:val="000000"/>
          <w:sz w:val="22"/>
          <w:szCs w:val="22"/>
          <w:lang w:val="en-US"/>
        </w:rPr>
        <w:t>A600 (</w:t>
      </w:r>
      <w:r w:rsidR="00845103">
        <w:rPr>
          <w:rFonts w:asciiTheme="minorHAnsi" w:eastAsia="MS PGothic" w:hAnsiTheme="minorHAnsi"/>
          <w:color w:val="000000"/>
          <w:sz w:val="22"/>
          <w:szCs w:val="22"/>
          <w:lang w:val="en-US"/>
        </w:rPr>
        <w:t>a</w:t>
      </w:r>
      <w:r w:rsidR="004B3E90">
        <w:rPr>
          <w:rFonts w:asciiTheme="minorHAnsi" w:eastAsia="MS PGothic" w:hAnsiTheme="minorHAnsi"/>
          <w:color w:val="000000"/>
          <w:sz w:val="22"/>
          <w:szCs w:val="22"/>
          <w:lang w:val="en-US"/>
        </w:rPr>
        <w:t>ir separation unit</w:t>
      </w:r>
      <w:r w:rsidR="003D447A">
        <w:rPr>
          <w:rFonts w:asciiTheme="minorHAnsi" w:eastAsia="MS PGothic" w:hAnsiTheme="minorHAnsi"/>
          <w:color w:val="000000"/>
          <w:sz w:val="22"/>
          <w:szCs w:val="22"/>
          <w:lang w:val="en-US"/>
        </w:rPr>
        <w:t>-ASU</w:t>
      </w:r>
      <w:r w:rsidRPr="00706BA0">
        <w:rPr>
          <w:rFonts w:asciiTheme="minorHAnsi" w:eastAsia="MS PGothic" w:hAnsiTheme="minorHAnsi"/>
          <w:color w:val="000000"/>
          <w:sz w:val="22"/>
          <w:szCs w:val="22"/>
          <w:lang w:val="en-US"/>
        </w:rPr>
        <w:t>)</w:t>
      </w:r>
      <w:r w:rsidR="00845103">
        <w:rPr>
          <w:rFonts w:asciiTheme="minorHAnsi" w:eastAsia="MS PGothic" w:hAnsiTheme="minorHAnsi"/>
          <w:color w:val="000000"/>
          <w:sz w:val="22"/>
          <w:szCs w:val="22"/>
          <w:lang w:val="en-US"/>
        </w:rPr>
        <w:t xml:space="preserve"> was added</w:t>
      </w:r>
      <w:r w:rsidRPr="00706BA0">
        <w:rPr>
          <w:rFonts w:asciiTheme="minorHAnsi" w:eastAsia="MS PGothic" w:hAnsiTheme="minorHAnsi"/>
          <w:color w:val="000000"/>
          <w:sz w:val="22"/>
          <w:szCs w:val="22"/>
          <w:lang w:val="en-US"/>
        </w:rPr>
        <w:t xml:space="preserve">, </w:t>
      </w:r>
      <w:r w:rsidR="00845103">
        <w:rPr>
          <w:rFonts w:asciiTheme="minorHAnsi" w:eastAsia="MS PGothic" w:hAnsiTheme="minorHAnsi"/>
          <w:color w:val="000000"/>
          <w:sz w:val="22"/>
          <w:szCs w:val="22"/>
          <w:lang w:val="en-US"/>
        </w:rPr>
        <w:t xml:space="preserve">and </w:t>
      </w:r>
      <w:r w:rsidRPr="00706BA0">
        <w:rPr>
          <w:rFonts w:asciiTheme="minorHAnsi" w:eastAsia="MS PGothic" w:hAnsiTheme="minorHAnsi"/>
          <w:color w:val="000000"/>
          <w:sz w:val="22"/>
          <w:szCs w:val="22"/>
          <w:lang w:val="en-US"/>
        </w:rPr>
        <w:t>A</w:t>
      </w:r>
      <w:r w:rsidR="00845103">
        <w:rPr>
          <w:rFonts w:asciiTheme="minorHAnsi" w:eastAsia="MS PGothic" w:hAnsiTheme="minorHAnsi"/>
          <w:color w:val="000000"/>
          <w:sz w:val="22"/>
          <w:szCs w:val="22"/>
          <w:lang w:val="en-US"/>
        </w:rPr>
        <w:t>5</w:t>
      </w:r>
      <w:r w:rsidRPr="00706BA0">
        <w:rPr>
          <w:rFonts w:asciiTheme="minorHAnsi" w:eastAsia="MS PGothic" w:hAnsiTheme="minorHAnsi"/>
          <w:color w:val="000000"/>
          <w:sz w:val="22"/>
          <w:szCs w:val="22"/>
          <w:lang w:val="en-US"/>
        </w:rPr>
        <w:t xml:space="preserve">00 </w:t>
      </w:r>
      <w:r w:rsidR="00845103">
        <w:rPr>
          <w:rFonts w:asciiTheme="minorHAnsi" w:eastAsia="MS PGothic" w:hAnsiTheme="minorHAnsi"/>
          <w:color w:val="000000"/>
          <w:sz w:val="22"/>
          <w:szCs w:val="22"/>
          <w:lang w:val="en-US"/>
        </w:rPr>
        <w:t xml:space="preserve">was substituted with A700 </w:t>
      </w:r>
      <w:r w:rsidR="00845103" w:rsidRPr="00706BA0">
        <w:rPr>
          <w:rFonts w:asciiTheme="minorHAnsi" w:eastAsia="MS PGothic" w:hAnsiTheme="minorHAnsi"/>
          <w:color w:val="000000"/>
          <w:sz w:val="22"/>
          <w:szCs w:val="22"/>
          <w:lang w:val="en-US"/>
        </w:rPr>
        <w:t>(</w:t>
      </w:r>
      <w:r w:rsidR="00845103">
        <w:rPr>
          <w:rFonts w:asciiTheme="minorHAnsi" w:eastAsia="MS PGothic" w:hAnsiTheme="minorHAnsi"/>
          <w:color w:val="000000"/>
          <w:sz w:val="22"/>
          <w:szCs w:val="22"/>
          <w:lang w:val="en-US"/>
        </w:rPr>
        <w:t>CO</w:t>
      </w:r>
      <w:r w:rsidR="00845103">
        <w:rPr>
          <w:rFonts w:asciiTheme="minorHAnsi" w:eastAsia="MS PGothic" w:hAnsiTheme="minorHAnsi"/>
          <w:color w:val="000000"/>
          <w:sz w:val="22"/>
          <w:szCs w:val="22"/>
          <w:vertAlign w:val="subscript"/>
          <w:lang w:val="en-US"/>
        </w:rPr>
        <w:t>2</w:t>
      </w:r>
      <w:r w:rsidR="00845103">
        <w:rPr>
          <w:rFonts w:asciiTheme="minorHAnsi" w:eastAsia="MS PGothic" w:hAnsiTheme="minorHAnsi"/>
          <w:color w:val="000000"/>
          <w:sz w:val="22"/>
          <w:szCs w:val="22"/>
          <w:lang w:val="en-US"/>
        </w:rPr>
        <w:t xml:space="preserve"> processing unit-CPU</w:t>
      </w:r>
      <w:r w:rsidR="00845103" w:rsidRPr="00706BA0">
        <w:rPr>
          <w:rFonts w:asciiTheme="minorHAnsi" w:eastAsia="MS PGothic" w:hAnsiTheme="minorHAnsi"/>
          <w:color w:val="000000"/>
          <w:sz w:val="22"/>
          <w:szCs w:val="22"/>
          <w:lang w:val="en-US"/>
        </w:rPr>
        <w:t>)</w:t>
      </w:r>
      <w:r w:rsidR="00845103">
        <w:rPr>
          <w:rFonts w:asciiTheme="minorHAnsi" w:eastAsia="MS PGothic" w:hAnsiTheme="minorHAnsi"/>
          <w:color w:val="000000"/>
          <w:sz w:val="22"/>
          <w:szCs w:val="22"/>
          <w:lang w:val="en-US"/>
        </w:rPr>
        <w:t>.</w:t>
      </w:r>
    </w:p>
    <w:p w14:paraId="688B1B9E" w14:textId="544AAB15" w:rsidR="002B101E" w:rsidRPr="00295B50" w:rsidRDefault="009027B6" w:rsidP="0080684B">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w:t>
      </w:r>
      <w:r w:rsidR="00845103">
        <w:rPr>
          <w:rFonts w:asciiTheme="minorHAnsi" w:eastAsia="MS PGothic" w:hAnsiTheme="minorHAnsi"/>
          <w:color w:val="000000"/>
          <w:sz w:val="22"/>
          <w:szCs w:val="22"/>
          <w:lang w:val="en-US"/>
        </w:rPr>
        <w:t xml:space="preserve">operating parameters applied </w:t>
      </w:r>
      <w:r w:rsidR="00845103" w:rsidRPr="00010943">
        <w:rPr>
          <w:rFonts w:asciiTheme="minorHAnsi" w:eastAsia="MS PGothic" w:hAnsiTheme="minorHAnsi" w:cstheme="minorHAnsi"/>
          <w:color w:val="000000"/>
          <w:sz w:val="22"/>
          <w:szCs w:val="22"/>
          <w:lang w:val="en-US"/>
        </w:rPr>
        <w:t xml:space="preserve">equally to the two plants </w:t>
      </w:r>
      <w:r w:rsidRPr="00010943">
        <w:rPr>
          <w:rFonts w:asciiTheme="minorHAnsi" w:eastAsia="MS PGothic" w:hAnsiTheme="minorHAnsi" w:cstheme="minorHAnsi"/>
          <w:color w:val="000000"/>
          <w:sz w:val="22"/>
          <w:szCs w:val="22"/>
          <w:lang w:val="en-US"/>
        </w:rPr>
        <w:t>include</w:t>
      </w:r>
      <w:r w:rsidR="00845103" w:rsidRPr="00010943">
        <w:rPr>
          <w:rFonts w:asciiTheme="minorHAnsi" w:eastAsia="MS PGothic" w:hAnsiTheme="minorHAnsi" w:cstheme="minorHAnsi"/>
          <w:color w:val="000000"/>
          <w:sz w:val="22"/>
          <w:szCs w:val="22"/>
          <w:lang w:val="en-US"/>
        </w:rPr>
        <w:t>d</w:t>
      </w:r>
      <w:r w:rsidRPr="00010943">
        <w:rPr>
          <w:rFonts w:asciiTheme="minorHAnsi" w:eastAsia="MS PGothic" w:hAnsiTheme="minorHAnsi" w:cstheme="minorHAnsi"/>
          <w:color w:val="000000"/>
          <w:sz w:val="22"/>
          <w:szCs w:val="22"/>
          <w:lang w:val="en-US"/>
        </w:rPr>
        <w:t xml:space="preserve">: </w:t>
      </w:r>
      <w:r w:rsidR="005070AA" w:rsidRPr="00010943">
        <w:rPr>
          <w:rFonts w:asciiTheme="minorHAnsi" w:eastAsia="MS PGothic" w:hAnsiTheme="minorHAnsi" w:cstheme="minorHAnsi"/>
          <w:color w:val="000000"/>
          <w:sz w:val="22"/>
          <w:szCs w:val="22"/>
          <w:lang w:val="en-US"/>
        </w:rPr>
        <w:t>(</w:t>
      </w:r>
      <w:r w:rsidR="00F0531A" w:rsidRPr="00010943">
        <w:rPr>
          <w:rFonts w:asciiTheme="minorHAnsi" w:eastAsia="MS PGothic" w:hAnsiTheme="minorHAnsi" w:cstheme="minorHAnsi"/>
          <w:color w:val="000000"/>
          <w:sz w:val="22"/>
          <w:szCs w:val="22"/>
          <w:lang w:val="en-US"/>
        </w:rPr>
        <w:t>1</w:t>
      </w:r>
      <w:r w:rsidRPr="00010943">
        <w:rPr>
          <w:rFonts w:asciiTheme="minorHAnsi" w:eastAsia="MS PGothic" w:hAnsiTheme="minorHAnsi" w:cstheme="minorHAnsi"/>
          <w:color w:val="000000"/>
          <w:sz w:val="22"/>
          <w:szCs w:val="22"/>
          <w:lang w:val="en-US"/>
        </w:rPr>
        <w:t>)</w:t>
      </w:r>
      <w:r w:rsidRPr="00010943">
        <w:rPr>
          <w:rFonts w:asciiTheme="minorHAnsi" w:eastAsia="MS PGothic" w:hAnsiTheme="minorHAnsi" w:cstheme="minorHAnsi"/>
          <w:color w:val="000000"/>
          <w:sz w:val="22"/>
          <w:szCs w:val="22"/>
          <w:lang w:val="en-US"/>
        </w:rPr>
        <w:tab/>
      </w:r>
      <w:r w:rsidR="005070AA" w:rsidRPr="00010943">
        <w:rPr>
          <w:rFonts w:asciiTheme="minorHAnsi" w:eastAsia="MS PGothic" w:hAnsiTheme="minorHAnsi" w:cstheme="minorHAnsi"/>
          <w:color w:val="000000"/>
          <w:sz w:val="22"/>
          <w:szCs w:val="22"/>
          <w:lang w:val="en-US"/>
        </w:rPr>
        <w:t xml:space="preserve"> </w:t>
      </w:r>
      <w:r w:rsidR="001E5E01" w:rsidRPr="00010943">
        <w:rPr>
          <w:rFonts w:asciiTheme="minorHAnsi" w:eastAsia="MS PGothic" w:hAnsiTheme="minorHAnsi" w:cstheme="minorHAnsi"/>
          <w:color w:val="000000"/>
          <w:sz w:val="22"/>
          <w:szCs w:val="22"/>
          <w:lang w:val="en-US"/>
        </w:rPr>
        <w:t xml:space="preserve">The coal feed rate is fixed at 3080 t/d, (2) </w:t>
      </w:r>
      <w:r w:rsidRPr="00010943">
        <w:rPr>
          <w:rFonts w:asciiTheme="minorHAnsi" w:eastAsia="MS PGothic" w:hAnsiTheme="minorHAnsi" w:cstheme="minorHAnsi"/>
          <w:color w:val="000000"/>
          <w:sz w:val="22"/>
          <w:szCs w:val="22"/>
          <w:lang w:val="en-US"/>
        </w:rPr>
        <w:t xml:space="preserve">The </w:t>
      </w:r>
      <w:r w:rsidR="00C8402C" w:rsidRPr="00010943">
        <w:rPr>
          <w:rFonts w:asciiTheme="minorHAnsi" w:eastAsia="MS PGothic" w:hAnsiTheme="minorHAnsi" w:cstheme="minorHAnsi"/>
          <w:color w:val="000000"/>
          <w:sz w:val="22"/>
          <w:szCs w:val="22"/>
          <w:lang w:val="en-US"/>
        </w:rPr>
        <w:t>CFBC</w:t>
      </w:r>
      <w:r w:rsidR="00C47A33" w:rsidRPr="00010943">
        <w:rPr>
          <w:rFonts w:asciiTheme="minorHAnsi" w:eastAsia="MS PGothic" w:hAnsiTheme="minorHAnsi" w:cstheme="minorHAnsi"/>
          <w:color w:val="000000"/>
          <w:sz w:val="22"/>
          <w:szCs w:val="22"/>
          <w:lang w:val="en-US"/>
        </w:rPr>
        <w:t xml:space="preserve"> </w:t>
      </w:r>
      <w:r w:rsidR="00F0531A" w:rsidRPr="00010943">
        <w:rPr>
          <w:rFonts w:asciiTheme="minorHAnsi" w:eastAsia="MS PGothic" w:hAnsiTheme="minorHAnsi" w:cstheme="minorHAnsi"/>
          <w:color w:val="000000"/>
          <w:sz w:val="22"/>
          <w:szCs w:val="22"/>
          <w:lang w:val="en-US"/>
        </w:rPr>
        <w:t>is operated at 875</w:t>
      </w:r>
      <w:r w:rsidR="00F0531A" w:rsidRPr="00010943">
        <w:rPr>
          <w:rFonts w:asciiTheme="minorHAnsi" w:eastAsia="MS PGothic" w:hAnsiTheme="minorHAnsi" w:cstheme="minorHAnsi"/>
          <w:color w:val="000000"/>
          <w:sz w:val="22"/>
          <w:szCs w:val="22"/>
          <w:vertAlign w:val="superscript"/>
          <w:lang w:val="en-US"/>
        </w:rPr>
        <w:t>o</w:t>
      </w:r>
      <w:r w:rsidRPr="00010943">
        <w:rPr>
          <w:rFonts w:asciiTheme="minorHAnsi" w:eastAsia="MS PGothic" w:hAnsiTheme="minorHAnsi" w:cstheme="minorHAnsi"/>
          <w:color w:val="000000"/>
          <w:sz w:val="22"/>
          <w:szCs w:val="22"/>
          <w:lang w:val="en-US"/>
        </w:rPr>
        <w:t xml:space="preserve">C and </w:t>
      </w:r>
      <w:r w:rsidR="00F0531A" w:rsidRPr="00010943">
        <w:rPr>
          <w:rFonts w:asciiTheme="minorHAnsi" w:eastAsia="MS PGothic" w:hAnsiTheme="minorHAnsi" w:cstheme="minorHAnsi"/>
          <w:color w:val="000000"/>
          <w:sz w:val="22"/>
          <w:szCs w:val="22"/>
          <w:lang w:val="en-US"/>
        </w:rPr>
        <w:t xml:space="preserve">1 </w:t>
      </w:r>
      <w:proofErr w:type="spellStart"/>
      <w:r w:rsidR="00F0531A" w:rsidRPr="00010943">
        <w:rPr>
          <w:rFonts w:asciiTheme="minorHAnsi" w:eastAsia="MS PGothic" w:hAnsiTheme="minorHAnsi" w:cstheme="minorHAnsi"/>
          <w:color w:val="000000"/>
          <w:sz w:val="22"/>
          <w:szCs w:val="22"/>
          <w:lang w:val="en-US"/>
        </w:rPr>
        <w:t>atm</w:t>
      </w:r>
      <w:proofErr w:type="spellEnd"/>
      <w:r w:rsidR="001E5E01" w:rsidRPr="00010943">
        <w:rPr>
          <w:rFonts w:asciiTheme="minorHAnsi" w:eastAsia="MS PGothic" w:hAnsiTheme="minorHAnsi" w:cstheme="minorHAnsi"/>
          <w:color w:val="000000"/>
          <w:sz w:val="22"/>
          <w:szCs w:val="22"/>
          <w:lang w:val="en-US"/>
        </w:rPr>
        <w:t xml:space="preserve">, </w:t>
      </w:r>
      <w:r w:rsidR="005070AA" w:rsidRPr="00010943">
        <w:rPr>
          <w:rFonts w:asciiTheme="minorHAnsi" w:eastAsia="MS PGothic" w:hAnsiTheme="minorHAnsi" w:cstheme="minorHAnsi"/>
          <w:color w:val="000000"/>
          <w:sz w:val="22"/>
          <w:szCs w:val="22"/>
          <w:lang w:val="en-US"/>
        </w:rPr>
        <w:t>(</w:t>
      </w:r>
      <w:r w:rsidR="001E5E01" w:rsidRPr="00010943">
        <w:rPr>
          <w:rFonts w:asciiTheme="minorHAnsi" w:eastAsia="MS PGothic" w:hAnsiTheme="minorHAnsi" w:cstheme="minorHAnsi"/>
          <w:color w:val="000000"/>
          <w:sz w:val="22"/>
          <w:szCs w:val="22"/>
          <w:lang w:val="en-US"/>
        </w:rPr>
        <w:t>3</w:t>
      </w:r>
      <w:r w:rsidRPr="00010943">
        <w:rPr>
          <w:rFonts w:asciiTheme="minorHAnsi" w:eastAsia="MS PGothic" w:hAnsiTheme="minorHAnsi" w:cstheme="minorHAnsi"/>
          <w:color w:val="000000"/>
          <w:sz w:val="22"/>
          <w:szCs w:val="22"/>
          <w:lang w:val="en-US"/>
        </w:rPr>
        <w:t>)</w:t>
      </w:r>
      <w:r w:rsidR="00C47A33" w:rsidRPr="00010943">
        <w:rPr>
          <w:rFonts w:asciiTheme="minorHAnsi" w:eastAsia="MS PGothic" w:hAnsiTheme="minorHAnsi" w:cstheme="minorHAnsi"/>
          <w:color w:val="000000"/>
          <w:sz w:val="22"/>
          <w:szCs w:val="22"/>
          <w:lang w:val="en-US"/>
        </w:rPr>
        <w:t xml:space="preserve"> </w:t>
      </w:r>
      <w:r w:rsidRPr="00010943">
        <w:rPr>
          <w:rFonts w:asciiTheme="minorHAnsi" w:eastAsia="MS PGothic" w:hAnsiTheme="minorHAnsi" w:cstheme="minorHAnsi"/>
          <w:color w:val="000000"/>
          <w:sz w:val="22"/>
          <w:szCs w:val="22"/>
          <w:lang w:val="en-US"/>
        </w:rPr>
        <w:t xml:space="preserve">The heat loss of </w:t>
      </w:r>
      <w:r w:rsidR="0085360A" w:rsidRPr="00010943">
        <w:rPr>
          <w:rFonts w:asciiTheme="minorHAnsi" w:eastAsia="MS PGothic" w:hAnsiTheme="minorHAnsi" w:cstheme="minorHAnsi"/>
          <w:color w:val="000000"/>
          <w:sz w:val="22"/>
          <w:szCs w:val="22"/>
          <w:lang w:val="en-US"/>
        </w:rPr>
        <w:t>CFBC</w:t>
      </w:r>
      <w:r w:rsidRPr="00010943">
        <w:rPr>
          <w:rFonts w:asciiTheme="minorHAnsi" w:eastAsia="MS PGothic" w:hAnsiTheme="minorHAnsi" w:cstheme="minorHAnsi"/>
          <w:color w:val="000000"/>
          <w:sz w:val="22"/>
          <w:szCs w:val="22"/>
          <w:lang w:val="en-US"/>
        </w:rPr>
        <w:t xml:space="preserve"> is 5 %</w:t>
      </w:r>
      <w:r w:rsidR="003E6B32" w:rsidRPr="00010943">
        <w:rPr>
          <w:rFonts w:asciiTheme="minorHAnsi" w:eastAsia="MS PGothic" w:hAnsiTheme="minorHAnsi" w:cstheme="minorHAnsi"/>
          <w:color w:val="000000"/>
          <w:sz w:val="22"/>
          <w:szCs w:val="22"/>
          <w:lang w:val="en-US"/>
        </w:rPr>
        <w:t xml:space="preserve"> of LHV during coal combustion</w:t>
      </w:r>
      <w:r w:rsidR="001E5E01" w:rsidRPr="00010943">
        <w:rPr>
          <w:rFonts w:asciiTheme="minorHAnsi" w:eastAsia="MS PGothic" w:hAnsiTheme="minorHAnsi" w:cstheme="minorHAnsi"/>
          <w:color w:val="000000"/>
          <w:sz w:val="22"/>
          <w:szCs w:val="22"/>
          <w:lang w:val="en-US"/>
        </w:rPr>
        <w:t>,</w:t>
      </w:r>
      <w:r w:rsidR="00F0531A" w:rsidRPr="00010943">
        <w:rPr>
          <w:rFonts w:asciiTheme="minorHAnsi" w:eastAsia="MS PGothic" w:hAnsiTheme="minorHAnsi" w:cstheme="minorHAnsi"/>
          <w:color w:val="000000"/>
          <w:sz w:val="22"/>
          <w:szCs w:val="22"/>
          <w:lang w:val="en-US"/>
        </w:rPr>
        <w:t xml:space="preserve"> </w:t>
      </w:r>
      <w:r w:rsidR="005070AA" w:rsidRPr="00010943">
        <w:rPr>
          <w:rFonts w:asciiTheme="minorHAnsi" w:eastAsia="MS PGothic" w:hAnsiTheme="minorHAnsi" w:cstheme="minorHAnsi"/>
          <w:color w:val="000000"/>
          <w:sz w:val="22"/>
          <w:szCs w:val="22"/>
          <w:lang w:val="en-US"/>
        </w:rPr>
        <w:t>(</w:t>
      </w:r>
      <w:r w:rsidR="001E5E01" w:rsidRPr="00010943">
        <w:rPr>
          <w:rFonts w:asciiTheme="minorHAnsi" w:eastAsia="MS PGothic" w:hAnsiTheme="minorHAnsi" w:cstheme="minorHAnsi"/>
          <w:color w:val="000000"/>
          <w:sz w:val="22"/>
          <w:szCs w:val="22"/>
          <w:lang w:val="en-US"/>
        </w:rPr>
        <w:t>4</w:t>
      </w:r>
      <w:r w:rsidRPr="00010943">
        <w:rPr>
          <w:rFonts w:asciiTheme="minorHAnsi" w:eastAsia="MS PGothic" w:hAnsiTheme="minorHAnsi" w:cstheme="minorHAnsi"/>
          <w:color w:val="000000"/>
          <w:sz w:val="22"/>
          <w:szCs w:val="22"/>
          <w:lang w:val="en-US"/>
        </w:rPr>
        <w:t>)</w:t>
      </w:r>
      <w:r w:rsidR="001E5E01" w:rsidRPr="00010943">
        <w:rPr>
          <w:rFonts w:asciiTheme="minorHAnsi" w:eastAsia="MS PGothic" w:hAnsiTheme="minorHAnsi" w:cstheme="minorHAnsi"/>
          <w:color w:val="000000"/>
          <w:sz w:val="22"/>
          <w:szCs w:val="22"/>
          <w:lang w:val="en-US"/>
        </w:rPr>
        <w:t xml:space="preserve"> </w:t>
      </w:r>
      <w:r w:rsidRPr="00010943">
        <w:rPr>
          <w:rFonts w:asciiTheme="minorHAnsi" w:eastAsia="MS PGothic" w:hAnsiTheme="minorHAnsi" w:cstheme="minorHAnsi"/>
          <w:color w:val="000000"/>
          <w:sz w:val="22"/>
          <w:szCs w:val="22"/>
          <w:lang w:val="en-US"/>
        </w:rPr>
        <w:t>The equiv</w:t>
      </w:r>
      <w:r w:rsidR="00F0531A" w:rsidRPr="00010943">
        <w:rPr>
          <w:rFonts w:asciiTheme="minorHAnsi" w:eastAsia="MS PGothic" w:hAnsiTheme="minorHAnsi" w:cstheme="minorHAnsi"/>
          <w:color w:val="000000"/>
          <w:sz w:val="22"/>
          <w:szCs w:val="22"/>
          <w:lang w:val="en-US"/>
        </w:rPr>
        <w:t>alence mass ratio (O</w:t>
      </w:r>
      <w:r w:rsidR="00F0531A" w:rsidRPr="00010943">
        <w:rPr>
          <w:rFonts w:asciiTheme="minorHAnsi" w:eastAsia="MS PGothic" w:hAnsiTheme="minorHAnsi" w:cstheme="minorHAnsi"/>
          <w:color w:val="000000"/>
          <w:sz w:val="22"/>
          <w:szCs w:val="22"/>
          <w:vertAlign w:val="subscript"/>
          <w:lang w:val="en-US"/>
        </w:rPr>
        <w:t>2</w:t>
      </w:r>
      <w:r w:rsidR="00F0531A" w:rsidRPr="00010943">
        <w:rPr>
          <w:rFonts w:asciiTheme="minorHAnsi" w:eastAsia="MS PGothic" w:hAnsiTheme="minorHAnsi" w:cstheme="minorHAnsi"/>
          <w:color w:val="000000"/>
          <w:sz w:val="22"/>
          <w:szCs w:val="22"/>
          <w:lang w:val="en-US"/>
        </w:rPr>
        <w:t xml:space="preserve"> </w:t>
      </w:r>
      <w:r w:rsidR="003E6B32" w:rsidRPr="00010943">
        <w:rPr>
          <w:rFonts w:asciiTheme="minorHAnsi" w:eastAsia="MS PGothic" w:hAnsiTheme="minorHAnsi" w:cstheme="minorHAnsi"/>
          <w:color w:val="000000"/>
          <w:sz w:val="22"/>
          <w:szCs w:val="22"/>
          <w:lang w:val="en-US"/>
        </w:rPr>
        <w:t>to</w:t>
      </w:r>
      <w:r w:rsidR="00F0531A" w:rsidRPr="00010943">
        <w:rPr>
          <w:rFonts w:asciiTheme="minorHAnsi" w:eastAsia="MS PGothic" w:hAnsiTheme="minorHAnsi" w:cstheme="minorHAnsi"/>
          <w:color w:val="000000"/>
          <w:sz w:val="22"/>
          <w:szCs w:val="22"/>
          <w:lang w:val="en-US"/>
        </w:rPr>
        <w:t xml:space="preserve"> fuel</w:t>
      </w:r>
      <w:r w:rsidR="001E5E01" w:rsidRPr="00010943">
        <w:rPr>
          <w:rFonts w:asciiTheme="minorHAnsi" w:eastAsia="MS PGothic" w:hAnsiTheme="minorHAnsi" w:cstheme="minorHAnsi"/>
          <w:color w:val="000000"/>
          <w:sz w:val="22"/>
          <w:szCs w:val="22"/>
          <w:lang w:val="en-US"/>
        </w:rPr>
        <w:t>) is 2.5,</w:t>
      </w:r>
      <w:r w:rsidR="00F0531A" w:rsidRPr="00010943">
        <w:rPr>
          <w:rFonts w:asciiTheme="minorHAnsi" w:eastAsia="MS PGothic" w:hAnsiTheme="minorHAnsi" w:cstheme="minorHAnsi"/>
          <w:color w:val="000000"/>
          <w:sz w:val="22"/>
          <w:szCs w:val="22"/>
          <w:lang w:val="en-US"/>
        </w:rPr>
        <w:t xml:space="preserve"> </w:t>
      </w:r>
      <w:r w:rsidR="005070AA" w:rsidRPr="00010943">
        <w:rPr>
          <w:rFonts w:asciiTheme="minorHAnsi" w:eastAsia="MS PGothic" w:hAnsiTheme="minorHAnsi" w:cstheme="minorHAnsi"/>
          <w:color w:val="000000"/>
          <w:sz w:val="22"/>
          <w:szCs w:val="22"/>
          <w:lang w:val="en-US"/>
        </w:rPr>
        <w:t>(</w:t>
      </w:r>
      <w:r w:rsidR="001E5E01" w:rsidRPr="00010943">
        <w:rPr>
          <w:rFonts w:asciiTheme="minorHAnsi" w:eastAsia="MS PGothic" w:hAnsiTheme="minorHAnsi" w:cstheme="minorHAnsi"/>
          <w:color w:val="000000"/>
          <w:sz w:val="22"/>
          <w:szCs w:val="22"/>
          <w:lang w:val="en-US"/>
        </w:rPr>
        <w:t>5</w:t>
      </w:r>
      <w:r w:rsidR="00F0531A" w:rsidRPr="00010943">
        <w:rPr>
          <w:rFonts w:asciiTheme="minorHAnsi" w:hAnsiTheme="minorHAnsi" w:cstheme="minorHAnsi"/>
          <w:sz w:val="22"/>
          <w:szCs w:val="22"/>
        </w:rPr>
        <w:t xml:space="preserve">) </w:t>
      </w:r>
      <w:r w:rsidR="001E5E01" w:rsidRPr="00010943">
        <w:rPr>
          <w:rFonts w:asciiTheme="minorHAnsi" w:eastAsia="MS PGothic" w:hAnsiTheme="minorHAnsi" w:cstheme="minorHAnsi"/>
          <w:color w:val="000000"/>
          <w:sz w:val="22"/>
          <w:szCs w:val="22"/>
          <w:lang w:val="en-US"/>
        </w:rPr>
        <w:t xml:space="preserve">Ultra </w:t>
      </w:r>
      <w:r w:rsidR="00F0531A" w:rsidRPr="00010943">
        <w:rPr>
          <w:rFonts w:asciiTheme="minorHAnsi" w:eastAsia="MS PGothic" w:hAnsiTheme="minorHAnsi" w:cstheme="minorHAnsi"/>
          <w:color w:val="000000"/>
          <w:sz w:val="22"/>
          <w:szCs w:val="22"/>
          <w:lang w:val="en-US"/>
        </w:rPr>
        <w:t>s</w:t>
      </w:r>
      <w:r w:rsidR="001E5E01" w:rsidRPr="00010943">
        <w:rPr>
          <w:rFonts w:asciiTheme="minorHAnsi" w:eastAsia="MS PGothic" w:hAnsiTheme="minorHAnsi" w:cstheme="minorHAnsi"/>
          <w:color w:val="000000"/>
          <w:sz w:val="22"/>
          <w:szCs w:val="22"/>
          <w:lang w:val="en-US"/>
        </w:rPr>
        <w:t>uper-</w:t>
      </w:r>
      <w:r w:rsidR="00F0531A" w:rsidRPr="00010943">
        <w:rPr>
          <w:rFonts w:asciiTheme="minorHAnsi" w:eastAsia="MS PGothic" w:hAnsiTheme="minorHAnsi" w:cstheme="minorHAnsi"/>
          <w:color w:val="000000"/>
          <w:sz w:val="22"/>
          <w:szCs w:val="22"/>
          <w:lang w:val="en-US"/>
        </w:rPr>
        <w:t>critical (USC) steam (600</w:t>
      </w:r>
      <w:r w:rsidR="00F0531A" w:rsidRPr="00010943">
        <w:rPr>
          <w:rFonts w:asciiTheme="minorHAnsi" w:eastAsia="MS PGothic" w:hAnsiTheme="minorHAnsi" w:cstheme="minorHAnsi"/>
          <w:color w:val="000000"/>
          <w:sz w:val="22"/>
          <w:szCs w:val="22"/>
          <w:vertAlign w:val="superscript"/>
          <w:lang w:val="en-US"/>
        </w:rPr>
        <w:t>o</w:t>
      </w:r>
      <w:r w:rsidR="00F0531A" w:rsidRPr="00010943">
        <w:rPr>
          <w:rFonts w:asciiTheme="minorHAnsi" w:eastAsia="MS PGothic" w:hAnsiTheme="minorHAnsi" w:cstheme="minorHAnsi"/>
          <w:color w:val="000000"/>
          <w:sz w:val="22"/>
          <w:szCs w:val="22"/>
          <w:lang w:val="en-US"/>
        </w:rPr>
        <w:t>C and 300 bar) is generated</w:t>
      </w:r>
      <w:r w:rsidR="001E5E01" w:rsidRPr="00010943">
        <w:rPr>
          <w:rFonts w:asciiTheme="minorHAnsi" w:eastAsia="MS PGothic" w:hAnsiTheme="minorHAnsi" w:cstheme="minorHAnsi"/>
          <w:color w:val="000000"/>
          <w:sz w:val="22"/>
          <w:szCs w:val="22"/>
          <w:lang w:val="en-US"/>
        </w:rPr>
        <w:t>,</w:t>
      </w:r>
      <w:r w:rsidR="00F0531A" w:rsidRPr="00010943">
        <w:rPr>
          <w:rFonts w:asciiTheme="minorHAnsi" w:eastAsia="MS PGothic" w:hAnsiTheme="minorHAnsi" w:cstheme="minorHAnsi"/>
          <w:color w:val="000000"/>
          <w:sz w:val="22"/>
          <w:szCs w:val="22"/>
          <w:lang w:val="en-US"/>
        </w:rPr>
        <w:t xml:space="preserve"> </w:t>
      </w:r>
      <w:r w:rsidR="005070AA" w:rsidRPr="00010943">
        <w:rPr>
          <w:rFonts w:asciiTheme="minorHAnsi" w:eastAsia="MS PGothic" w:hAnsiTheme="minorHAnsi" w:cstheme="minorHAnsi"/>
          <w:color w:val="000000"/>
          <w:sz w:val="22"/>
          <w:szCs w:val="22"/>
          <w:lang w:val="en-US"/>
        </w:rPr>
        <w:t>(</w:t>
      </w:r>
      <w:r w:rsidR="001E5E01" w:rsidRPr="00010943">
        <w:rPr>
          <w:rFonts w:asciiTheme="minorHAnsi" w:eastAsia="MS PGothic" w:hAnsiTheme="minorHAnsi" w:cstheme="minorHAnsi"/>
          <w:color w:val="000000"/>
          <w:sz w:val="22"/>
          <w:szCs w:val="22"/>
          <w:lang w:val="en-US"/>
        </w:rPr>
        <w:t>6</w:t>
      </w:r>
      <w:r w:rsidR="00F0531A" w:rsidRPr="00010943">
        <w:rPr>
          <w:rFonts w:asciiTheme="minorHAnsi" w:eastAsia="MS PGothic" w:hAnsiTheme="minorHAnsi" w:cstheme="minorHAnsi"/>
          <w:color w:val="000000"/>
          <w:sz w:val="22"/>
          <w:szCs w:val="22"/>
          <w:lang w:val="en-US"/>
        </w:rPr>
        <w:t>)</w:t>
      </w:r>
      <w:r w:rsidR="00F0531A" w:rsidRPr="00010943">
        <w:rPr>
          <w:rFonts w:asciiTheme="minorHAnsi" w:hAnsiTheme="minorHAnsi" w:cstheme="minorHAnsi"/>
          <w:sz w:val="22"/>
          <w:szCs w:val="22"/>
        </w:rPr>
        <w:t xml:space="preserve"> </w:t>
      </w:r>
      <w:r w:rsidR="001E5E01" w:rsidRPr="00010943">
        <w:rPr>
          <w:rFonts w:asciiTheme="minorHAnsi" w:hAnsiTheme="minorHAnsi" w:cstheme="minorHAnsi"/>
          <w:sz w:val="22"/>
          <w:szCs w:val="22"/>
        </w:rPr>
        <w:t xml:space="preserve">90% </w:t>
      </w:r>
      <w:r w:rsidR="001E5E01" w:rsidRPr="00010943">
        <w:rPr>
          <w:rFonts w:asciiTheme="minorHAnsi" w:eastAsiaTheme="minorEastAsia" w:hAnsiTheme="minorHAnsi" w:cstheme="minorHAnsi"/>
          <w:bCs/>
          <w:sz w:val="22"/>
          <w:szCs w:val="22"/>
          <w:lang w:eastAsia="ko-KR"/>
        </w:rPr>
        <w:t>SO</w:t>
      </w:r>
      <w:r w:rsidR="001E5E01" w:rsidRPr="00010943">
        <w:rPr>
          <w:rFonts w:asciiTheme="minorHAnsi" w:eastAsiaTheme="minorEastAsia" w:hAnsiTheme="minorHAnsi" w:cstheme="minorHAnsi"/>
          <w:bCs/>
          <w:sz w:val="22"/>
          <w:szCs w:val="22"/>
          <w:vertAlign w:val="subscript"/>
          <w:lang w:eastAsia="ko-KR"/>
        </w:rPr>
        <w:t>2</w:t>
      </w:r>
      <w:r w:rsidR="001E5E01" w:rsidRPr="00010943">
        <w:rPr>
          <w:rFonts w:asciiTheme="minorHAnsi" w:eastAsiaTheme="minorEastAsia" w:hAnsiTheme="minorHAnsi" w:cstheme="minorHAnsi"/>
          <w:bCs/>
          <w:sz w:val="22"/>
          <w:szCs w:val="22"/>
          <w:lang w:eastAsia="ko-KR"/>
        </w:rPr>
        <w:t xml:space="preserve"> is removed inside the combustor by </w:t>
      </w:r>
      <w:proofErr w:type="spellStart"/>
      <w:r w:rsidR="001E5E01" w:rsidRPr="00010943">
        <w:rPr>
          <w:rFonts w:asciiTheme="minorHAnsi" w:eastAsiaTheme="minorEastAsia" w:hAnsiTheme="minorHAnsi" w:cstheme="minorHAnsi"/>
          <w:bCs/>
          <w:sz w:val="22"/>
          <w:szCs w:val="22"/>
          <w:lang w:eastAsia="ko-KR"/>
        </w:rPr>
        <w:t>CaO</w:t>
      </w:r>
      <w:proofErr w:type="spellEnd"/>
      <w:r w:rsidR="001E5E01" w:rsidRPr="00010943">
        <w:rPr>
          <w:rFonts w:asciiTheme="minorHAnsi" w:eastAsiaTheme="minorEastAsia" w:hAnsiTheme="minorHAnsi" w:cstheme="minorHAnsi"/>
          <w:bCs/>
          <w:sz w:val="22"/>
          <w:szCs w:val="22"/>
          <w:lang w:eastAsia="ko-KR"/>
        </w:rPr>
        <w:t xml:space="preserve"> </w:t>
      </w:r>
      <w:r w:rsidR="001E5E01" w:rsidRPr="00010943">
        <w:rPr>
          <w:rFonts w:asciiTheme="minorHAnsi" w:eastAsiaTheme="minorEastAsia" w:hAnsiTheme="minorHAnsi" w:cstheme="minorHAnsi"/>
          <w:bCs/>
          <w:sz w:val="22"/>
          <w:szCs w:val="22"/>
          <w:lang w:eastAsia="ko-KR"/>
        </w:rPr>
        <w:lastRenderedPageBreak/>
        <w:t xml:space="preserve">(limestone), (7) </w:t>
      </w:r>
      <w:r w:rsidR="00F0531A" w:rsidRPr="00010943">
        <w:rPr>
          <w:rFonts w:asciiTheme="minorHAnsi" w:eastAsia="MS PGothic" w:hAnsiTheme="minorHAnsi" w:cstheme="minorHAnsi"/>
          <w:color w:val="000000"/>
          <w:sz w:val="22"/>
          <w:szCs w:val="22"/>
          <w:lang w:val="en-US"/>
        </w:rPr>
        <w:t xml:space="preserve">The </w:t>
      </w:r>
      <w:r w:rsidR="00C8402C" w:rsidRPr="00010943">
        <w:rPr>
          <w:rFonts w:asciiTheme="minorHAnsi" w:eastAsia="MS PGothic" w:hAnsiTheme="minorHAnsi" w:cstheme="minorHAnsi"/>
          <w:color w:val="000000"/>
          <w:sz w:val="22"/>
          <w:szCs w:val="22"/>
          <w:lang w:val="en-US"/>
        </w:rPr>
        <w:t>CFBC</w:t>
      </w:r>
      <w:r w:rsidR="00F0531A" w:rsidRPr="00010943">
        <w:rPr>
          <w:rFonts w:asciiTheme="minorHAnsi" w:eastAsia="MS PGothic" w:hAnsiTheme="minorHAnsi" w:cstheme="minorHAnsi"/>
          <w:color w:val="000000"/>
          <w:sz w:val="22"/>
          <w:szCs w:val="22"/>
          <w:lang w:val="en-US"/>
        </w:rPr>
        <w:t xml:space="preserve"> includes SCR with aqueous NH</w:t>
      </w:r>
      <w:r w:rsidR="00F0531A" w:rsidRPr="00010943">
        <w:rPr>
          <w:rFonts w:asciiTheme="minorHAnsi" w:eastAsia="MS PGothic" w:hAnsiTheme="minorHAnsi" w:cstheme="minorHAnsi"/>
          <w:color w:val="000000"/>
          <w:sz w:val="22"/>
          <w:szCs w:val="22"/>
          <w:vertAlign w:val="subscript"/>
          <w:lang w:val="en-US"/>
        </w:rPr>
        <w:t>3</w:t>
      </w:r>
      <w:r w:rsidR="00F0531A" w:rsidRPr="00010943">
        <w:rPr>
          <w:rFonts w:asciiTheme="minorHAnsi" w:eastAsia="MS PGothic" w:hAnsiTheme="minorHAnsi" w:cstheme="minorHAnsi"/>
          <w:color w:val="000000"/>
          <w:sz w:val="22"/>
          <w:szCs w:val="22"/>
          <w:lang w:val="en-US"/>
        </w:rPr>
        <w:t xml:space="preserve"> </w:t>
      </w:r>
      <w:r w:rsidR="001E5E01" w:rsidRPr="00010943">
        <w:rPr>
          <w:rFonts w:asciiTheme="minorHAnsi" w:eastAsia="MS PGothic" w:hAnsiTheme="minorHAnsi" w:cstheme="minorHAnsi"/>
          <w:color w:val="000000"/>
          <w:sz w:val="22"/>
          <w:szCs w:val="22"/>
          <w:lang w:val="en-US"/>
        </w:rPr>
        <w:t xml:space="preserve">for </w:t>
      </w:r>
      <w:r w:rsidR="00F0531A" w:rsidRPr="00010943">
        <w:rPr>
          <w:rFonts w:asciiTheme="minorHAnsi" w:eastAsia="MS PGothic" w:hAnsiTheme="minorHAnsi" w:cstheme="minorHAnsi"/>
          <w:color w:val="000000"/>
          <w:sz w:val="22"/>
          <w:szCs w:val="22"/>
          <w:lang w:val="en-US"/>
        </w:rPr>
        <w:t xml:space="preserve">NOx removal, </w:t>
      </w:r>
      <w:r w:rsidR="001E5E01" w:rsidRPr="00010943">
        <w:rPr>
          <w:rFonts w:asciiTheme="minorHAnsi" w:eastAsia="MS PGothic" w:hAnsiTheme="minorHAnsi" w:cstheme="minorHAnsi"/>
          <w:color w:val="000000"/>
          <w:sz w:val="22"/>
          <w:szCs w:val="22"/>
          <w:lang w:val="en-US"/>
        </w:rPr>
        <w:t>and electrostatic precipitator (</w:t>
      </w:r>
      <w:r w:rsidR="00F0531A" w:rsidRPr="00010943">
        <w:rPr>
          <w:rFonts w:asciiTheme="minorHAnsi" w:eastAsia="MS PGothic" w:hAnsiTheme="minorHAnsi" w:cstheme="minorHAnsi"/>
          <w:color w:val="000000"/>
          <w:sz w:val="22"/>
          <w:szCs w:val="22"/>
          <w:lang w:val="en-US"/>
        </w:rPr>
        <w:t>ESP</w:t>
      </w:r>
      <w:r w:rsidR="001E5E01" w:rsidRPr="00010943">
        <w:rPr>
          <w:rFonts w:asciiTheme="minorHAnsi" w:eastAsia="MS PGothic" w:hAnsiTheme="minorHAnsi" w:cstheme="minorHAnsi"/>
          <w:color w:val="000000"/>
          <w:sz w:val="22"/>
          <w:szCs w:val="22"/>
          <w:lang w:val="en-US"/>
        </w:rPr>
        <w:t xml:space="preserve">) for </w:t>
      </w:r>
      <w:r w:rsidR="00F0531A" w:rsidRPr="00010943">
        <w:rPr>
          <w:rFonts w:asciiTheme="minorHAnsi" w:eastAsia="MS PGothic" w:hAnsiTheme="minorHAnsi" w:cstheme="minorHAnsi"/>
          <w:color w:val="000000"/>
          <w:sz w:val="22"/>
          <w:szCs w:val="22"/>
          <w:lang w:val="en-US"/>
        </w:rPr>
        <w:t xml:space="preserve">dust removal, </w:t>
      </w:r>
      <w:r w:rsidR="001E5E01" w:rsidRPr="00010943">
        <w:rPr>
          <w:rFonts w:asciiTheme="minorHAnsi" w:eastAsia="MS PGothic" w:hAnsiTheme="minorHAnsi" w:cstheme="minorHAnsi"/>
          <w:color w:val="000000"/>
          <w:sz w:val="22"/>
          <w:szCs w:val="22"/>
          <w:lang w:val="en-US"/>
        </w:rPr>
        <w:t xml:space="preserve">(8) </w:t>
      </w:r>
      <w:r w:rsidR="001E5E01" w:rsidRPr="00010943">
        <w:rPr>
          <w:rFonts w:asciiTheme="minorHAnsi" w:eastAsiaTheme="minorEastAsia" w:hAnsiTheme="minorHAnsi" w:cstheme="minorHAnsi"/>
          <w:bCs/>
          <w:sz w:val="22"/>
          <w:szCs w:val="22"/>
          <w:lang w:eastAsia="ko-KR"/>
        </w:rPr>
        <w:t>The produced CO</w:t>
      </w:r>
      <w:r w:rsidR="001E5E01" w:rsidRPr="00010943">
        <w:rPr>
          <w:rFonts w:asciiTheme="minorHAnsi" w:eastAsiaTheme="minorEastAsia" w:hAnsiTheme="minorHAnsi" w:cstheme="minorHAnsi"/>
          <w:bCs/>
          <w:sz w:val="22"/>
          <w:szCs w:val="22"/>
          <w:vertAlign w:val="subscript"/>
          <w:lang w:eastAsia="ko-KR"/>
        </w:rPr>
        <w:t>2</w:t>
      </w:r>
      <w:r w:rsidR="001E5E01" w:rsidRPr="00010943">
        <w:rPr>
          <w:rFonts w:asciiTheme="minorHAnsi" w:eastAsiaTheme="minorEastAsia" w:hAnsiTheme="minorHAnsi" w:cstheme="minorHAnsi"/>
          <w:bCs/>
          <w:sz w:val="22"/>
          <w:szCs w:val="22"/>
          <w:lang w:eastAsia="ko-KR"/>
        </w:rPr>
        <w:t xml:space="preserve"> </w:t>
      </w:r>
      <w:r w:rsidR="00FC439C" w:rsidRPr="00010943">
        <w:rPr>
          <w:rFonts w:asciiTheme="minorHAnsi" w:eastAsiaTheme="minorEastAsia" w:hAnsiTheme="minorHAnsi" w:cstheme="minorHAnsi"/>
          <w:bCs/>
          <w:sz w:val="22"/>
          <w:szCs w:val="22"/>
          <w:lang w:eastAsia="ko-KR"/>
        </w:rPr>
        <w:t xml:space="preserve">over 95 % purity and over 90% recovery </w:t>
      </w:r>
      <w:r w:rsidR="001E5E01" w:rsidRPr="00010943">
        <w:rPr>
          <w:rFonts w:asciiTheme="minorHAnsi" w:eastAsiaTheme="minorEastAsia" w:hAnsiTheme="minorHAnsi" w:cstheme="minorHAnsi"/>
          <w:bCs/>
          <w:sz w:val="22"/>
          <w:szCs w:val="22"/>
          <w:lang w:eastAsia="ko-KR"/>
        </w:rPr>
        <w:t>in the gas phase aims to be sequestrated under the ground</w:t>
      </w:r>
      <w:r w:rsidR="00FC439C" w:rsidRPr="00010943">
        <w:rPr>
          <w:rFonts w:asciiTheme="minorHAnsi" w:eastAsiaTheme="minorEastAsia" w:hAnsiTheme="minorHAnsi" w:cstheme="minorHAnsi"/>
          <w:bCs/>
          <w:sz w:val="22"/>
          <w:szCs w:val="22"/>
          <w:lang w:eastAsia="ko-KR"/>
        </w:rPr>
        <w:t>, (9) The produced CO</w:t>
      </w:r>
      <w:r w:rsidR="00FC439C" w:rsidRPr="00010943">
        <w:rPr>
          <w:rFonts w:asciiTheme="minorHAnsi" w:eastAsiaTheme="minorEastAsia" w:hAnsiTheme="minorHAnsi" w:cstheme="minorHAnsi"/>
          <w:bCs/>
          <w:sz w:val="22"/>
          <w:szCs w:val="22"/>
          <w:vertAlign w:val="subscript"/>
          <w:lang w:eastAsia="ko-KR"/>
        </w:rPr>
        <w:t>2</w:t>
      </w:r>
      <w:r w:rsidR="00FC439C" w:rsidRPr="00010943">
        <w:rPr>
          <w:rFonts w:asciiTheme="minorHAnsi" w:eastAsiaTheme="minorEastAsia" w:hAnsiTheme="minorHAnsi" w:cstheme="minorHAnsi"/>
          <w:bCs/>
          <w:sz w:val="22"/>
          <w:szCs w:val="22"/>
          <w:lang w:eastAsia="ko-KR"/>
        </w:rPr>
        <w:t xml:space="preserve"> at 8 bar and 20 </w:t>
      </w:r>
      <w:r w:rsidR="00FC439C" w:rsidRPr="00010943">
        <w:rPr>
          <w:rFonts w:asciiTheme="minorHAnsi" w:eastAsiaTheme="minorEastAsia" w:hAnsiTheme="minorHAnsi" w:cstheme="minorHAnsi"/>
          <w:bCs/>
          <w:sz w:val="22"/>
          <w:szCs w:val="22"/>
          <w:lang w:eastAsia="ko-KR"/>
        </w:rPr>
        <w:sym w:font="Symbol" w:char="F0B0"/>
      </w:r>
      <w:r w:rsidR="00FC439C" w:rsidRPr="00010943">
        <w:rPr>
          <w:rFonts w:asciiTheme="minorHAnsi" w:eastAsiaTheme="minorEastAsia" w:hAnsiTheme="minorHAnsi" w:cstheme="minorHAnsi"/>
          <w:bCs/>
          <w:sz w:val="22"/>
          <w:szCs w:val="22"/>
          <w:lang w:eastAsia="ko-KR"/>
        </w:rPr>
        <w:t>C contains water under 250 ppm, and (10) The total amount of CO</w:t>
      </w:r>
      <w:r w:rsidR="00FC439C" w:rsidRPr="00010943">
        <w:rPr>
          <w:rFonts w:asciiTheme="minorHAnsi" w:eastAsiaTheme="minorEastAsia" w:hAnsiTheme="minorHAnsi" w:cstheme="minorHAnsi"/>
          <w:bCs/>
          <w:sz w:val="22"/>
          <w:szCs w:val="22"/>
          <w:vertAlign w:val="subscript"/>
          <w:lang w:eastAsia="ko-KR"/>
        </w:rPr>
        <w:t>2</w:t>
      </w:r>
      <w:r w:rsidR="00FC439C" w:rsidRPr="00010943">
        <w:rPr>
          <w:rFonts w:asciiTheme="minorHAnsi" w:eastAsiaTheme="minorEastAsia" w:hAnsiTheme="minorHAnsi" w:cstheme="minorHAnsi"/>
          <w:bCs/>
          <w:sz w:val="22"/>
          <w:szCs w:val="22"/>
          <w:lang w:eastAsia="ko-KR"/>
        </w:rPr>
        <w:t xml:space="preserve"> captured are the same. </w:t>
      </w:r>
      <w:r w:rsidR="00137677" w:rsidRPr="00010943">
        <w:rPr>
          <w:rFonts w:asciiTheme="minorHAnsi" w:eastAsiaTheme="minorEastAsia" w:hAnsiTheme="minorHAnsi" w:cstheme="minorHAnsi"/>
          <w:bCs/>
          <w:sz w:val="22"/>
          <w:szCs w:val="22"/>
          <w:lang w:eastAsia="ko-KR"/>
        </w:rPr>
        <w:t>Three cases were considered to compare the energy and economic analyses: Case 1 (air-coal power plant without carbon capture), Case 2 (air-coal power plant with AAU), and Case 3 (oxy-coal power plant with CPU). The energy and e</w:t>
      </w:r>
      <w:proofErr w:type="spellStart"/>
      <w:r w:rsidR="00137677" w:rsidRPr="00010943">
        <w:rPr>
          <w:rFonts w:asciiTheme="minorHAnsi" w:eastAsia="MS PGothic" w:hAnsiTheme="minorHAnsi" w:cstheme="minorHAnsi"/>
          <w:color w:val="000000"/>
          <w:sz w:val="22"/>
          <w:szCs w:val="22"/>
          <w:lang w:val="en-US"/>
        </w:rPr>
        <w:t>conomic</w:t>
      </w:r>
      <w:proofErr w:type="spellEnd"/>
      <w:r w:rsidR="004B3E90" w:rsidRPr="00010943">
        <w:rPr>
          <w:rFonts w:asciiTheme="minorHAnsi" w:eastAsia="MS PGothic" w:hAnsiTheme="minorHAnsi" w:cstheme="minorHAnsi"/>
          <w:color w:val="000000"/>
          <w:sz w:val="22"/>
          <w:szCs w:val="22"/>
          <w:lang w:val="en-US"/>
        </w:rPr>
        <w:t xml:space="preserve"> </w:t>
      </w:r>
      <w:r w:rsidR="002B101E" w:rsidRPr="00010943">
        <w:rPr>
          <w:rFonts w:asciiTheme="minorHAnsi" w:eastAsia="MS PGothic" w:hAnsiTheme="minorHAnsi" w:cstheme="minorHAnsi"/>
          <w:color w:val="000000"/>
          <w:sz w:val="22"/>
          <w:szCs w:val="22"/>
          <w:lang w:val="en-US"/>
        </w:rPr>
        <w:t>analys</w:t>
      </w:r>
      <w:r w:rsidR="00137677" w:rsidRPr="00010943">
        <w:rPr>
          <w:rFonts w:asciiTheme="minorHAnsi" w:eastAsia="MS PGothic" w:hAnsiTheme="minorHAnsi" w:cstheme="minorHAnsi"/>
          <w:color w:val="000000"/>
          <w:sz w:val="22"/>
          <w:szCs w:val="22"/>
          <w:lang w:val="en-US"/>
        </w:rPr>
        <w:t>e</w:t>
      </w:r>
      <w:r w:rsidR="002B101E" w:rsidRPr="00010943">
        <w:rPr>
          <w:rFonts w:asciiTheme="minorHAnsi" w:eastAsia="MS PGothic" w:hAnsiTheme="minorHAnsi" w:cstheme="minorHAnsi"/>
          <w:color w:val="000000"/>
          <w:sz w:val="22"/>
          <w:szCs w:val="22"/>
          <w:lang w:val="en-US"/>
        </w:rPr>
        <w:t xml:space="preserve">s </w:t>
      </w:r>
      <w:r w:rsidR="003A3FBD" w:rsidRPr="00010943">
        <w:rPr>
          <w:rFonts w:asciiTheme="minorHAnsi" w:eastAsia="MS PGothic" w:hAnsiTheme="minorHAnsi" w:cstheme="minorHAnsi"/>
          <w:color w:val="000000"/>
          <w:sz w:val="22"/>
          <w:szCs w:val="22"/>
          <w:lang w:val="en-US"/>
        </w:rPr>
        <w:t>include</w:t>
      </w:r>
      <w:r w:rsidR="00137677" w:rsidRPr="00010943">
        <w:rPr>
          <w:rFonts w:asciiTheme="minorHAnsi" w:eastAsia="MS PGothic" w:hAnsiTheme="minorHAnsi" w:cstheme="minorHAnsi"/>
          <w:color w:val="000000"/>
          <w:sz w:val="22"/>
          <w:szCs w:val="22"/>
          <w:lang w:val="en-US"/>
        </w:rPr>
        <w:t>d</w:t>
      </w:r>
      <w:r w:rsidR="002B101E" w:rsidRPr="00010943">
        <w:rPr>
          <w:rFonts w:asciiTheme="minorHAnsi" w:eastAsia="MS PGothic" w:hAnsiTheme="minorHAnsi" w:cstheme="minorHAnsi"/>
          <w:color w:val="000000"/>
          <w:sz w:val="22"/>
          <w:szCs w:val="22"/>
          <w:lang w:val="en-US"/>
        </w:rPr>
        <w:t xml:space="preserve"> the </w:t>
      </w:r>
      <w:r w:rsidR="0080684B" w:rsidRPr="00010943">
        <w:rPr>
          <w:rFonts w:asciiTheme="minorHAnsi" w:eastAsia="MS PGothic" w:hAnsiTheme="minorHAnsi" w:cstheme="minorHAnsi"/>
          <w:color w:val="000000"/>
          <w:sz w:val="22"/>
          <w:szCs w:val="22"/>
          <w:lang w:val="en-US"/>
        </w:rPr>
        <w:t>net thermal</w:t>
      </w:r>
      <w:r w:rsidR="00137677" w:rsidRPr="00010943">
        <w:rPr>
          <w:rFonts w:asciiTheme="minorHAnsi" w:eastAsia="MS PGothic" w:hAnsiTheme="minorHAnsi" w:cstheme="minorHAnsi"/>
          <w:color w:val="000000"/>
          <w:sz w:val="22"/>
          <w:szCs w:val="22"/>
          <w:lang w:val="en-US"/>
        </w:rPr>
        <w:t xml:space="preserve"> efficiency, </w:t>
      </w:r>
      <w:r w:rsidR="008107A0" w:rsidRPr="00010943">
        <w:rPr>
          <w:rFonts w:asciiTheme="minorHAnsi" w:eastAsia="MS PGothic" w:hAnsiTheme="minorHAnsi" w:cstheme="minorHAnsi"/>
          <w:color w:val="000000"/>
          <w:sz w:val="22"/>
          <w:szCs w:val="22"/>
          <w:lang w:val="en-US"/>
        </w:rPr>
        <w:t xml:space="preserve">heat penalty, </w:t>
      </w:r>
      <w:r w:rsidR="002B101E" w:rsidRPr="00010943">
        <w:rPr>
          <w:rFonts w:asciiTheme="minorHAnsi" w:eastAsia="MS PGothic" w:hAnsiTheme="minorHAnsi" w:cstheme="minorHAnsi"/>
          <w:color w:val="000000"/>
          <w:sz w:val="22"/>
          <w:szCs w:val="22"/>
          <w:lang w:val="en-US"/>
        </w:rPr>
        <w:t>TCI</w:t>
      </w:r>
      <w:r w:rsidR="003D447A" w:rsidRPr="00010943">
        <w:rPr>
          <w:rFonts w:asciiTheme="minorHAnsi" w:eastAsia="MS PGothic" w:hAnsiTheme="minorHAnsi" w:cstheme="minorHAnsi"/>
          <w:color w:val="000000"/>
          <w:sz w:val="22"/>
          <w:szCs w:val="22"/>
          <w:lang w:val="en-US"/>
        </w:rPr>
        <w:t>,</w:t>
      </w:r>
      <w:r w:rsidR="002B101E" w:rsidRPr="00010943">
        <w:rPr>
          <w:rFonts w:asciiTheme="minorHAnsi" w:eastAsia="MS PGothic" w:hAnsiTheme="minorHAnsi" w:cstheme="minorHAnsi"/>
          <w:color w:val="000000"/>
          <w:sz w:val="22"/>
          <w:szCs w:val="22"/>
          <w:lang w:val="en-US"/>
        </w:rPr>
        <w:t xml:space="preserve"> </w:t>
      </w:r>
      <w:r w:rsidR="003D447A" w:rsidRPr="00010943">
        <w:rPr>
          <w:rFonts w:asciiTheme="minorHAnsi" w:eastAsia="MS PGothic" w:hAnsiTheme="minorHAnsi" w:cstheme="minorHAnsi"/>
          <w:color w:val="000000"/>
          <w:sz w:val="22"/>
          <w:szCs w:val="22"/>
          <w:lang w:val="en-US"/>
        </w:rPr>
        <w:t>CIC,</w:t>
      </w:r>
      <w:r w:rsidR="003D447A" w:rsidRPr="00010943">
        <w:rPr>
          <w:rFonts w:asciiTheme="minorHAnsi" w:hAnsiTheme="minorHAnsi" w:cstheme="minorHAnsi"/>
          <w:sz w:val="22"/>
          <w:szCs w:val="22"/>
        </w:rPr>
        <w:t xml:space="preserve"> </w:t>
      </w:r>
      <w:r w:rsidR="003D447A" w:rsidRPr="00010943">
        <w:rPr>
          <w:rFonts w:asciiTheme="minorHAnsi" w:eastAsia="MS PGothic" w:hAnsiTheme="minorHAnsi" w:cstheme="minorHAnsi"/>
          <w:color w:val="000000"/>
          <w:sz w:val="22"/>
          <w:szCs w:val="22"/>
          <w:lang w:val="en-US"/>
        </w:rPr>
        <w:t>CCC,</w:t>
      </w:r>
      <w:r w:rsidR="003D447A" w:rsidRPr="00010943">
        <w:rPr>
          <w:rFonts w:asciiTheme="minorHAnsi" w:hAnsiTheme="minorHAnsi" w:cstheme="minorHAnsi"/>
          <w:sz w:val="22"/>
          <w:szCs w:val="22"/>
        </w:rPr>
        <w:t xml:space="preserve"> </w:t>
      </w:r>
      <w:r w:rsidR="00C8402C" w:rsidRPr="00010943">
        <w:rPr>
          <w:rFonts w:asciiTheme="minorHAnsi" w:eastAsia="MS PGothic" w:hAnsiTheme="minorHAnsi" w:cstheme="minorHAnsi"/>
          <w:color w:val="000000"/>
          <w:sz w:val="22"/>
          <w:szCs w:val="22"/>
          <w:lang w:val="en-US"/>
        </w:rPr>
        <w:t>LCOE</w:t>
      </w:r>
      <w:r w:rsidR="002B101E" w:rsidRPr="00010943">
        <w:rPr>
          <w:rFonts w:asciiTheme="minorHAnsi" w:eastAsia="MS PGothic" w:hAnsiTheme="minorHAnsi" w:cstheme="minorHAnsi"/>
          <w:color w:val="000000"/>
          <w:sz w:val="22"/>
          <w:szCs w:val="22"/>
          <w:lang w:val="en-US"/>
        </w:rPr>
        <w:t>.</w:t>
      </w:r>
    </w:p>
    <w:p w14:paraId="3BAF66B9" w14:textId="1A56A26D" w:rsidR="00704BDF" w:rsidRDefault="00704BDF" w:rsidP="0080684B">
      <w:pPr>
        <w:snapToGrid w:val="0"/>
        <w:spacing w:after="120"/>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391AE99C" w14:textId="769AEA04" w:rsidR="003A3FBD" w:rsidRDefault="00804239" w:rsidP="0080684B">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w:t>
      </w:r>
      <w:r w:rsidR="0080684B">
        <w:rPr>
          <w:rFonts w:asciiTheme="minorHAnsi" w:eastAsia="MS PGothic" w:hAnsiTheme="minorHAnsi"/>
          <w:color w:val="000000"/>
          <w:sz w:val="22"/>
          <w:szCs w:val="22"/>
          <w:lang w:val="en-US"/>
        </w:rPr>
        <w:t>process</w:t>
      </w:r>
      <w:r w:rsidR="00295B50">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performance </w:t>
      </w:r>
      <w:r w:rsidR="00295B50">
        <w:rPr>
          <w:rFonts w:asciiTheme="minorHAnsi" w:eastAsia="MS PGothic" w:hAnsiTheme="minorHAnsi"/>
          <w:color w:val="000000"/>
          <w:sz w:val="22"/>
          <w:szCs w:val="22"/>
          <w:lang w:val="en-US"/>
        </w:rPr>
        <w:t xml:space="preserve">of </w:t>
      </w:r>
      <w:r w:rsidR="0080684B">
        <w:rPr>
          <w:rFonts w:asciiTheme="minorHAnsi" w:eastAsia="MS PGothic" w:hAnsiTheme="minorHAnsi"/>
          <w:color w:val="000000"/>
          <w:sz w:val="22"/>
          <w:szCs w:val="22"/>
          <w:lang w:val="en-US"/>
        </w:rPr>
        <w:t xml:space="preserve">the three </w:t>
      </w:r>
      <w:r w:rsidR="00295B50">
        <w:rPr>
          <w:rFonts w:asciiTheme="minorHAnsi" w:eastAsia="MS PGothic" w:hAnsiTheme="minorHAnsi"/>
          <w:color w:val="000000"/>
          <w:sz w:val="22"/>
          <w:szCs w:val="22"/>
          <w:lang w:val="en-US"/>
        </w:rPr>
        <w:t>cases</w:t>
      </w:r>
      <w:r>
        <w:rPr>
          <w:rFonts w:asciiTheme="minorHAnsi" w:eastAsia="MS PGothic" w:hAnsiTheme="minorHAnsi"/>
          <w:color w:val="000000"/>
          <w:sz w:val="22"/>
          <w:szCs w:val="22"/>
          <w:lang w:val="en-US"/>
        </w:rPr>
        <w:t xml:space="preserve"> </w:t>
      </w:r>
      <w:r w:rsidR="0080684B">
        <w:rPr>
          <w:rFonts w:asciiTheme="minorHAnsi" w:eastAsia="MS PGothic" w:hAnsiTheme="minorHAnsi"/>
          <w:color w:val="000000"/>
          <w:sz w:val="22"/>
          <w:szCs w:val="22"/>
          <w:lang w:val="en-US"/>
        </w:rPr>
        <w:t xml:space="preserve">is shown </w:t>
      </w:r>
      <w:r>
        <w:rPr>
          <w:rFonts w:asciiTheme="minorHAnsi" w:eastAsia="MS PGothic" w:hAnsiTheme="minorHAnsi"/>
          <w:color w:val="000000"/>
          <w:sz w:val="22"/>
          <w:szCs w:val="22"/>
          <w:lang w:val="en-US"/>
        </w:rPr>
        <w:t xml:space="preserve">in Table 1. </w:t>
      </w:r>
      <w:r w:rsidR="008107A0">
        <w:rPr>
          <w:rFonts w:asciiTheme="minorHAnsi" w:eastAsia="MS PGothic" w:hAnsiTheme="minorHAnsi"/>
          <w:color w:val="000000"/>
          <w:sz w:val="22"/>
          <w:szCs w:val="22"/>
          <w:lang w:val="en-US"/>
        </w:rPr>
        <w:t xml:space="preserve">Case 1 has the highest net electricity and net thermal efficiency because of no carbon capture. </w:t>
      </w:r>
      <w:r w:rsidR="00295B50">
        <w:rPr>
          <w:rFonts w:asciiTheme="minorHAnsi" w:eastAsia="MS PGothic" w:hAnsiTheme="minorHAnsi"/>
          <w:color w:val="000000"/>
          <w:sz w:val="22"/>
          <w:szCs w:val="22"/>
          <w:lang w:val="en-US"/>
        </w:rPr>
        <w:t xml:space="preserve">The </w:t>
      </w:r>
      <w:r w:rsidR="008107A0">
        <w:rPr>
          <w:rFonts w:asciiTheme="minorHAnsi" w:eastAsia="MS PGothic" w:hAnsiTheme="minorHAnsi"/>
          <w:color w:val="000000"/>
          <w:sz w:val="22"/>
          <w:szCs w:val="22"/>
          <w:lang w:val="en-US"/>
        </w:rPr>
        <w:t xml:space="preserve">heat penalty of Case 2 (air-coal power plant with AAU) is higher than that of Case 3 due to high </w:t>
      </w:r>
      <w:r w:rsidR="00BC26EB">
        <w:rPr>
          <w:rFonts w:asciiTheme="minorHAnsi" w:eastAsia="MS PGothic" w:hAnsiTheme="minorHAnsi"/>
          <w:color w:val="000000"/>
          <w:sz w:val="22"/>
          <w:szCs w:val="22"/>
          <w:lang w:val="en-US"/>
        </w:rPr>
        <w:t xml:space="preserve">amine </w:t>
      </w:r>
      <w:r w:rsidR="008107A0">
        <w:rPr>
          <w:rFonts w:asciiTheme="minorHAnsi" w:eastAsia="MS PGothic" w:hAnsiTheme="minorHAnsi"/>
          <w:color w:val="000000"/>
          <w:sz w:val="22"/>
          <w:szCs w:val="22"/>
          <w:lang w:val="en-US"/>
        </w:rPr>
        <w:t xml:space="preserve">regeneration </w:t>
      </w:r>
      <w:r w:rsidR="00BC26EB">
        <w:rPr>
          <w:rFonts w:asciiTheme="minorHAnsi" w:eastAsia="MS PGothic" w:hAnsiTheme="minorHAnsi"/>
          <w:color w:val="000000"/>
          <w:sz w:val="22"/>
          <w:szCs w:val="22"/>
          <w:lang w:val="en-US"/>
        </w:rPr>
        <w:t>heat in AAU. As mentioned earlier, the CO</w:t>
      </w:r>
      <w:r w:rsidR="00BC26EB" w:rsidRPr="00BC26EB">
        <w:rPr>
          <w:rFonts w:asciiTheme="minorHAnsi" w:eastAsia="MS PGothic" w:hAnsiTheme="minorHAnsi"/>
          <w:color w:val="000000"/>
          <w:sz w:val="22"/>
          <w:szCs w:val="22"/>
          <w:vertAlign w:val="subscript"/>
          <w:lang w:val="en-US"/>
        </w:rPr>
        <w:t>2</w:t>
      </w:r>
      <w:r w:rsidR="00BC26EB">
        <w:rPr>
          <w:rFonts w:asciiTheme="minorHAnsi" w:eastAsia="MS PGothic" w:hAnsiTheme="minorHAnsi"/>
          <w:color w:val="000000"/>
          <w:sz w:val="22"/>
          <w:szCs w:val="22"/>
          <w:lang w:val="en-US"/>
        </w:rPr>
        <w:t xml:space="preserve"> captured is the same for Cases 2 and 3. The TCI of Cases 2 and 3 is higher </w:t>
      </w:r>
      <w:r w:rsidR="00BC26EB">
        <w:rPr>
          <w:rFonts w:ascii="Malgun Gothic" w:eastAsia="Malgun Gothic" w:hAnsi="Malgun Gothic" w:cs="Malgun Gothic" w:hint="eastAsia"/>
          <w:color w:val="000000"/>
          <w:sz w:val="22"/>
          <w:szCs w:val="22"/>
          <w:lang w:val="en-US" w:eastAsia="ko-KR"/>
        </w:rPr>
        <w:t xml:space="preserve">by </w:t>
      </w:r>
      <w:r w:rsidR="00356E17">
        <w:rPr>
          <w:rFonts w:ascii="Malgun Gothic" w:eastAsia="Malgun Gothic" w:hAnsi="Malgun Gothic" w:cs="Malgun Gothic"/>
          <w:sz w:val="22"/>
          <w:szCs w:val="22"/>
          <w:lang w:val="en-US" w:eastAsia="ko-KR"/>
        </w:rPr>
        <w:t>66.42</w:t>
      </w:r>
      <w:r w:rsidR="00BC26EB">
        <w:rPr>
          <w:rFonts w:ascii="Malgun Gothic" w:eastAsia="Malgun Gothic" w:hAnsi="Malgun Gothic" w:cs="Malgun Gothic"/>
          <w:color w:val="000000"/>
          <w:sz w:val="22"/>
          <w:szCs w:val="22"/>
          <w:lang w:val="en-US" w:eastAsia="ko-KR"/>
        </w:rPr>
        <w:t xml:space="preserve"> and </w:t>
      </w:r>
      <w:r w:rsidR="00707B0B">
        <w:rPr>
          <w:rFonts w:ascii="Malgun Gothic" w:eastAsia="Malgun Gothic" w:hAnsi="Malgun Gothic" w:cs="Malgun Gothic"/>
          <w:color w:val="000000"/>
          <w:sz w:val="22"/>
          <w:szCs w:val="22"/>
          <w:lang w:val="en-US" w:eastAsia="ko-KR"/>
        </w:rPr>
        <w:t>91.3</w:t>
      </w:r>
      <w:bookmarkStart w:id="0" w:name="_GoBack"/>
      <w:bookmarkEnd w:id="0"/>
      <w:r w:rsidR="00BC26EB">
        <w:rPr>
          <w:rFonts w:ascii="Malgun Gothic" w:eastAsia="Malgun Gothic" w:hAnsi="Malgun Gothic" w:cs="Malgun Gothic"/>
          <w:color w:val="000000"/>
          <w:sz w:val="22"/>
          <w:szCs w:val="22"/>
          <w:lang w:val="en-US" w:eastAsia="ko-KR"/>
        </w:rPr>
        <w:t xml:space="preserve"> M$, respectively, </w:t>
      </w:r>
      <w:r w:rsidR="00BC26EB">
        <w:rPr>
          <w:rFonts w:asciiTheme="minorHAnsi" w:eastAsia="MS PGothic" w:hAnsiTheme="minorHAnsi"/>
          <w:color w:val="000000"/>
          <w:sz w:val="22"/>
          <w:szCs w:val="22"/>
          <w:lang w:val="en-US"/>
        </w:rPr>
        <w:t xml:space="preserve">than that of Case 1. The LCOE increases </w:t>
      </w:r>
      <w:r w:rsidR="0003015D">
        <w:rPr>
          <w:rFonts w:asciiTheme="minorHAnsi" w:eastAsia="MS PGothic" w:hAnsiTheme="minorHAnsi"/>
          <w:color w:val="000000"/>
          <w:sz w:val="22"/>
          <w:szCs w:val="22"/>
          <w:lang w:val="en-US"/>
        </w:rPr>
        <w:t xml:space="preserve">by </w:t>
      </w:r>
      <w:r w:rsidR="00466E6C">
        <w:rPr>
          <w:rFonts w:asciiTheme="minorHAnsi" w:eastAsia="MS PGothic" w:hAnsiTheme="minorHAnsi"/>
          <w:sz w:val="22"/>
          <w:szCs w:val="22"/>
          <w:lang w:val="en-US"/>
        </w:rPr>
        <w:t>39.4</w:t>
      </w:r>
      <w:r w:rsidR="0003015D">
        <w:rPr>
          <w:rFonts w:asciiTheme="minorHAnsi" w:eastAsia="MS PGothic" w:hAnsiTheme="minorHAnsi"/>
          <w:color w:val="000000"/>
          <w:sz w:val="22"/>
          <w:szCs w:val="22"/>
          <w:lang w:val="en-US"/>
        </w:rPr>
        <w:t xml:space="preserve"> and </w:t>
      </w:r>
      <w:r w:rsidR="00466E6C">
        <w:rPr>
          <w:rFonts w:asciiTheme="minorHAnsi" w:eastAsia="MS PGothic" w:hAnsiTheme="minorHAnsi"/>
          <w:sz w:val="22"/>
          <w:szCs w:val="22"/>
          <w:lang w:val="en-US"/>
        </w:rPr>
        <w:t>25.6</w:t>
      </w:r>
      <w:r w:rsidR="0003015D">
        <w:rPr>
          <w:rFonts w:asciiTheme="minorHAnsi" w:eastAsia="MS PGothic" w:hAnsiTheme="minorHAnsi"/>
          <w:color w:val="000000"/>
          <w:sz w:val="22"/>
          <w:szCs w:val="22"/>
          <w:lang w:val="en-US"/>
        </w:rPr>
        <w:t xml:space="preserve"> $/MWh for Cases 2 and 3, respectively, because of CO</w:t>
      </w:r>
      <w:r w:rsidR="0003015D" w:rsidRPr="0003015D">
        <w:rPr>
          <w:rFonts w:asciiTheme="minorHAnsi" w:eastAsia="MS PGothic" w:hAnsiTheme="minorHAnsi"/>
          <w:color w:val="000000"/>
          <w:sz w:val="22"/>
          <w:szCs w:val="22"/>
          <w:vertAlign w:val="subscript"/>
          <w:lang w:val="en-US"/>
        </w:rPr>
        <w:t>2</w:t>
      </w:r>
      <w:r w:rsidR="0003015D">
        <w:rPr>
          <w:rFonts w:asciiTheme="minorHAnsi" w:eastAsia="MS PGothic" w:hAnsiTheme="minorHAnsi"/>
          <w:color w:val="000000"/>
          <w:sz w:val="22"/>
          <w:szCs w:val="22"/>
          <w:lang w:val="en-US"/>
        </w:rPr>
        <w:t xml:space="preserve"> capture. </w:t>
      </w:r>
      <w:r w:rsidR="00C54FE9">
        <w:rPr>
          <w:rFonts w:asciiTheme="minorHAnsi" w:eastAsia="MS PGothic" w:hAnsiTheme="minorHAnsi"/>
          <w:color w:val="000000"/>
          <w:sz w:val="22"/>
          <w:szCs w:val="22"/>
          <w:lang w:val="en-US"/>
        </w:rPr>
        <w:t>The CIC and CCC of Case 2 are higher than those of Case 3</w:t>
      </w:r>
      <w:r w:rsidR="00466E6C">
        <w:rPr>
          <w:rFonts w:asciiTheme="minorHAnsi" w:eastAsia="MS PGothic" w:hAnsiTheme="minorHAnsi"/>
          <w:color w:val="000000"/>
          <w:sz w:val="22"/>
          <w:szCs w:val="22"/>
          <w:lang w:val="en-US"/>
        </w:rPr>
        <w:t xml:space="preserve"> and higher the CO</w:t>
      </w:r>
      <w:r w:rsidR="00466E6C">
        <w:rPr>
          <w:rFonts w:asciiTheme="minorHAnsi" w:eastAsia="MS PGothic" w:hAnsiTheme="minorHAnsi"/>
          <w:color w:val="000000"/>
          <w:sz w:val="22"/>
          <w:szCs w:val="22"/>
          <w:vertAlign w:val="subscript"/>
          <w:lang w:val="en-US"/>
        </w:rPr>
        <w:t>2</w:t>
      </w:r>
      <w:r w:rsidR="00466E6C">
        <w:rPr>
          <w:rFonts w:asciiTheme="minorHAnsi" w:eastAsia="MS PGothic" w:hAnsiTheme="minorHAnsi"/>
          <w:color w:val="000000"/>
          <w:sz w:val="22"/>
          <w:szCs w:val="22"/>
          <w:lang w:val="en-US"/>
        </w:rPr>
        <w:t xml:space="preserve"> price (26.3 $/t) was reported by</w:t>
      </w:r>
      <w:r w:rsidR="00466E6C" w:rsidRPr="00466E6C">
        <w:rPr>
          <w:rFonts w:asciiTheme="minorHAnsi" w:eastAsia="MS PGothic" w:hAnsiTheme="minorHAnsi"/>
          <w:color w:val="000000"/>
          <w:sz w:val="22"/>
          <w:szCs w:val="22"/>
          <w:lang w:val="en-US"/>
        </w:rPr>
        <w:t xml:space="preserve"> </w:t>
      </w:r>
      <w:proofErr w:type="spellStart"/>
      <w:r w:rsidR="00466E6C">
        <w:rPr>
          <w:rFonts w:asciiTheme="minorHAnsi" w:eastAsia="MS PGothic" w:hAnsiTheme="minorHAnsi"/>
          <w:color w:val="000000"/>
          <w:sz w:val="22"/>
          <w:szCs w:val="22"/>
          <w:lang w:val="en-US"/>
        </w:rPr>
        <w:t>Moioli</w:t>
      </w:r>
      <w:proofErr w:type="spellEnd"/>
      <w:r w:rsidR="00466E6C">
        <w:rPr>
          <w:rFonts w:asciiTheme="minorHAnsi" w:eastAsia="MS PGothic" w:hAnsiTheme="minorHAnsi"/>
          <w:color w:val="000000"/>
          <w:sz w:val="22"/>
          <w:szCs w:val="22"/>
          <w:lang w:val="en-US"/>
        </w:rPr>
        <w:t xml:space="preserve"> </w:t>
      </w:r>
      <w:r w:rsidR="00466E6C" w:rsidRPr="00CC7EC8">
        <w:rPr>
          <w:rFonts w:asciiTheme="minorHAnsi" w:eastAsia="MS PGothic" w:hAnsiTheme="minorHAnsi"/>
          <w:i/>
          <w:color w:val="000000"/>
          <w:sz w:val="22"/>
          <w:szCs w:val="22"/>
          <w:lang w:val="en-US"/>
        </w:rPr>
        <w:t>et al</w:t>
      </w:r>
      <w:r w:rsidR="00466E6C">
        <w:rPr>
          <w:rFonts w:asciiTheme="minorHAnsi" w:eastAsia="MS PGothic" w:hAnsiTheme="minorHAnsi"/>
          <w:color w:val="000000"/>
          <w:sz w:val="22"/>
          <w:szCs w:val="22"/>
          <w:lang w:val="en-US"/>
        </w:rPr>
        <w:t>. (2017) [5]</w:t>
      </w:r>
      <w:r w:rsidR="00C54FE9">
        <w:rPr>
          <w:rFonts w:asciiTheme="minorHAnsi" w:eastAsia="MS PGothic" w:hAnsiTheme="minorHAnsi"/>
          <w:color w:val="000000"/>
          <w:sz w:val="22"/>
          <w:szCs w:val="22"/>
          <w:lang w:val="en-US"/>
        </w:rPr>
        <w:t>. Therefore, Case 3 (</w:t>
      </w:r>
      <w:r w:rsidR="00C54FE9">
        <w:rPr>
          <w:rFonts w:eastAsiaTheme="minorEastAsia"/>
          <w:bCs/>
          <w:sz w:val="20"/>
          <w:lang w:eastAsia="ko-KR"/>
        </w:rPr>
        <w:t>oxy-coal power plant with CPU</w:t>
      </w:r>
      <w:r w:rsidR="00C54FE9">
        <w:rPr>
          <w:rFonts w:asciiTheme="minorHAnsi" w:eastAsia="MS PGothic" w:hAnsiTheme="minorHAnsi"/>
          <w:color w:val="000000"/>
          <w:sz w:val="22"/>
          <w:szCs w:val="22"/>
          <w:lang w:val="en-US"/>
        </w:rPr>
        <w:t>) shows the better energy and ec</w:t>
      </w:r>
      <w:r w:rsidR="00466E6C">
        <w:rPr>
          <w:rFonts w:asciiTheme="minorHAnsi" w:eastAsia="MS PGothic" w:hAnsiTheme="minorHAnsi"/>
          <w:color w:val="000000"/>
          <w:sz w:val="22"/>
          <w:szCs w:val="22"/>
          <w:lang w:val="en-US"/>
        </w:rPr>
        <w:t>onomic performances than Case 2</w:t>
      </w:r>
      <w:r w:rsidR="00C54FE9">
        <w:rPr>
          <w:rFonts w:asciiTheme="minorHAnsi" w:eastAsia="MS PGothic" w:hAnsiTheme="minorHAnsi"/>
          <w:color w:val="000000"/>
          <w:sz w:val="22"/>
          <w:szCs w:val="22"/>
          <w:lang w:val="en-US"/>
        </w:rPr>
        <w:t xml:space="preserve">. </w:t>
      </w:r>
    </w:p>
    <w:p w14:paraId="6CAC86A2" w14:textId="510064F5" w:rsidR="003A3FBD" w:rsidRPr="00FC439C" w:rsidRDefault="003A3FBD" w:rsidP="002B101E">
      <w:pPr>
        <w:snapToGrid w:val="0"/>
        <w:spacing w:before="240" w:line="300" w:lineRule="auto"/>
        <w:rPr>
          <w:rFonts w:asciiTheme="minorHAnsi" w:eastAsia="MS PGothic" w:hAnsiTheme="minorHAnsi"/>
          <w:color w:val="000000"/>
          <w:sz w:val="22"/>
          <w:szCs w:val="22"/>
          <w:lang w:val="en-US"/>
        </w:rPr>
      </w:pPr>
      <w:r w:rsidRPr="00FC439C">
        <w:rPr>
          <w:rFonts w:asciiTheme="minorHAnsi" w:eastAsia="MS PGothic" w:hAnsiTheme="minorHAnsi"/>
          <w:b/>
          <w:color w:val="000000"/>
          <w:sz w:val="22"/>
          <w:szCs w:val="22"/>
          <w:lang w:val="en-US"/>
        </w:rPr>
        <w:t>Table 1</w:t>
      </w:r>
      <w:r w:rsidRPr="00FC439C">
        <w:rPr>
          <w:rFonts w:asciiTheme="minorHAnsi" w:eastAsia="MS PGothic" w:hAnsiTheme="minorHAnsi"/>
          <w:b/>
          <w:color w:val="000000"/>
          <w:sz w:val="22"/>
          <w:szCs w:val="22"/>
          <w:lang w:val="en-US" w:eastAsia="ko-KR"/>
        </w:rPr>
        <w:t>.</w:t>
      </w:r>
      <w:r w:rsidRPr="00FC439C">
        <w:rPr>
          <w:rFonts w:asciiTheme="minorHAnsi" w:eastAsia="MS PGothic" w:hAnsiTheme="minorHAnsi"/>
          <w:color w:val="000000"/>
          <w:sz w:val="22"/>
          <w:szCs w:val="22"/>
          <w:lang w:val="en-US"/>
        </w:rPr>
        <w:t xml:space="preserve"> </w:t>
      </w:r>
      <w:r w:rsidRPr="00FC439C">
        <w:rPr>
          <w:rFonts w:asciiTheme="minorHAnsi" w:hAnsiTheme="minorHAnsi"/>
          <w:sz w:val="22"/>
          <w:szCs w:val="22"/>
          <w:lang w:val="en-US"/>
        </w:rPr>
        <w:t xml:space="preserve"> </w:t>
      </w:r>
      <w:r w:rsidR="0080684B">
        <w:rPr>
          <w:rFonts w:asciiTheme="minorHAnsi" w:eastAsia="MS PGothic" w:hAnsiTheme="minorHAnsi"/>
          <w:color w:val="000000"/>
          <w:sz w:val="22"/>
          <w:szCs w:val="22"/>
          <w:lang w:val="en-US"/>
        </w:rPr>
        <w:t>Process</w:t>
      </w:r>
      <w:r w:rsidRPr="00FC439C">
        <w:rPr>
          <w:rFonts w:asciiTheme="minorHAnsi" w:eastAsia="MS PGothic" w:hAnsiTheme="minorHAnsi"/>
          <w:color w:val="000000"/>
          <w:sz w:val="22"/>
          <w:szCs w:val="22"/>
          <w:lang w:val="en-US"/>
        </w:rPr>
        <w:t xml:space="preserve"> performance of air</w:t>
      </w:r>
      <w:r w:rsidR="0080684B">
        <w:rPr>
          <w:rFonts w:asciiTheme="minorHAnsi" w:eastAsia="MS PGothic" w:hAnsiTheme="minorHAnsi"/>
          <w:color w:val="000000"/>
          <w:sz w:val="22"/>
          <w:szCs w:val="22"/>
          <w:lang w:val="en-US"/>
        </w:rPr>
        <w:t xml:space="preserve">- and </w:t>
      </w:r>
      <w:r w:rsidRPr="00FC439C">
        <w:rPr>
          <w:rFonts w:asciiTheme="minorHAnsi" w:eastAsia="MS PGothic" w:hAnsiTheme="minorHAnsi"/>
          <w:color w:val="000000"/>
          <w:sz w:val="22"/>
          <w:szCs w:val="22"/>
          <w:lang w:val="en-US"/>
        </w:rPr>
        <w:t>oxy-</w:t>
      </w:r>
      <w:r w:rsidR="0080684B">
        <w:rPr>
          <w:rFonts w:asciiTheme="minorHAnsi" w:eastAsia="MS PGothic" w:hAnsiTheme="minorHAnsi"/>
          <w:color w:val="000000"/>
          <w:sz w:val="22"/>
          <w:szCs w:val="22"/>
          <w:lang w:val="en-US"/>
        </w:rPr>
        <w:t xml:space="preserve">coal </w:t>
      </w:r>
      <w:r w:rsidRPr="00FC439C">
        <w:rPr>
          <w:rFonts w:asciiTheme="minorHAnsi" w:eastAsia="MS PGothic" w:hAnsiTheme="minorHAnsi"/>
          <w:color w:val="000000"/>
          <w:sz w:val="22"/>
          <w:szCs w:val="22"/>
          <w:lang w:val="en-US"/>
        </w:rPr>
        <w:t>power plant</w:t>
      </w:r>
      <w:r w:rsidR="0080684B">
        <w:rPr>
          <w:rFonts w:asciiTheme="minorHAnsi" w:eastAsia="MS PGothic" w:hAnsiTheme="minorHAnsi"/>
          <w:color w:val="000000"/>
          <w:sz w:val="22"/>
          <w:szCs w:val="22"/>
          <w:lang w:val="en-US"/>
        </w:rPr>
        <w:t>s</w:t>
      </w:r>
      <w:r w:rsidRPr="00FC439C">
        <w:rPr>
          <w:rFonts w:asciiTheme="minorHAnsi" w:eastAsia="MS PGothic" w:hAnsiTheme="minorHAnsi"/>
          <w:color w:val="000000"/>
          <w:sz w:val="22"/>
          <w:szCs w:val="22"/>
          <w:lang w:val="en-US"/>
        </w:rPr>
        <w:t>.</w:t>
      </w:r>
    </w:p>
    <w:tbl>
      <w:tblPr>
        <w:tblW w:w="6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12"/>
        <w:gridCol w:w="1313"/>
        <w:gridCol w:w="1170"/>
        <w:gridCol w:w="1350"/>
        <w:gridCol w:w="6"/>
      </w:tblGrid>
      <w:tr w:rsidR="0080684B" w:rsidRPr="005070AA" w14:paraId="3FE7AE7E" w14:textId="77777777" w:rsidTr="00F63DCF">
        <w:trPr>
          <w:trHeight w:val="20"/>
          <w:tblHeader/>
          <w:jc w:val="center"/>
        </w:trPr>
        <w:tc>
          <w:tcPr>
            <w:tcW w:w="0" w:type="auto"/>
            <w:tcBorders>
              <w:top w:val="single" w:sz="4" w:space="0" w:color="auto"/>
              <w:left w:val="nil"/>
              <w:bottom w:val="single" w:sz="4" w:space="0" w:color="auto"/>
              <w:right w:val="nil"/>
            </w:tcBorders>
            <w:tcMar>
              <w:top w:w="75" w:type="dxa"/>
              <w:left w:w="11" w:type="dxa"/>
              <w:bottom w:w="75" w:type="dxa"/>
              <w:right w:w="11" w:type="dxa"/>
            </w:tcMar>
            <w:hideMark/>
          </w:tcPr>
          <w:p w14:paraId="53049761" w14:textId="64B0A8F7" w:rsidR="0080684B" w:rsidRPr="00FC439C" w:rsidRDefault="008107A0" w:rsidP="008107A0">
            <w:pPr>
              <w:adjustRightInd w:val="0"/>
              <w:snapToGrid w:val="0"/>
              <w:spacing w:line="240" w:lineRule="auto"/>
              <w:jc w:val="left"/>
              <w:rPr>
                <w:rFonts w:ascii="Times New Roman" w:hAnsi="Times New Roman"/>
                <w:bCs/>
                <w:sz w:val="20"/>
              </w:rPr>
            </w:pPr>
            <w:r>
              <w:rPr>
                <w:rFonts w:ascii="Times New Roman" w:hAnsi="Times New Roman"/>
                <w:bCs/>
                <w:sz w:val="20"/>
              </w:rPr>
              <w:t>P</w:t>
            </w:r>
            <w:r w:rsidR="0080684B" w:rsidRPr="00FC439C">
              <w:rPr>
                <w:rFonts w:ascii="Times New Roman" w:hAnsi="Times New Roman"/>
                <w:bCs/>
                <w:sz w:val="20"/>
              </w:rPr>
              <w:t>erformance indicators</w:t>
            </w:r>
          </w:p>
        </w:tc>
        <w:tc>
          <w:tcPr>
            <w:tcW w:w="1313" w:type="dxa"/>
            <w:tcBorders>
              <w:top w:val="single" w:sz="4" w:space="0" w:color="auto"/>
              <w:left w:val="nil"/>
              <w:bottom w:val="single" w:sz="4" w:space="0" w:color="auto"/>
              <w:right w:val="nil"/>
            </w:tcBorders>
            <w:tcMar>
              <w:top w:w="75" w:type="dxa"/>
              <w:left w:w="11" w:type="dxa"/>
              <w:bottom w:w="75" w:type="dxa"/>
              <w:right w:w="11" w:type="dxa"/>
            </w:tcMar>
            <w:hideMark/>
          </w:tcPr>
          <w:p w14:paraId="72304BB6" w14:textId="614FB5F0" w:rsidR="0080684B" w:rsidRPr="00FC439C" w:rsidRDefault="008107A0" w:rsidP="008107A0">
            <w:pPr>
              <w:adjustRightInd w:val="0"/>
              <w:snapToGrid w:val="0"/>
              <w:spacing w:line="240" w:lineRule="auto"/>
              <w:jc w:val="left"/>
              <w:rPr>
                <w:rFonts w:ascii="Times New Roman" w:hAnsi="Times New Roman"/>
                <w:b/>
                <w:bCs/>
                <w:sz w:val="20"/>
              </w:rPr>
            </w:pPr>
            <w:r>
              <w:rPr>
                <w:rFonts w:ascii="Times New Roman" w:eastAsia="MS PGothic" w:hAnsi="Times New Roman"/>
                <w:color w:val="000000"/>
                <w:sz w:val="20"/>
              </w:rPr>
              <w:t>Case 1</w:t>
            </w:r>
          </w:p>
        </w:tc>
        <w:tc>
          <w:tcPr>
            <w:tcW w:w="1170" w:type="dxa"/>
            <w:tcBorders>
              <w:top w:val="single" w:sz="4" w:space="0" w:color="auto"/>
              <w:left w:val="nil"/>
              <w:bottom w:val="single" w:sz="4" w:space="0" w:color="auto"/>
              <w:right w:val="nil"/>
            </w:tcBorders>
            <w:tcMar>
              <w:left w:w="11" w:type="dxa"/>
              <w:right w:w="11" w:type="dxa"/>
            </w:tcMar>
          </w:tcPr>
          <w:p w14:paraId="41D57F66" w14:textId="08E453D3" w:rsidR="0080684B" w:rsidRPr="00FC439C" w:rsidRDefault="008107A0" w:rsidP="008107A0">
            <w:pPr>
              <w:adjustRightInd w:val="0"/>
              <w:snapToGrid w:val="0"/>
              <w:spacing w:line="240" w:lineRule="auto"/>
              <w:jc w:val="left"/>
              <w:rPr>
                <w:rFonts w:ascii="Times New Roman" w:hAnsi="Times New Roman"/>
                <w:b/>
                <w:bCs/>
                <w:sz w:val="20"/>
              </w:rPr>
            </w:pPr>
            <w:r>
              <w:rPr>
                <w:rFonts w:ascii="Times New Roman" w:eastAsia="MS PGothic" w:hAnsi="Times New Roman"/>
                <w:color w:val="000000"/>
                <w:sz w:val="20"/>
              </w:rPr>
              <w:t>Case 2</w:t>
            </w:r>
          </w:p>
        </w:tc>
        <w:tc>
          <w:tcPr>
            <w:tcW w:w="1350" w:type="dxa"/>
            <w:tcBorders>
              <w:top w:val="single" w:sz="4" w:space="0" w:color="auto"/>
              <w:left w:val="nil"/>
              <w:bottom w:val="single" w:sz="4" w:space="0" w:color="auto"/>
              <w:right w:val="nil"/>
            </w:tcBorders>
            <w:tcMar>
              <w:top w:w="75" w:type="dxa"/>
              <w:left w:w="11" w:type="dxa"/>
              <w:bottom w:w="75" w:type="dxa"/>
              <w:right w:w="11" w:type="dxa"/>
            </w:tcMar>
            <w:hideMark/>
          </w:tcPr>
          <w:p w14:paraId="368556AE" w14:textId="75F1CCFC" w:rsidR="0080684B" w:rsidRPr="00FC439C" w:rsidRDefault="0080684B" w:rsidP="008107A0">
            <w:pPr>
              <w:adjustRightInd w:val="0"/>
              <w:snapToGrid w:val="0"/>
              <w:spacing w:line="240" w:lineRule="auto"/>
              <w:jc w:val="left"/>
              <w:rPr>
                <w:rFonts w:ascii="Times New Roman" w:hAnsi="Times New Roman"/>
                <w:b/>
                <w:bCs/>
                <w:sz w:val="20"/>
              </w:rPr>
            </w:pPr>
            <w:r w:rsidRPr="00FC439C">
              <w:rPr>
                <w:rFonts w:ascii="Times New Roman" w:eastAsia="MS PGothic" w:hAnsi="Times New Roman"/>
                <w:bCs/>
                <w:color w:val="000000"/>
                <w:sz w:val="20"/>
              </w:rPr>
              <w:t>Case 3</w:t>
            </w:r>
          </w:p>
        </w:tc>
        <w:tc>
          <w:tcPr>
            <w:tcW w:w="0" w:type="auto"/>
            <w:tcBorders>
              <w:top w:val="nil"/>
              <w:left w:val="nil"/>
              <w:bottom w:val="nil"/>
              <w:right w:val="nil"/>
            </w:tcBorders>
          </w:tcPr>
          <w:p w14:paraId="258A262F" w14:textId="77777777" w:rsidR="0080684B" w:rsidRPr="005070AA" w:rsidRDefault="0080684B" w:rsidP="003A3FBD">
            <w:pPr>
              <w:spacing w:line="240" w:lineRule="auto"/>
              <w:rPr>
                <w:rFonts w:asciiTheme="minorHAnsi" w:hAnsiTheme="minorHAnsi" w:cstheme="minorHAnsi"/>
                <w:b/>
                <w:bCs/>
                <w:sz w:val="20"/>
                <w:szCs w:val="22"/>
              </w:rPr>
            </w:pPr>
          </w:p>
        </w:tc>
      </w:tr>
      <w:tr w:rsidR="0080684B" w:rsidRPr="005070AA" w14:paraId="389B57FC" w14:textId="77777777" w:rsidTr="00F63DCF">
        <w:trPr>
          <w:gridAfter w:val="1"/>
          <w:trHeight w:val="20"/>
          <w:jc w:val="center"/>
        </w:trPr>
        <w:tc>
          <w:tcPr>
            <w:tcW w:w="0" w:type="auto"/>
            <w:tcBorders>
              <w:top w:val="single" w:sz="4" w:space="0" w:color="auto"/>
              <w:left w:val="nil"/>
              <w:bottom w:val="nil"/>
              <w:right w:val="nil"/>
            </w:tcBorders>
            <w:tcMar>
              <w:top w:w="0" w:type="dxa"/>
              <w:left w:w="11" w:type="dxa"/>
              <w:bottom w:w="0" w:type="dxa"/>
              <w:right w:w="11" w:type="dxa"/>
            </w:tcMar>
            <w:hideMark/>
          </w:tcPr>
          <w:p w14:paraId="361DF450" w14:textId="0152C2FD" w:rsidR="0080684B" w:rsidRPr="00FC439C" w:rsidRDefault="0080684B" w:rsidP="008107A0">
            <w:pPr>
              <w:adjustRightInd w:val="0"/>
              <w:snapToGrid w:val="0"/>
              <w:spacing w:line="240" w:lineRule="auto"/>
              <w:rPr>
                <w:rFonts w:ascii="Times New Roman" w:hAnsi="Times New Roman"/>
                <w:sz w:val="20"/>
              </w:rPr>
            </w:pPr>
            <w:r w:rsidRPr="00FC439C">
              <w:rPr>
                <w:rFonts w:ascii="Times New Roman" w:hAnsi="Times New Roman"/>
                <w:sz w:val="20"/>
              </w:rPr>
              <w:t xml:space="preserve">Net </w:t>
            </w:r>
            <w:r w:rsidR="008107A0">
              <w:rPr>
                <w:rFonts w:ascii="Times New Roman" w:hAnsi="Times New Roman"/>
                <w:sz w:val="20"/>
              </w:rPr>
              <w:t>electricity</w:t>
            </w:r>
            <w:r w:rsidRPr="00FC439C">
              <w:rPr>
                <w:rFonts w:ascii="Times New Roman" w:hAnsi="Times New Roman"/>
                <w:sz w:val="20"/>
              </w:rPr>
              <w:t xml:space="preserve"> (</w:t>
            </w:r>
            <w:proofErr w:type="spellStart"/>
            <w:r w:rsidRPr="00FC439C">
              <w:rPr>
                <w:rFonts w:ascii="Times New Roman" w:hAnsi="Times New Roman"/>
                <w:sz w:val="20"/>
              </w:rPr>
              <w:t>MW</w:t>
            </w:r>
            <w:r w:rsidRPr="00FC439C">
              <w:rPr>
                <w:rFonts w:ascii="Times New Roman" w:hAnsi="Times New Roman"/>
                <w:sz w:val="20"/>
                <w:vertAlign w:val="subscript"/>
              </w:rPr>
              <w:t>e</w:t>
            </w:r>
            <w:proofErr w:type="spellEnd"/>
            <w:r w:rsidRPr="00FC439C">
              <w:rPr>
                <w:rFonts w:ascii="Times New Roman" w:hAnsi="Times New Roman"/>
                <w:sz w:val="20"/>
              </w:rPr>
              <w:t>)</w:t>
            </w:r>
          </w:p>
        </w:tc>
        <w:tc>
          <w:tcPr>
            <w:tcW w:w="1313" w:type="dxa"/>
            <w:tcBorders>
              <w:top w:val="single" w:sz="4" w:space="0" w:color="auto"/>
              <w:left w:val="nil"/>
              <w:bottom w:val="nil"/>
              <w:right w:val="nil"/>
            </w:tcBorders>
            <w:tcMar>
              <w:top w:w="0" w:type="dxa"/>
              <w:left w:w="11" w:type="dxa"/>
              <w:bottom w:w="0" w:type="dxa"/>
              <w:right w:w="11" w:type="dxa"/>
            </w:tcMar>
            <w:hideMark/>
          </w:tcPr>
          <w:p w14:paraId="3632610D" w14:textId="0E20F7F5" w:rsidR="0080684B" w:rsidRPr="00466E6C" w:rsidRDefault="00F63DCF" w:rsidP="00FC439C">
            <w:pPr>
              <w:adjustRightInd w:val="0"/>
              <w:snapToGrid w:val="0"/>
              <w:spacing w:line="240" w:lineRule="auto"/>
              <w:rPr>
                <w:rFonts w:ascii="Times New Roman" w:hAnsi="Times New Roman"/>
                <w:sz w:val="20"/>
              </w:rPr>
            </w:pPr>
            <w:r w:rsidRPr="00466E6C">
              <w:rPr>
                <w:rFonts w:ascii="Times New Roman" w:hAnsi="Times New Roman"/>
                <w:sz w:val="20"/>
              </w:rPr>
              <w:t>502</w:t>
            </w:r>
          </w:p>
        </w:tc>
        <w:tc>
          <w:tcPr>
            <w:tcW w:w="1170" w:type="dxa"/>
            <w:tcBorders>
              <w:top w:val="single" w:sz="4" w:space="0" w:color="auto"/>
              <w:left w:val="nil"/>
              <w:bottom w:val="nil"/>
              <w:right w:val="nil"/>
            </w:tcBorders>
            <w:tcMar>
              <w:top w:w="0" w:type="dxa"/>
              <w:left w:w="11" w:type="dxa"/>
              <w:bottom w:w="0" w:type="dxa"/>
              <w:right w:w="11" w:type="dxa"/>
            </w:tcMar>
            <w:hideMark/>
          </w:tcPr>
          <w:p w14:paraId="45C20E35" w14:textId="0AB85BF7" w:rsidR="0080684B" w:rsidRPr="00466E6C" w:rsidRDefault="00466E6C" w:rsidP="00FC439C">
            <w:pPr>
              <w:adjustRightInd w:val="0"/>
              <w:snapToGrid w:val="0"/>
              <w:spacing w:line="240" w:lineRule="auto"/>
              <w:rPr>
                <w:rFonts w:ascii="Times New Roman" w:hAnsi="Times New Roman"/>
                <w:sz w:val="20"/>
              </w:rPr>
            </w:pPr>
            <w:r w:rsidRPr="00466E6C">
              <w:rPr>
                <w:rFonts w:ascii="Times New Roman" w:hAnsi="Times New Roman"/>
                <w:sz w:val="20"/>
              </w:rPr>
              <w:t>403</w:t>
            </w:r>
          </w:p>
        </w:tc>
        <w:tc>
          <w:tcPr>
            <w:tcW w:w="1350" w:type="dxa"/>
            <w:tcBorders>
              <w:top w:val="single" w:sz="4" w:space="0" w:color="auto"/>
              <w:left w:val="nil"/>
              <w:bottom w:val="nil"/>
              <w:right w:val="nil"/>
            </w:tcBorders>
            <w:tcMar>
              <w:top w:w="0" w:type="dxa"/>
              <w:left w:w="11" w:type="dxa"/>
              <w:bottom w:w="0" w:type="dxa"/>
              <w:right w:w="11" w:type="dxa"/>
            </w:tcMar>
            <w:hideMark/>
          </w:tcPr>
          <w:p w14:paraId="40A7E2F7" w14:textId="69BB98CF" w:rsidR="0080684B" w:rsidRPr="00466E6C" w:rsidRDefault="00AB5970" w:rsidP="00FC439C">
            <w:pPr>
              <w:adjustRightInd w:val="0"/>
              <w:snapToGrid w:val="0"/>
              <w:spacing w:line="240" w:lineRule="auto"/>
              <w:rPr>
                <w:rFonts w:ascii="Times New Roman" w:hAnsi="Times New Roman"/>
                <w:sz w:val="20"/>
              </w:rPr>
            </w:pPr>
            <w:r>
              <w:rPr>
                <w:rFonts w:ascii="Times New Roman" w:hAnsi="Times New Roman"/>
                <w:sz w:val="20"/>
              </w:rPr>
              <w:t>420</w:t>
            </w:r>
          </w:p>
        </w:tc>
      </w:tr>
      <w:tr w:rsidR="0080684B" w:rsidRPr="005070AA" w14:paraId="47F6058A" w14:textId="77777777" w:rsidTr="0080684B">
        <w:trPr>
          <w:gridAfter w:val="1"/>
          <w:trHeight w:val="20"/>
          <w:jc w:val="center"/>
        </w:trPr>
        <w:tc>
          <w:tcPr>
            <w:tcW w:w="0" w:type="auto"/>
            <w:tcBorders>
              <w:top w:val="nil"/>
              <w:left w:val="nil"/>
              <w:bottom w:val="nil"/>
              <w:right w:val="nil"/>
            </w:tcBorders>
            <w:tcMar>
              <w:top w:w="0" w:type="dxa"/>
              <w:left w:w="11" w:type="dxa"/>
              <w:bottom w:w="0" w:type="dxa"/>
              <w:right w:w="11" w:type="dxa"/>
            </w:tcMar>
            <w:hideMark/>
          </w:tcPr>
          <w:p w14:paraId="3A8B3624" w14:textId="77777777" w:rsidR="0080684B" w:rsidRPr="00FC439C" w:rsidRDefault="0080684B" w:rsidP="00FC439C">
            <w:pPr>
              <w:adjustRightInd w:val="0"/>
              <w:snapToGrid w:val="0"/>
              <w:spacing w:line="240" w:lineRule="auto"/>
              <w:rPr>
                <w:rFonts w:ascii="Times New Roman" w:hAnsi="Times New Roman"/>
                <w:sz w:val="20"/>
              </w:rPr>
            </w:pPr>
            <w:r w:rsidRPr="00FC439C">
              <w:rPr>
                <w:rFonts w:ascii="Times New Roman" w:hAnsi="Times New Roman"/>
                <w:sz w:val="20"/>
              </w:rPr>
              <w:t>Net thermal efficiency (%</w:t>
            </w:r>
            <w:r w:rsidRPr="00FC439C">
              <w:rPr>
                <w:rFonts w:ascii="Times New Roman" w:hAnsi="Times New Roman"/>
                <w:sz w:val="20"/>
                <w:vertAlign w:val="subscript"/>
              </w:rPr>
              <w:t>HHV</w:t>
            </w:r>
            <w:r w:rsidRPr="00FC439C">
              <w:rPr>
                <w:rFonts w:ascii="Times New Roman" w:hAnsi="Times New Roman"/>
                <w:sz w:val="20"/>
              </w:rPr>
              <w:t>)</w:t>
            </w:r>
          </w:p>
        </w:tc>
        <w:tc>
          <w:tcPr>
            <w:tcW w:w="1313" w:type="dxa"/>
            <w:tcBorders>
              <w:top w:val="nil"/>
              <w:left w:val="nil"/>
              <w:bottom w:val="nil"/>
              <w:right w:val="nil"/>
            </w:tcBorders>
            <w:tcMar>
              <w:top w:w="0" w:type="dxa"/>
              <w:left w:w="11" w:type="dxa"/>
              <w:bottom w:w="0" w:type="dxa"/>
              <w:right w:w="11" w:type="dxa"/>
            </w:tcMar>
            <w:hideMark/>
          </w:tcPr>
          <w:p w14:paraId="09A8C385" w14:textId="5BA3C941" w:rsidR="0080684B" w:rsidRPr="00466E6C" w:rsidRDefault="00010943" w:rsidP="00FC439C">
            <w:pPr>
              <w:adjustRightInd w:val="0"/>
              <w:snapToGrid w:val="0"/>
              <w:spacing w:line="240" w:lineRule="auto"/>
              <w:rPr>
                <w:rFonts w:ascii="Times New Roman" w:hAnsi="Times New Roman"/>
                <w:sz w:val="20"/>
              </w:rPr>
            </w:pPr>
            <w:r>
              <w:rPr>
                <w:rFonts w:ascii="Times New Roman" w:hAnsi="Times New Roman"/>
                <w:sz w:val="20"/>
              </w:rPr>
              <w:t>45</w:t>
            </w:r>
          </w:p>
        </w:tc>
        <w:tc>
          <w:tcPr>
            <w:tcW w:w="1170" w:type="dxa"/>
            <w:tcBorders>
              <w:top w:val="nil"/>
              <w:left w:val="nil"/>
              <w:bottom w:val="nil"/>
              <w:right w:val="nil"/>
            </w:tcBorders>
            <w:tcMar>
              <w:top w:w="0" w:type="dxa"/>
              <w:left w:w="11" w:type="dxa"/>
              <w:bottom w:w="0" w:type="dxa"/>
              <w:right w:w="11" w:type="dxa"/>
            </w:tcMar>
            <w:hideMark/>
          </w:tcPr>
          <w:p w14:paraId="2A6180E3" w14:textId="3279B784" w:rsidR="0080684B" w:rsidRPr="00466E6C" w:rsidRDefault="00672FDE" w:rsidP="00FC439C">
            <w:pPr>
              <w:adjustRightInd w:val="0"/>
              <w:snapToGrid w:val="0"/>
              <w:spacing w:line="240" w:lineRule="auto"/>
              <w:rPr>
                <w:rFonts w:ascii="Times New Roman" w:hAnsi="Times New Roman"/>
                <w:sz w:val="20"/>
              </w:rPr>
            </w:pPr>
            <w:r>
              <w:rPr>
                <w:rFonts w:ascii="Times New Roman" w:hAnsi="Times New Roman"/>
                <w:sz w:val="20"/>
              </w:rPr>
              <w:t>36.1</w:t>
            </w:r>
          </w:p>
        </w:tc>
        <w:tc>
          <w:tcPr>
            <w:tcW w:w="1350" w:type="dxa"/>
            <w:tcBorders>
              <w:top w:val="nil"/>
              <w:left w:val="nil"/>
              <w:bottom w:val="nil"/>
              <w:right w:val="nil"/>
            </w:tcBorders>
            <w:tcMar>
              <w:top w:w="0" w:type="dxa"/>
              <w:left w:w="11" w:type="dxa"/>
              <w:bottom w:w="0" w:type="dxa"/>
              <w:right w:w="11" w:type="dxa"/>
            </w:tcMar>
            <w:hideMark/>
          </w:tcPr>
          <w:p w14:paraId="799A4773" w14:textId="067C9B09" w:rsidR="0080684B" w:rsidRPr="00466E6C" w:rsidRDefault="00AB5970" w:rsidP="00FC439C">
            <w:pPr>
              <w:adjustRightInd w:val="0"/>
              <w:snapToGrid w:val="0"/>
              <w:spacing w:line="240" w:lineRule="auto"/>
              <w:rPr>
                <w:rFonts w:ascii="Times New Roman" w:hAnsi="Times New Roman"/>
                <w:sz w:val="20"/>
              </w:rPr>
            </w:pPr>
            <w:r>
              <w:rPr>
                <w:rFonts w:ascii="Times New Roman" w:hAnsi="Times New Roman"/>
                <w:sz w:val="20"/>
              </w:rPr>
              <w:t>37.6</w:t>
            </w:r>
          </w:p>
        </w:tc>
      </w:tr>
      <w:tr w:rsidR="0080684B" w:rsidRPr="005070AA" w14:paraId="5739BB2B" w14:textId="77777777" w:rsidTr="0080684B">
        <w:trPr>
          <w:gridAfter w:val="1"/>
          <w:jc w:val="center"/>
        </w:trPr>
        <w:tc>
          <w:tcPr>
            <w:tcW w:w="0" w:type="auto"/>
            <w:tcBorders>
              <w:top w:val="nil"/>
              <w:left w:val="nil"/>
              <w:bottom w:val="nil"/>
              <w:right w:val="nil"/>
            </w:tcBorders>
            <w:tcMar>
              <w:top w:w="0" w:type="dxa"/>
              <w:left w:w="11" w:type="dxa"/>
              <w:bottom w:w="0" w:type="dxa"/>
              <w:right w:w="11" w:type="dxa"/>
            </w:tcMar>
            <w:hideMark/>
          </w:tcPr>
          <w:p w14:paraId="443F5527" w14:textId="7AC2A6D6" w:rsidR="0080684B" w:rsidRPr="00FC439C" w:rsidRDefault="0080684B" w:rsidP="00FC439C">
            <w:pPr>
              <w:adjustRightInd w:val="0"/>
              <w:snapToGrid w:val="0"/>
              <w:spacing w:line="240" w:lineRule="auto"/>
              <w:rPr>
                <w:rFonts w:ascii="Times New Roman" w:hAnsi="Times New Roman"/>
                <w:sz w:val="20"/>
              </w:rPr>
            </w:pPr>
            <w:r w:rsidRPr="00FC439C">
              <w:rPr>
                <w:rFonts w:ascii="Times New Roman" w:hAnsi="Times New Roman"/>
                <w:sz w:val="20"/>
              </w:rPr>
              <w:t>Heat penalty (%</w:t>
            </w:r>
            <w:r w:rsidR="008107A0">
              <w:rPr>
                <w:rFonts w:ascii="Times New Roman" w:hAnsi="Times New Roman"/>
                <w:sz w:val="20"/>
              </w:rPr>
              <w:t>, based on Case 1</w:t>
            </w:r>
            <w:r w:rsidRPr="00FC439C">
              <w:rPr>
                <w:rFonts w:ascii="Times New Roman" w:hAnsi="Times New Roman"/>
                <w:sz w:val="20"/>
              </w:rPr>
              <w:t xml:space="preserve">) </w:t>
            </w:r>
          </w:p>
        </w:tc>
        <w:tc>
          <w:tcPr>
            <w:tcW w:w="1313" w:type="dxa"/>
            <w:tcBorders>
              <w:top w:val="nil"/>
              <w:left w:val="nil"/>
              <w:bottom w:val="nil"/>
              <w:right w:val="nil"/>
            </w:tcBorders>
            <w:tcMar>
              <w:top w:w="0" w:type="dxa"/>
              <w:left w:w="11" w:type="dxa"/>
              <w:bottom w:w="0" w:type="dxa"/>
              <w:right w:w="11" w:type="dxa"/>
            </w:tcMar>
            <w:hideMark/>
          </w:tcPr>
          <w:p w14:paraId="4CB280B9" w14:textId="77777777" w:rsidR="0080684B" w:rsidRPr="00466E6C" w:rsidRDefault="0080684B" w:rsidP="00FC439C">
            <w:pPr>
              <w:adjustRightInd w:val="0"/>
              <w:snapToGrid w:val="0"/>
              <w:spacing w:line="240" w:lineRule="auto"/>
              <w:rPr>
                <w:rFonts w:ascii="Times New Roman" w:hAnsi="Times New Roman"/>
                <w:sz w:val="20"/>
              </w:rPr>
            </w:pPr>
            <w:r w:rsidRPr="00466E6C">
              <w:rPr>
                <w:rFonts w:ascii="Times New Roman" w:hAnsi="Times New Roman"/>
                <w:sz w:val="20"/>
              </w:rPr>
              <w:t>–</w:t>
            </w:r>
          </w:p>
        </w:tc>
        <w:tc>
          <w:tcPr>
            <w:tcW w:w="1170" w:type="dxa"/>
            <w:tcBorders>
              <w:top w:val="nil"/>
              <w:left w:val="nil"/>
              <w:bottom w:val="nil"/>
              <w:right w:val="nil"/>
            </w:tcBorders>
            <w:tcMar>
              <w:top w:w="0" w:type="dxa"/>
              <w:left w:w="11" w:type="dxa"/>
              <w:bottom w:w="0" w:type="dxa"/>
              <w:right w:w="11" w:type="dxa"/>
            </w:tcMar>
            <w:hideMark/>
          </w:tcPr>
          <w:p w14:paraId="770124F3" w14:textId="77777777" w:rsidR="0080684B" w:rsidRPr="00466E6C" w:rsidRDefault="0080684B" w:rsidP="00FC439C">
            <w:pPr>
              <w:adjustRightInd w:val="0"/>
              <w:snapToGrid w:val="0"/>
              <w:spacing w:line="240" w:lineRule="auto"/>
              <w:rPr>
                <w:rFonts w:ascii="Times New Roman" w:hAnsi="Times New Roman"/>
                <w:sz w:val="20"/>
              </w:rPr>
            </w:pPr>
            <w:r w:rsidRPr="00466E6C">
              <w:rPr>
                <w:rFonts w:ascii="Times New Roman" w:hAnsi="Times New Roman"/>
                <w:sz w:val="20"/>
              </w:rPr>
              <w:t>20.5</w:t>
            </w:r>
          </w:p>
        </w:tc>
        <w:tc>
          <w:tcPr>
            <w:tcW w:w="1350" w:type="dxa"/>
            <w:tcBorders>
              <w:top w:val="nil"/>
              <w:left w:val="nil"/>
              <w:bottom w:val="nil"/>
              <w:right w:val="nil"/>
            </w:tcBorders>
            <w:tcMar>
              <w:top w:w="0" w:type="dxa"/>
              <w:left w:w="11" w:type="dxa"/>
              <w:bottom w:w="0" w:type="dxa"/>
              <w:right w:w="11" w:type="dxa"/>
            </w:tcMar>
            <w:hideMark/>
          </w:tcPr>
          <w:p w14:paraId="01F38620" w14:textId="77777777" w:rsidR="0080684B" w:rsidRPr="00466E6C" w:rsidRDefault="0080684B" w:rsidP="00FC439C">
            <w:pPr>
              <w:adjustRightInd w:val="0"/>
              <w:snapToGrid w:val="0"/>
              <w:spacing w:line="240" w:lineRule="auto"/>
              <w:rPr>
                <w:rFonts w:ascii="Times New Roman" w:hAnsi="Times New Roman"/>
                <w:sz w:val="20"/>
              </w:rPr>
            </w:pPr>
            <w:r w:rsidRPr="00466E6C">
              <w:rPr>
                <w:rFonts w:ascii="Times New Roman" w:hAnsi="Times New Roman"/>
                <w:sz w:val="20"/>
              </w:rPr>
              <w:t>16.8</w:t>
            </w:r>
          </w:p>
        </w:tc>
      </w:tr>
      <w:tr w:rsidR="0080684B" w:rsidRPr="005070AA" w14:paraId="26627DD2" w14:textId="77777777" w:rsidTr="0080684B">
        <w:trPr>
          <w:gridAfter w:val="1"/>
          <w:jc w:val="center"/>
        </w:trPr>
        <w:tc>
          <w:tcPr>
            <w:tcW w:w="0" w:type="auto"/>
            <w:tcBorders>
              <w:top w:val="nil"/>
              <w:left w:val="nil"/>
              <w:bottom w:val="nil"/>
              <w:right w:val="nil"/>
            </w:tcBorders>
            <w:tcMar>
              <w:top w:w="0" w:type="dxa"/>
              <w:left w:w="11" w:type="dxa"/>
              <w:bottom w:w="0" w:type="dxa"/>
              <w:right w:w="11" w:type="dxa"/>
            </w:tcMar>
          </w:tcPr>
          <w:p w14:paraId="5DD8FCE0" w14:textId="19CF6538" w:rsidR="0080684B" w:rsidRPr="00FC439C" w:rsidRDefault="0080684B" w:rsidP="008107A0">
            <w:pPr>
              <w:adjustRightInd w:val="0"/>
              <w:snapToGrid w:val="0"/>
              <w:spacing w:line="240" w:lineRule="auto"/>
              <w:jc w:val="left"/>
              <w:rPr>
                <w:rFonts w:ascii="Times New Roman" w:hAnsi="Times New Roman"/>
                <w:sz w:val="20"/>
              </w:rPr>
            </w:pPr>
            <w:r w:rsidRPr="00FC439C">
              <w:rPr>
                <w:rFonts w:ascii="Times New Roman" w:hAnsi="Times New Roman"/>
                <w:sz w:val="20"/>
              </w:rPr>
              <w:t>CO</w:t>
            </w:r>
            <w:r w:rsidRPr="00FC439C">
              <w:rPr>
                <w:rFonts w:ascii="Times New Roman" w:hAnsi="Times New Roman"/>
                <w:sz w:val="20"/>
                <w:vertAlign w:val="subscript"/>
              </w:rPr>
              <w:t xml:space="preserve">2 </w:t>
            </w:r>
            <w:r w:rsidR="008107A0">
              <w:rPr>
                <w:rFonts w:ascii="Times New Roman" w:hAnsi="Times New Roman"/>
                <w:sz w:val="20"/>
              </w:rPr>
              <w:t>captured (t</w:t>
            </w:r>
            <w:r w:rsidRPr="00FC439C">
              <w:rPr>
                <w:rFonts w:ascii="Times New Roman" w:hAnsi="Times New Roman"/>
                <w:sz w:val="20"/>
              </w:rPr>
              <w:t>/d)</w:t>
            </w:r>
          </w:p>
        </w:tc>
        <w:tc>
          <w:tcPr>
            <w:tcW w:w="1313" w:type="dxa"/>
            <w:tcBorders>
              <w:top w:val="nil"/>
              <w:left w:val="nil"/>
              <w:bottom w:val="nil"/>
              <w:right w:val="nil"/>
            </w:tcBorders>
            <w:tcMar>
              <w:top w:w="0" w:type="dxa"/>
              <w:left w:w="11" w:type="dxa"/>
              <w:bottom w:w="0" w:type="dxa"/>
              <w:right w:w="11" w:type="dxa"/>
            </w:tcMar>
          </w:tcPr>
          <w:p w14:paraId="6869F2F1" w14:textId="1DDB4C33" w:rsidR="0080684B" w:rsidRPr="00466E6C" w:rsidRDefault="0080684B" w:rsidP="00FC439C">
            <w:pPr>
              <w:adjustRightInd w:val="0"/>
              <w:snapToGrid w:val="0"/>
              <w:spacing w:line="240" w:lineRule="auto"/>
              <w:rPr>
                <w:rFonts w:ascii="Times New Roman" w:hAnsi="Times New Roman"/>
                <w:sz w:val="20"/>
              </w:rPr>
            </w:pPr>
            <w:r w:rsidRPr="00466E6C">
              <w:rPr>
                <w:rFonts w:ascii="Times New Roman" w:hAnsi="Times New Roman"/>
                <w:sz w:val="20"/>
              </w:rPr>
              <w:t>–</w:t>
            </w:r>
          </w:p>
        </w:tc>
        <w:tc>
          <w:tcPr>
            <w:tcW w:w="1170" w:type="dxa"/>
            <w:tcBorders>
              <w:top w:val="nil"/>
              <w:left w:val="nil"/>
              <w:bottom w:val="nil"/>
              <w:right w:val="nil"/>
            </w:tcBorders>
            <w:tcMar>
              <w:top w:w="0" w:type="dxa"/>
              <w:left w:w="11" w:type="dxa"/>
              <w:bottom w:w="0" w:type="dxa"/>
              <w:right w:w="11" w:type="dxa"/>
            </w:tcMar>
          </w:tcPr>
          <w:p w14:paraId="439A0907" w14:textId="7EFF5CB3" w:rsidR="0080684B" w:rsidRPr="00466E6C" w:rsidRDefault="00290321" w:rsidP="00FC439C">
            <w:pPr>
              <w:adjustRightInd w:val="0"/>
              <w:snapToGrid w:val="0"/>
              <w:spacing w:line="240" w:lineRule="auto"/>
              <w:rPr>
                <w:rFonts w:ascii="Times New Roman" w:hAnsi="Times New Roman"/>
                <w:sz w:val="20"/>
              </w:rPr>
            </w:pPr>
            <w:r>
              <w:rPr>
                <w:rFonts w:ascii="Times New Roman" w:hAnsi="Times New Roman"/>
                <w:sz w:val="20"/>
              </w:rPr>
              <w:t>7278.7</w:t>
            </w:r>
          </w:p>
        </w:tc>
        <w:tc>
          <w:tcPr>
            <w:tcW w:w="1350" w:type="dxa"/>
            <w:tcBorders>
              <w:top w:val="nil"/>
              <w:left w:val="nil"/>
              <w:bottom w:val="nil"/>
              <w:right w:val="nil"/>
            </w:tcBorders>
            <w:tcMar>
              <w:top w:w="0" w:type="dxa"/>
              <w:left w:w="11" w:type="dxa"/>
              <w:bottom w:w="0" w:type="dxa"/>
              <w:right w:w="11" w:type="dxa"/>
            </w:tcMar>
          </w:tcPr>
          <w:p w14:paraId="07592697" w14:textId="1A8C3A53" w:rsidR="0080684B" w:rsidRPr="00466E6C" w:rsidRDefault="008B4E62" w:rsidP="00FC439C">
            <w:pPr>
              <w:adjustRightInd w:val="0"/>
              <w:snapToGrid w:val="0"/>
              <w:spacing w:line="240" w:lineRule="auto"/>
              <w:rPr>
                <w:rFonts w:ascii="Times New Roman" w:hAnsi="Times New Roman"/>
                <w:sz w:val="20"/>
              </w:rPr>
            </w:pPr>
            <w:r>
              <w:rPr>
                <w:rFonts w:ascii="Times New Roman" w:hAnsi="Times New Roman"/>
                <w:sz w:val="20"/>
              </w:rPr>
              <w:t>7282.4</w:t>
            </w:r>
          </w:p>
        </w:tc>
      </w:tr>
      <w:tr w:rsidR="0080684B" w:rsidRPr="005070AA" w14:paraId="72FCF265" w14:textId="77777777" w:rsidTr="0080684B">
        <w:trPr>
          <w:gridAfter w:val="1"/>
          <w:jc w:val="center"/>
        </w:trPr>
        <w:tc>
          <w:tcPr>
            <w:tcW w:w="0" w:type="auto"/>
            <w:tcBorders>
              <w:top w:val="nil"/>
              <w:left w:val="nil"/>
              <w:bottom w:val="nil"/>
              <w:right w:val="nil"/>
            </w:tcBorders>
            <w:tcMar>
              <w:top w:w="0" w:type="dxa"/>
              <w:left w:w="11" w:type="dxa"/>
              <w:bottom w:w="0" w:type="dxa"/>
              <w:right w:w="11" w:type="dxa"/>
            </w:tcMar>
          </w:tcPr>
          <w:p w14:paraId="49B9AE36" w14:textId="6B0ABA0D" w:rsidR="0080684B" w:rsidRPr="00FC439C" w:rsidRDefault="0080684B" w:rsidP="00FC439C">
            <w:pPr>
              <w:adjustRightInd w:val="0"/>
              <w:snapToGrid w:val="0"/>
              <w:spacing w:line="240" w:lineRule="auto"/>
              <w:jc w:val="left"/>
              <w:rPr>
                <w:rFonts w:ascii="Times New Roman" w:hAnsi="Times New Roman"/>
                <w:sz w:val="20"/>
              </w:rPr>
            </w:pPr>
            <w:r w:rsidRPr="00FC439C">
              <w:rPr>
                <w:rFonts w:ascii="Times New Roman" w:eastAsia="MS PGothic" w:hAnsi="Times New Roman"/>
                <w:color w:val="000000"/>
                <w:sz w:val="20"/>
              </w:rPr>
              <w:t>TCI (M$)</w:t>
            </w:r>
          </w:p>
        </w:tc>
        <w:tc>
          <w:tcPr>
            <w:tcW w:w="1313" w:type="dxa"/>
            <w:tcBorders>
              <w:top w:val="nil"/>
              <w:left w:val="nil"/>
              <w:bottom w:val="nil"/>
              <w:right w:val="nil"/>
            </w:tcBorders>
            <w:tcMar>
              <w:top w:w="0" w:type="dxa"/>
              <w:left w:w="11" w:type="dxa"/>
              <w:bottom w:w="0" w:type="dxa"/>
              <w:right w:w="11" w:type="dxa"/>
            </w:tcMar>
          </w:tcPr>
          <w:p w14:paraId="735D31DE" w14:textId="6CB79E7E" w:rsidR="0080684B" w:rsidRPr="00466E6C" w:rsidRDefault="00397C04" w:rsidP="00FC439C">
            <w:pPr>
              <w:adjustRightInd w:val="0"/>
              <w:snapToGrid w:val="0"/>
              <w:spacing w:line="240" w:lineRule="auto"/>
              <w:rPr>
                <w:rFonts w:ascii="Times New Roman" w:hAnsi="Times New Roman"/>
                <w:sz w:val="20"/>
              </w:rPr>
            </w:pPr>
            <w:r>
              <w:rPr>
                <w:rFonts w:ascii="Times New Roman" w:eastAsia="MS PGothic" w:hAnsi="Times New Roman"/>
                <w:sz w:val="20"/>
              </w:rPr>
              <w:t>361.2</w:t>
            </w:r>
          </w:p>
        </w:tc>
        <w:tc>
          <w:tcPr>
            <w:tcW w:w="1170" w:type="dxa"/>
            <w:tcBorders>
              <w:top w:val="nil"/>
              <w:left w:val="nil"/>
              <w:bottom w:val="nil"/>
              <w:right w:val="nil"/>
            </w:tcBorders>
            <w:tcMar>
              <w:top w:w="0" w:type="dxa"/>
              <w:left w:w="11" w:type="dxa"/>
              <w:bottom w:w="0" w:type="dxa"/>
              <w:right w:w="11" w:type="dxa"/>
            </w:tcMar>
          </w:tcPr>
          <w:p w14:paraId="594F1333" w14:textId="4505F3C3" w:rsidR="0080684B" w:rsidRPr="00466E6C" w:rsidRDefault="0012662F" w:rsidP="00FC439C">
            <w:pPr>
              <w:adjustRightInd w:val="0"/>
              <w:snapToGrid w:val="0"/>
              <w:spacing w:line="240" w:lineRule="auto"/>
              <w:rPr>
                <w:rFonts w:ascii="Times New Roman" w:hAnsi="Times New Roman"/>
                <w:sz w:val="20"/>
              </w:rPr>
            </w:pPr>
            <w:r>
              <w:rPr>
                <w:rFonts w:ascii="Times New Roman" w:eastAsia="MS PGothic" w:hAnsi="Times New Roman"/>
                <w:sz w:val="20"/>
              </w:rPr>
              <w:t>427.6</w:t>
            </w:r>
          </w:p>
        </w:tc>
        <w:tc>
          <w:tcPr>
            <w:tcW w:w="1350" w:type="dxa"/>
            <w:tcBorders>
              <w:top w:val="nil"/>
              <w:left w:val="nil"/>
              <w:bottom w:val="nil"/>
              <w:right w:val="nil"/>
            </w:tcBorders>
            <w:tcMar>
              <w:top w:w="0" w:type="dxa"/>
              <w:left w:w="11" w:type="dxa"/>
              <w:bottom w:w="0" w:type="dxa"/>
              <w:right w:w="11" w:type="dxa"/>
            </w:tcMar>
          </w:tcPr>
          <w:p w14:paraId="49A0679D" w14:textId="10656299" w:rsidR="0080684B" w:rsidRPr="00466E6C" w:rsidRDefault="00356E17" w:rsidP="00FC439C">
            <w:pPr>
              <w:adjustRightInd w:val="0"/>
              <w:snapToGrid w:val="0"/>
              <w:spacing w:line="240" w:lineRule="auto"/>
              <w:rPr>
                <w:rFonts w:ascii="Times New Roman" w:hAnsi="Times New Roman"/>
                <w:sz w:val="20"/>
              </w:rPr>
            </w:pPr>
            <w:r>
              <w:rPr>
                <w:rFonts w:ascii="Times New Roman" w:eastAsia="MS PGothic" w:hAnsi="Times New Roman"/>
                <w:sz w:val="20"/>
              </w:rPr>
              <w:t>4</w:t>
            </w:r>
            <w:r w:rsidR="0012662F">
              <w:rPr>
                <w:rFonts w:ascii="Times New Roman" w:eastAsia="MS PGothic" w:hAnsi="Times New Roman"/>
                <w:sz w:val="20"/>
              </w:rPr>
              <w:t>52.5</w:t>
            </w:r>
          </w:p>
        </w:tc>
      </w:tr>
      <w:tr w:rsidR="0080684B" w:rsidRPr="005070AA" w14:paraId="7BA4D821" w14:textId="77777777" w:rsidTr="0080684B">
        <w:trPr>
          <w:gridAfter w:val="1"/>
          <w:jc w:val="center"/>
        </w:trPr>
        <w:tc>
          <w:tcPr>
            <w:tcW w:w="0" w:type="auto"/>
            <w:tcBorders>
              <w:top w:val="nil"/>
              <w:left w:val="nil"/>
              <w:bottom w:val="nil"/>
              <w:right w:val="nil"/>
            </w:tcBorders>
            <w:tcMar>
              <w:top w:w="0" w:type="dxa"/>
              <w:left w:w="11" w:type="dxa"/>
              <w:bottom w:w="0" w:type="dxa"/>
              <w:right w:w="11" w:type="dxa"/>
            </w:tcMar>
          </w:tcPr>
          <w:p w14:paraId="5BE10605" w14:textId="1A4E0667" w:rsidR="0080684B" w:rsidRPr="00FC439C" w:rsidRDefault="0080684B" w:rsidP="00FC439C">
            <w:pPr>
              <w:adjustRightInd w:val="0"/>
              <w:snapToGrid w:val="0"/>
              <w:spacing w:line="240" w:lineRule="auto"/>
              <w:jc w:val="left"/>
              <w:rPr>
                <w:rFonts w:ascii="Times New Roman" w:eastAsia="MS PGothic" w:hAnsi="Times New Roman"/>
                <w:color w:val="000000"/>
                <w:sz w:val="20"/>
              </w:rPr>
            </w:pPr>
            <w:r w:rsidRPr="00FC439C">
              <w:rPr>
                <w:rFonts w:ascii="Times New Roman" w:eastAsia="MS PGothic" w:hAnsi="Times New Roman"/>
                <w:color w:val="000000"/>
                <w:sz w:val="20"/>
              </w:rPr>
              <w:t>LCOE ($/MWh)</w:t>
            </w:r>
          </w:p>
        </w:tc>
        <w:tc>
          <w:tcPr>
            <w:tcW w:w="1313" w:type="dxa"/>
            <w:tcBorders>
              <w:top w:val="nil"/>
              <w:left w:val="nil"/>
              <w:bottom w:val="nil"/>
              <w:right w:val="nil"/>
            </w:tcBorders>
            <w:tcMar>
              <w:top w:w="0" w:type="dxa"/>
              <w:left w:w="11" w:type="dxa"/>
              <w:bottom w:w="0" w:type="dxa"/>
              <w:right w:w="11" w:type="dxa"/>
            </w:tcMar>
          </w:tcPr>
          <w:p w14:paraId="62B0E4F3" w14:textId="3E584F19" w:rsidR="0080684B" w:rsidRPr="00466E6C" w:rsidRDefault="0080684B" w:rsidP="00FC439C">
            <w:pPr>
              <w:adjustRightInd w:val="0"/>
              <w:snapToGrid w:val="0"/>
              <w:spacing w:line="240" w:lineRule="auto"/>
              <w:rPr>
                <w:rFonts w:ascii="Times New Roman" w:eastAsia="MS PGothic" w:hAnsi="Times New Roman"/>
                <w:bCs/>
                <w:sz w:val="20"/>
              </w:rPr>
            </w:pPr>
            <w:r w:rsidRPr="00466E6C">
              <w:rPr>
                <w:rFonts w:ascii="Times New Roman" w:eastAsia="MS PGothic" w:hAnsi="Times New Roman"/>
                <w:bCs/>
                <w:sz w:val="20"/>
              </w:rPr>
              <w:t>78.5</w:t>
            </w:r>
          </w:p>
        </w:tc>
        <w:tc>
          <w:tcPr>
            <w:tcW w:w="1170" w:type="dxa"/>
            <w:tcBorders>
              <w:top w:val="nil"/>
              <w:left w:val="nil"/>
              <w:bottom w:val="nil"/>
              <w:right w:val="nil"/>
            </w:tcBorders>
            <w:tcMar>
              <w:top w:w="0" w:type="dxa"/>
              <w:left w:w="11" w:type="dxa"/>
              <w:bottom w:w="0" w:type="dxa"/>
              <w:right w:w="11" w:type="dxa"/>
            </w:tcMar>
          </w:tcPr>
          <w:p w14:paraId="374C3723" w14:textId="5CDF35F7" w:rsidR="0080684B" w:rsidRPr="00466E6C" w:rsidRDefault="0080684B" w:rsidP="00FC439C">
            <w:pPr>
              <w:adjustRightInd w:val="0"/>
              <w:snapToGrid w:val="0"/>
              <w:spacing w:line="240" w:lineRule="auto"/>
              <w:rPr>
                <w:rFonts w:ascii="Times New Roman" w:eastAsia="MS PGothic" w:hAnsi="Times New Roman"/>
                <w:bCs/>
                <w:sz w:val="20"/>
              </w:rPr>
            </w:pPr>
            <w:r w:rsidRPr="00466E6C">
              <w:rPr>
                <w:rFonts w:ascii="Times New Roman" w:eastAsia="MS PGothic" w:hAnsi="Times New Roman"/>
                <w:bCs/>
                <w:sz w:val="20"/>
              </w:rPr>
              <w:t>117.9</w:t>
            </w:r>
          </w:p>
        </w:tc>
        <w:tc>
          <w:tcPr>
            <w:tcW w:w="1350" w:type="dxa"/>
            <w:tcBorders>
              <w:top w:val="nil"/>
              <w:left w:val="nil"/>
              <w:bottom w:val="nil"/>
              <w:right w:val="nil"/>
            </w:tcBorders>
            <w:tcMar>
              <w:top w:w="0" w:type="dxa"/>
              <w:left w:w="11" w:type="dxa"/>
              <w:bottom w:w="0" w:type="dxa"/>
              <w:right w:w="11" w:type="dxa"/>
            </w:tcMar>
          </w:tcPr>
          <w:p w14:paraId="01EC1309" w14:textId="7A26344C" w:rsidR="0080684B" w:rsidRPr="00466E6C" w:rsidRDefault="0080684B" w:rsidP="00FC439C">
            <w:pPr>
              <w:adjustRightInd w:val="0"/>
              <w:snapToGrid w:val="0"/>
              <w:spacing w:line="240" w:lineRule="auto"/>
              <w:rPr>
                <w:rFonts w:ascii="Times New Roman" w:eastAsia="MS PGothic" w:hAnsi="Times New Roman"/>
                <w:bCs/>
                <w:sz w:val="20"/>
              </w:rPr>
            </w:pPr>
            <w:r w:rsidRPr="00466E6C">
              <w:rPr>
                <w:rFonts w:ascii="Times New Roman" w:eastAsia="MS PGothic" w:hAnsi="Times New Roman"/>
                <w:bCs/>
                <w:sz w:val="20"/>
              </w:rPr>
              <w:t>104.1</w:t>
            </w:r>
          </w:p>
        </w:tc>
      </w:tr>
      <w:tr w:rsidR="0080684B" w:rsidRPr="005070AA" w14:paraId="087608E1" w14:textId="77777777" w:rsidTr="0080684B">
        <w:trPr>
          <w:gridAfter w:val="1"/>
          <w:jc w:val="center"/>
        </w:trPr>
        <w:tc>
          <w:tcPr>
            <w:tcW w:w="0" w:type="auto"/>
            <w:tcBorders>
              <w:top w:val="nil"/>
              <w:left w:val="nil"/>
              <w:bottom w:val="nil"/>
              <w:right w:val="nil"/>
            </w:tcBorders>
            <w:tcMar>
              <w:top w:w="0" w:type="dxa"/>
              <w:left w:w="11" w:type="dxa"/>
              <w:bottom w:w="0" w:type="dxa"/>
              <w:right w:w="11" w:type="dxa"/>
            </w:tcMar>
          </w:tcPr>
          <w:p w14:paraId="3850EC15" w14:textId="4DEE3D4A" w:rsidR="0080684B" w:rsidRPr="00FC439C" w:rsidRDefault="0080684B" w:rsidP="00FC439C">
            <w:pPr>
              <w:adjustRightInd w:val="0"/>
              <w:snapToGrid w:val="0"/>
              <w:spacing w:line="240" w:lineRule="auto"/>
              <w:jc w:val="left"/>
              <w:rPr>
                <w:rFonts w:ascii="Times New Roman" w:eastAsia="MS PGothic" w:hAnsi="Times New Roman"/>
                <w:color w:val="000000"/>
                <w:sz w:val="20"/>
              </w:rPr>
            </w:pPr>
            <w:r w:rsidRPr="00FC439C">
              <w:rPr>
                <w:rFonts w:ascii="Times New Roman" w:eastAsia="MS PGothic" w:hAnsi="Times New Roman"/>
                <w:color w:val="000000"/>
                <w:sz w:val="20"/>
              </w:rPr>
              <w:t>CIC ($/</w:t>
            </w:r>
            <w:proofErr w:type="spellStart"/>
            <w:r w:rsidRPr="00FC439C">
              <w:rPr>
                <w:rFonts w:ascii="Times New Roman" w:eastAsia="MS PGothic" w:hAnsi="Times New Roman"/>
                <w:color w:val="000000"/>
                <w:sz w:val="20"/>
              </w:rPr>
              <w:t>kWh</w:t>
            </w:r>
            <w:r w:rsidR="00356E17">
              <w:rPr>
                <w:rFonts w:ascii="Times New Roman" w:eastAsia="MS PGothic" w:hAnsi="Times New Roman"/>
                <w:color w:val="000000"/>
                <w:sz w:val="20"/>
              </w:rPr>
              <w:t>.y</w:t>
            </w:r>
            <w:proofErr w:type="spellEnd"/>
            <w:r w:rsidRPr="00FC439C">
              <w:rPr>
                <w:rFonts w:ascii="Times New Roman" w:eastAsia="MS PGothic" w:hAnsi="Times New Roman"/>
                <w:color w:val="000000"/>
                <w:sz w:val="20"/>
              </w:rPr>
              <w:t>)</w:t>
            </w:r>
          </w:p>
        </w:tc>
        <w:tc>
          <w:tcPr>
            <w:tcW w:w="1313" w:type="dxa"/>
            <w:tcBorders>
              <w:top w:val="nil"/>
              <w:left w:val="nil"/>
              <w:bottom w:val="nil"/>
              <w:right w:val="nil"/>
            </w:tcBorders>
            <w:tcMar>
              <w:top w:w="0" w:type="dxa"/>
              <w:left w:w="11" w:type="dxa"/>
              <w:bottom w:w="0" w:type="dxa"/>
              <w:right w:w="11" w:type="dxa"/>
            </w:tcMar>
          </w:tcPr>
          <w:p w14:paraId="137DB434" w14:textId="56DC88AA" w:rsidR="0080684B" w:rsidRPr="00466E6C" w:rsidRDefault="0080684B" w:rsidP="00FC439C">
            <w:pPr>
              <w:adjustRightInd w:val="0"/>
              <w:snapToGrid w:val="0"/>
              <w:spacing w:line="240" w:lineRule="auto"/>
              <w:rPr>
                <w:rFonts w:ascii="Times New Roman" w:eastAsia="MS PGothic" w:hAnsi="Times New Roman"/>
                <w:bCs/>
                <w:sz w:val="20"/>
              </w:rPr>
            </w:pPr>
            <w:r w:rsidRPr="00466E6C">
              <w:rPr>
                <w:rFonts w:ascii="Times New Roman" w:eastAsia="MS PGothic" w:hAnsi="Times New Roman"/>
                <w:sz w:val="20"/>
              </w:rPr>
              <w:t>132.9</w:t>
            </w:r>
          </w:p>
        </w:tc>
        <w:tc>
          <w:tcPr>
            <w:tcW w:w="1170" w:type="dxa"/>
            <w:tcBorders>
              <w:top w:val="nil"/>
              <w:left w:val="nil"/>
              <w:bottom w:val="nil"/>
              <w:right w:val="nil"/>
            </w:tcBorders>
            <w:tcMar>
              <w:top w:w="0" w:type="dxa"/>
              <w:left w:w="11" w:type="dxa"/>
              <w:bottom w:w="0" w:type="dxa"/>
              <w:right w:w="11" w:type="dxa"/>
            </w:tcMar>
          </w:tcPr>
          <w:p w14:paraId="5876E8CF" w14:textId="13FE1891" w:rsidR="0080684B" w:rsidRPr="00466E6C" w:rsidRDefault="0080684B" w:rsidP="00FC439C">
            <w:pPr>
              <w:adjustRightInd w:val="0"/>
              <w:snapToGrid w:val="0"/>
              <w:spacing w:line="240" w:lineRule="auto"/>
              <w:rPr>
                <w:rFonts w:ascii="Times New Roman" w:eastAsia="MS PGothic" w:hAnsi="Times New Roman"/>
                <w:bCs/>
                <w:sz w:val="20"/>
              </w:rPr>
            </w:pPr>
            <w:r w:rsidRPr="00466E6C">
              <w:rPr>
                <w:rFonts w:ascii="Times New Roman" w:eastAsia="MS PGothic" w:hAnsi="Times New Roman"/>
                <w:sz w:val="20"/>
              </w:rPr>
              <w:t>307.0</w:t>
            </w:r>
          </w:p>
        </w:tc>
        <w:tc>
          <w:tcPr>
            <w:tcW w:w="1350" w:type="dxa"/>
            <w:tcBorders>
              <w:top w:val="nil"/>
              <w:left w:val="nil"/>
              <w:bottom w:val="nil"/>
              <w:right w:val="nil"/>
            </w:tcBorders>
            <w:tcMar>
              <w:top w:w="0" w:type="dxa"/>
              <w:left w:w="11" w:type="dxa"/>
              <w:bottom w:w="0" w:type="dxa"/>
              <w:right w:w="11" w:type="dxa"/>
            </w:tcMar>
          </w:tcPr>
          <w:p w14:paraId="64CE36B2" w14:textId="3817512E" w:rsidR="0080684B" w:rsidRPr="00466E6C" w:rsidRDefault="0080684B" w:rsidP="00FC439C">
            <w:pPr>
              <w:adjustRightInd w:val="0"/>
              <w:snapToGrid w:val="0"/>
              <w:spacing w:line="240" w:lineRule="auto"/>
              <w:rPr>
                <w:rFonts w:ascii="Times New Roman" w:eastAsia="MS PGothic" w:hAnsi="Times New Roman"/>
                <w:bCs/>
                <w:sz w:val="20"/>
              </w:rPr>
            </w:pPr>
            <w:r w:rsidRPr="00466E6C">
              <w:rPr>
                <w:rFonts w:ascii="Times New Roman" w:eastAsia="MS PGothic" w:hAnsi="Times New Roman"/>
                <w:sz w:val="20"/>
              </w:rPr>
              <w:t>280.2</w:t>
            </w:r>
          </w:p>
        </w:tc>
      </w:tr>
      <w:tr w:rsidR="0080684B" w:rsidRPr="005070AA" w14:paraId="57783FA7" w14:textId="77777777" w:rsidTr="0080684B">
        <w:trPr>
          <w:gridAfter w:val="1"/>
          <w:trHeight w:val="20"/>
          <w:jc w:val="center"/>
        </w:trPr>
        <w:tc>
          <w:tcPr>
            <w:tcW w:w="0" w:type="auto"/>
            <w:tcBorders>
              <w:top w:val="nil"/>
              <w:left w:val="nil"/>
              <w:bottom w:val="single" w:sz="4" w:space="0" w:color="auto"/>
              <w:right w:val="nil"/>
            </w:tcBorders>
            <w:tcMar>
              <w:top w:w="0" w:type="dxa"/>
              <w:left w:w="11" w:type="dxa"/>
              <w:bottom w:w="0" w:type="dxa"/>
              <w:right w:w="11" w:type="dxa"/>
            </w:tcMar>
          </w:tcPr>
          <w:p w14:paraId="7DC5249F" w14:textId="234A37FF" w:rsidR="0080684B" w:rsidRPr="00FC439C" w:rsidRDefault="0080684B" w:rsidP="00FC439C">
            <w:pPr>
              <w:adjustRightInd w:val="0"/>
              <w:snapToGrid w:val="0"/>
              <w:spacing w:line="240" w:lineRule="auto"/>
              <w:jc w:val="left"/>
              <w:rPr>
                <w:rFonts w:ascii="Times New Roman" w:eastAsia="MS PGothic" w:hAnsi="Times New Roman"/>
                <w:color w:val="000000"/>
                <w:sz w:val="20"/>
              </w:rPr>
            </w:pPr>
            <w:r w:rsidRPr="00FC439C">
              <w:rPr>
                <w:rFonts w:ascii="Times New Roman" w:eastAsia="MS PGothic" w:hAnsi="Times New Roman"/>
                <w:color w:val="000000"/>
                <w:sz w:val="20"/>
              </w:rPr>
              <w:t>CCC ($/t)</w:t>
            </w:r>
          </w:p>
        </w:tc>
        <w:tc>
          <w:tcPr>
            <w:tcW w:w="1313" w:type="dxa"/>
            <w:tcBorders>
              <w:top w:val="nil"/>
              <w:left w:val="nil"/>
              <w:bottom w:val="single" w:sz="4" w:space="0" w:color="auto"/>
              <w:right w:val="nil"/>
            </w:tcBorders>
            <w:tcMar>
              <w:top w:w="0" w:type="dxa"/>
              <w:left w:w="11" w:type="dxa"/>
              <w:bottom w:w="0" w:type="dxa"/>
              <w:right w:w="11" w:type="dxa"/>
            </w:tcMar>
          </w:tcPr>
          <w:p w14:paraId="0F1AE079" w14:textId="32B7DA9B" w:rsidR="0080684B" w:rsidRPr="00466E6C" w:rsidRDefault="0080684B" w:rsidP="00FC439C">
            <w:pPr>
              <w:adjustRightInd w:val="0"/>
              <w:snapToGrid w:val="0"/>
              <w:spacing w:line="240" w:lineRule="auto"/>
              <w:rPr>
                <w:rFonts w:ascii="Times New Roman" w:eastAsia="MS PGothic" w:hAnsi="Times New Roman"/>
                <w:bCs/>
                <w:sz w:val="20"/>
              </w:rPr>
            </w:pPr>
            <w:r w:rsidRPr="00466E6C">
              <w:rPr>
                <w:rFonts w:ascii="Times New Roman" w:eastAsia="MS PGothic" w:hAnsi="Times New Roman"/>
                <w:sz w:val="20"/>
              </w:rPr>
              <w:t>-</w:t>
            </w:r>
          </w:p>
        </w:tc>
        <w:tc>
          <w:tcPr>
            <w:tcW w:w="1170" w:type="dxa"/>
            <w:tcBorders>
              <w:top w:val="nil"/>
              <w:left w:val="nil"/>
              <w:bottom w:val="single" w:sz="4" w:space="0" w:color="auto"/>
              <w:right w:val="nil"/>
            </w:tcBorders>
            <w:tcMar>
              <w:top w:w="0" w:type="dxa"/>
              <w:left w:w="11" w:type="dxa"/>
              <w:bottom w:w="0" w:type="dxa"/>
              <w:right w:w="11" w:type="dxa"/>
            </w:tcMar>
          </w:tcPr>
          <w:p w14:paraId="15224D6A" w14:textId="3E2CC274" w:rsidR="0080684B" w:rsidRPr="00466E6C" w:rsidRDefault="0080684B" w:rsidP="00FC439C">
            <w:pPr>
              <w:adjustRightInd w:val="0"/>
              <w:snapToGrid w:val="0"/>
              <w:spacing w:line="240" w:lineRule="auto"/>
              <w:rPr>
                <w:rFonts w:ascii="Times New Roman" w:eastAsia="MS PGothic" w:hAnsi="Times New Roman"/>
                <w:bCs/>
                <w:sz w:val="20"/>
              </w:rPr>
            </w:pPr>
            <w:r w:rsidRPr="00466E6C">
              <w:rPr>
                <w:rFonts w:ascii="Times New Roman" w:eastAsia="MS PGothic" w:hAnsi="Times New Roman"/>
                <w:sz w:val="20"/>
              </w:rPr>
              <w:t>28.08</w:t>
            </w:r>
          </w:p>
        </w:tc>
        <w:tc>
          <w:tcPr>
            <w:tcW w:w="1350" w:type="dxa"/>
            <w:tcBorders>
              <w:top w:val="nil"/>
              <w:left w:val="nil"/>
              <w:bottom w:val="single" w:sz="4" w:space="0" w:color="auto"/>
              <w:right w:val="nil"/>
            </w:tcBorders>
            <w:tcMar>
              <w:top w:w="0" w:type="dxa"/>
              <w:left w:w="11" w:type="dxa"/>
              <w:bottom w:w="0" w:type="dxa"/>
              <w:right w:w="11" w:type="dxa"/>
            </w:tcMar>
          </w:tcPr>
          <w:p w14:paraId="60008B9C" w14:textId="273167E8" w:rsidR="0080684B" w:rsidRPr="00466E6C" w:rsidRDefault="0080684B" w:rsidP="00FC439C">
            <w:pPr>
              <w:adjustRightInd w:val="0"/>
              <w:snapToGrid w:val="0"/>
              <w:spacing w:line="240" w:lineRule="auto"/>
              <w:rPr>
                <w:rFonts w:ascii="Times New Roman" w:eastAsia="MS PGothic" w:hAnsi="Times New Roman"/>
                <w:bCs/>
                <w:sz w:val="20"/>
              </w:rPr>
            </w:pPr>
            <w:r w:rsidRPr="00466E6C">
              <w:rPr>
                <w:rFonts w:ascii="Times New Roman" w:eastAsia="MS PGothic" w:hAnsi="Times New Roman"/>
                <w:sz w:val="20"/>
              </w:rPr>
              <w:t>25.50</w:t>
            </w:r>
          </w:p>
        </w:tc>
      </w:tr>
    </w:tbl>
    <w:p w14:paraId="1F426BE3" w14:textId="7127D9B5" w:rsidR="00704BDF" w:rsidRPr="008D0BEB" w:rsidRDefault="00704BDF" w:rsidP="00804239">
      <w:pPr>
        <w:snapToGrid w:val="0"/>
        <w:spacing w:after="120"/>
        <w:jc w:val="left"/>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p>
    <w:p w14:paraId="5231A0D5" w14:textId="685A742D" w:rsidR="00704BDF" w:rsidRDefault="00CC7EC8"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CO</w:t>
      </w:r>
      <w:r>
        <w:rPr>
          <w:rFonts w:asciiTheme="minorHAnsi" w:eastAsia="MS PGothic" w:hAnsiTheme="minorHAnsi"/>
          <w:color w:val="000000"/>
          <w:sz w:val="22"/>
          <w:szCs w:val="22"/>
          <w:vertAlign w:val="subscript"/>
          <w:lang w:val="en-US"/>
        </w:rPr>
        <w:t>2</w:t>
      </w:r>
      <w:r w:rsidRPr="007D29C4">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capture </w:t>
      </w:r>
      <w:r w:rsidRPr="007D29C4">
        <w:rPr>
          <w:rFonts w:asciiTheme="minorHAnsi" w:eastAsia="MS PGothic" w:hAnsiTheme="minorHAnsi"/>
          <w:color w:val="000000"/>
          <w:sz w:val="22"/>
          <w:szCs w:val="22"/>
          <w:lang w:val="en-US"/>
        </w:rPr>
        <w:t xml:space="preserve">is important </w:t>
      </w:r>
      <w:r>
        <w:rPr>
          <w:rFonts w:asciiTheme="minorHAnsi" w:eastAsia="MS PGothic" w:hAnsiTheme="minorHAnsi"/>
          <w:color w:val="000000"/>
          <w:sz w:val="22"/>
          <w:szCs w:val="22"/>
          <w:lang w:val="en-US"/>
        </w:rPr>
        <w:t xml:space="preserve">for the coal-fired power plant </w:t>
      </w:r>
      <w:r w:rsidRPr="007D29C4">
        <w:rPr>
          <w:rFonts w:asciiTheme="minorHAnsi" w:eastAsia="MS PGothic" w:hAnsiTheme="minorHAnsi"/>
          <w:color w:val="000000"/>
          <w:sz w:val="22"/>
          <w:szCs w:val="22"/>
          <w:lang w:val="en-US"/>
        </w:rPr>
        <w:t>to</w:t>
      </w:r>
      <w:r>
        <w:rPr>
          <w:rFonts w:asciiTheme="minorHAnsi" w:eastAsia="MS PGothic" w:hAnsiTheme="minorHAnsi"/>
          <w:color w:val="000000"/>
          <w:sz w:val="22"/>
          <w:szCs w:val="22"/>
          <w:lang w:val="en-US"/>
        </w:rPr>
        <w:t xml:space="preserve"> reduce the CO</w:t>
      </w:r>
      <w:r w:rsidRPr="00CC7EC8">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 xml:space="preserve"> emission. The energy and economic performance was evaluated for the 500 </w:t>
      </w:r>
      <w:proofErr w:type="spellStart"/>
      <w:r>
        <w:rPr>
          <w:rFonts w:asciiTheme="minorHAnsi" w:eastAsia="MS PGothic" w:hAnsiTheme="minorHAnsi"/>
          <w:color w:val="000000"/>
          <w:sz w:val="22"/>
          <w:szCs w:val="22"/>
          <w:lang w:val="en-US"/>
        </w:rPr>
        <w:t>MW</w:t>
      </w:r>
      <w:r w:rsidRPr="00CC7EC8">
        <w:rPr>
          <w:rFonts w:asciiTheme="minorHAnsi" w:eastAsia="MS PGothic" w:hAnsiTheme="minorHAnsi"/>
          <w:color w:val="000000"/>
          <w:sz w:val="22"/>
          <w:szCs w:val="22"/>
          <w:vertAlign w:val="subscript"/>
          <w:lang w:val="en-US"/>
        </w:rPr>
        <w:t>e</w:t>
      </w:r>
      <w:proofErr w:type="spellEnd"/>
      <w:r>
        <w:rPr>
          <w:rFonts w:asciiTheme="minorHAnsi" w:eastAsia="MS PGothic" w:hAnsiTheme="minorHAnsi"/>
          <w:color w:val="000000"/>
          <w:sz w:val="22"/>
          <w:szCs w:val="22"/>
          <w:lang w:val="en-US"/>
        </w:rPr>
        <w:t xml:space="preserve"> air-coal and oxy-coal power plants with CO</w:t>
      </w:r>
      <w:r w:rsidRPr="00CC7EC8">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 xml:space="preserve"> capture under the same operating parameters. It was found that the oxy-coal power plant with CPU was more efficient than the air-coal power plant with AAU in terms of LCOE, CIC and CCC. </w:t>
      </w:r>
      <w:r w:rsidR="00F52C8F">
        <w:rPr>
          <w:rFonts w:asciiTheme="minorHAnsi" w:eastAsia="MS PGothic" w:hAnsiTheme="minorHAnsi"/>
          <w:color w:val="000000"/>
          <w:sz w:val="22"/>
          <w:szCs w:val="22"/>
          <w:lang w:val="en-US"/>
        </w:rPr>
        <w:t>It would be better to design effectively heat networks.</w:t>
      </w:r>
    </w:p>
    <w:p w14:paraId="35CA71D9" w14:textId="32F06575" w:rsidR="0080684B" w:rsidRPr="00010943" w:rsidRDefault="0080684B" w:rsidP="0080684B">
      <w:pPr>
        <w:rPr>
          <w:rFonts w:asciiTheme="minorHAnsi" w:hAnsiTheme="minorHAnsi" w:cstheme="minorHAnsi"/>
          <w:b/>
          <w:sz w:val="22"/>
          <w:szCs w:val="22"/>
        </w:rPr>
      </w:pPr>
      <w:r w:rsidRPr="00010943">
        <w:rPr>
          <w:rFonts w:asciiTheme="minorHAnsi" w:hAnsiTheme="minorHAnsi" w:cstheme="minorHAnsi"/>
          <w:b/>
          <w:sz w:val="22"/>
          <w:szCs w:val="22"/>
        </w:rPr>
        <w:t>Acknowledgements</w:t>
      </w:r>
    </w:p>
    <w:p w14:paraId="5382B42C" w14:textId="4B70FE10" w:rsidR="0080684B" w:rsidRPr="00010943" w:rsidRDefault="0080684B" w:rsidP="00704BDF">
      <w:pPr>
        <w:snapToGrid w:val="0"/>
        <w:spacing w:after="120"/>
        <w:rPr>
          <w:rFonts w:asciiTheme="minorHAnsi" w:eastAsia="MS PGothic" w:hAnsiTheme="minorHAnsi" w:cstheme="minorHAnsi"/>
          <w:color w:val="000000"/>
          <w:sz w:val="22"/>
          <w:szCs w:val="22"/>
          <w:lang w:val="en-US"/>
        </w:rPr>
      </w:pPr>
      <w:r w:rsidRPr="00010943">
        <w:rPr>
          <w:rFonts w:asciiTheme="minorHAnsi" w:hAnsiTheme="minorHAnsi" w:cstheme="minorHAnsi"/>
          <w:sz w:val="22"/>
          <w:szCs w:val="22"/>
        </w:rPr>
        <w:t>This research was financially supported by KIER (Korea Institute of Energy Research).</w:t>
      </w:r>
    </w:p>
    <w:p w14:paraId="54F3DC27" w14:textId="19CEDA21"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14:paraId="2E7F726A" w14:textId="64314BCC" w:rsidR="00C8402C" w:rsidRPr="00254499" w:rsidRDefault="003114AC" w:rsidP="00254499">
      <w:pPr>
        <w:pStyle w:val="FirstParagraph"/>
        <w:numPr>
          <w:ilvl w:val="0"/>
          <w:numId w:val="17"/>
        </w:numPr>
        <w:tabs>
          <w:tab w:val="left" w:pos="360"/>
        </w:tabs>
        <w:spacing w:line="240" w:lineRule="auto"/>
        <w:ind w:left="426" w:hanging="426"/>
        <w:rPr>
          <w:rFonts w:asciiTheme="minorHAnsi" w:hAnsiTheme="minorHAnsi"/>
          <w:color w:val="000000"/>
        </w:rPr>
      </w:pPr>
      <w:r>
        <w:rPr>
          <w:rFonts w:asciiTheme="minorHAnsi" w:hAnsiTheme="minorHAnsi"/>
          <w:color w:val="000000"/>
        </w:rPr>
        <w:t xml:space="preserve">E. </w:t>
      </w:r>
      <w:proofErr w:type="spellStart"/>
      <w:r w:rsidRPr="003114AC">
        <w:rPr>
          <w:rFonts w:asciiTheme="minorHAnsi" w:hAnsiTheme="minorHAnsi"/>
          <w:color w:val="000000"/>
        </w:rPr>
        <w:t>Agbor</w:t>
      </w:r>
      <w:proofErr w:type="spellEnd"/>
      <w:r>
        <w:rPr>
          <w:rFonts w:asciiTheme="minorHAnsi" w:hAnsiTheme="minorHAnsi"/>
          <w:color w:val="000000"/>
        </w:rPr>
        <w:t xml:space="preserve">, A. O. </w:t>
      </w:r>
      <w:proofErr w:type="spellStart"/>
      <w:r w:rsidRPr="003114AC">
        <w:rPr>
          <w:rFonts w:asciiTheme="minorHAnsi" w:hAnsiTheme="minorHAnsi"/>
          <w:color w:val="000000"/>
        </w:rPr>
        <w:t>Oyedun</w:t>
      </w:r>
      <w:proofErr w:type="spellEnd"/>
      <w:r>
        <w:rPr>
          <w:rFonts w:asciiTheme="minorHAnsi" w:hAnsiTheme="minorHAnsi"/>
          <w:color w:val="000000"/>
        </w:rPr>
        <w:t xml:space="preserve">, X. </w:t>
      </w:r>
      <w:r w:rsidRPr="003114AC">
        <w:rPr>
          <w:rFonts w:asciiTheme="minorHAnsi" w:hAnsiTheme="minorHAnsi"/>
          <w:color w:val="000000"/>
        </w:rPr>
        <w:t>Zhang</w:t>
      </w:r>
      <w:r>
        <w:rPr>
          <w:rFonts w:asciiTheme="minorHAnsi" w:hAnsiTheme="minorHAnsi"/>
          <w:color w:val="000000"/>
        </w:rPr>
        <w:t xml:space="preserve">, A. </w:t>
      </w:r>
      <w:r w:rsidRPr="003114AC">
        <w:rPr>
          <w:rFonts w:asciiTheme="minorHAnsi" w:hAnsiTheme="minorHAnsi"/>
          <w:color w:val="000000"/>
        </w:rPr>
        <w:t>Kumar</w:t>
      </w:r>
      <w:r>
        <w:rPr>
          <w:rFonts w:asciiTheme="minorHAnsi" w:hAnsiTheme="minorHAnsi"/>
          <w:color w:val="000000"/>
        </w:rPr>
        <w:t>, Appl. Eng</w:t>
      </w:r>
      <w:r w:rsidR="00AF1EA6">
        <w:rPr>
          <w:rFonts w:asciiTheme="minorHAnsi" w:hAnsiTheme="minorHAnsi"/>
          <w:color w:val="000000"/>
        </w:rPr>
        <w:t>.</w:t>
      </w:r>
      <w:r>
        <w:rPr>
          <w:rFonts w:asciiTheme="minorHAnsi" w:hAnsiTheme="minorHAnsi"/>
          <w:color w:val="000000"/>
        </w:rPr>
        <w:t xml:space="preserve"> 169 (2016) 433-449</w:t>
      </w:r>
      <w:r w:rsidR="00704BDF" w:rsidRPr="008D0BEB">
        <w:rPr>
          <w:rFonts w:asciiTheme="minorHAnsi" w:hAnsiTheme="minorHAnsi"/>
          <w:color w:val="000000"/>
        </w:rPr>
        <w:t>.</w:t>
      </w:r>
    </w:p>
    <w:p w14:paraId="5224F99E" w14:textId="77777777" w:rsidR="0064462F" w:rsidRDefault="0064462F" w:rsidP="00AF1EA6">
      <w:pPr>
        <w:pStyle w:val="FirstParagraph"/>
        <w:numPr>
          <w:ilvl w:val="0"/>
          <w:numId w:val="17"/>
        </w:numPr>
        <w:tabs>
          <w:tab w:val="left" w:pos="360"/>
        </w:tabs>
        <w:spacing w:line="240" w:lineRule="auto"/>
        <w:rPr>
          <w:rFonts w:asciiTheme="minorHAnsi" w:hAnsiTheme="minorHAnsi"/>
          <w:color w:val="000000"/>
        </w:rPr>
      </w:pPr>
      <w:r>
        <w:rPr>
          <w:rFonts w:asciiTheme="minorHAnsi" w:hAnsiTheme="minorHAnsi"/>
          <w:color w:val="000000"/>
        </w:rPr>
        <w:t xml:space="preserve">H. </w:t>
      </w:r>
      <w:proofErr w:type="spellStart"/>
      <w:r>
        <w:rPr>
          <w:rFonts w:asciiTheme="minorHAnsi" w:hAnsiTheme="minorHAnsi"/>
          <w:color w:val="000000"/>
        </w:rPr>
        <w:t>Hagi</w:t>
      </w:r>
      <w:proofErr w:type="spellEnd"/>
      <w:r w:rsidRPr="00D517D8">
        <w:rPr>
          <w:rFonts w:asciiTheme="minorHAnsi" w:hAnsiTheme="minorHAnsi"/>
          <w:color w:val="000000"/>
        </w:rPr>
        <w:t xml:space="preserve">, </w:t>
      </w:r>
      <w:r>
        <w:rPr>
          <w:rFonts w:asciiTheme="minorHAnsi" w:hAnsiTheme="minorHAnsi"/>
          <w:color w:val="000000"/>
        </w:rPr>
        <w:t xml:space="preserve">Y. L. </w:t>
      </w:r>
      <w:proofErr w:type="spellStart"/>
      <w:r>
        <w:rPr>
          <w:rFonts w:asciiTheme="minorHAnsi" w:hAnsiTheme="minorHAnsi"/>
          <w:color w:val="000000"/>
        </w:rPr>
        <w:t>Moullec</w:t>
      </w:r>
      <w:proofErr w:type="spellEnd"/>
      <w:r>
        <w:rPr>
          <w:rFonts w:asciiTheme="minorHAnsi" w:hAnsiTheme="minorHAnsi"/>
          <w:color w:val="000000"/>
        </w:rPr>
        <w:t xml:space="preserve">, M. </w:t>
      </w:r>
      <w:proofErr w:type="spellStart"/>
      <w:proofErr w:type="gramStart"/>
      <w:r>
        <w:rPr>
          <w:rFonts w:asciiTheme="minorHAnsi" w:hAnsiTheme="minorHAnsi"/>
          <w:color w:val="000000"/>
        </w:rPr>
        <w:t>Nemer</w:t>
      </w:r>
      <w:proofErr w:type="spellEnd"/>
      <w:r>
        <w:rPr>
          <w:rFonts w:asciiTheme="minorHAnsi" w:hAnsiTheme="minorHAnsi"/>
          <w:color w:val="000000"/>
        </w:rPr>
        <w:t xml:space="preserve"> ,</w:t>
      </w:r>
      <w:proofErr w:type="gramEnd"/>
      <w:r>
        <w:rPr>
          <w:rFonts w:asciiTheme="minorHAnsi" w:hAnsiTheme="minorHAnsi"/>
          <w:color w:val="000000"/>
        </w:rPr>
        <w:t xml:space="preserve">C. </w:t>
      </w:r>
      <w:proofErr w:type="spellStart"/>
      <w:r>
        <w:rPr>
          <w:rFonts w:asciiTheme="minorHAnsi" w:hAnsiTheme="minorHAnsi"/>
          <w:color w:val="000000"/>
        </w:rPr>
        <w:t>Bouallou</w:t>
      </w:r>
      <w:proofErr w:type="spellEnd"/>
      <w:r>
        <w:rPr>
          <w:rFonts w:asciiTheme="minorHAnsi" w:hAnsiTheme="minorHAnsi"/>
          <w:color w:val="000000"/>
        </w:rPr>
        <w:t xml:space="preserve">, Energy 69 (2014) 272-284 </w:t>
      </w:r>
    </w:p>
    <w:p w14:paraId="6C51719A" w14:textId="47EC5FD3" w:rsidR="00D517D8" w:rsidRPr="00D517D8" w:rsidRDefault="003114AC" w:rsidP="00AF1EA6">
      <w:pPr>
        <w:pStyle w:val="FirstParagraph"/>
        <w:numPr>
          <w:ilvl w:val="0"/>
          <w:numId w:val="17"/>
        </w:numPr>
        <w:tabs>
          <w:tab w:val="left" w:pos="360"/>
        </w:tabs>
        <w:spacing w:line="240" w:lineRule="auto"/>
        <w:rPr>
          <w:rFonts w:asciiTheme="minorHAnsi" w:hAnsiTheme="minorHAnsi"/>
          <w:color w:val="000000"/>
        </w:rPr>
      </w:pPr>
      <w:r>
        <w:rPr>
          <w:rFonts w:asciiTheme="minorHAnsi" w:hAnsiTheme="minorHAnsi"/>
          <w:color w:val="000000"/>
        </w:rPr>
        <w:t>J. Davison, Energy</w:t>
      </w:r>
      <w:r w:rsidR="00AF1EA6">
        <w:rPr>
          <w:rFonts w:asciiTheme="minorHAnsi" w:hAnsiTheme="minorHAnsi"/>
          <w:color w:val="000000"/>
        </w:rPr>
        <w:t>.</w:t>
      </w:r>
      <w:r>
        <w:rPr>
          <w:rFonts w:asciiTheme="minorHAnsi" w:hAnsiTheme="minorHAnsi"/>
          <w:color w:val="000000"/>
        </w:rPr>
        <w:t xml:space="preserve"> 32(7) (2007)</w:t>
      </w:r>
      <w:r w:rsidR="00AF1EA6">
        <w:rPr>
          <w:rFonts w:asciiTheme="minorHAnsi" w:hAnsiTheme="minorHAnsi"/>
          <w:color w:val="000000"/>
        </w:rPr>
        <w:t xml:space="preserve"> 1163-1176</w:t>
      </w:r>
      <w:r w:rsidR="00D517D8" w:rsidRPr="00D517D8">
        <w:rPr>
          <w:rFonts w:asciiTheme="minorHAnsi" w:hAnsiTheme="minorHAnsi"/>
          <w:color w:val="000000"/>
        </w:rPr>
        <w:t>.</w:t>
      </w:r>
    </w:p>
    <w:p w14:paraId="0B80002F" w14:textId="6D47D7A9" w:rsidR="00D517D8" w:rsidRPr="00D517D8" w:rsidRDefault="00AF1EA6" w:rsidP="00D517D8">
      <w:pPr>
        <w:pStyle w:val="FirstParagraph"/>
        <w:numPr>
          <w:ilvl w:val="0"/>
          <w:numId w:val="17"/>
        </w:numPr>
        <w:tabs>
          <w:tab w:val="left" w:pos="426"/>
        </w:tabs>
        <w:spacing w:line="240" w:lineRule="auto"/>
        <w:rPr>
          <w:rFonts w:asciiTheme="minorHAnsi" w:hAnsiTheme="minorHAnsi"/>
          <w:color w:val="000000"/>
        </w:rPr>
      </w:pPr>
      <w:r>
        <w:rPr>
          <w:rFonts w:asciiTheme="minorHAnsi" w:hAnsiTheme="minorHAnsi"/>
          <w:color w:val="000000"/>
        </w:rPr>
        <w:t xml:space="preserve">E. S. Rubin, C. Chen, A. </w:t>
      </w:r>
      <w:r w:rsidR="00D517D8" w:rsidRPr="00D517D8">
        <w:rPr>
          <w:rFonts w:asciiTheme="minorHAnsi" w:hAnsiTheme="minorHAnsi"/>
          <w:color w:val="000000"/>
        </w:rPr>
        <w:t>B. Rao</w:t>
      </w:r>
      <w:r>
        <w:rPr>
          <w:rFonts w:asciiTheme="minorHAnsi" w:hAnsiTheme="minorHAnsi"/>
          <w:color w:val="000000"/>
        </w:rPr>
        <w:t>, Eng. Policy 35(9) (2007) 4444-4454</w:t>
      </w:r>
      <w:r w:rsidR="00D517D8" w:rsidRPr="00D517D8">
        <w:rPr>
          <w:rFonts w:asciiTheme="minorHAnsi" w:hAnsiTheme="minorHAnsi"/>
          <w:color w:val="000000"/>
        </w:rPr>
        <w:t>.</w:t>
      </w:r>
    </w:p>
    <w:p w14:paraId="1A4B262E" w14:textId="65103C46" w:rsidR="0077386F" w:rsidRPr="0080684B" w:rsidRDefault="00586782" w:rsidP="00586782">
      <w:pPr>
        <w:pStyle w:val="FirstParagraph"/>
        <w:numPr>
          <w:ilvl w:val="0"/>
          <w:numId w:val="17"/>
        </w:numPr>
        <w:tabs>
          <w:tab w:val="left" w:pos="426"/>
        </w:tabs>
        <w:spacing w:line="240" w:lineRule="auto"/>
        <w:rPr>
          <w:rFonts w:asciiTheme="minorHAnsi" w:hAnsiTheme="minorHAnsi"/>
          <w:color w:val="000000"/>
        </w:rPr>
      </w:pPr>
      <w:r>
        <w:rPr>
          <w:rFonts w:asciiTheme="minorHAnsi" w:hAnsiTheme="minorHAnsi"/>
          <w:color w:val="000000"/>
        </w:rPr>
        <w:t xml:space="preserve">A. </w:t>
      </w:r>
      <w:proofErr w:type="spellStart"/>
      <w:r w:rsidRPr="00586782">
        <w:rPr>
          <w:rFonts w:asciiTheme="minorHAnsi" w:hAnsiTheme="minorHAnsi"/>
          <w:color w:val="000000"/>
        </w:rPr>
        <w:t>Pett</w:t>
      </w:r>
      <w:r>
        <w:rPr>
          <w:rFonts w:asciiTheme="minorHAnsi" w:hAnsiTheme="minorHAnsi"/>
          <w:color w:val="000000"/>
        </w:rPr>
        <w:t>inau</w:t>
      </w:r>
      <w:proofErr w:type="spellEnd"/>
      <w:r>
        <w:rPr>
          <w:rFonts w:asciiTheme="minorHAnsi" w:hAnsiTheme="minorHAnsi"/>
          <w:color w:val="000000"/>
        </w:rPr>
        <w:t xml:space="preserve">, F. Ferrara, V. </w:t>
      </w:r>
      <w:proofErr w:type="spellStart"/>
      <w:r>
        <w:rPr>
          <w:rFonts w:asciiTheme="minorHAnsi" w:hAnsiTheme="minorHAnsi"/>
          <w:color w:val="000000"/>
        </w:rPr>
        <w:t>Tola</w:t>
      </w:r>
      <w:proofErr w:type="spellEnd"/>
      <w:r>
        <w:rPr>
          <w:rFonts w:asciiTheme="minorHAnsi" w:hAnsiTheme="minorHAnsi"/>
          <w:color w:val="000000"/>
        </w:rPr>
        <w:t xml:space="preserve">, G. </w:t>
      </w:r>
      <w:proofErr w:type="spellStart"/>
      <w:r w:rsidRPr="00586782">
        <w:rPr>
          <w:rFonts w:asciiTheme="minorHAnsi" w:hAnsiTheme="minorHAnsi"/>
          <w:color w:val="000000"/>
        </w:rPr>
        <w:t>Cau</w:t>
      </w:r>
      <w:proofErr w:type="spellEnd"/>
      <w:r w:rsidR="00D1242A">
        <w:rPr>
          <w:rFonts w:asciiTheme="minorHAnsi" w:hAnsiTheme="minorHAnsi"/>
          <w:color w:val="000000"/>
        </w:rPr>
        <w:t>,</w:t>
      </w:r>
      <w:r w:rsidR="0077386F" w:rsidRPr="00D517D8">
        <w:rPr>
          <w:rFonts w:asciiTheme="minorHAnsi" w:hAnsiTheme="minorHAnsi"/>
          <w:color w:val="000000"/>
        </w:rPr>
        <w:t xml:space="preserve"> </w:t>
      </w:r>
      <w:r>
        <w:rPr>
          <w:rFonts w:asciiTheme="minorHAnsi" w:hAnsiTheme="minorHAnsi"/>
          <w:color w:val="000000"/>
        </w:rPr>
        <w:t>Appl. Eng. 193</w:t>
      </w:r>
      <w:r w:rsidR="00D1242A">
        <w:rPr>
          <w:rFonts w:asciiTheme="minorHAnsi" w:hAnsiTheme="minorHAnsi"/>
          <w:color w:val="000000"/>
        </w:rPr>
        <w:t xml:space="preserve"> (</w:t>
      </w:r>
      <w:r w:rsidR="0077386F" w:rsidRPr="00D517D8">
        <w:rPr>
          <w:rFonts w:asciiTheme="minorHAnsi" w:hAnsiTheme="minorHAnsi"/>
          <w:color w:val="000000"/>
        </w:rPr>
        <w:t>2017</w:t>
      </w:r>
      <w:r>
        <w:rPr>
          <w:rFonts w:asciiTheme="minorHAnsi" w:hAnsiTheme="minorHAnsi"/>
          <w:color w:val="000000"/>
        </w:rPr>
        <w:t>) 426-439</w:t>
      </w:r>
      <w:r w:rsidR="0080684B">
        <w:rPr>
          <w:rFonts w:asciiTheme="minorHAnsi" w:hAnsiTheme="minorHAnsi"/>
          <w:color w:val="000000"/>
        </w:rPr>
        <w:t>.</w:t>
      </w:r>
    </w:p>
    <w:sectPr w:rsidR="0077386F" w:rsidRPr="0080684B"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7EB35" w14:textId="77777777" w:rsidR="00407797" w:rsidRDefault="00407797" w:rsidP="004F5E36">
      <w:r>
        <w:separator/>
      </w:r>
    </w:p>
  </w:endnote>
  <w:endnote w:type="continuationSeparator" w:id="0">
    <w:p w14:paraId="6D9D7571" w14:textId="77777777" w:rsidR="00407797" w:rsidRDefault="0040779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85890" w14:textId="77777777" w:rsidR="00407797" w:rsidRDefault="00407797" w:rsidP="004F5E36">
      <w:r>
        <w:separator/>
      </w:r>
    </w:p>
  </w:footnote>
  <w:footnote w:type="continuationSeparator" w:id="0">
    <w:p w14:paraId="030543BE" w14:textId="77777777" w:rsidR="00407797" w:rsidRDefault="00407797" w:rsidP="004F5E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80CC7" w14:textId="77777777" w:rsidR="00803F27" w:rsidRDefault="00803F27">
    <w:pPr>
      <w:pStyle w:val="Header"/>
    </w:pPr>
    <w:r>
      <w:rPr>
        <w:noProof/>
        <w:lang w:val="en-US"/>
      </w:rPr>
      <mc:AlternateContent>
        <mc:Choice Requires="wps">
          <w:drawing>
            <wp:anchor distT="0" distB="0" distL="114300" distR="114300" simplePos="0" relativeHeight="251666432" behindDoc="0" locked="0" layoutInCell="1" allowOverlap="1" wp14:anchorId="6D5C4E7E" wp14:editId="093C38A7">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3A0A0D7"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Pr>
        <w:noProof/>
        <w:lang w:val="en-US"/>
      </w:rPr>
      <w:drawing>
        <wp:anchor distT="0" distB="0" distL="114300" distR="114300" simplePos="0" relativeHeight="251662336" behindDoc="0" locked="0" layoutInCell="1" allowOverlap="1" wp14:anchorId="66562254" wp14:editId="116FCB2F">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5F110" w14:textId="77777777" w:rsidR="00803F27" w:rsidRPr="00DE0019" w:rsidRDefault="00803F27"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08D27550" wp14:editId="0CEB2A20">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12</w:t>
    </w:r>
    <w:r w:rsidRPr="00DE0019">
      <w:rPr>
        <w:rFonts w:asciiTheme="minorHAnsi" w:hAnsiTheme="minorHAnsi"/>
        <w:b/>
        <w:i/>
        <w:color w:val="002060"/>
        <w:sz w:val="24"/>
        <w:szCs w:val="24"/>
        <w:vertAlign w:val="superscript"/>
        <w:lang w:val="en-US"/>
      </w:rPr>
      <w:t xml:space="preserve">th </w:t>
    </w:r>
    <w:r w:rsidRPr="00DE0019">
      <w:rPr>
        <w:rFonts w:asciiTheme="minorHAnsi" w:hAnsiTheme="minorHAnsi"/>
        <w:b/>
        <w:i/>
        <w:color w:val="002060"/>
        <w:sz w:val="24"/>
        <w:szCs w:val="24"/>
        <w:lang w:val="en-US"/>
      </w:rPr>
      <w:t>EUROPEAN CONGRESS OF CHEMICAL ENGINEERING</w:t>
    </w:r>
    <w:r w:rsidRPr="00DE0019">
      <w:rPr>
        <w:rFonts w:asciiTheme="minorHAnsi" w:hAnsiTheme="minorHAnsi"/>
        <w:b/>
        <w:i/>
        <w:color w:val="002060"/>
        <w:sz w:val="24"/>
        <w:szCs w:val="24"/>
        <w:lang w:val="en-US"/>
      </w:rPr>
      <w:br/>
      <w:t xml:space="preserve">                               Florence 15-19 September 2019</w:t>
    </w:r>
  </w:p>
  <w:p w14:paraId="4B3DC3CF" w14:textId="77777777" w:rsidR="00803F27" w:rsidRDefault="00803F27">
    <w:pPr>
      <w:pStyle w:val="Header"/>
    </w:pPr>
  </w:p>
  <w:p w14:paraId="1B8DC39A" w14:textId="77777777" w:rsidR="00803F27" w:rsidRDefault="00803F27">
    <w:pPr>
      <w:pStyle w:val="Header"/>
    </w:pPr>
    <w:r>
      <w:rPr>
        <w:noProof/>
        <w:lang w:val="en-US"/>
      </w:rPr>
      <mc:AlternateContent>
        <mc:Choice Requires="wps">
          <w:drawing>
            <wp:anchor distT="0" distB="0" distL="114300" distR="114300" simplePos="0" relativeHeight="251660288" behindDoc="0" locked="0" layoutInCell="1" allowOverlap="1" wp14:anchorId="34BBB99C" wp14:editId="20CC610D">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3115CFE"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QztzQxNDYzMzM3NLFU0lEKTi0uzszPAykwqgUAhjYQtywAAAA="/>
  </w:docVars>
  <w:rsids>
    <w:rsidRoot w:val="000E414A"/>
    <w:rsid w:val="000027C0"/>
    <w:rsid w:val="00006469"/>
    <w:rsid w:val="00006D82"/>
    <w:rsid w:val="00010943"/>
    <w:rsid w:val="000117CB"/>
    <w:rsid w:val="00012075"/>
    <w:rsid w:val="00026DEE"/>
    <w:rsid w:val="0003015D"/>
    <w:rsid w:val="0003148D"/>
    <w:rsid w:val="00042FD9"/>
    <w:rsid w:val="00062A9A"/>
    <w:rsid w:val="00091AAA"/>
    <w:rsid w:val="000A03B2"/>
    <w:rsid w:val="000D34BE"/>
    <w:rsid w:val="000E36F1"/>
    <w:rsid w:val="000E3A73"/>
    <w:rsid w:val="000E414A"/>
    <w:rsid w:val="0010130C"/>
    <w:rsid w:val="0012662F"/>
    <w:rsid w:val="0013121F"/>
    <w:rsid w:val="00134DE4"/>
    <w:rsid w:val="00137677"/>
    <w:rsid w:val="00150E59"/>
    <w:rsid w:val="00160189"/>
    <w:rsid w:val="001709A8"/>
    <w:rsid w:val="001762B2"/>
    <w:rsid w:val="00184AD6"/>
    <w:rsid w:val="001B65C1"/>
    <w:rsid w:val="001C684B"/>
    <w:rsid w:val="001D2E6B"/>
    <w:rsid w:val="001D53FC"/>
    <w:rsid w:val="001E5E01"/>
    <w:rsid w:val="001F2EC7"/>
    <w:rsid w:val="002054BA"/>
    <w:rsid w:val="002065DB"/>
    <w:rsid w:val="00226ECE"/>
    <w:rsid w:val="002447EF"/>
    <w:rsid w:val="00251550"/>
    <w:rsid w:val="00254499"/>
    <w:rsid w:val="0027221A"/>
    <w:rsid w:val="00274D94"/>
    <w:rsid w:val="00275B61"/>
    <w:rsid w:val="002806ED"/>
    <w:rsid w:val="00281A6D"/>
    <w:rsid w:val="002834DD"/>
    <w:rsid w:val="00290321"/>
    <w:rsid w:val="00295B50"/>
    <w:rsid w:val="002A0CEB"/>
    <w:rsid w:val="002B101E"/>
    <w:rsid w:val="002D1F12"/>
    <w:rsid w:val="003009B7"/>
    <w:rsid w:val="0030469C"/>
    <w:rsid w:val="003114AC"/>
    <w:rsid w:val="00356E17"/>
    <w:rsid w:val="003617FC"/>
    <w:rsid w:val="003723D4"/>
    <w:rsid w:val="00397C04"/>
    <w:rsid w:val="003A058E"/>
    <w:rsid w:val="003A3FBD"/>
    <w:rsid w:val="003A7D1C"/>
    <w:rsid w:val="003D447A"/>
    <w:rsid w:val="003E4FA0"/>
    <w:rsid w:val="003E6B32"/>
    <w:rsid w:val="00407797"/>
    <w:rsid w:val="00432394"/>
    <w:rsid w:val="0046164A"/>
    <w:rsid w:val="00462DCD"/>
    <w:rsid w:val="00466E6C"/>
    <w:rsid w:val="004706E4"/>
    <w:rsid w:val="0048785E"/>
    <w:rsid w:val="004B3E90"/>
    <w:rsid w:val="004D1162"/>
    <w:rsid w:val="004E4DD6"/>
    <w:rsid w:val="004F34CA"/>
    <w:rsid w:val="004F5E36"/>
    <w:rsid w:val="005070AA"/>
    <w:rsid w:val="00510626"/>
    <w:rsid w:val="005119A5"/>
    <w:rsid w:val="005278B7"/>
    <w:rsid w:val="005346C8"/>
    <w:rsid w:val="00566E9C"/>
    <w:rsid w:val="00586782"/>
    <w:rsid w:val="00594E9F"/>
    <w:rsid w:val="005A747A"/>
    <w:rsid w:val="005B61E6"/>
    <w:rsid w:val="005C77E1"/>
    <w:rsid w:val="005D6A2F"/>
    <w:rsid w:val="005D70CF"/>
    <w:rsid w:val="005E1A82"/>
    <w:rsid w:val="005F09E9"/>
    <w:rsid w:val="005F0A28"/>
    <w:rsid w:val="005F0E5E"/>
    <w:rsid w:val="006067FA"/>
    <w:rsid w:val="00620DEE"/>
    <w:rsid w:val="00625639"/>
    <w:rsid w:val="00635380"/>
    <w:rsid w:val="0064184D"/>
    <w:rsid w:val="0064462F"/>
    <w:rsid w:val="00660E3E"/>
    <w:rsid w:val="00662E74"/>
    <w:rsid w:val="00667285"/>
    <w:rsid w:val="00672FDE"/>
    <w:rsid w:val="006A08BD"/>
    <w:rsid w:val="006A58D2"/>
    <w:rsid w:val="006C5579"/>
    <w:rsid w:val="00704BDF"/>
    <w:rsid w:val="00706BA0"/>
    <w:rsid w:val="00707B0B"/>
    <w:rsid w:val="00723F04"/>
    <w:rsid w:val="00736B13"/>
    <w:rsid w:val="0074270F"/>
    <w:rsid w:val="007447F3"/>
    <w:rsid w:val="007661C8"/>
    <w:rsid w:val="0077386F"/>
    <w:rsid w:val="007C4B00"/>
    <w:rsid w:val="007D29C4"/>
    <w:rsid w:val="007D52CD"/>
    <w:rsid w:val="00803F27"/>
    <w:rsid w:val="00804239"/>
    <w:rsid w:val="0080684B"/>
    <w:rsid w:val="008107A0"/>
    <w:rsid w:val="00813288"/>
    <w:rsid w:val="008168FC"/>
    <w:rsid w:val="00845103"/>
    <w:rsid w:val="008479A2"/>
    <w:rsid w:val="0085360A"/>
    <w:rsid w:val="00862663"/>
    <w:rsid w:val="0087637F"/>
    <w:rsid w:val="008763C4"/>
    <w:rsid w:val="00880C7C"/>
    <w:rsid w:val="008A1512"/>
    <w:rsid w:val="008B4E62"/>
    <w:rsid w:val="008D0BEB"/>
    <w:rsid w:val="008E566E"/>
    <w:rsid w:val="00901EB6"/>
    <w:rsid w:val="009027B6"/>
    <w:rsid w:val="009450CE"/>
    <w:rsid w:val="0095164B"/>
    <w:rsid w:val="00952D3B"/>
    <w:rsid w:val="00996483"/>
    <w:rsid w:val="009C10C1"/>
    <w:rsid w:val="009E788A"/>
    <w:rsid w:val="00A1763D"/>
    <w:rsid w:val="00A17CEC"/>
    <w:rsid w:val="00A201AC"/>
    <w:rsid w:val="00A27EF0"/>
    <w:rsid w:val="00A76EFC"/>
    <w:rsid w:val="00A9626B"/>
    <w:rsid w:val="00A97F29"/>
    <w:rsid w:val="00AA66A5"/>
    <w:rsid w:val="00AB0964"/>
    <w:rsid w:val="00AB5970"/>
    <w:rsid w:val="00AE377D"/>
    <w:rsid w:val="00AF1EA6"/>
    <w:rsid w:val="00B362DB"/>
    <w:rsid w:val="00B61DBF"/>
    <w:rsid w:val="00BC26EB"/>
    <w:rsid w:val="00BC30C9"/>
    <w:rsid w:val="00BD4A0F"/>
    <w:rsid w:val="00BE3E58"/>
    <w:rsid w:val="00C01616"/>
    <w:rsid w:val="00C0162B"/>
    <w:rsid w:val="00C345B1"/>
    <w:rsid w:val="00C40142"/>
    <w:rsid w:val="00C47A33"/>
    <w:rsid w:val="00C54FE9"/>
    <w:rsid w:val="00C57182"/>
    <w:rsid w:val="00C655FD"/>
    <w:rsid w:val="00C8402C"/>
    <w:rsid w:val="00C867B1"/>
    <w:rsid w:val="00C940FF"/>
    <w:rsid w:val="00C94434"/>
    <w:rsid w:val="00CA1C95"/>
    <w:rsid w:val="00CA5A9C"/>
    <w:rsid w:val="00CC7EC8"/>
    <w:rsid w:val="00CD5FE2"/>
    <w:rsid w:val="00D02B4C"/>
    <w:rsid w:val="00D1242A"/>
    <w:rsid w:val="00D517D8"/>
    <w:rsid w:val="00D84576"/>
    <w:rsid w:val="00D87FEE"/>
    <w:rsid w:val="00DC6BE4"/>
    <w:rsid w:val="00DE0019"/>
    <w:rsid w:val="00DE264A"/>
    <w:rsid w:val="00E041E7"/>
    <w:rsid w:val="00E23CA1"/>
    <w:rsid w:val="00E2632A"/>
    <w:rsid w:val="00E31DF6"/>
    <w:rsid w:val="00E409A8"/>
    <w:rsid w:val="00E42938"/>
    <w:rsid w:val="00E7209D"/>
    <w:rsid w:val="00EA50E1"/>
    <w:rsid w:val="00EE0131"/>
    <w:rsid w:val="00F0531A"/>
    <w:rsid w:val="00F30C64"/>
    <w:rsid w:val="00F52C8F"/>
    <w:rsid w:val="00F63DCF"/>
    <w:rsid w:val="00FB730C"/>
    <w:rsid w:val="00FC2695"/>
    <w:rsid w:val="00FC3E03"/>
    <w:rsid w:val="00FC439C"/>
    <w:rsid w:val="00FD7593"/>
    <w:rsid w:val="00FE6A2D"/>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2FCD5"/>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CommentReference">
    <w:name w:val="annotation reference"/>
    <w:basedOn w:val="DefaultParagraphFont"/>
    <w:uiPriority w:val="99"/>
    <w:semiHidden/>
    <w:unhideWhenUsed/>
    <w:locked/>
    <w:rsid w:val="001D2E6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97440">
      <w:bodyDiv w:val="1"/>
      <w:marLeft w:val="0"/>
      <w:marRight w:val="0"/>
      <w:marTop w:val="0"/>
      <w:marBottom w:val="0"/>
      <w:divBdr>
        <w:top w:val="none" w:sz="0" w:space="0" w:color="auto"/>
        <w:left w:val="none" w:sz="0" w:space="0" w:color="auto"/>
        <w:bottom w:val="none" w:sz="0" w:space="0" w:color="auto"/>
        <w:right w:val="none" w:sz="0" w:space="0" w:color="auto"/>
      </w:divBdr>
    </w:div>
    <w:div w:id="808399748">
      <w:bodyDiv w:val="1"/>
      <w:marLeft w:val="0"/>
      <w:marRight w:val="0"/>
      <w:marTop w:val="0"/>
      <w:marBottom w:val="0"/>
      <w:divBdr>
        <w:top w:val="none" w:sz="0" w:space="0" w:color="auto"/>
        <w:left w:val="none" w:sz="0" w:space="0" w:color="auto"/>
        <w:bottom w:val="none" w:sz="0" w:space="0" w:color="auto"/>
        <w:right w:val="none" w:sz="0" w:space="0" w:color="auto"/>
      </w:divBdr>
    </w:div>
    <w:div w:id="209224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FB914-29C6-4BA2-87B0-9637A9142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834</Words>
  <Characters>4760</Characters>
  <Application>Microsoft Office Word</Application>
  <DocSecurity>0</DocSecurity>
  <Lines>39</Lines>
  <Paragraphs>11</Paragraphs>
  <ScaleCrop>false</ScaleCrop>
  <HeadingPairs>
    <vt:vector size="6" baseType="variant">
      <vt:variant>
        <vt:lpstr>Title</vt:lpstr>
      </vt:variant>
      <vt:variant>
        <vt:i4>1</vt:i4>
      </vt:variant>
      <vt:variant>
        <vt:lpstr>제목</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Vu Toan Thang</cp:lastModifiedBy>
  <cp:revision>6</cp:revision>
  <cp:lastPrinted>2015-05-12T18:31:00Z</cp:lastPrinted>
  <dcterms:created xsi:type="dcterms:W3CDTF">2019-01-15T17:10:00Z</dcterms:created>
  <dcterms:modified xsi:type="dcterms:W3CDTF">2019-01-16T02:06:00Z</dcterms:modified>
</cp:coreProperties>
</file>