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07BC44" w14:textId="77777777" w:rsidR="000C0AF8" w:rsidRPr="000A03B2" w:rsidRDefault="000C0AF8" w:rsidP="000C0AF8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C0AF8" w:rsidRPr="000A03B2" w:rsidSect="000C0AF8">
          <w:headerReference w:type="default" r:id="rId7"/>
          <w:headerReference w:type="first" r:id="rId8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41CE30A1" w14:textId="67B6AFEB" w:rsidR="000C0AF8" w:rsidRPr="00DE0019" w:rsidRDefault="000C0AF8" w:rsidP="000C0AF8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Effect </w:t>
      </w:r>
      <w:r w:rsidR="00CB7B83">
        <w:rPr>
          <w:rFonts w:asciiTheme="minorHAnsi" w:eastAsia="MS PGothic" w:hAnsiTheme="minorHAnsi"/>
          <w:b/>
          <w:bCs/>
          <w:sz w:val="28"/>
          <w:szCs w:val="28"/>
          <w:lang w:val="en-US"/>
        </w:rPr>
        <w:t>of Surfactant on Velocity and Oxygen Mass Transfer of a Single Bubble Rising in a Liquid.</w:t>
      </w:r>
    </w:p>
    <w:p w14:paraId="1E2C659C" w14:textId="77777777" w:rsidR="000C0AF8" w:rsidRPr="00A111FD" w:rsidRDefault="000C0AF8" w:rsidP="000C0AF8">
      <w:pPr>
        <w:snapToGrid w:val="0"/>
        <w:spacing w:after="120"/>
        <w:jc w:val="center"/>
        <w:rPr>
          <w:rFonts w:eastAsia="SimSun"/>
          <w:color w:val="000000"/>
          <w:lang w:val="fr-FR" w:eastAsia="zh-CN"/>
        </w:rPr>
      </w:pPr>
      <w:bookmarkStart w:id="0" w:name="_GoBack"/>
      <w:r w:rsidRPr="00AB39BA">
        <w:rPr>
          <w:rFonts w:asciiTheme="minorHAnsi" w:eastAsia="SimSun" w:hAnsiTheme="minorHAnsi"/>
          <w:color w:val="000000"/>
          <w:sz w:val="24"/>
          <w:szCs w:val="24"/>
          <w:u w:val="single"/>
          <w:lang w:val="fr-FR" w:eastAsia="zh-CN"/>
        </w:rPr>
        <w:t>Gaëlle Lebrun</w:t>
      </w:r>
      <w:proofErr w:type="gramStart"/>
      <w:r w:rsidRPr="00AB39BA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fr-FR" w:eastAsia="zh-CN"/>
        </w:rPr>
        <w:t>1</w:t>
      </w:r>
      <w:bookmarkEnd w:id="0"/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,*</w:t>
      </w:r>
      <w:proofErr w:type="gramEnd"/>
      <w:r w:rsidRPr="00A111FD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,</w:t>
      </w:r>
      <w:proofErr w:type="spellStart"/>
      <w:r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Feishi</w:t>
      </w:r>
      <w:proofErr w:type="spellEnd"/>
      <w:r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 xml:space="preserve"> Xu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1</w:t>
      </w:r>
      <w:r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,</w:t>
      </w:r>
      <w:r w:rsidRPr="00A111FD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Gilles Hébrard</w:t>
      </w:r>
      <w:r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1</w:t>
      </w:r>
      <w:r w:rsidRPr="00A111FD">
        <w:rPr>
          <w:rFonts w:eastAsia="SimSun"/>
          <w:color w:val="000000"/>
          <w:lang w:val="fr-FR" w:eastAsia="zh-CN"/>
        </w:rPr>
        <w:t xml:space="preserve"> </w:t>
      </w:r>
      <w:r w:rsidRPr="007A672F">
        <w:rPr>
          <w:rFonts w:eastAsia="SimSun"/>
          <w:color w:val="000000"/>
          <w:lang w:val="fr-FR" w:eastAsia="zh-CN"/>
        </w:rPr>
        <w:t xml:space="preserve">and </w:t>
      </w:r>
      <w:r w:rsidRPr="008B1D82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Nicolas Dietrich</w:t>
      </w:r>
      <w:r w:rsidRPr="008B1D82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r-FR" w:eastAsia="zh-CN"/>
        </w:rPr>
        <w:t>1</w:t>
      </w:r>
    </w:p>
    <w:p w14:paraId="2842D256" w14:textId="77777777" w:rsidR="000C0AF8" w:rsidRDefault="000C0AF8" w:rsidP="000C0AF8">
      <w:pPr>
        <w:snapToGrid w:val="0"/>
        <w:jc w:val="center"/>
        <w:rPr>
          <w:rFonts w:eastAsia="MS PGothic"/>
          <w:i/>
          <w:iCs/>
          <w:color w:val="000000"/>
          <w:sz w:val="20"/>
          <w:lang w:val="fr-FR"/>
        </w:rPr>
      </w:pPr>
      <w:r w:rsidRPr="007A672F">
        <w:rPr>
          <w:rFonts w:eastAsia="MS PGothic"/>
          <w:i/>
          <w:iCs/>
          <w:color w:val="000000"/>
          <w:sz w:val="20"/>
          <w:lang w:val="fr-FR"/>
        </w:rPr>
        <w:t xml:space="preserve">LISBP, Université de Toulouse, CNRS, INRA, INSA, Toulouse, </w:t>
      </w:r>
      <w:r>
        <w:rPr>
          <w:rFonts w:eastAsia="MS PGothic"/>
          <w:i/>
          <w:iCs/>
          <w:color w:val="000000"/>
          <w:sz w:val="20"/>
          <w:lang w:val="fr-FR"/>
        </w:rPr>
        <w:t>France</w:t>
      </w:r>
    </w:p>
    <w:p w14:paraId="268BFDB8" w14:textId="77777777" w:rsidR="000C0AF8" w:rsidRPr="00DE0019" w:rsidRDefault="000C0AF8" w:rsidP="000C0AF8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Gaelle.Lebrun@insa-toulouse.fr</w:t>
      </w:r>
    </w:p>
    <w:p w14:paraId="63913277" w14:textId="77777777" w:rsidR="000C0AF8" w:rsidRPr="00EC66CC" w:rsidRDefault="000C0AF8" w:rsidP="000C0AF8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5449E907" w14:textId="77777777" w:rsidR="000C0AF8" w:rsidRPr="00EC66CC" w:rsidRDefault="00087075" w:rsidP="000C0AF8">
      <w:pPr>
        <w:pStyle w:val="AbstractBody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Effect of contaminant on hydrodynamic of a bubble rising in a liquid</w:t>
      </w:r>
      <w:r w:rsidR="000C0AF8" w:rsidRPr="00EC66CC">
        <w:rPr>
          <w:rFonts w:asciiTheme="minorHAnsi" w:hAnsiTheme="minorHAnsi"/>
        </w:rPr>
        <w:t>.</w:t>
      </w:r>
    </w:p>
    <w:p w14:paraId="327D9DAA" w14:textId="77777777" w:rsidR="000C0AF8" w:rsidRDefault="000C0AF8" w:rsidP="00087075">
      <w:pPr>
        <w:pStyle w:val="AbstractBody"/>
        <w:numPr>
          <w:ilvl w:val="0"/>
          <w:numId w:val="1"/>
        </w:numPr>
        <w:rPr>
          <w:rFonts w:asciiTheme="minorHAnsi" w:hAnsiTheme="minorHAnsi"/>
        </w:rPr>
      </w:pPr>
      <w:r>
        <w:rPr>
          <w:rFonts w:asciiTheme="minorHAnsi" w:hAnsiTheme="minorHAnsi"/>
        </w:rPr>
        <w:t>Combined effects of polymer and surfactant on oxygen mass transfer</w:t>
      </w:r>
      <w:r w:rsidRPr="00EC66CC">
        <w:rPr>
          <w:rFonts w:asciiTheme="minorHAnsi" w:hAnsiTheme="minorHAnsi"/>
        </w:rPr>
        <w:t xml:space="preserve">. </w:t>
      </w:r>
    </w:p>
    <w:p w14:paraId="181660B8" w14:textId="77777777" w:rsidR="00087075" w:rsidRPr="00087075" w:rsidRDefault="00087075" w:rsidP="00087075">
      <w:pPr>
        <w:pStyle w:val="AbstractBody"/>
        <w:ind w:left="1440"/>
        <w:rPr>
          <w:rFonts w:asciiTheme="minorHAnsi" w:hAnsiTheme="minorHAnsi"/>
        </w:rPr>
      </w:pPr>
    </w:p>
    <w:p w14:paraId="2D894424" w14:textId="77777777" w:rsidR="000C0AF8" w:rsidRDefault="000C0AF8" w:rsidP="000C0AF8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0607F5FE" w14:textId="77777777" w:rsidR="000C0AF8" w:rsidRDefault="000C0AF8" w:rsidP="000C0AF8">
      <w:pPr>
        <w:snapToGrid w:val="0"/>
        <w:spacing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Dispersion of bubble</w:t>
      </w:r>
      <w:r w:rsidR="00A51CDE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liquid for oxygen transfer found applications in a wide range of fields such as medicine (oxygenation of blood) or environment (wastewater treatment). It is known that presence of surface-active agent in liquid lead to an inhibition of gas-liquid mass transfer [1]. Indeed, they can affect the oxygen mass transfer from a bubble via the modification of the hydrodynamic of the bubble such as its velocity, shape and diameter, but also by affecting directly the diffusion coefficient of oxygen [2]. Although researches about this subject increased, interfacial phenomenon that occurs during the mass transfer is not clearly understood. Surface contamination by surfactant of a bubble rising in a liquid is a time dependent parameter. Indeed, the kinetic of adsorption depends on the diffusion coefficient of the surfactant which is linked to the nature of both surfactant and bulk [3], improvement of the knowledge about contamination kinetic could be useful for a better understanding of interfacial phenomena. </w:t>
      </w:r>
    </w:p>
    <w:p w14:paraId="7A74CDBD" w14:textId="77777777" w:rsidR="000C0AF8" w:rsidRDefault="000C0AF8" w:rsidP="000C0AF8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aim of this study is to highlight the effect </w:t>
      </w:r>
      <w:r w:rsidR="00A51CDE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surfactant</w:t>
      </w:r>
      <w:r w:rsidR="00912763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A51C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in different bulk</w:t>
      </w:r>
      <w:r w:rsidR="00912763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 the bubble hydrodynamic and mass transfer. For that purpose, </w:t>
      </w:r>
      <w:r w:rsidR="00A51CDE">
        <w:rPr>
          <w:rFonts w:asciiTheme="minorHAnsi" w:eastAsia="MS PGothic" w:hAnsiTheme="minorHAnsi"/>
          <w:color w:val="000000"/>
          <w:sz w:val="22"/>
          <w:szCs w:val="22"/>
          <w:lang w:val="en-US"/>
        </w:rPr>
        <w:t>we studied hydrodynamic of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bubble</w:t>
      </w:r>
      <w:r w:rsidR="00A51CDE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</w:t>
      </w:r>
      <w:r w:rsidR="00A51CDE">
        <w:rPr>
          <w:rFonts w:asciiTheme="minorHAnsi" w:eastAsia="MS PGothic" w:hAnsiTheme="minorHAnsi"/>
          <w:color w:val="000000"/>
          <w:sz w:val="22"/>
          <w:szCs w:val="22"/>
          <w:lang w:val="en-US"/>
        </w:rPr>
        <w:t>different liquids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composition</w:t>
      </w:r>
      <w:r w:rsidR="00A51CDE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51C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compared with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pure water. In addition, to link </w:t>
      </w:r>
      <w:r w:rsidR="003A2DC0">
        <w:rPr>
          <w:rFonts w:asciiTheme="minorHAnsi" w:eastAsia="MS PGothic" w:hAnsiTheme="minorHAnsi"/>
          <w:color w:val="000000"/>
          <w:sz w:val="22"/>
          <w:szCs w:val="22"/>
          <w:lang w:val="en-US"/>
        </w:rPr>
        <w:t>this phenomenon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mass transfer, the same solutions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has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been used and mass transfer of oxygen has been determined by Planar Laser Induced Fluorescence </w:t>
      </w:r>
      <w:r w:rsidR="00A51CD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Inhibition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(PLIF</w:t>
      </w:r>
      <w:r w:rsidR="00A51CDE">
        <w:rPr>
          <w:rFonts w:asciiTheme="minorHAnsi" w:eastAsia="MS PGothic" w:hAnsiTheme="minorHAnsi"/>
          <w:color w:val="000000"/>
          <w:sz w:val="22"/>
          <w:szCs w:val="22"/>
          <w:lang w:val="en-US"/>
        </w:rPr>
        <w:t>-I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method [4]. This method has already been used in literature to identify an important decrease of mass transfer when polymer [5] and surfactant [1] are added to </w:t>
      </w:r>
      <w:r w:rsidR="003A2DC0">
        <w:rPr>
          <w:rFonts w:asciiTheme="minorHAnsi" w:eastAsia="MS PGothic" w:hAnsiTheme="minorHAnsi"/>
          <w:color w:val="000000"/>
          <w:sz w:val="22"/>
          <w:szCs w:val="22"/>
          <w:lang w:val="en-US"/>
        </w:rPr>
        <w:t>water;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here the combined effect of each has been investigated. </w:t>
      </w:r>
    </w:p>
    <w:p w14:paraId="6E05BBE6" w14:textId="77777777" w:rsidR="000C0AF8" w:rsidRDefault="000C0AF8" w:rsidP="000C0AF8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6D066AA7" w14:textId="77777777" w:rsidR="000C0AF8" w:rsidRDefault="000C0AF8" w:rsidP="000C0AF8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column where oxygen transfer occurred was filled with the different compositions: pure water, surfactant (SDS and Triton X-100), polymer (polyacrylamide and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polyalkylene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glycol) and surfactant mixed. Surfactants were characterized by their composition, density, static and dynamic surface tensions.  The liquid has been deoxygenized with nitrogen before each experiment. A single bubble was generated with a syringe pump and injected through a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stainless steel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needle into the column. To excite fluorescence, horizontal laser sheet was generated by a laser (</w:t>
      </w:r>
      <w:proofErr w:type="spellStart"/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Nd:YAG</w:t>
      </w:r>
      <w:proofErr w:type="spellEnd"/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laser: DANTEC Dynamics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Dualpower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200-15, 15Hz, 2</w:t>
      </w:r>
      <m:oMath>
        <m:r>
          <w:rPr>
            <w:rFonts w:ascii="Cambria Math" w:eastAsia="MS PGothic" w:hAnsi="Cambria Math"/>
            <w:color w:val="000000"/>
            <w:sz w:val="22"/>
            <w:szCs w:val="22"/>
            <w:lang w:val="en-US"/>
          </w:rPr>
          <m:t>×</m:t>
        </m:r>
      </m:oMath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200 mJ) . The image of fluorescence in the wake of the bubble were recorded by a Charged Coupled Device camera (CCD camera: DANTEC Dynamics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flowsense CM, 12 bits, 15 fps, 2048</w:t>
      </w:r>
      <m:oMath>
        <m:r>
          <w:rPr>
            <w:rFonts w:ascii="Cambria Math" w:eastAsia="MS PGothic" w:hAnsi="Cambria Math"/>
            <w:color w:val="000000"/>
            <w:sz w:val="22"/>
            <w:szCs w:val="22"/>
            <w:lang w:val="en-US"/>
          </w:rPr>
          <m:t>×</m:t>
        </m:r>
      </m:oMath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2048 pixels) located at the bottom of the column and focused on the laser sheet. In order to avoid recording the light provided by the laser sheet, a 570 nm high pass filter was placed in front of the lens.  The fluorophore used was ruthenium complex (C</w:t>
      </w:r>
      <w:r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36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24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Cl</w:t>
      </w:r>
      <w:r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N</w:t>
      </w:r>
      <w:r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6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Ru;xH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 , Sigma-Aldrich) at a concentration of 70 mg/L. The hydrodynamics properties of bubbles in the column where obtained from the sequences of images recorded by a high speed camera (Photon SA3, 8 bits, 2000 fps, 1024</w:t>
      </w:r>
      <m:oMath>
        <m:r>
          <w:rPr>
            <w:rFonts w:ascii="Cambria Math" w:eastAsia="MS PGothic" w:hAnsi="Cambria Math"/>
            <w:color w:val="000000"/>
            <w:sz w:val="22"/>
            <w:szCs w:val="22"/>
            <w:lang w:val="en-US"/>
          </w:rPr>
          <m:t>×</m:t>
        </m:r>
      </m:oMath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1024 pixels), and ima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ges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recorded gave access to the velocity, the shape and the diameter of bubble along the column.</w:t>
      </w:r>
    </w:p>
    <w:p w14:paraId="2A366B80" w14:textId="77777777" w:rsidR="006B3115" w:rsidRDefault="000C0AF8" w:rsidP="000C0AF8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04C6D775" w14:textId="77777777" w:rsidR="000C0AF8" w:rsidRDefault="000C0AF8" w:rsidP="000C0AF8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each solution prepared, the diameter, the shape, </w:t>
      </w:r>
      <w:r w:rsidR="007B1B01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contamination have been determin</w:t>
      </w:r>
      <w:r w:rsidR="0008707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ed, along with </w:t>
      </w:r>
      <w:proofErr w:type="spellStart"/>
      <w:r w:rsidR="00087075">
        <w:rPr>
          <w:rFonts w:asciiTheme="minorHAnsi" w:eastAsia="MS PGothic" w:hAnsiTheme="minorHAnsi"/>
          <w:color w:val="000000"/>
          <w:sz w:val="22"/>
          <w:szCs w:val="22"/>
          <w:lang w:val="en-US"/>
        </w:rPr>
        <w:t>adimensional</w:t>
      </w:r>
      <w:proofErr w:type="spellEnd"/>
      <w:r w:rsidR="0008707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numbers (Reynolds, Schmidt, </w:t>
      </w:r>
      <w:proofErr w:type="spellStart"/>
      <w:r w:rsidR="00087075">
        <w:rPr>
          <w:rFonts w:asciiTheme="minorHAnsi" w:eastAsia="MS PGothic" w:hAnsiTheme="minorHAnsi"/>
          <w:color w:val="000000"/>
          <w:sz w:val="22"/>
          <w:szCs w:val="22"/>
          <w:lang w:val="en-US"/>
        </w:rPr>
        <w:t>Scherwood</w:t>
      </w:r>
      <w:proofErr w:type="spellEnd"/>
      <w:r w:rsidR="00087075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 In these last solutions, results obtained from the PLIF</w:t>
      </w:r>
      <w:r w:rsidR="00A51CDE">
        <w:rPr>
          <w:rFonts w:asciiTheme="minorHAnsi" w:eastAsia="MS PGothic" w:hAnsiTheme="minorHAnsi"/>
          <w:color w:val="000000"/>
          <w:sz w:val="22"/>
          <w:szCs w:val="22"/>
          <w:lang w:val="en-US"/>
        </w:rPr>
        <w:t>-I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method allow to quantify the flux of oxygen in the wake of the bubble and thus the diffusion coefficient.</w:t>
      </w:r>
      <w:r w:rsidR="0008707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results showed a drastic change in the hydrodynamic parameters of solutions, </w:t>
      </w:r>
      <w:r w:rsidR="007B1B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accompanied by a decrease of amount of oxygen transferred when surfactant </w:t>
      </w:r>
      <w:proofErr w:type="gramStart"/>
      <w:r w:rsidR="007B1B01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</w:t>
      </w:r>
      <w:proofErr w:type="gramEnd"/>
      <w:r w:rsidR="007B1B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present in the solution. We calculated a division by 20 of the mass transfer </w:t>
      </w:r>
      <w:proofErr w:type="gramStart"/>
      <w:r w:rsidR="007B1B01">
        <w:rPr>
          <w:rFonts w:asciiTheme="minorHAnsi" w:eastAsia="MS PGothic" w:hAnsiTheme="minorHAnsi"/>
          <w:color w:val="000000"/>
          <w:sz w:val="22"/>
          <w:szCs w:val="22"/>
          <w:lang w:val="en-US"/>
        </w:rPr>
        <w:t>coefficient</w:t>
      </w:r>
      <w:proofErr w:type="gramEnd"/>
      <w:r w:rsidR="007B1B0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when triton X-100 is added to water at a concentration lower than the CMC. This effect was even more marked when polymer and surfactant were both added to water. </w:t>
      </w:r>
    </w:p>
    <w:p w14:paraId="5B4461B1" w14:textId="77777777" w:rsidR="006B3115" w:rsidRDefault="000C0AF8" w:rsidP="000C0AF8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6964BA5C" w14:textId="77777777" w:rsidR="000C0AF8" w:rsidRDefault="007B1B01" w:rsidP="000C0AF8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Our experimental set up allowed us to visualize in the same times changes in hydrodynamics conditions of bubble</w:t>
      </w:r>
      <w:r w:rsidR="006B3115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rising in liquid</w:t>
      </w:r>
      <w:r w:rsidR="006B3115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oxygen mass transfer. </w:t>
      </w:r>
      <w:r w:rsidR="000C0A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effect of both polymer and surfactant </w:t>
      </w:r>
      <w:r w:rsidR="006B31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have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been studied and </w:t>
      </w:r>
      <w:r w:rsidR="006B31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showed a drastic decrease of the amount of oxygen transferred. This can be explained by changes in hydrodynamic conditions, but </w:t>
      </w:r>
      <w:proofErr w:type="gramStart"/>
      <w:r w:rsidR="006B3115">
        <w:rPr>
          <w:rFonts w:asciiTheme="minorHAnsi" w:eastAsia="MS PGothic" w:hAnsiTheme="minorHAnsi"/>
          <w:color w:val="000000"/>
          <w:sz w:val="22"/>
          <w:szCs w:val="22"/>
          <w:lang w:val="en-US"/>
        </w:rPr>
        <w:t>others</w:t>
      </w:r>
      <w:proofErr w:type="gramEnd"/>
      <w:r w:rsidR="006B311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effects can play a role in this diminution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 R</w:t>
      </w:r>
      <w:r w:rsidR="000C0AF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esults highlighted the importance of improving our knowledge about the interface and organization of surfactant in this area for a better understanding of gas-liquid mass transfer phenomenon. </w:t>
      </w:r>
    </w:p>
    <w:p w14:paraId="584E4D50" w14:textId="77777777" w:rsidR="000C0AF8" w:rsidRPr="007A672F" w:rsidRDefault="000C0AF8" w:rsidP="000C0AF8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7A672F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 xml:space="preserve">Acknowledgment </w:t>
      </w:r>
    </w:p>
    <w:p w14:paraId="4EF8D37F" w14:textId="77777777" w:rsidR="000C0AF8" w:rsidRPr="008D0BEB" w:rsidRDefault="000C0AF8" w:rsidP="000C0AF8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7A672F"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  <w:t>This work benefited from the support of the project MAMOTHS ANR-17-CE06-0001 of the French National Research Agency (ANR).</w:t>
      </w:r>
    </w:p>
    <w:p w14:paraId="3AD69C62" w14:textId="77777777" w:rsidR="000C0AF8" w:rsidRPr="00C8518A" w:rsidRDefault="000C0AF8" w:rsidP="000C0AF8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0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14:paraId="563A2EFF" w14:textId="77777777" w:rsidR="000C0AF8" w:rsidRPr="008008FA" w:rsidRDefault="000C0AF8" w:rsidP="000C0AF8">
      <w:pPr>
        <w:pStyle w:val="FirstParagraph"/>
        <w:numPr>
          <w:ilvl w:val="0"/>
          <w:numId w:val="2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fr-FR"/>
        </w:rPr>
      </w:pPr>
      <w:r w:rsidRPr="008008FA">
        <w:rPr>
          <w:rFonts w:asciiTheme="minorHAnsi" w:hAnsiTheme="minorHAnsi"/>
          <w:color w:val="000000"/>
          <w:lang w:val="fr-FR"/>
        </w:rPr>
        <w:t xml:space="preserve">M. Jimenez, Etude du transfert de matière gaz/liquide en milieux </w:t>
      </w:r>
      <w:proofErr w:type="gramStart"/>
      <w:r w:rsidRPr="008008FA">
        <w:rPr>
          <w:rFonts w:asciiTheme="minorHAnsi" w:hAnsiTheme="minorHAnsi"/>
          <w:color w:val="000000"/>
          <w:lang w:val="fr-FR"/>
        </w:rPr>
        <w:t>complexes:</w:t>
      </w:r>
      <w:proofErr w:type="gramEnd"/>
      <w:r w:rsidRPr="008008FA">
        <w:rPr>
          <w:rFonts w:asciiTheme="minorHAnsi" w:hAnsiTheme="minorHAnsi"/>
          <w:color w:val="000000"/>
          <w:lang w:val="fr-FR"/>
        </w:rPr>
        <w:t xml:space="preserve"> quantification du transfert de l’oxygène par techniques optiques, INSA, 2013.</w:t>
      </w:r>
      <w:r>
        <w:rPr>
          <w:rFonts w:asciiTheme="minorHAnsi" w:hAnsiTheme="minorHAnsi"/>
          <w:color w:val="000000"/>
          <w:lang w:val="fr-FR"/>
        </w:rPr>
        <w:t xml:space="preserve"> </w:t>
      </w:r>
      <w:r w:rsidRPr="008008FA">
        <w:rPr>
          <w:rFonts w:asciiTheme="minorHAnsi" w:hAnsiTheme="minorHAnsi"/>
          <w:color w:val="000000"/>
          <w:lang w:val="fr-FR"/>
        </w:rPr>
        <w:t xml:space="preserve">  </w:t>
      </w:r>
    </w:p>
    <w:p w14:paraId="1129CCD9" w14:textId="77777777" w:rsidR="000C0AF8" w:rsidRPr="008D0BEB" w:rsidRDefault="000C0AF8" w:rsidP="000C0AF8">
      <w:pPr>
        <w:pStyle w:val="FirstParagraph"/>
        <w:numPr>
          <w:ilvl w:val="0"/>
          <w:numId w:val="2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G. </w:t>
      </w:r>
      <w:proofErr w:type="spellStart"/>
      <w:r>
        <w:rPr>
          <w:rFonts w:asciiTheme="minorHAnsi" w:hAnsiTheme="minorHAnsi"/>
          <w:color w:val="000000"/>
        </w:rPr>
        <w:t>Hebrard</w:t>
      </w:r>
      <w:proofErr w:type="spellEnd"/>
      <w:r>
        <w:rPr>
          <w:rFonts w:asciiTheme="minorHAnsi" w:hAnsiTheme="minorHAnsi"/>
          <w:color w:val="000000"/>
        </w:rPr>
        <w:t xml:space="preserve">, J. Zeng, K. </w:t>
      </w:r>
      <w:proofErr w:type="spellStart"/>
      <w:r>
        <w:rPr>
          <w:rFonts w:asciiTheme="minorHAnsi" w:hAnsiTheme="minorHAnsi"/>
          <w:color w:val="000000"/>
        </w:rPr>
        <w:t>Loubiere</w:t>
      </w:r>
      <w:proofErr w:type="spellEnd"/>
      <w:r>
        <w:rPr>
          <w:rFonts w:asciiTheme="minorHAnsi" w:hAnsiTheme="minorHAnsi"/>
          <w:color w:val="000000"/>
        </w:rPr>
        <w:t>, Chem. Eng. J. 148 (2009) 132-138.</w:t>
      </w:r>
    </w:p>
    <w:p w14:paraId="0BA45D01" w14:textId="77777777" w:rsidR="000C0AF8" w:rsidRDefault="000C0AF8" w:rsidP="000C0AF8">
      <w:pPr>
        <w:pStyle w:val="FirstParagraph"/>
        <w:numPr>
          <w:ilvl w:val="0"/>
          <w:numId w:val="2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B. </w:t>
      </w:r>
      <w:proofErr w:type="spellStart"/>
      <w:r>
        <w:rPr>
          <w:rFonts w:asciiTheme="minorHAnsi" w:hAnsiTheme="minorHAnsi"/>
          <w:color w:val="000000"/>
        </w:rPr>
        <w:t>Zhmud</w:t>
      </w:r>
      <w:proofErr w:type="spellEnd"/>
      <w:r>
        <w:rPr>
          <w:rFonts w:asciiTheme="minorHAnsi" w:hAnsiTheme="minorHAnsi"/>
          <w:color w:val="000000"/>
        </w:rPr>
        <w:t xml:space="preserve">, F. </w:t>
      </w:r>
      <w:proofErr w:type="spellStart"/>
      <w:r>
        <w:rPr>
          <w:rFonts w:asciiTheme="minorHAnsi" w:hAnsiTheme="minorHAnsi"/>
          <w:color w:val="000000"/>
        </w:rPr>
        <w:t>Tiberg</w:t>
      </w:r>
      <w:proofErr w:type="spellEnd"/>
      <w:r>
        <w:rPr>
          <w:rFonts w:asciiTheme="minorHAnsi" w:hAnsiTheme="minorHAnsi"/>
          <w:color w:val="000000"/>
        </w:rPr>
        <w:t>, Advances in Colloid and Interface Science 113 (2005) 21-42.</w:t>
      </w:r>
    </w:p>
    <w:p w14:paraId="3B909D5F" w14:textId="77777777" w:rsidR="000C0AF8" w:rsidRDefault="000C0AF8" w:rsidP="000C0AF8">
      <w:pPr>
        <w:pStyle w:val="FirstParagraph"/>
        <w:numPr>
          <w:ilvl w:val="0"/>
          <w:numId w:val="2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fr-FR"/>
        </w:rPr>
      </w:pPr>
      <w:r w:rsidRPr="00C8518A">
        <w:rPr>
          <w:rFonts w:asciiTheme="minorHAnsi" w:hAnsiTheme="minorHAnsi"/>
          <w:color w:val="000000"/>
          <w:lang w:val="fr-FR"/>
        </w:rPr>
        <w:t xml:space="preserve">J. François, N. Dietrich, P. </w:t>
      </w:r>
      <w:r>
        <w:rPr>
          <w:rFonts w:asciiTheme="minorHAnsi" w:hAnsiTheme="minorHAnsi"/>
          <w:color w:val="000000"/>
          <w:lang w:val="fr-FR"/>
        </w:rPr>
        <w:t xml:space="preserve">Guiraud, A. Cockx, </w:t>
      </w:r>
      <w:proofErr w:type="spellStart"/>
      <w:r>
        <w:rPr>
          <w:rFonts w:asciiTheme="minorHAnsi" w:hAnsiTheme="minorHAnsi"/>
          <w:color w:val="000000"/>
          <w:lang w:val="fr-FR"/>
        </w:rPr>
        <w:t>Chem</w:t>
      </w:r>
      <w:proofErr w:type="spellEnd"/>
      <w:r>
        <w:rPr>
          <w:rFonts w:asciiTheme="minorHAnsi" w:hAnsiTheme="minorHAnsi"/>
          <w:color w:val="000000"/>
          <w:lang w:val="fr-FR"/>
        </w:rPr>
        <w:t>. Eng. S. 66 (2011) 3328-3338.</w:t>
      </w:r>
    </w:p>
    <w:p w14:paraId="35F20D38" w14:textId="77777777" w:rsidR="000C0AF8" w:rsidRPr="006B3115" w:rsidRDefault="000C0AF8" w:rsidP="006B3115">
      <w:pPr>
        <w:pStyle w:val="FirstParagraph"/>
        <w:numPr>
          <w:ilvl w:val="0"/>
          <w:numId w:val="2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  <w:lang w:val="fr-FR"/>
        </w:rPr>
      </w:pPr>
      <w:r w:rsidRPr="00AE65A0">
        <w:rPr>
          <w:rFonts w:asciiTheme="minorHAnsi" w:hAnsiTheme="minorHAnsi"/>
          <w:color w:val="000000"/>
        </w:rPr>
        <w:t xml:space="preserve">F. Xu, A. </w:t>
      </w:r>
      <w:proofErr w:type="spellStart"/>
      <w:r w:rsidRPr="00AE65A0">
        <w:rPr>
          <w:rFonts w:asciiTheme="minorHAnsi" w:hAnsiTheme="minorHAnsi"/>
          <w:color w:val="000000"/>
        </w:rPr>
        <w:t>Cockx</w:t>
      </w:r>
      <w:proofErr w:type="spellEnd"/>
      <w:r w:rsidRPr="00AE65A0">
        <w:rPr>
          <w:rFonts w:asciiTheme="minorHAnsi" w:hAnsiTheme="minorHAnsi"/>
          <w:color w:val="000000"/>
        </w:rPr>
        <w:t xml:space="preserve">, G. </w:t>
      </w:r>
      <w:proofErr w:type="spellStart"/>
      <w:r w:rsidRPr="00AE65A0">
        <w:rPr>
          <w:rFonts w:asciiTheme="minorHAnsi" w:hAnsiTheme="minorHAnsi"/>
          <w:color w:val="000000"/>
        </w:rPr>
        <w:t>Hebrard</w:t>
      </w:r>
      <w:proofErr w:type="spellEnd"/>
      <w:r w:rsidRPr="00AE65A0">
        <w:rPr>
          <w:rFonts w:asciiTheme="minorHAnsi" w:hAnsiTheme="minorHAnsi"/>
          <w:color w:val="000000"/>
        </w:rPr>
        <w:t xml:space="preserve">, N. Dietrich, Ind. Eng. </w:t>
      </w:r>
      <w:proofErr w:type="spellStart"/>
      <w:r w:rsidRPr="005C4F63">
        <w:rPr>
          <w:rFonts w:asciiTheme="minorHAnsi" w:hAnsiTheme="minorHAnsi"/>
          <w:color w:val="000000"/>
          <w:lang w:val="fr-FR"/>
        </w:rPr>
        <w:t>Chem</w:t>
      </w:r>
      <w:proofErr w:type="spellEnd"/>
      <w:r w:rsidRPr="005C4F63">
        <w:rPr>
          <w:rFonts w:asciiTheme="minorHAnsi" w:hAnsiTheme="minorHAnsi"/>
          <w:color w:val="000000"/>
          <w:lang w:val="fr-FR"/>
        </w:rPr>
        <w:t xml:space="preserve">. </w:t>
      </w:r>
      <w:proofErr w:type="spellStart"/>
      <w:r w:rsidRPr="005C4F63">
        <w:rPr>
          <w:rFonts w:asciiTheme="minorHAnsi" w:hAnsiTheme="minorHAnsi"/>
          <w:color w:val="000000"/>
          <w:lang w:val="fr-FR"/>
        </w:rPr>
        <w:t>Res</w:t>
      </w:r>
      <w:proofErr w:type="spellEnd"/>
      <w:r w:rsidRPr="005C4F63">
        <w:rPr>
          <w:rFonts w:asciiTheme="minorHAnsi" w:hAnsiTheme="minorHAnsi"/>
          <w:color w:val="000000"/>
          <w:lang w:val="fr-FR"/>
        </w:rPr>
        <w:t>. 57 (2018) 15181-15194</w:t>
      </w:r>
      <w:r>
        <w:rPr>
          <w:rFonts w:asciiTheme="minorHAnsi" w:hAnsiTheme="minorHAnsi"/>
          <w:color w:val="000000"/>
          <w:lang w:val="fr-FR"/>
        </w:rPr>
        <w:t>.</w:t>
      </w:r>
    </w:p>
    <w:p w14:paraId="21F1F0AB" w14:textId="77777777" w:rsidR="00BA79B5" w:rsidRDefault="00BA79B5"/>
    <w:sectPr w:rsidR="00BA79B5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D52B6" w14:textId="77777777" w:rsidR="005F5959" w:rsidRDefault="005F5959">
      <w:pPr>
        <w:spacing w:line="240" w:lineRule="auto"/>
      </w:pPr>
      <w:r>
        <w:separator/>
      </w:r>
    </w:p>
  </w:endnote>
  <w:endnote w:type="continuationSeparator" w:id="0">
    <w:p w14:paraId="3D8F206F" w14:textId="77777777" w:rsidR="005F5959" w:rsidRDefault="005F59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51F4C3" w14:textId="77777777" w:rsidR="005F5959" w:rsidRDefault="005F5959">
      <w:pPr>
        <w:spacing w:line="240" w:lineRule="auto"/>
      </w:pPr>
      <w:r>
        <w:separator/>
      </w:r>
    </w:p>
  </w:footnote>
  <w:footnote w:type="continuationSeparator" w:id="0">
    <w:p w14:paraId="78CE74EA" w14:textId="77777777" w:rsidR="005F5959" w:rsidRDefault="005F595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0B43E" w14:textId="77777777" w:rsidR="004D1162" w:rsidRDefault="000C0AF8">
    <w:pPr>
      <w:pStyle w:val="Intestazion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12F0F63" wp14:editId="056E09B5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25E7C1" id="Connettore 1 8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" strokecolor="#002060" strokeweight="1pt">
              <v:stroke joinstyle="miter"/>
            </v:line>
          </w:pict>
        </mc:Fallback>
      </mc:AlternateContent>
    </w:r>
    <w:r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697715D5" wp14:editId="188D70BE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0CE5C" w14:textId="77777777" w:rsidR="00704BDF" w:rsidRPr="00DE0019" w:rsidRDefault="000C0AF8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052AF3E1" wp14:editId="5BDAC3D2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th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EUROPEAN CONGRESS OF 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2019</w:t>
    </w:r>
  </w:p>
  <w:p w14:paraId="1FC94F01" w14:textId="77777777" w:rsidR="00704BDF" w:rsidRDefault="005F5959">
    <w:pPr>
      <w:pStyle w:val="Intestazione"/>
    </w:pPr>
  </w:p>
  <w:p w14:paraId="08E899F5" w14:textId="77777777" w:rsidR="00704BDF" w:rsidRDefault="000C0AF8">
    <w:pPr>
      <w:pStyle w:val="Intestazion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973B42" wp14:editId="2EC9495D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C158E5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" strokecolor="#002060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AF8"/>
    <w:rsid w:val="000460C1"/>
    <w:rsid w:val="00087075"/>
    <w:rsid w:val="000C0AF8"/>
    <w:rsid w:val="00157071"/>
    <w:rsid w:val="003A2DC0"/>
    <w:rsid w:val="005F5959"/>
    <w:rsid w:val="00605E6B"/>
    <w:rsid w:val="006B3115"/>
    <w:rsid w:val="006B3354"/>
    <w:rsid w:val="007B1B01"/>
    <w:rsid w:val="007D3AE9"/>
    <w:rsid w:val="00912763"/>
    <w:rsid w:val="00A51CDE"/>
    <w:rsid w:val="00AB39BA"/>
    <w:rsid w:val="00BA79B5"/>
    <w:rsid w:val="00CB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9A251"/>
  <w15:chartTrackingRefBased/>
  <w15:docId w15:val="{14952D48-35B8-4A9A-8FBC-BF23EF0F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0C0AF8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Normale"/>
    <w:link w:val="CETAuthorsCarattere"/>
    <w:rsid w:val="000C0AF8"/>
    <w:pPr>
      <w:keepNext/>
      <w:suppressAutoHyphens/>
      <w:spacing w:after="120"/>
    </w:pPr>
    <w:rPr>
      <w:noProof/>
      <w:sz w:val="24"/>
    </w:rPr>
  </w:style>
  <w:style w:type="character" w:customStyle="1" w:styleId="CETAuthorsCarattere">
    <w:name w:val="CET Authors Carattere"/>
    <w:link w:val="CETAuthors"/>
    <w:rsid w:val="000C0AF8"/>
    <w:rPr>
      <w:rFonts w:ascii="Arial" w:eastAsia="Times New Roman" w:hAnsi="Arial" w:cs="Times New Roman"/>
      <w:noProof/>
      <w:sz w:val="24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0C0AF8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0AF8"/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AbstractBody">
    <w:name w:val="Abstract Body"/>
    <w:basedOn w:val="Normale"/>
    <w:rsid w:val="000C0AF8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0C0AF8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0C0AF8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 de Toulouse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Gaelle Lebrun</dc:creator>
  <cp:keywords/>
  <dc:description/>
  <cp:lastModifiedBy>Sauro Pierucci</cp:lastModifiedBy>
  <cp:revision>6</cp:revision>
  <dcterms:created xsi:type="dcterms:W3CDTF">2019-06-12T07:31:00Z</dcterms:created>
  <dcterms:modified xsi:type="dcterms:W3CDTF">2019-08-22T10:09:00Z</dcterms:modified>
</cp:coreProperties>
</file>