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D93DC5" w:rsidRDefault="00FB4151" w:rsidP="00852F88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Development of </w:t>
      </w:r>
      <w:r w:rsidR="005969F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Multi-site </w:t>
      </w:r>
      <w:proofErr w:type="spellStart"/>
      <w:r w:rsidR="005969FE">
        <w:rPr>
          <w:rFonts w:asciiTheme="minorHAnsi" w:eastAsia="MS PGothic" w:hAnsiTheme="minorHAnsi"/>
          <w:b/>
          <w:bCs/>
          <w:sz w:val="28"/>
          <w:szCs w:val="28"/>
          <w:lang w:val="en-US"/>
        </w:rPr>
        <w:t>Microkinetic</w:t>
      </w:r>
      <w:proofErr w:type="spellEnd"/>
      <w:r w:rsidR="005969F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odel</w:t>
      </w:r>
      <w:r w:rsidR="005969FE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for</w:t>
      </w:r>
      <w:r w:rsidR="00852F88">
        <w:rPr>
          <w:rFonts w:asciiTheme="minorHAnsi" w:eastAsia="MS PGothic" w:hAnsiTheme="minorHAnsi"/>
          <w:b/>
          <w:bCs/>
          <w:sz w:val="28"/>
          <w:szCs w:val="28"/>
          <w:lang w:val="en-US"/>
        </w:rPr>
        <w:t> t</w:t>
      </w:r>
      <w:r w:rsidR="00976F07">
        <w:rPr>
          <w:rFonts w:asciiTheme="minorHAnsi" w:eastAsia="MS PGothic" w:hAnsiTheme="minorHAnsi"/>
          <w:b/>
          <w:bCs/>
          <w:sz w:val="28"/>
          <w:szCs w:val="28"/>
          <w:lang w:val="en-US"/>
        </w:rPr>
        <w:t>he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Methanol Synthesis </w:t>
      </w:r>
      <w:r w:rsidR="005969FE">
        <w:rPr>
          <w:rFonts w:asciiTheme="minorHAnsi" w:eastAsia="MS PGothic" w:hAnsiTheme="minorHAnsi"/>
          <w:b/>
          <w:bCs/>
          <w:sz w:val="28"/>
          <w:szCs w:val="28"/>
          <w:lang w:val="en-US"/>
        </w:rPr>
        <w:t>Catalyst</w:t>
      </w:r>
      <w:r w:rsidR="00A411C6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bookmarkStart w:id="0" w:name="_GoBack"/>
      <w:bookmarkEnd w:id="0"/>
    </w:p>
    <w:p w:rsidR="00DE0019" w:rsidRPr="00E21A8F" w:rsidRDefault="00A97A81" w:rsidP="00704BDF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</w:pPr>
      <w:proofErr w:type="spellStart"/>
      <w:r w:rsidRPr="00E21A8F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>Anže</w:t>
      </w:r>
      <w:proofErr w:type="spellEnd"/>
      <w:r w:rsidRPr="00E21A8F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 xml:space="preserve"> Prašnikar</w:t>
      </w:r>
      <w:r w:rsidR="00704BDF" w:rsidRPr="00E21A8F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r w:rsidR="00736B13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="00A411C6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Damjan</w:t>
      </w:r>
      <w:proofErr w:type="spellEnd"/>
      <w:r w:rsidR="00A411C6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Lašič</w:t>
      </w:r>
      <w:r w:rsidRPr="00E21A8F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35289F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</w:t>
      </w:r>
      <w:r w:rsidR="00A411C6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="00A411C6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Venkata</w:t>
      </w:r>
      <w:proofErr w:type="spellEnd"/>
      <w:r w:rsidR="00A411C6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Dasireddy</w:t>
      </w:r>
      <w:r w:rsidR="00A411C6" w:rsidRPr="00E21A8F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A411C6"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,</w:t>
      </w:r>
      <w:r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Blaž</w:t>
      </w:r>
      <w:proofErr w:type="spellEnd"/>
      <w:r w:rsidRPr="00E21A8F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Likozar</w:t>
      </w:r>
      <w:r w:rsidRPr="00E21A8F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</w:p>
    <w:p w:rsidR="00704BDF" w:rsidRPr="00E21A8F" w:rsidRDefault="00704BDF" w:rsidP="00704BDF">
      <w:pPr>
        <w:snapToGrid w:val="0"/>
        <w:spacing w:after="120"/>
        <w:jc w:val="center"/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</w:pPr>
      <w:r w:rsidRPr="00E21A8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1</w:t>
      </w:r>
      <w:r w:rsidR="00976F07" w:rsidRPr="00E21A8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Department of Catalysis and Chemical Reaction Engineering, National Institute of Chemistry, </w:t>
      </w:r>
      <w:proofErr w:type="spellStart"/>
      <w:r w:rsidR="00976F07" w:rsidRPr="00E21A8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>Hajdrihova</w:t>
      </w:r>
      <w:proofErr w:type="spellEnd"/>
      <w:r w:rsidR="00976F07" w:rsidRPr="00E21A8F">
        <w:rPr>
          <w:rFonts w:asciiTheme="minorHAnsi" w:eastAsia="MS PGothic" w:hAnsiTheme="minorHAnsi" w:cstheme="minorHAnsi"/>
          <w:i/>
          <w:iCs/>
          <w:color w:val="000000"/>
          <w:sz w:val="20"/>
          <w:lang w:val="en-US"/>
        </w:rPr>
        <w:t xml:space="preserve"> 19, SI-1000 Ljubljana, Slovenia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A97A81">
        <w:rPr>
          <w:rFonts w:asciiTheme="minorHAnsi" w:eastAsia="MS PGothic" w:hAnsiTheme="minorHAnsi"/>
          <w:bCs/>
          <w:i/>
          <w:iCs/>
          <w:sz w:val="20"/>
          <w:lang w:val="en-US"/>
        </w:rPr>
        <w:t>anze.prasnikar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A97A81">
        <w:rPr>
          <w:rFonts w:asciiTheme="minorHAnsi" w:eastAsia="MS PGothic" w:hAnsiTheme="minorHAnsi"/>
          <w:bCs/>
          <w:i/>
          <w:iCs/>
          <w:sz w:val="20"/>
          <w:lang w:val="en-US"/>
        </w:rPr>
        <w:t>ki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A97A81">
        <w:rPr>
          <w:rFonts w:asciiTheme="minorHAnsi" w:eastAsia="MS PGothic" w:hAnsiTheme="minorHAnsi"/>
          <w:bCs/>
          <w:i/>
          <w:iCs/>
          <w:sz w:val="20"/>
          <w:lang w:val="en-US"/>
        </w:rPr>
        <w:t>si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A411C6" w:rsidRDefault="00A411C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Tested </w:t>
      </w:r>
      <w:proofErr w:type="spellStart"/>
      <w:r>
        <w:rPr>
          <w:rFonts w:asciiTheme="minorHAnsi" w:hAnsiTheme="minorHAnsi"/>
        </w:rPr>
        <w:t>Cu</w:t>
      </w:r>
      <w:proofErr w:type="gramStart"/>
      <w:r>
        <w:rPr>
          <w:rFonts w:asciiTheme="minorHAnsi" w:hAnsiTheme="minorHAnsi"/>
        </w:rPr>
        <w:t>:M:Ti</w:t>
      </w:r>
      <w:proofErr w:type="spellEnd"/>
      <w:proofErr w:type="gramEnd"/>
      <w:r>
        <w:rPr>
          <w:rFonts w:asciiTheme="minorHAnsi" w:hAnsiTheme="minorHAnsi"/>
        </w:rPr>
        <w:t xml:space="preserve"> oxide catalysts (M=</w:t>
      </w:r>
      <w:proofErr w:type="spellStart"/>
      <w:r>
        <w:rPr>
          <w:rFonts w:asciiTheme="minorHAnsi" w:hAnsiTheme="minorHAnsi"/>
        </w:rPr>
        <w:t>Sr</w:t>
      </w:r>
      <w:proofErr w:type="spellEnd"/>
      <w:r>
        <w:rPr>
          <w:rFonts w:asciiTheme="minorHAnsi" w:hAnsiTheme="minorHAnsi"/>
        </w:rPr>
        <w:t xml:space="preserve">, Ba, Ca) with various compositions. </w:t>
      </w:r>
    </w:p>
    <w:p w:rsidR="00704BDF" w:rsidRPr="00EC66CC" w:rsidRDefault="00D93DC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Investigated structural </w:t>
      </w:r>
      <w:r w:rsidR="00A411C6">
        <w:rPr>
          <w:rFonts w:asciiTheme="minorHAnsi" w:hAnsiTheme="minorHAnsi"/>
        </w:rPr>
        <w:t>properties by CO</w:t>
      </w:r>
      <w:r w:rsidR="00A411C6" w:rsidRPr="00A411C6">
        <w:rPr>
          <w:rFonts w:asciiTheme="minorHAnsi" w:hAnsiTheme="minorHAnsi"/>
          <w:vertAlign w:val="subscript"/>
        </w:rPr>
        <w:t>2</w:t>
      </w:r>
      <w:r w:rsidR="00A411C6">
        <w:rPr>
          <w:rFonts w:asciiTheme="minorHAnsi" w:hAnsiTheme="minorHAnsi"/>
        </w:rPr>
        <w:t xml:space="preserve"> TPD, N</w:t>
      </w:r>
      <w:r w:rsidR="00A411C6" w:rsidRPr="00A411C6">
        <w:rPr>
          <w:rFonts w:asciiTheme="minorHAnsi" w:hAnsiTheme="minorHAnsi"/>
          <w:vertAlign w:val="subscript"/>
        </w:rPr>
        <w:t>2</w:t>
      </w:r>
      <w:r w:rsidR="00A411C6">
        <w:rPr>
          <w:rFonts w:asciiTheme="minorHAnsi" w:hAnsiTheme="minorHAnsi"/>
        </w:rPr>
        <w:t>O chemisorption and other techniques.</w:t>
      </w:r>
    </w:p>
    <w:p w:rsidR="00704BDF" w:rsidRDefault="00EA2AF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="00A411C6">
        <w:rPr>
          <w:rFonts w:asciiTheme="minorHAnsi" w:hAnsiTheme="minorHAnsi"/>
        </w:rPr>
        <w:t xml:space="preserve">opper particle size and basicity </w:t>
      </w:r>
      <w:r>
        <w:rPr>
          <w:rFonts w:asciiTheme="minorHAnsi" w:hAnsiTheme="minorHAnsi"/>
        </w:rPr>
        <w:t>important for the methanol synthesis.</w:t>
      </w:r>
    </w:p>
    <w:p w:rsidR="00EA2AF2" w:rsidRPr="00EC66CC" w:rsidRDefault="00EA2AF2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Observed trends incorporated into the multi-site </w:t>
      </w:r>
      <w:proofErr w:type="spellStart"/>
      <w:r>
        <w:rPr>
          <w:rFonts w:asciiTheme="minorHAnsi" w:hAnsiTheme="minorHAnsi"/>
        </w:rPr>
        <w:t>microkinetic</w:t>
      </w:r>
      <w:proofErr w:type="spellEnd"/>
      <w:r>
        <w:rPr>
          <w:rFonts w:asciiTheme="minorHAnsi" w:hAnsiTheme="minorHAnsi"/>
        </w:rPr>
        <w:t xml:space="preserve"> model.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4E11C1" w:rsidRPr="004E11C1" w:rsidRDefault="00704BDF" w:rsidP="004E11C1">
      <w:pPr>
        <w:pStyle w:val="ListParagraph"/>
        <w:numPr>
          <w:ilvl w:val="0"/>
          <w:numId w:val="18"/>
        </w:num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4E11C1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Introduction</w:t>
      </w:r>
    </w:p>
    <w:p w:rsidR="006F1C79" w:rsidRDefault="00EE770E" w:rsidP="005969F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Methanol is important industrial chemical with the annual production of 110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Mton</w:t>
      </w:r>
      <w:proofErr w:type="spellEnd"/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[1</w:t>
      </w:r>
      <w:r w:rsidR="005969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</w:t>
      </w:r>
      <w:r w:rsidR="005969FE" w:rsidRPr="005969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A2A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Development of new catalysts with </w:t>
      </w:r>
      <w:r w:rsidR="00DE2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enhanced properties is a key for an efficient methanol synthesis. Additionally, </w:t>
      </w:r>
      <w:proofErr w:type="spellStart"/>
      <w:r w:rsidR="00DE29DA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microkinetic</w:t>
      </w:r>
      <w:proofErr w:type="spellEnd"/>
      <w:r w:rsidR="00DE2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models </w:t>
      </w:r>
      <w:r w:rsidR="006F1C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built on trends from experimental work, with reaction rate constants from </w:t>
      </w:r>
      <w:r w:rsidR="00DE29DA">
        <w:rPr>
          <w:rFonts w:asciiTheme="minorHAnsi" w:eastAsia="MS PGothic" w:hAnsiTheme="minorHAnsi"/>
          <w:color w:val="000000"/>
          <w:sz w:val="22"/>
          <w:szCs w:val="22"/>
          <w:lang w:val="en-US"/>
        </w:rPr>
        <w:t>quantum chemical calculation</w:t>
      </w:r>
      <w:r w:rsidR="005B2F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[2]</w:t>
      </w:r>
      <w:r w:rsidR="00DE29D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6F1C7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can be used to obtain insights into catalytic reaction mechanisms and for further plant operation optimization. </w:t>
      </w:r>
    </w:p>
    <w:p w:rsidR="006F1C79" w:rsidRDefault="006F1C79" w:rsidP="005969F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beneficial </w:t>
      </w:r>
      <w:r w:rsidR="00976F07">
        <w:rPr>
          <w:rFonts w:asciiTheme="minorHAnsi" w:eastAsia="MS PGothic" w:hAnsiTheme="minorHAnsi"/>
          <w:color w:val="000000"/>
          <w:sz w:val="22"/>
          <w:szCs w:val="22"/>
          <w:lang w:val="en-US"/>
        </w:rPr>
        <w:t>influence of the basicity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the copper catalyst </w:t>
      </w:r>
      <w:r w:rsidR="001F34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methanol </w:t>
      </w:r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synthesis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976F0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previously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reported </w:t>
      </w:r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[</w:t>
      </w:r>
      <w:r w:rsidR="005B2F8B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proofErr w:type="gramStart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5B2F8B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proofErr w:type="gramEnd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]. In our work we prepared and tested different </w:t>
      </w:r>
      <w:proofErr w:type="spellStart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Cu</w:t>
      </w:r>
      <w:proofErr w:type="gramStart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:M:Ti</w:t>
      </w:r>
      <w:proofErr w:type="spellEnd"/>
      <w:proofErr w:type="gramEnd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oxide (M=</w:t>
      </w:r>
      <w:proofErr w:type="spellStart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Sr</w:t>
      </w:r>
      <w:proofErr w:type="spellEnd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Ba, Ca) catalysts. Catalysts were characterized by 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A64819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physisorption</w:t>
      </w:r>
      <w:proofErr w:type="spellEnd"/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</w:t>
      </w:r>
      <w:r w:rsidR="001D67D5" w:rsidRPr="001D67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>O pulse chemisorption, CO</w:t>
      </w:r>
      <w:r w:rsidR="001D67D5" w:rsidRPr="001D67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1D67D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TPD</w:t>
      </w:r>
      <w:r w:rsidR="00A02B9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A64819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TPR</w:t>
      </w:r>
      <w:r w:rsidR="00A02B9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D874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 investigated structure-activity relationship for the preparation of the </w:t>
      </w:r>
      <w:proofErr w:type="spellStart"/>
      <w:r w:rsidR="00D874DD">
        <w:rPr>
          <w:rFonts w:asciiTheme="minorHAnsi" w:eastAsia="MS PGothic" w:hAnsiTheme="minorHAnsi"/>
          <w:color w:val="000000"/>
          <w:sz w:val="22"/>
          <w:szCs w:val="22"/>
          <w:lang w:val="en-US"/>
        </w:rPr>
        <w:t>microkinetic</w:t>
      </w:r>
      <w:proofErr w:type="spellEnd"/>
      <w:r w:rsidR="00D874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model</w:t>
      </w:r>
      <w:r w:rsidR="005B2F8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 </w:t>
      </w:r>
    </w:p>
    <w:p w:rsidR="006F1C79" w:rsidRDefault="006F1C79" w:rsidP="005969FE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8D0BEB" w:rsidRDefault="001D67D5" w:rsidP="00704BDF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Catalysts were prepared by solution combustion synthesis with citric acid and </w:t>
      </w:r>
      <w:r w:rsidR="005D4735">
        <w:rPr>
          <w:rFonts w:asciiTheme="minorHAnsi" w:eastAsia="MS PGothic" w:hAnsiTheme="minorHAnsi"/>
          <w:color w:val="000000"/>
          <w:sz w:val="22"/>
          <w:szCs w:val="22"/>
          <w:lang w:val="en-US"/>
        </w:rPr>
        <w:t>calcined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650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°C. We pelletized powders and reduced them at 300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for 12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h. 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 the catalytic tests, the temperature was varied at pressure 20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bar, GHSV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= 6000, 12000 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1/h and inlet gas composition H</w:t>
      </w:r>
      <w:r w:rsidR="00A64819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:CO</w:t>
      </w:r>
      <w:r w:rsidR="00A64819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52F8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 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3:1. Outlet gas composition was determinate using gas chromatography. N</w:t>
      </w:r>
      <w:r w:rsidR="00A64819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physisorption</w:t>
      </w:r>
      <w:proofErr w:type="spellEnd"/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performed using ASAP 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2020, H</w:t>
      </w:r>
      <w:r w:rsidR="00A64819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TPR was </w:t>
      </w:r>
      <w:r w:rsidR="001F342B">
        <w:rPr>
          <w:rFonts w:asciiTheme="minorHAnsi" w:eastAsia="MS PGothic" w:hAnsiTheme="minorHAnsi"/>
          <w:color w:val="000000"/>
          <w:sz w:val="22"/>
          <w:szCs w:val="22"/>
          <w:lang w:val="en-US"/>
        </w:rPr>
        <w:t>executed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50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mL/min </w:t>
      </w:r>
      <w:r w:rsidR="005D47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10%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A64819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proofErr w:type="spellStart"/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>Ar</w:t>
      </w:r>
      <w:proofErr w:type="spellEnd"/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 with heating rate of 10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°C/min from 60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to 300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°C, 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N</w:t>
      </w:r>
      <w:r w:rsidR="00A64819" w:rsidRPr="001D67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pulse chemisorption was performed after 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H</w:t>
      </w:r>
      <w:r w:rsidR="00CE5487" w:rsidRPr="00CE54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852F8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TPR, in the 20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mL/min </w:t>
      </w:r>
      <w:r w:rsidR="005D473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flow of </w:t>
      </w:r>
      <w:proofErr w:type="spellStart"/>
      <w:r w:rsidR="005D4735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proofErr w:type="spellEnd"/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90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°C. The consumption of N</w:t>
      </w:r>
      <w:r w:rsidR="00CE5487" w:rsidRPr="00CE548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 was </w:t>
      </w:r>
      <w:r w:rsidR="005D473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determine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d using daily calibrated mass spectrometer.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</w:t>
      </w:r>
      <w:r w:rsidR="00A64819" w:rsidRPr="001D67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6481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TPD were p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erformed from -40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to 600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 with heating rate of 20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°C/min in the 20</w:t>
      </w:r>
      <w:r w:rsidR="00852F88">
        <w:rPr>
          <w:rFonts w:asciiTheme="minorHAnsi" w:eastAsia="MS PGothic" w:hAnsiTheme="minorHAnsi"/>
          <w:color w:val="000000"/>
          <w:sz w:val="22"/>
          <w:szCs w:val="22"/>
          <w:lang w:val="en-US"/>
        </w:rPr>
        <w:t> 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mL/min of He. Mass spectrometer was also used to analyze results. N</w:t>
      </w:r>
      <w:r w:rsidR="00CE5487" w:rsidRPr="001D67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O pulse chemisorption, CO</w:t>
      </w:r>
      <w:r w:rsidR="00CE5487" w:rsidRPr="001D67D5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TPD and H</w:t>
      </w:r>
      <w:r w:rsidR="00CE5487" w:rsidRPr="00A6481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TPR were performed on </w:t>
      </w:r>
      <w:proofErr w:type="spellStart"/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Autochem</w:t>
      </w:r>
      <w:proofErr w:type="spellEnd"/>
      <w:r w:rsidR="00CE54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2920.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3. Results and discussion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500"/>
      </w:tblGrid>
      <w:tr w:rsidR="006A78DB" w:rsidTr="00976F07">
        <w:tc>
          <w:tcPr>
            <w:tcW w:w="9003" w:type="dxa"/>
            <w:gridSpan w:val="2"/>
          </w:tcPr>
          <w:p w:rsidR="00901779" w:rsidRDefault="00901779" w:rsidP="00484552">
            <w:pPr>
              <w:snapToGrid w:val="0"/>
              <w:spacing w:after="120"/>
              <w:jc w:val="left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Methanol and carbon monoxide </w:t>
            </w:r>
            <w:r w:rsidR="00814DD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production at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220</w:t>
            </w:r>
            <w:r w:rsidR="00484552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 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°C and 20</w:t>
            </w:r>
            <w:r w:rsidR="00484552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 </w:t>
            </w:r>
            <w:proofErr w:type="gramStart"/>
            <w:r w:rsidR="005D4735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bar</w:t>
            </w:r>
            <w:proofErr w:type="gramEnd"/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were used and </w:t>
            </w:r>
            <w:r w:rsidR="00814DD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normalized to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copper surface area obtained from N</w:t>
            </w:r>
            <w:r w:rsidRPr="00814DD1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O pulse chemisorption</w:t>
            </w:r>
            <w:r w:rsidR="006E2647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to calcul</w:t>
            </w:r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ate turnover frequency (TOF)</w:t>
            </w:r>
            <w:r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. </w:t>
            </w:r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We tested catalysts at various copper loadings (Figure 1), different </w:t>
            </w:r>
            <w:proofErr w:type="spellStart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Sr</w:t>
            </w:r>
            <w:proofErr w:type="spellEnd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/</w:t>
            </w:r>
            <w:proofErr w:type="spellStart"/>
            <w:proofErr w:type="gramStart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Ti</w:t>
            </w:r>
            <w:proofErr w:type="spellEnd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 ratio</w:t>
            </w:r>
            <w:proofErr w:type="gramEnd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(Figure 2) and different earth alkaline metals (Ca, </w:t>
            </w:r>
            <w:proofErr w:type="spellStart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Sr</w:t>
            </w:r>
            <w:proofErr w:type="spellEnd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Ti</w:t>
            </w:r>
            <w:proofErr w:type="spellEnd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) (Figure 3). We observe, that at different Cu loading</w:t>
            </w:r>
            <w:r w:rsidR="00814DD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s</w:t>
            </w:r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, Cu particle size increase which increases TOF for </w:t>
            </w:r>
            <w:proofErr w:type="spellStart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MeOH</w:t>
            </w:r>
            <w:proofErr w:type="spellEnd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, while TOF for CO remains constant. This suggests that larger copper particles expose surfaces, which are more</w:t>
            </w:r>
            <w:r w:rsidR="00814DD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selective for</w:t>
            </w:r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MeOH</w:t>
            </w:r>
            <w:proofErr w:type="spellEnd"/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</w:t>
            </w:r>
            <w:r w:rsidR="00814DD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synthesis</w:t>
            </w:r>
            <w:r w:rsidR="001545E6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. Turnover frequency for </w:t>
            </w:r>
            <w:proofErr w:type="spellStart"/>
            <w:r w:rsidR="007B43A9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MeOH</w:t>
            </w:r>
            <w:proofErr w:type="spellEnd"/>
            <w:r w:rsidR="007B43A9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increases with increasing </w:t>
            </w:r>
            <w:proofErr w:type="spellStart"/>
            <w:r w:rsidR="007B43A9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Sr</w:t>
            </w:r>
            <w:proofErr w:type="spellEnd"/>
            <w:r w:rsidR="007B43A9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/</w:t>
            </w:r>
            <w:proofErr w:type="spellStart"/>
            <w:r w:rsidR="007B43A9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Ti</w:t>
            </w:r>
            <w:proofErr w:type="spellEnd"/>
            <w:r w:rsidR="007B43A9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ratio,</w:t>
            </w:r>
            <w:r w:rsidR="00FB415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while CO TOF remains almost constant. This suggests that </w:t>
            </w:r>
            <w:proofErr w:type="spellStart"/>
            <w:r w:rsidR="00FB415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Sr</w:t>
            </w:r>
            <w:proofErr w:type="spellEnd"/>
            <w:r w:rsidR="00FB415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promotes adsorption of CO</w:t>
            </w:r>
            <w:r w:rsidR="00FB4151" w:rsidRPr="00FB4151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</w:rPr>
              <w:t>2</w:t>
            </w:r>
            <w:r w:rsidR="00FB415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and further reaction with adsorbed H* species through Langmuir-Hinshelwood mechanism. Much larger </w:t>
            </w:r>
            <w:r w:rsidR="00D874D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benefits are obtained using Ca, </w:t>
            </w:r>
            <w:r w:rsidR="00814DD1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which much</w:t>
            </w:r>
            <w:r w:rsidR="00D874D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strongly </w:t>
            </w:r>
            <w:r w:rsidR="00976F07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adsorbs</w:t>
            </w:r>
            <w:r w:rsidR="00D874D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CO</w:t>
            </w:r>
            <w:r w:rsidR="00D874DD" w:rsidRPr="00D874DD">
              <w:rPr>
                <w:rFonts w:asciiTheme="minorHAnsi" w:eastAsia="MS PGothic" w:hAnsiTheme="minorHAnsi"/>
                <w:color w:val="000000"/>
                <w:sz w:val="22"/>
                <w:szCs w:val="22"/>
                <w:vertAlign w:val="subscript"/>
              </w:rPr>
              <w:t>2</w:t>
            </w:r>
            <w:r w:rsidR="00D874D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. Therefore for the development of the </w:t>
            </w:r>
            <w:proofErr w:type="spellStart"/>
            <w:r w:rsidR="00D874D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microkinetic</w:t>
            </w:r>
            <w:proofErr w:type="spellEnd"/>
            <w:r w:rsidR="00D874D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model is important incorporation of multiple site</w:t>
            </w:r>
            <w:r w:rsidR="006E2647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s</w:t>
            </w:r>
            <w:r w:rsidR="00D874DD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>, such as basic sites with various copper metal sites.</w:t>
            </w:r>
          </w:p>
        </w:tc>
      </w:tr>
      <w:tr w:rsidR="00293E04" w:rsidTr="00976F07">
        <w:trPr>
          <w:trHeight w:val="3805"/>
        </w:trPr>
        <w:tc>
          <w:tcPr>
            <w:tcW w:w="4503" w:type="dxa"/>
          </w:tcPr>
          <w:p w:rsidR="006A78DB" w:rsidRPr="00DE0019" w:rsidRDefault="006A78DB" w:rsidP="006A78DB">
            <w:pPr>
              <w:snapToGrid w:val="0"/>
              <w:spacing w:line="240" w:lineRule="auto"/>
              <w:jc w:val="right"/>
              <w:rPr>
                <w:rFonts w:asciiTheme="minorHAnsi" w:eastAsia="MS PGothic" w:hAnsiTheme="minorHAnsi"/>
                <w:color w:val="000000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415299B7" wp14:editId="18DFCB23">
                  <wp:extent cx="2628900" cy="2009775"/>
                  <wp:effectExtent l="0" t="0" r="0" b="0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293E04" w:rsidRPr="00D874DD" w:rsidRDefault="006A78DB" w:rsidP="00D874DD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Influence of copper loading on TOF for </w:t>
            </w:r>
            <w:proofErr w:type="spellStart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MeOH</w:t>
            </w:r>
            <w:proofErr w:type="spellEnd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and CO at constant </w:t>
            </w:r>
            <w:proofErr w:type="spellStart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Sr</w:t>
            </w:r>
            <w:proofErr w:type="spellEnd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proofErr w:type="spellStart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Ti</w:t>
            </w:r>
            <w:proofErr w:type="spellEnd"/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.</w:t>
            </w:r>
            <w:r w:rsidR="0090177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(GHSV=6000 1/h)</w:t>
            </w:r>
          </w:p>
        </w:tc>
        <w:tc>
          <w:tcPr>
            <w:tcW w:w="4500" w:type="dxa"/>
          </w:tcPr>
          <w:p w:rsidR="00293E04" w:rsidRPr="00DE0019" w:rsidRDefault="00293E04" w:rsidP="00293E04">
            <w:pPr>
              <w:snapToGrid w:val="0"/>
              <w:spacing w:after="120"/>
              <w:jc w:val="right"/>
              <w:rPr>
                <w:rFonts w:asciiTheme="minorHAnsi" w:eastAsia="MS PGothic" w:hAnsiTheme="minorHAnsi"/>
                <w:color w:val="000000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5C80C665" wp14:editId="5347F1DF">
                  <wp:extent cx="2819400" cy="1933575"/>
                  <wp:effectExtent l="0" t="0" r="0" b="0"/>
                  <wp:docPr id="2" name="Chart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293E04" w:rsidRPr="00293E04" w:rsidRDefault="00293E04" w:rsidP="001545E6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 w:rsidR="006A78DB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Influence of </w:t>
            </w:r>
            <w:proofErr w:type="spellStart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Sr</w:t>
            </w:r>
            <w:proofErr w:type="spellEnd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/</w:t>
            </w:r>
            <w:proofErr w:type="spellStart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Ti</w:t>
            </w:r>
            <w:proofErr w:type="spellEnd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ratio on TOF for </w:t>
            </w:r>
            <w:proofErr w:type="spellStart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MeOH</w:t>
            </w:r>
            <w:proofErr w:type="spellEnd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and CO at constant copper loading </w:t>
            </w:r>
            <w:r w:rsidR="001545E6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5</w:t>
            </w:r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0 </w:t>
            </w:r>
            <w:proofErr w:type="spellStart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wt</w:t>
            </w:r>
            <w:proofErr w:type="spellEnd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%.</w:t>
            </w:r>
            <w:r w:rsidR="0090177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(GHSV=6000 1/h)</w:t>
            </w:r>
          </w:p>
        </w:tc>
      </w:tr>
      <w:tr w:rsidR="00293E04" w:rsidTr="00976F07">
        <w:tc>
          <w:tcPr>
            <w:tcW w:w="4503" w:type="dxa"/>
          </w:tcPr>
          <w:p w:rsidR="007B43A9" w:rsidRPr="008D0BEB" w:rsidRDefault="007B43A9" w:rsidP="007B43A9">
            <w:pPr>
              <w:snapToGrid w:val="0"/>
              <w:spacing w:before="240" w:line="300" w:lineRule="auto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 w:eastAsia="ko-KR"/>
              </w:rPr>
            </w:pPr>
            <w:r w:rsidRPr="008D0BEB">
              <w:rPr>
                <w:rFonts w:asciiTheme="minorHAnsi" w:eastAsia="MS PGothic" w:hAnsiTheme="minorHAnsi"/>
                <w:b/>
                <w:bCs/>
                <w:color w:val="000000"/>
                <w:sz w:val="22"/>
                <w:szCs w:val="22"/>
                <w:lang w:val="en-US"/>
              </w:rPr>
              <w:t>4. Conclusion</w:t>
            </w:r>
            <w:r w:rsidRPr="008D0BEB">
              <w:rPr>
                <w:rFonts w:asciiTheme="minorHAnsi" w:eastAsia="MS PGothic" w:hAnsiTheme="minorHAnsi"/>
                <w:b/>
                <w:bCs/>
                <w:color w:val="000000"/>
                <w:sz w:val="22"/>
                <w:szCs w:val="22"/>
                <w:lang w:val="en-US" w:eastAsia="ko-KR"/>
              </w:rPr>
              <w:t>s</w:t>
            </w:r>
          </w:p>
          <w:p w:rsidR="007B43A9" w:rsidRPr="008D0BEB" w:rsidRDefault="00D874DD" w:rsidP="007B43A9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</w:pPr>
            <w:r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Important catalyst properties were investigated to obtain structure-</w:t>
            </w:r>
            <w:r w:rsidR="006E2647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activity relationships. We found out that the basic sites importantly influence the catalyst activity and should be included into </w:t>
            </w:r>
            <w:proofErr w:type="spellStart"/>
            <w:r w:rsidR="006E2647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>microkinetic</w:t>
            </w:r>
            <w:proofErr w:type="spellEnd"/>
            <w:r w:rsidR="006E2647">
              <w:rPr>
                <w:rFonts w:asciiTheme="minorHAnsi" w:eastAsia="MS PGothic" w:hAnsiTheme="minorHAnsi"/>
                <w:color w:val="000000"/>
                <w:sz w:val="22"/>
                <w:szCs w:val="22"/>
                <w:lang w:val="en-US"/>
              </w:rPr>
              <w:t xml:space="preserve"> model, beside copper sites.</w:t>
            </w:r>
          </w:p>
          <w:p w:rsidR="00293E04" w:rsidRDefault="00293E04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</w:p>
        </w:tc>
        <w:tc>
          <w:tcPr>
            <w:tcW w:w="4500" w:type="dxa"/>
          </w:tcPr>
          <w:p w:rsidR="00293E04" w:rsidRPr="00DE0019" w:rsidRDefault="00293E04" w:rsidP="00293E04">
            <w:pPr>
              <w:snapToGrid w:val="0"/>
              <w:spacing w:after="120"/>
              <w:jc w:val="right"/>
              <w:rPr>
                <w:rFonts w:asciiTheme="minorHAnsi" w:eastAsia="MS PGothic" w:hAnsiTheme="minorHAnsi"/>
                <w:color w:val="000000"/>
              </w:rPr>
            </w:pPr>
            <w:r>
              <w:rPr>
                <w:noProof/>
                <w:lang w:val="sl-SI" w:eastAsia="sl-SI"/>
              </w:rPr>
              <w:drawing>
                <wp:inline distT="0" distB="0" distL="0" distR="0" wp14:anchorId="2836951A" wp14:editId="5102DC03">
                  <wp:extent cx="2714625" cy="1581150"/>
                  <wp:effectExtent l="0" t="0" r="0" b="0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293E04" w:rsidRPr="00D874DD" w:rsidRDefault="00293E04" w:rsidP="00D874DD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Figure </w:t>
            </w:r>
            <w:r w:rsidR="006A78DB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3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Influence of different earth alkaline metals for </w:t>
            </w:r>
            <w:proofErr w:type="spellStart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Cu</w:t>
            </w:r>
            <w:proofErr w:type="gramStart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:M:Ti</w:t>
            </w:r>
            <w:proofErr w:type="spellEnd"/>
            <w:proofErr w:type="gramEnd"/>
            <w:r w:rsidR="006A78DB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=5:3:2.</w:t>
            </w:r>
            <w:r w:rsidR="0090177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(GHSV=12000 1/h)</w:t>
            </w:r>
          </w:p>
        </w:tc>
      </w:tr>
    </w:tbl>
    <w:p w:rsidR="00704BDF" w:rsidRPr="008D0BEB" w:rsidRDefault="005B2F8B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Default="00EE770E" w:rsidP="005B2F8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EE770E">
        <w:rPr>
          <w:rFonts w:asciiTheme="minorHAnsi" w:hAnsiTheme="minorHAnsi"/>
          <w:color w:val="000000"/>
        </w:rPr>
        <w:t>https://www.methanol.org/the-methanol-industry/</w:t>
      </w:r>
      <w:r w:rsidR="00704BDF" w:rsidRPr="008D0BEB">
        <w:rPr>
          <w:rFonts w:asciiTheme="minorHAnsi" w:hAnsiTheme="minorHAnsi"/>
          <w:color w:val="000000"/>
        </w:rPr>
        <w:t xml:space="preserve">W. Black, E.B. White, The Elements of Science, third ed., </w:t>
      </w:r>
      <w:proofErr w:type="spellStart"/>
      <w:r w:rsidR="00704BDF" w:rsidRPr="008D0BEB">
        <w:rPr>
          <w:rFonts w:asciiTheme="minorHAnsi" w:hAnsiTheme="minorHAnsi"/>
          <w:color w:val="000000"/>
        </w:rPr>
        <w:t>MacCluski</w:t>
      </w:r>
      <w:proofErr w:type="spellEnd"/>
      <w:r w:rsidR="00704BDF" w:rsidRPr="008D0BEB">
        <w:rPr>
          <w:rFonts w:asciiTheme="minorHAnsi" w:hAnsiTheme="minorHAnsi"/>
          <w:color w:val="000000"/>
        </w:rPr>
        <w:t xml:space="preserve">, New York, 1987. </w:t>
      </w:r>
      <w:r w:rsidR="00D01153">
        <w:rPr>
          <w:rFonts w:asciiTheme="minorHAnsi" w:hAnsiTheme="minorHAnsi"/>
          <w:color w:val="000000"/>
        </w:rPr>
        <w:t>Accessed on 10.1.2019.</w:t>
      </w:r>
    </w:p>
    <w:p w:rsidR="005B2F8B" w:rsidRPr="005B2F8B" w:rsidRDefault="005B2F8B" w:rsidP="005B2F8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5B2F8B">
        <w:rPr>
          <w:rFonts w:asciiTheme="minorHAnsi" w:hAnsiTheme="minorHAnsi"/>
          <w:color w:val="000000"/>
        </w:rPr>
        <w:t xml:space="preserve">M. </w:t>
      </w:r>
      <w:proofErr w:type="spellStart"/>
      <w:r w:rsidRPr="005B2F8B">
        <w:rPr>
          <w:rFonts w:asciiTheme="minorHAnsi" w:hAnsiTheme="minorHAnsi"/>
          <w:color w:val="000000"/>
        </w:rPr>
        <w:t>Huš</w:t>
      </w:r>
      <w:proofErr w:type="gramStart"/>
      <w:r w:rsidRPr="005B2F8B">
        <w:rPr>
          <w:rFonts w:asciiTheme="minorHAnsi" w:hAnsiTheme="minorHAnsi"/>
          <w:color w:val="000000"/>
        </w:rPr>
        <w:t>,D</w:t>
      </w:r>
      <w:proofErr w:type="spellEnd"/>
      <w:proofErr w:type="gramEnd"/>
      <w:r w:rsidRPr="005B2F8B">
        <w:rPr>
          <w:rFonts w:asciiTheme="minorHAnsi" w:hAnsiTheme="minorHAnsi"/>
          <w:color w:val="000000"/>
        </w:rPr>
        <w:t xml:space="preserve">. </w:t>
      </w:r>
      <w:proofErr w:type="spellStart"/>
      <w:r w:rsidRPr="005B2F8B">
        <w:rPr>
          <w:rFonts w:asciiTheme="minorHAnsi" w:hAnsiTheme="minorHAnsi"/>
          <w:color w:val="000000"/>
        </w:rPr>
        <w:t>Kopač</w:t>
      </w:r>
      <w:proofErr w:type="spellEnd"/>
      <w:r w:rsidRPr="005B2F8B">
        <w:rPr>
          <w:rFonts w:asciiTheme="minorHAnsi" w:hAnsiTheme="minorHAnsi"/>
          <w:color w:val="000000"/>
        </w:rPr>
        <w:t xml:space="preserve">, B. </w:t>
      </w:r>
      <w:proofErr w:type="spellStart"/>
      <w:r w:rsidRPr="005B2F8B">
        <w:rPr>
          <w:rFonts w:asciiTheme="minorHAnsi" w:hAnsiTheme="minorHAnsi"/>
          <w:color w:val="000000"/>
        </w:rPr>
        <w:t>Likozar</w:t>
      </w:r>
      <w:proofErr w:type="spellEnd"/>
      <w:r w:rsidRPr="005B2F8B">
        <w:rPr>
          <w:rFonts w:asciiTheme="minorHAnsi" w:hAnsiTheme="minorHAnsi"/>
          <w:color w:val="000000"/>
        </w:rPr>
        <w:t>, ACS Cat.,9,(2019), 105-116</w:t>
      </w:r>
      <w:r w:rsidR="00741C82">
        <w:rPr>
          <w:rFonts w:asciiTheme="minorHAnsi" w:hAnsiTheme="minorHAnsi"/>
          <w:color w:val="000000"/>
        </w:rPr>
        <w:t>.</w:t>
      </w:r>
    </w:p>
    <w:p w:rsidR="006F1C79" w:rsidRPr="005B2F8B" w:rsidRDefault="00D01153" w:rsidP="005B2F8B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gramStart"/>
      <w:r w:rsidRPr="006F1C79">
        <w:rPr>
          <w:rFonts w:asciiTheme="minorHAnsi" w:hAnsiTheme="minorHAnsi"/>
          <w:color w:val="000000"/>
        </w:rPr>
        <w:t>H</w:t>
      </w:r>
      <w:r w:rsidRPr="005B2F8B">
        <w:rPr>
          <w:rFonts w:asciiTheme="minorHAnsi" w:hAnsiTheme="minorHAnsi"/>
          <w:color w:val="000000"/>
        </w:rPr>
        <w:t xml:space="preserve"> .</w:t>
      </w:r>
      <w:proofErr w:type="gramEnd"/>
      <w:r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 xml:space="preserve">Zhan, </w:t>
      </w:r>
      <w:proofErr w:type="gramStart"/>
      <w:r w:rsidRPr="006F1C79">
        <w:rPr>
          <w:rFonts w:asciiTheme="minorHAnsi" w:hAnsiTheme="minorHAnsi"/>
          <w:color w:val="000000"/>
        </w:rPr>
        <w:t>F.</w:t>
      </w:r>
      <w:r w:rsidRPr="005B2F8B">
        <w:rPr>
          <w:rFonts w:asciiTheme="minorHAnsi" w:hAnsiTheme="minorHAnsi"/>
          <w:color w:val="000000"/>
        </w:rPr>
        <w:t>.</w:t>
      </w:r>
      <w:proofErr w:type="gramEnd"/>
      <w:r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>Li</w:t>
      </w:r>
      <w:r w:rsidRPr="005B2F8B">
        <w:rPr>
          <w:rFonts w:asciiTheme="minorHAnsi" w:hAnsiTheme="minorHAnsi"/>
          <w:color w:val="000000"/>
        </w:rPr>
        <w:t xml:space="preserve">, </w:t>
      </w:r>
      <w:r w:rsidR="006F1C79" w:rsidRPr="006F1C79">
        <w:rPr>
          <w:rFonts w:asciiTheme="minorHAnsi" w:hAnsiTheme="minorHAnsi"/>
          <w:color w:val="000000"/>
        </w:rPr>
        <w:t xml:space="preserve"> </w:t>
      </w:r>
      <w:r w:rsidRPr="006F1C79">
        <w:rPr>
          <w:rFonts w:asciiTheme="minorHAnsi" w:hAnsiTheme="minorHAnsi"/>
          <w:color w:val="000000"/>
        </w:rPr>
        <w:t>P.</w:t>
      </w:r>
      <w:r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>Gao,</w:t>
      </w:r>
      <w:r w:rsidRPr="005B2F8B">
        <w:rPr>
          <w:rFonts w:asciiTheme="minorHAnsi" w:hAnsiTheme="minorHAnsi"/>
          <w:color w:val="000000"/>
        </w:rPr>
        <w:t xml:space="preserve"> </w:t>
      </w:r>
      <w:r w:rsidRPr="006F1C79">
        <w:rPr>
          <w:rFonts w:asciiTheme="minorHAnsi" w:hAnsiTheme="minorHAnsi"/>
          <w:color w:val="000000"/>
        </w:rPr>
        <w:t>N.</w:t>
      </w:r>
      <w:r w:rsidR="006F1C79" w:rsidRPr="006F1C79">
        <w:rPr>
          <w:rFonts w:asciiTheme="minorHAnsi" w:hAnsiTheme="minorHAnsi"/>
          <w:color w:val="000000"/>
        </w:rPr>
        <w:t xml:space="preserve"> Zhao,</w:t>
      </w:r>
      <w:r w:rsidRPr="005B2F8B">
        <w:rPr>
          <w:rFonts w:asciiTheme="minorHAnsi" w:hAnsiTheme="minorHAnsi"/>
          <w:color w:val="000000"/>
        </w:rPr>
        <w:t xml:space="preserve"> </w:t>
      </w:r>
      <w:r w:rsidRPr="006F1C79">
        <w:rPr>
          <w:rFonts w:asciiTheme="minorHAnsi" w:hAnsiTheme="minorHAnsi"/>
          <w:color w:val="000000"/>
        </w:rPr>
        <w:t>F.</w:t>
      </w:r>
      <w:r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 xml:space="preserve">Xiao, </w:t>
      </w:r>
      <w:r w:rsidRPr="006F1C79">
        <w:rPr>
          <w:rFonts w:asciiTheme="minorHAnsi" w:hAnsiTheme="minorHAnsi"/>
          <w:color w:val="000000"/>
        </w:rPr>
        <w:t>W.</w:t>
      </w:r>
      <w:r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 xml:space="preserve">Wei, </w:t>
      </w:r>
      <w:r w:rsidRPr="006F1C79">
        <w:rPr>
          <w:rFonts w:asciiTheme="minorHAnsi" w:hAnsiTheme="minorHAnsi"/>
          <w:color w:val="000000"/>
        </w:rPr>
        <w:t>Y.</w:t>
      </w:r>
      <w:r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>Sun, RSC Adv.</w:t>
      </w:r>
      <w:r w:rsidRPr="005B2F8B">
        <w:rPr>
          <w:rFonts w:asciiTheme="minorHAnsi" w:hAnsiTheme="minorHAnsi"/>
          <w:color w:val="000000"/>
        </w:rPr>
        <w:t>, 4,</w:t>
      </w:r>
      <w:r w:rsidR="006F1C79" w:rsidRPr="006F1C79">
        <w:rPr>
          <w:rFonts w:asciiTheme="minorHAnsi" w:hAnsiTheme="minorHAnsi"/>
          <w:color w:val="000000"/>
        </w:rPr>
        <w:t xml:space="preserve"> </w:t>
      </w:r>
      <w:r w:rsidRPr="005B2F8B">
        <w:rPr>
          <w:rFonts w:asciiTheme="minorHAnsi" w:hAnsiTheme="minorHAnsi"/>
          <w:color w:val="000000"/>
        </w:rPr>
        <w:t>(</w:t>
      </w:r>
      <w:r w:rsidR="006F1C79" w:rsidRPr="006F1C79">
        <w:rPr>
          <w:rFonts w:asciiTheme="minorHAnsi" w:hAnsiTheme="minorHAnsi"/>
          <w:color w:val="000000"/>
        </w:rPr>
        <w:t>2014</w:t>
      </w:r>
      <w:r w:rsidRPr="005B2F8B">
        <w:rPr>
          <w:rFonts w:asciiTheme="minorHAnsi" w:hAnsiTheme="minorHAnsi"/>
          <w:color w:val="000000"/>
        </w:rPr>
        <w:t>)</w:t>
      </w:r>
      <w:r w:rsidR="006F1C79" w:rsidRPr="006F1C79">
        <w:rPr>
          <w:rFonts w:asciiTheme="minorHAnsi" w:hAnsiTheme="minorHAnsi"/>
          <w:color w:val="000000"/>
        </w:rPr>
        <w:t>, 48888–48896</w:t>
      </w:r>
      <w:r w:rsidR="00741C82">
        <w:rPr>
          <w:rFonts w:asciiTheme="minorHAnsi" w:hAnsiTheme="minorHAnsi"/>
          <w:color w:val="000000"/>
        </w:rPr>
        <w:t>.</w:t>
      </w:r>
    </w:p>
    <w:p w:rsidR="00704BDF" w:rsidRPr="00741C82" w:rsidRDefault="00D01153" w:rsidP="00741C82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6F1C79">
        <w:rPr>
          <w:rFonts w:asciiTheme="minorHAnsi" w:hAnsiTheme="minorHAnsi"/>
          <w:color w:val="000000"/>
        </w:rPr>
        <w:t>E.</w:t>
      </w:r>
      <w:r w:rsidRPr="005B2F8B">
        <w:rPr>
          <w:rFonts w:asciiTheme="minorHAnsi" w:hAnsiTheme="minorHAnsi"/>
          <w:color w:val="000000"/>
        </w:rPr>
        <w:t xml:space="preserve">, </w:t>
      </w:r>
      <w:r w:rsidR="006F1C79" w:rsidRPr="006F1C79">
        <w:rPr>
          <w:rFonts w:asciiTheme="minorHAnsi" w:hAnsiTheme="minorHAnsi"/>
          <w:color w:val="000000"/>
        </w:rPr>
        <w:t xml:space="preserve">Choi, </w:t>
      </w:r>
      <w:r w:rsidRPr="006F1C79">
        <w:rPr>
          <w:rFonts w:asciiTheme="minorHAnsi" w:hAnsiTheme="minorHAnsi"/>
          <w:color w:val="000000"/>
        </w:rPr>
        <w:t>K.</w:t>
      </w:r>
      <w:r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>Song,</w:t>
      </w:r>
      <w:r w:rsidRPr="005B2F8B">
        <w:rPr>
          <w:rFonts w:asciiTheme="minorHAnsi" w:hAnsiTheme="minorHAnsi"/>
          <w:color w:val="000000"/>
        </w:rPr>
        <w:t xml:space="preserve"> </w:t>
      </w:r>
      <w:r w:rsidRPr="006F1C79">
        <w:rPr>
          <w:rFonts w:asciiTheme="minorHAnsi" w:hAnsiTheme="minorHAnsi"/>
          <w:color w:val="000000"/>
        </w:rPr>
        <w:t>S.</w:t>
      </w:r>
      <w:r w:rsidRPr="005B2F8B">
        <w:rPr>
          <w:rFonts w:asciiTheme="minorHAnsi" w:hAnsiTheme="minorHAnsi"/>
          <w:color w:val="000000"/>
        </w:rPr>
        <w:t xml:space="preserve"> An</w:t>
      </w:r>
      <w:r w:rsidR="006F1C79" w:rsidRPr="006F1C79">
        <w:rPr>
          <w:rFonts w:asciiTheme="minorHAnsi" w:hAnsiTheme="minorHAnsi"/>
          <w:color w:val="000000"/>
        </w:rPr>
        <w:t xml:space="preserve"> Lee, </w:t>
      </w:r>
      <w:r w:rsidR="005B2F8B" w:rsidRPr="006F1C79">
        <w:rPr>
          <w:rFonts w:asciiTheme="minorHAnsi" w:hAnsiTheme="minorHAnsi"/>
          <w:color w:val="000000"/>
        </w:rPr>
        <w:t>M</w:t>
      </w:r>
      <w:r w:rsidR="005B2F8B" w:rsidRPr="005B2F8B">
        <w:rPr>
          <w:rFonts w:asciiTheme="minorHAnsi" w:hAnsiTheme="minorHAnsi"/>
          <w:color w:val="000000"/>
        </w:rPr>
        <w:t xml:space="preserve">  </w:t>
      </w:r>
      <w:r w:rsidR="006F1C79" w:rsidRPr="006F1C79">
        <w:rPr>
          <w:rFonts w:asciiTheme="minorHAnsi" w:hAnsiTheme="minorHAnsi"/>
          <w:color w:val="000000"/>
        </w:rPr>
        <w:t xml:space="preserve">Youn, </w:t>
      </w:r>
      <w:r w:rsidR="005B2F8B" w:rsidRPr="006F1C79">
        <w:rPr>
          <w:rFonts w:asciiTheme="minorHAnsi" w:hAnsiTheme="minorHAnsi"/>
          <w:color w:val="000000"/>
        </w:rPr>
        <w:t>K.</w:t>
      </w:r>
      <w:r w:rsidR="005B2F8B" w:rsidRPr="005B2F8B">
        <w:rPr>
          <w:rFonts w:asciiTheme="minorHAnsi" w:hAnsiTheme="minorHAnsi"/>
          <w:color w:val="000000"/>
        </w:rPr>
        <w:t xml:space="preserve"> </w:t>
      </w:r>
      <w:r w:rsidR="006F1C79" w:rsidRPr="006F1C79">
        <w:rPr>
          <w:rFonts w:asciiTheme="minorHAnsi" w:hAnsiTheme="minorHAnsi"/>
          <w:color w:val="000000"/>
        </w:rPr>
        <w:t xml:space="preserve">Park, </w:t>
      </w:r>
      <w:r w:rsidR="005B2F8B" w:rsidRPr="006F1C79">
        <w:rPr>
          <w:rFonts w:asciiTheme="minorHAnsi" w:hAnsiTheme="minorHAnsi"/>
          <w:color w:val="000000"/>
        </w:rPr>
        <w:t>S.</w:t>
      </w:r>
      <w:r w:rsidR="006F1C79" w:rsidRPr="006F1C79">
        <w:rPr>
          <w:rFonts w:asciiTheme="minorHAnsi" w:hAnsiTheme="minorHAnsi"/>
          <w:color w:val="000000"/>
        </w:rPr>
        <w:t>Jeong, Kim, H. Korean J. Chem. Eng.</w:t>
      </w:r>
      <w:r w:rsidR="005B2F8B" w:rsidRPr="005B2F8B">
        <w:rPr>
          <w:rFonts w:asciiTheme="minorHAnsi" w:hAnsiTheme="minorHAnsi"/>
          <w:color w:val="000000"/>
        </w:rPr>
        <w:t>,</w:t>
      </w:r>
      <w:r w:rsidR="006F1C79" w:rsidRPr="006F1C79">
        <w:rPr>
          <w:rFonts w:asciiTheme="minorHAnsi" w:hAnsiTheme="minorHAnsi"/>
          <w:color w:val="000000"/>
        </w:rPr>
        <w:t xml:space="preserve"> </w:t>
      </w:r>
      <w:r w:rsidR="005B2F8B" w:rsidRPr="005B2F8B">
        <w:rPr>
          <w:rFonts w:asciiTheme="minorHAnsi" w:hAnsiTheme="minorHAnsi"/>
          <w:color w:val="000000"/>
        </w:rPr>
        <w:t>35,(</w:t>
      </w:r>
      <w:r w:rsidR="006F1C79" w:rsidRPr="006F1C79">
        <w:rPr>
          <w:rFonts w:asciiTheme="minorHAnsi" w:hAnsiTheme="minorHAnsi"/>
          <w:color w:val="000000"/>
        </w:rPr>
        <w:t>2017</w:t>
      </w:r>
      <w:r w:rsidR="005B2F8B" w:rsidRPr="005B2F8B">
        <w:rPr>
          <w:rFonts w:asciiTheme="minorHAnsi" w:hAnsiTheme="minorHAnsi"/>
          <w:color w:val="000000"/>
        </w:rPr>
        <w:t>)</w:t>
      </w:r>
      <w:r w:rsidR="006F1C79" w:rsidRPr="006F1C79">
        <w:rPr>
          <w:rFonts w:asciiTheme="minorHAnsi" w:hAnsiTheme="minorHAnsi"/>
          <w:color w:val="000000"/>
        </w:rPr>
        <w:t>,  73–81.</w:t>
      </w:r>
      <w:r w:rsidR="00741C82" w:rsidRPr="00741C82">
        <w:rPr>
          <w:rFonts w:asciiTheme="minorHAnsi" w:eastAsia="SimSun" w:hAnsiTheme="minorHAnsi"/>
          <w:sz w:val="22"/>
          <w:szCs w:val="22"/>
          <w:lang w:eastAsia="zh-CN"/>
        </w:rPr>
        <w:t xml:space="preserve"> 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863" w:rsidRDefault="00CC5863" w:rsidP="004F5E36">
      <w:r>
        <w:separator/>
      </w:r>
    </w:p>
  </w:endnote>
  <w:endnote w:type="continuationSeparator" w:id="0">
    <w:p w:rsidR="00CC5863" w:rsidRDefault="00CC5863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863" w:rsidRDefault="00CC5863" w:rsidP="004F5E36">
      <w:r>
        <w:separator/>
      </w:r>
    </w:p>
  </w:footnote>
  <w:footnote w:type="continuationSeparator" w:id="0">
    <w:p w:rsidR="00CC5863" w:rsidRDefault="00CC5863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sl-SI" w:eastAsia="sl-SI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2CB7CD1"/>
    <w:multiLevelType w:val="hybridMultilevel"/>
    <w:tmpl w:val="27A2C8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545E6"/>
    <w:rsid w:val="00184AD6"/>
    <w:rsid w:val="001B65C1"/>
    <w:rsid w:val="001C684B"/>
    <w:rsid w:val="001D53FC"/>
    <w:rsid w:val="001D67D5"/>
    <w:rsid w:val="001F2EC7"/>
    <w:rsid w:val="001F342B"/>
    <w:rsid w:val="002065DB"/>
    <w:rsid w:val="0023570A"/>
    <w:rsid w:val="002447EF"/>
    <w:rsid w:val="00251550"/>
    <w:rsid w:val="0027221A"/>
    <w:rsid w:val="00275B61"/>
    <w:rsid w:val="00293E04"/>
    <w:rsid w:val="00294A1D"/>
    <w:rsid w:val="002D1F12"/>
    <w:rsid w:val="003009B7"/>
    <w:rsid w:val="0030469C"/>
    <w:rsid w:val="0035289F"/>
    <w:rsid w:val="003723D4"/>
    <w:rsid w:val="003A7D1C"/>
    <w:rsid w:val="00447B3A"/>
    <w:rsid w:val="0046164A"/>
    <w:rsid w:val="00462DCD"/>
    <w:rsid w:val="00484552"/>
    <w:rsid w:val="004D1162"/>
    <w:rsid w:val="004E11C1"/>
    <w:rsid w:val="004E4DD6"/>
    <w:rsid w:val="004F5E36"/>
    <w:rsid w:val="005119A5"/>
    <w:rsid w:val="005278B7"/>
    <w:rsid w:val="005346C8"/>
    <w:rsid w:val="00594E9F"/>
    <w:rsid w:val="005969FE"/>
    <w:rsid w:val="005B2F8B"/>
    <w:rsid w:val="005B61E6"/>
    <w:rsid w:val="005C52FF"/>
    <w:rsid w:val="005C77E1"/>
    <w:rsid w:val="005D4735"/>
    <w:rsid w:val="005D6A2F"/>
    <w:rsid w:val="005E1A82"/>
    <w:rsid w:val="005E7617"/>
    <w:rsid w:val="005F0A28"/>
    <w:rsid w:val="005F0E5E"/>
    <w:rsid w:val="00620DEE"/>
    <w:rsid w:val="00625639"/>
    <w:rsid w:val="0064184D"/>
    <w:rsid w:val="00647687"/>
    <w:rsid w:val="00660E3E"/>
    <w:rsid w:val="00662E74"/>
    <w:rsid w:val="006A58D2"/>
    <w:rsid w:val="006A78DB"/>
    <w:rsid w:val="006A7BEB"/>
    <w:rsid w:val="006C5579"/>
    <w:rsid w:val="006E2647"/>
    <w:rsid w:val="006F1C79"/>
    <w:rsid w:val="00704BDF"/>
    <w:rsid w:val="00736B13"/>
    <w:rsid w:val="00741C82"/>
    <w:rsid w:val="007447F3"/>
    <w:rsid w:val="007661C8"/>
    <w:rsid w:val="007A6C9B"/>
    <w:rsid w:val="007B43A9"/>
    <w:rsid w:val="007D52CD"/>
    <w:rsid w:val="00813288"/>
    <w:rsid w:val="00814DD1"/>
    <w:rsid w:val="008168FC"/>
    <w:rsid w:val="00834CCD"/>
    <w:rsid w:val="008479A2"/>
    <w:rsid w:val="00852F88"/>
    <w:rsid w:val="0087637F"/>
    <w:rsid w:val="008A1512"/>
    <w:rsid w:val="008B6950"/>
    <w:rsid w:val="008D0BEB"/>
    <w:rsid w:val="008E566E"/>
    <w:rsid w:val="00901779"/>
    <w:rsid w:val="00901EB6"/>
    <w:rsid w:val="009450CE"/>
    <w:rsid w:val="0095164B"/>
    <w:rsid w:val="00961AB0"/>
    <w:rsid w:val="00976F07"/>
    <w:rsid w:val="00996483"/>
    <w:rsid w:val="009E788A"/>
    <w:rsid w:val="00A02B9C"/>
    <w:rsid w:val="00A1763D"/>
    <w:rsid w:val="00A17CEC"/>
    <w:rsid w:val="00A27EF0"/>
    <w:rsid w:val="00A411C6"/>
    <w:rsid w:val="00A64819"/>
    <w:rsid w:val="00A76EFC"/>
    <w:rsid w:val="00A95E59"/>
    <w:rsid w:val="00A9626B"/>
    <w:rsid w:val="00A97A81"/>
    <w:rsid w:val="00A97F29"/>
    <w:rsid w:val="00AB0964"/>
    <w:rsid w:val="00AE377D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862E4"/>
    <w:rsid w:val="00C867B1"/>
    <w:rsid w:val="00C94434"/>
    <w:rsid w:val="00CA1C95"/>
    <w:rsid w:val="00CA5A9C"/>
    <w:rsid w:val="00CC5863"/>
    <w:rsid w:val="00CD5FE2"/>
    <w:rsid w:val="00CE0C52"/>
    <w:rsid w:val="00CE5487"/>
    <w:rsid w:val="00D01153"/>
    <w:rsid w:val="00D02B4C"/>
    <w:rsid w:val="00D4379D"/>
    <w:rsid w:val="00D84576"/>
    <w:rsid w:val="00D874DD"/>
    <w:rsid w:val="00D93DC5"/>
    <w:rsid w:val="00DE0019"/>
    <w:rsid w:val="00DE264A"/>
    <w:rsid w:val="00DE29DA"/>
    <w:rsid w:val="00E041E7"/>
    <w:rsid w:val="00E10A60"/>
    <w:rsid w:val="00E21A8F"/>
    <w:rsid w:val="00E23CA1"/>
    <w:rsid w:val="00E409A8"/>
    <w:rsid w:val="00E7209D"/>
    <w:rsid w:val="00EA2AF2"/>
    <w:rsid w:val="00EA50E1"/>
    <w:rsid w:val="00ED6477"/>
    <w:rsid w:val="00EE0131"/>
    <w:rsid w:val="00EE33BA"/>
    <w:rsid w:val="00EE770E"/>
    <w:rsid w:val="00F24655"/>
    <w:rsid w:val="00F30C64"/>
    <w:rsid w:val="00FB4151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4E11C1"/>
    <w:pPr>
      <w:ind w:left="720"/>
      <w:contextualSpacing/>
    </w:pPr>
  </w:style>
  <w:style w:type="character" w:styleId="Hyperlink">
    <w:name w:val="Hyperlink"/>
    <w:locked/>
    <w:rsid w:val="00EE33BA"/>
    <w:rPr>
      <w:color w:val="0000FF"/>
      <w:u w:val="single"/>
    </w:rPr>
  </w:style>
  <w:style w:type="character" w:customStyle="1" w:styleId="css-133coio">
    <w:name w:val="css-133coio"/>
    <w:basedOn w:val="DefaultParagraphFont"/>
    <w:rsid w:val="00EE33BA"/>
  </w:style>
  <w:style w:type="paragraph" w:customStyle="1" w:styleId="Default">
    <w:name w:val="Default"/>
    <w:rsid w:val="006F1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uiPriority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4E11C1"/>
    <w:pPr>
      <w:ind w:left="720"/>
      <w:contextualSpacing/>
    </w:pPr>
  </w:style>
  <w:style w:type="character" w:styleId="Hyperlink">
    <w:name w:val="Hyperlink"/>
    <w:locked/>
    <w:rsid w:val="00EE33BA"/>
    <w:rPr>
      <w:color w:val="0000FF"/>
      <w:u w:val="single"/>
    </w:rPr>
  </w:style>
  <w:style w:type="character" w:customStyle="1" w:styleId="css-133coio">
    <w:name w:val="css-133coio"/>
    <w:basedOn w:val="DefaultParagraphFont"/>
    <w:rsid w:val="00EE33BA"/>
  </w:style>
  <w:style w:type="paragraph" w:customStyle="1" w:styleId="Default">
    <w:name w:val="Default"/>
    <w:rsid w:val="006F1C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ze\Documents\REASEARCH%20AREAS\METANOL\SAR\SAR_IN_MATLAB\comparison_SAR_import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ze\Documents\REASEARCH%20AREAS\METANOL\SAR\SAR_IN_MATLAB\comparison_SAR_impor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nze\Documents\REASEARCH%20AREAS\METANOL\SAR\SAR_IN_MATLAB\comparison_SAR_import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2268317547263114"/>
          <c:y val="6.8027210884353748E-2"/>
          <c:w val="0.33504773859789261"/>
          <c:h val="0.63140607424071993"/>
        </c:manualLayout>
      </c:layout>
      <c:scatterChart>
        <c:scatterStyle val="lineMarker"/>
        <c:varyColors val="0"/>
        <c:ser>
          <c:idx val="2"/>
          <c:order val="1"/>
          <c:tx>
            <c:strRef>
              <c:f>ECCE!$F$26</c:f>
              <c:strCache>
                <c:ptCount val="1"/>
                <c:pt idx="0">
                  <c:v>MeOH TOF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</c:marker>
          <c:xVal>
            <c:numRef>
              <c:f>ECCE!$B$27:$B$29</c:f>
              <c:numCache>
                <c:formatCode>General</c:formatCode>
                <c:ptCount val="3"/>
                <c:pt idx="0">
                  <c:v>44.507999999999996</c:v>
                </c:pt>
                <c:pt idx="1">
                  <c:v>25.968000000000004</c:v>
                </c:pt>
                <c:pt idx="2">
                  <c:v>64.152000000000001</c:v>
                </c:pt>
              </c:numCache>
            </c:numRef>
          </c:xVal>
          <c:yVal>
            <c:numRef>
              <c:f>ECCE!$F$27:$F$29</c:f>
              <c:numCache>
                <c:formatCode>General</c:formatCode>
                <c:ptCount val="3"/>
                <c:pt idx="0">
                  <c:v>13.203400709422478</c:v>
                </c:pt>
                <c:pt idx="1">
                  <c:v>10.171778572708947</c:v>
                </c:pt>
                <c:pt idx="2">
                  <c:v>16.362720569906269</c:v>
                </c:pt>
              </c:numCache>
            </c:numRef>
          </c:yVal>
          <c:smooth val="0"/>
        </c:ser>
        <c:ser>
          <c:idx val="3"/>
          <c:order val="2"/>
          <c:tx>
            <c:strRef>
              <c:f>ECCE!$G$26</c:f>
              <c:strCache>
                <c:ptCount val="1"/>
                <c:pt idx="0">
                  <c:v>CO TOF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</c:marker>
          <c:xVal>
            <c:numRef>
              <c:f>ECCE!$B$27:$B$29</c:f>
              <c:numCache>
                <c:formatCode>General</c:formatCode>
                <c:ptCount val="3"/>
                <c:pt idx="0">
                  <c:v>44.507999999999996</c:v>
                </c:pt>
                <c:pt idx="1">
                  <c:v>25.968000000000004</c:v>
                </c:pt>
                <c:pt idx="2">
                  <c:v>64.152000000000001</c:v>
                </c:pt>
              </c:numCache>
            </c:numRef>
          </c:xVal>
          <c:yVal>
            <c:numRef>
              <c:f>ECCE!$G$27:$G$29</c:f>
              <c:numCache>
                <c:formatCode>General</c:formatCode>
                <c:ptCount val="3"/>
                <c:pt idx="0">
                  <c:v>7.9323239072588416</c:v>
                </c:pt>
                <c:pt idx="1">
                  <c:v>7.8906352360885474</c:v>
                </c:pt>
                <c:pt idx="2">
                  <c:v>7.9697118320822957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41447808"/>
        <c:axId val="341450112"/>
      </c:scatterChart>
      <c:scatterChart>
        <c:scatterStyle val="lineMarker"/>
        <c:varyColors val="0"/>
        <c:ser>
          <c:idx val="1"/>
          <c:order val="0"/>
          <c:tx>
            <c:strRef>
              <c:f>ECCE!$E$26</c:f>
              <c:strCache>
                <c:ptCount val="1"/>
                <c:pt idx="0">
                  <c:v>Cu particle diam.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</c:marker>
          <c:xVal>
            <c:numRef>
              <c:f>ECCE!$B$27:$B$29</c:f>
              <c:numCache>
                <c:formatCode>General</c:formatCode>
                <c:ptCount val="3"/>
                <c:pt idx="0">
                  <c:v>44.507999999999996</c:v>
                </c:pt>
                <c:pt idx="1">
                  <c:v>25.968000000000004</c:v>
                </c:pt>
                <c:pt idx="2">
                  <c:v>64.152000000000001</c:v>
                </c:pt>
              </c:numCache>
            </c:numRef>
          </c:xVal>
          <c:yVal>
            <c:numRef>
              <c:f>ECCE!$E$27:$E$29</c:f>
              <c:numCache>
                <c:formatCode>General</c:formatCode>
                <c:ptCount val="3"/>
                <c:pt idx="0">
                  <c:v>298.23200000000003</c:v>
                </c:pt>
                <c:pt idx="1">
                  <c:v>130.18199999999999</c:v>
                </c:pt>
                <c:pt idx="2">
                  <c:v>363.37700000000001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54559616"/>
        <c:axId val="454542464"/>
      </c:scatterChart>
      <c:valAx>
        <c:axId val="3414478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Cu loading [%]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41450112"/>
        <c:crosses val="autoZero"/>
        <c:crossBetween val="midCat"/>
      </c:valAx>
      <c:valAx>
        <c:axId val="341450112"/>
        <c:scaling>
          <c:orientation val="minMax"/>
          <c:max val="25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MeOH, CO TOF [1/h]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341447808"/>
        <c:crosses val="autoZero"/>
        <c:crossBetween val="midCat"/>
      </c:valAx>
      <c:valAx>
        <c:axId val="454542464"/>
        <c:scaling>
          <c:orientation val="minMax"/>
          <c:min val="5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l-SI"/>
                  <a:t>Cu particle size [nm]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54559616"/>
        <c:crosses val="max"/>
        <c:crossBetween val="midCat"/>
      </c:valAx>
      <c:valAx>
        <c:axId val="45455961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54542464"/>
        <c:crosses val="autoZero"/>
        <c:crossBetween val="midCat"/>
      </c:valAx>
    </c:plotArea>
    <c:legend>
      <c:legendPos val="r"/>
      <c:layout>
        <c:manualLayout>
          <c:xMode val="edge"/>
          <c:yMode val="edge"/>
          <c:x val="0.63705237932215009"/>
          <c:y val="0.72916520506026794"/>
          <c:w val="0.35932443227205296"/>
          <c:h val="0.26956023354223579"/>
        </c:manualLayout>
      </c:layout>
      <c:overlay val="0"/>
      <c:txPr>
        <a:bodyPr/>
        <a:lstStyle/>
        <a:p>
          <a:pPr>
            <a:defRPr sz="900"/>
          </a:pPr>
          <a:endParaRPr lang="sl-SI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+mn-lt"/>
          <a:cs typeface="Times New Roman" panose="02020603050405020304" pitchFamily="18" charset="0"/>
        </a:defRPr>
      </a:pPr>
      <a:endParaRPr lang="sl-SI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721820245442293"/>
          <c:y val="7.2249589490968796E-2"/>
          <c:w val="0.34448074058310285"/>
          <c:h val="0.64411620961172955"/>
        </c:manualLayout>
      </c:layout>
      <c:scatterChart>
        <c:scatterStyle val="lineMarker"/>
        <c:varyColors val="0"/>
        <c:ser>
          <c:idx val="0"/>
          <c:order val="1"/>
          <c:tx>
            <c:strRef>
              <c:f>ECCE!$C$60</c:f>
              <c:strCache>
                <c:ptCount val="1"/>
                <c:pt idx="0">
                  <c:v>MeOH TOF 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accent3"/>
              </a:solidFill>
              <a:ln>
                <a:noFill/>
              </a:ln>
            </c:spPr>
          </c:marker>
          <c:xVal>
            <c:numRef>
              <c:f>ECCE!$B$61:$B$63</c:f>
              <c:numCache>
                <c:formatCode>General</c:formatCode>
                <c:ptCount val="3"/>
                <c:pt idx="0">
                  <c:v>0.66666666666666663</c:v>
                </c:pt>
                <c:pt idx="1">
                  <c:v>1</c:v>
                </c:pt>
                <c:pt idx="2">
                  <c:v>1.5</c:v>
                </c:pt>
              </c:numCache>
            </c:numRef>
          </c:xVal>
          <c:yVal>
            <c:numRef>
              <c:f>ECCE!$C$61:$C$63</c:f>
              <c:numCache>
                <c:formatCode>General</c:formatCode>
                <c:ptCount val="3"/>
                <c:pt idx="0">
                  <c:v>9.101463413058319</c:v>
                </c:pt>
                <c:pt idx="1">
                  <c:v>13.203400709422478</c:v>
                </c:pt>
                <c:pt idx="2">
                  <c:v>15.553662110597546</c:v>
                </c:pt>
              </c:numCache>
            </c:numRef>
          </c:yVal>
          <c:smooth val="0"/>
        </c:ser>
        <c:ser>
          <c:idx val="4"/>
          <c:order val="2"/>
          <c:tx>
            <c:strRef>
              <c:f>ECCE!$D$60</c:f>
              <c:strCache>
                <c:ptCount val="1"/>
                <c:pt idx="0">
                  <c:v>CO TOF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solidFill>
                <a:schemeClr val="accent4"/>
              </a:solidFill>
              <a:ln>
                <a:noFill/>
              </a:ln>
            </c:spPr>
          </c:marker>
          <c:xVal>
            <c:numRef>
              <c:f>ECCE!$B$61:$B$63</c:f>
              <c:numCache>
                <c:formatCode>General</c:formatCode>
                <c:ptCount val="3"/>
                <c:pt idx="0">
                  <c:v>0.66666666666666663</c:v>
                </c:pt>
                <c:pt idx="1">
                  <c:v>1</c:v>
                </c:pt>
                <c:pt idx="2">
                  <c:v>1.5</c:v>
                </c:pt>
              </c:numCache>
            </c:numRef>
          </c:xVal>
          <c:yVal>
            <c:numRef>
              <c:f>ECCE!$D$61:$D$63</c:f>
              <c:numCache>
                <c:formatCode>General</c:formatCode>
                <c:ptCount val="3"/>
                <c:pt idx="0">
                  <c:v>8.1307573597755471</c:v>
                </c:pt>
                <c:pt idx="1">
                  <c:v>7.9323239072588416</c:v>
                </c:pt>
                <c:pt idx="2">
                  <c:v>7.2821349845666399</c:v>
                </c:pt>
              </c:numCache>
            </c:numRef>
          </c:yVal>
          <c:smooth val="0"/>
        </c:ser>
        <c:ser>
          <c:idx val="5"/>
          <c:order val="3"/>
          <c:tx>
            <c:strRef>
              <c:f>ECCE!$E$60</c:f>
              <c:strCache>
                <c:ptCount val="1"/>
                <c:pt idx="0">
                  <c:v>Cu_particle_diameter_nm_hemisphere</c:v>
                </c:pt>
              </c:strCache>
            </c:strRef>
          </c:tx>
          <c:spPr>
            <a:ln w="28575">
              <a:noFill/>
            </a:ln>
          </c:spPr>
          <c:xVal>
            <c:numRef>
              <c:f>ECCE!$B$61:$B$63</c:f>
              <c:numCache>
                <c:formatCode>General</c:formatCode>
                <c:ptCount val="3"/>
                <c:pt idx="0">
                  <c:v>0.66666666666666663</c:v>
                </c:pt>
                <c:pt idx="1">
                  <c:v>1</c:v>
                </c:pt>
                <c:pt idx="2">
                  <c:v>1.5</c:v>
                </c:pt>
              </c:numCache>
            </c:numRef>
          </c:xVal>
          <c:yVal>
            <c:numRef>
              <c:f>ECCE!$E$61:$E$63</c:f>
              <c:numCache>
                <c:formatCode>General</c:formatCode>
                <c:ptCount val="3"/>
                <c:pt idx="0">
                  <c:v>184.96899999999999</c:v>
                </c:pt>
                <c:pt idx="1">
                  <c:v>298.23200000000003</c:v>
                </c:pt>
                <c:pt idx="2">
                  <c:v>174.19229999999999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752192"/>
        <c:axId val="471668224"/>
      </c:scatterChart>
      <c:scatterChart>
        <c:scatterStyle val="lineMarker"/>
        <c:varyColors val="0"/>
        <c:ser>
          <c:idx val="1"/>
          <c:order val="0"/>
          <c:tx>
            <c:strRef>
              <c:f>ECCE!$F$60</c:f>
              <c:strCache>
                <c:ptCount val="1"/>
                <c:pt idx="0">
                  <c:v>Basic sites</c:v>
                </c:pt>
              </c:strCache>
            </c:strRef>
          </c:tx>
          <c:spPr>
            <a:ln w="28575">
              <a:noFill/>
            </a:ln>
          </c:spPr>
          <c:marker>
            <c:symbol val="circle"/>
            <c:size val="7"/>
            <c:spPr>
              <a:ln>
                <a:noFill/>
              </a:ln>
            </c:spPr>
          </c:marker>
          <c:xVal>
            <c:numRef>
              <c:f>ECCE!$B$61:$B$63</c:f>
              <c:numCache>
                <c:formatCode>General</c:formatCode>
                <c:ptCount val="3"/>
                <c:pt idx="0">
                  <c:v>0.66666666666666663</c:v>
                </c:pt>
                <c:pt idx="1">
                  <c:v>1</c:v>
                </c:pt>
                <c:pt idx="2">
                  <c:v>1.5</c:v>
                </c:pt>
              </c:numCache>
            </c:numRef>
          </c:xVal>
          <c:yVal>
            <c:numRef>
              <c:f>ECCE!$F$61:$F$63</c:f>
              <c:numCache>
                <c:formatCode>General</c:formatCode>
                <c:ptCount val="3"/>
                <c:pt idx="0">
                  <c:v>46.958714357359632</c:v>
                </c:pt>
                <c:pt idx="1">
                  <c:v>47.686944325446973</c:v>
                </c:pt>
                <c:pt idx="2">
                  <c:v>83.974340779220213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1860352"/>
        <c:axId val="471765376"/>
      </c:scatterChart>
      <c:valAx>
        <c:axId val="463752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Sr/Ti [/]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71668224"/>
        <c:crosses val="autoZero"/>
        <c:crossBetween val="midCat"/>
      </c:valAx>
      <c:valAx>
        <c:axId val="471668224"/>
        <c:scaling>
          <c:orientation val="minMax"/>
          <c:max val="25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MeOH, CO TOF [1/h]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63752192"/>
        <c:crosses val="autoZero"/>
        <c:crossBetween val="midCat"/>
      </c:valAx>
      <c:valAx>
        <c:axId val="471765376"/>
        <c:scaling>
          <c:orientation val="minMax"/>
          <c:max val="110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l-SI"/>
                  <a:t>Basicity</a:t>
                </a:r>
              </a:p>
              <a:p>
                <a:pPr>
                  <a:defRPr/>
                </a:pPr>
                <a:r>
                  <a:rPr lang="sl-SI"/>
                  <a:t>[</a:t>
                </a:r>
                <a:r>
                  <a:rPr lang="el-GR"/>
                  <a:t>μ</a:t>
                </a:r>
                <a:r>
                  <a:rPr lang="sl-SI"/>
                  <a:t>mol CO₂/g]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71860352"/>
        <c:crosses val="max"/>
        <c:crossBetween val="midCat"/>
      </c:valAx>
      <c:valAx>
        <c:axId val="47186035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71765376"/>
        <c:crosses val="autoZero"/>
        <c:crossBetween val="midCat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72893346102007517"/>
          <c:y val="0.73439923457843637"/>
          <c:w val="0.2620575299709158"/>
          <c:h val="0.233992475078546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+mn-lt"/>
          <a:cs typeface="Times New Roman" panose="02020603050405020304" pitchFamily="18" charset="0"/>
        </a:defRPr>
      </a:pPr>
      <a:endParaRPr lang="sl-SI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l-SI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4598443615600688"/>
          <c:y val="8.8353413654618476E-2"/>
          <c:w val="0.24121600589400008"/>
          <c:h val="0.72531511874268728"/>
        </c:manualLayout>
      </c:layout>
      <c:lineChart>
        <c:grouping val="standard"/>
        <c:varyColors val="0"/>
        <c:ser>
          <c:idx val="0"/>
          <c:order val="0"/>
          <c:tx>
            <c:strRef>
              <c:f>ECCE!$C$96</c:f>
              <c:strCache>
                <c:ptCount val="1"/>
                <c:pt idx="0">
                  <c:v>MeOH TOF 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7"/>
            <c:spPr>
              <a:solidFill>
                <a:srgbClr val="9BBB59"/>
              </a:solidFill>
              <a:ln>
                <a:noFill/>
              </a:ln>
            </c:spPr>
          </c:marker>
          <c:cat>
            <c:strRef>
              <c:f>ECCE!$B$97:$B$99</c:f>
              <c:strCache>
                <c:ptCount val="3"/>
                <c:pt idx="0">
                  <c:v>Ca</c:v>
                </c:pt>
                <c:pt idx="1">
                  <c:v>Sr</c:v>
                </c:pt>
                <c:pt idx="2">
                  <c:v>Ba</c:v>
                </c:pt>
              </c:strCache>
            </c:strRef>
          </c:cat>
          <c:val>
            <c:numRef>
              <c:f>ECCE!$C$97:$C$99</c:f>
              <c:numCache>
                <c:formatCode>General</c:formatCode>
                <c:ptCount val="3"/>
                <c:pt idx="0">
                  <c:v>63.512406777022946</c:v>
                </c:pt>
                <c:pt idx="1">
                  <c:v>40.222250436891443</c:v>
                </c:pt>
                <c:pt idx="2">
                  <c:v>35.439044089006636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ECCE!$D$96</c:f>
              <c:strCache>
                <c:ptCount val="1"/>
                <c:pt idx="0">
                  <c:v>CO TOF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7"/>
            <c:spPr>
              <a:solidFill>
                <a:srgbClr val="8064A2"/>
              </a:solidFill>
              <a:ln>
                <a:noFill/>
              </a:ln>
            </c:spPr>
          </c:marker>
          <c:val>
            <c:numRef>
              <c:f>ECCE!$D$97:$D$99</c:f>
              <c:numCache>
                <c:formatCode>General</c:formatCode>
                <c:ptCount val="3"/>
                <c:pt idx="0">
                  <c:v>47.854338358219053</c:v>
                </c:pt>
                <c:pt idx="1">
                  <c:v>21.816866252937253</c:v>
                </c:pt>
                <c:pt idx="2">
                  <c:v>22.816378286023703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487310080"/>
        <c:axId val="487312000"/>
      </c:lineChart>
      <c:lineChart>
        <c:grouping val="standard"/>
        <c:varyColors val="0"/>
        <c:ser>
          <c:idx val="3"/>
          <c:order val="2"/>
          <c:tx>
            <c:strRef>
              <c:f>ECCE!$F$96</c:f>
              <c:strCache>
                <c:ptCount val="1"/>
                <c:pt idx="0">
                  <c:v>Basic sites</c:v>
                </c:pt>
              </c:strCache>
            </c:strRef>
          </c:tx>
          <c:spPr>
            <a:ln>
              <a:noFill/>
            </a:ln>
          </c:spPr>
          <c:marker>
            <c:symbol val="circle"/>
            <c:size val="7"/>
            <c:spPr>
              <a:solidFill>
                <a:srgbClr val="C0504D"/>
              </a:solidFill>
              <a:ln>
                <a:noFill/>
              </a:ln>
            </c:spPr>
          </c:marker>
          <c:val>
            <c:numRef>
              <c:f>ECCE!$F$97:$F$99</c:f>
              <c:numCache>
                <c:formatCode>General</c:formatCode>
                <c:ptCount val="3"/>
                <c:pt idx="0">
                  <c:v>891.15749684698926</c:v>
                </c:pt>
                <c:pt idx="1">
                  <c:v>83.974340779220213</c:v>
                </c:pt>
                <c:pt idx="2">
                  <c:v>77.613310627392508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535872"/>
        <c:axId val="333533952"/>
      </c:lineChart>
      <c:catAx>
        <c:axId val="487310080"/>
        <c:scaling>
          <c:orientation val="minMax"/>
        </c:scaling>
        <c:delete val="0"/>
        <c:axPos val="b"/>
        <c:majorTickMark val="none"/>
        <c:minorTickMark val="none"/>
        <c:tickLblPos val="nextTo"/>
        <c:crossAx val="487312000"/>
        <c:crosses val="autoZero"/>
        <c:auto val="1"/>
        <c:lblAlgn val="ctr"/>
        <c:lblOffset val="100"/>
        <c:noMultiLvlLbl val="0"/>
      </c:catAx>
      <c:valAx>
        <c:axId val="48731200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sl-SI"/>
                  <a:t>MeOH, CO TOF [1/h]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487310080"/>
        <c:crosses val="autoZero"/>
        <c:crossBetween val="between"/>
      </c:valAx>
      <c:valAx>
        <c:axId val="333533952"/>
        <c:scaling>
          <c:orientation val="minMax"/>
        </c:scaling>
        <c:delete val="0"/>
        <c:axPos val="r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sl-SI"/>
                  <a:t>Basicity </a:t>
                </a:r>
              </a:p>
              <a:p>
                <a:pPr>
                  <a:defRPr/>
                </a:pPr>
                <a:r>
                  <a:rPr lang="sl-SI"/>
                  <a:t>[</a:t>
                </a:r>
                <a:r>
                  <a:rPr lang="el-GR"/>
                  <a:t>μ</a:t>
                </a:r>
                <a:r>
                  <a:rPr lang="sl-SI"/>
                  <a:t>mol CO₂/g]</a:t>
                </a:r>
              </a:p>
            </c:rich>
          </c:tx>
          <c:layout>
            <c:manualLayout>
              <c:xMode val="edge"/>
              <c:yMode val="edge"/>
              <c:x val="0.72328995717640554"/>
              <c:y val="0.17255668342661987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333535872"/>
        <c:crosses val="max"/>
        <c:crossBetween val="between"/>
      </c:valAx>
      <c:catAx>
        <c:axId val="333535872"/>
        <c:scaling>
          <c:orientation val="minMax"/>
        </c:scaling>
        <c:delete val="1"/>
        <c:axPos val="b"/>
        <c:majorTickMark val="out"/>
        <c:minorTickMark val="none"/>
        <c:tickLblPos val="nextTo"/>
        <c:crossAx val="333533952"/>
        <c:crosses val="autoZero"/>
        <c:auto val="1"/>
        <c:lblAlgn val="ctr"/>
        <c:lblOffset val="100"/>
        <c:noMultiLvlLbl val="0"/>
      </c:catAx>
    </c:plotArea>
    <c:legend>
      <c:legendPos val="r"/>
      <c:layout>
        <c:manualLayout>
          <c:xMode val="edge"/>
          <c:yMode val="edge"/>
          <c:x val="0.69768789427637323"/>
          <c:y val="0.65892673054422402"/>
          <c:w val="0.27890229937474031"/>
          <c:h val="0.33928908886389203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0">
          <a:latin typeface="+mn-lt"/>
          <a:cs typeface="Times New Roman" panose="02020603050405020304" pitchFamily="18" charset="0"/>
        </a:defRPr>
      </a:pPr>
      <a:endParaRPr lang="sl-SI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5C61-CFE5-4C76-80EA-409E4A8CC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670</Words>
  <Characters>3819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Anze</cp:lastModifiedBy>
  <cp:revision>4</cp:revision>
  <cp:lastPrinted>2015-05-12T18:31:00Z</cp:lastPrinted>
  <dcterms:created xsi:type="dcterms:W3CDTF">2019-01-16T00:46:00Z</dcterms:created>
  <dcterms:modified xsi:type="dcterms:W3CDTF">2019-01-16T00:54:00Z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http://www.zotero.org/styles/acs-catalysis</vt:lpwstr>
  </property>
  <property fmtid="{D5CDD505-2E9C-101B-9397-08002B2CF9AE}" pid="3" name="Mendeley Recent Style Name 0_1">
    <vt:lpwstr>ACS Catalysis</vt:lpwstr>
  </property>
  <property fmtid="{D5CDD505-2E9C-101B-9397-08002B2CF9AE}" pid="4" name="Mendeley Recent Style Id 1_1">
    <vt:lpwstr>http://csl.mendeley.com/styles/460244711/damjan-cet-11</vt:lpwstr>
  </property>
  <property fmtid="{D5CDD505-2E9C-101B-9397-08002B2CF9AE}" pid="5" name="Mendeley Recent Style Name 1_1">
    <vt:lpwstr>American Chemical Society - Damjan Lašič</vt:lpwstr>
  </property>
  <property fmtid="{D5CDD505-2E9C-101B-9397-08002B2CF9AE}" pid="6" name="Mendeley Recent Style Id 2_1">
    <vt:lpwstr>http://www.zotero.org/styles/american-medical-association</vt:lpwstr>
  </property>
  <property fmtid="{D5CDD505-2E9C-101B-9397-08002B2CF9AE}" pid="7" name="Mendeley Recent Style Name 2_1">
    <vt:lpwstr>American Medical Association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</Properties>
</file>