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E77A6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77A6E">
        <w:rPr>
          <w:rFonts w:asciiTheme="minorHAnsi" w:eastAsia="MS PGothic" w:hAnsiTheme="minorHAnsi"/>
          <w:b/>
          <w:bCs/>
          <w:sz w:val="28"/>
          <w:szCs w:val="28"/>
          <w:lang w:val="en-US"/>
        </w:rPr>
        <w:t>Improving product specificity of whole-cell alkane oxidation in non-conventional media: A multivariate analysis approach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DE0019" w:rsidRDefault="00E77A6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Frank Baganz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05445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E77A6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Johannes F Kolmar</w:t>
      </w:r>
      <w:r w:rsidRPr="00E77A6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E77A6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Oliver Thum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E77A6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Advanced Centre for Biochemical Engineering, Department of Biochemical Engineering, University College London, </w:t>
      </w:r>
      <w:r w:rsid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Gower Street</w:t>
      </w:r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London WC1</w:t>
      </w:r>
      <w:r w:rsid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 6BT</w:t>
      </w:r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United Kingdom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proofErr w:type="spellStart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Evonik</w:t>
      </w:r>
      <w:proofErr w:type="spellEnd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Creavis</w:t>
      </w:r>
      <w:proofErr w:type="spellEnd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GmbH, Paul-Baumann-</w:t>
      </w:r>
      <w:proofErr w:type="spellStart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Straße</w:t>
      </w:r>
      <w:proofErr w:type="spellEnd"/>
      <w:r w:rsidR="00E77A6E" w:rsidRPr="00E77A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1, 45772 Marl,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77A6E" w:rsidRPr="00E77A6E">
        <w:rPr>
          <w:rFonts w:asciiTheme="minorHAnsi" w:eastAsia="MS PGothic" w:hAnsiTheme="minorHAnsi"/>
          <w:bCs/>
          <w:i/>
          <w:iCs/>
          <w:sz w:val="20"/>
          <w:lang w:val="en-US"/>
        </w:rPr>
        <w:t>f.baganz@ucl.ac.uk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C25C24" w:rsidP="00C25C2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Polarity of co-solvents determines product specificity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C25C2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Accumulation of alcohol over acid using more polar solvents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271C1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PLS model showed defining factors are solubility parameters</w:t>
      </w:r>
    </w:p>
    <w:p w:rsidR="00704BDF" w:rsidRPr="00EC66CC" w:rsidRDefault="00704BDF" w:rsidP="00271C17">
      <w:pPr>
        <w:pStyle w:val="AbstractBody"/>
        <w:ind w:left="1080"/>
        <w:rPr>
          <w:rFonts w:asciiTheme="minorHAnsi" w:hAnsiTheme="minorHAnsi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45723" w:rsidRDefault="00E77A6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Two-liquid phase reaction media </w:t>
      </w:r>
      <w:proofErr w:type="gramStart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long been used</w:t>
      </w:r>
      <w:proofErr w:type="gramEnd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bioconversions to supply or remove hydrophobic organic reaction substrates and products to reduce inhibitory and toxic effects on biocatalysts</w:t>
      </w:r>
      <w:r w:rsidR="00271C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case of the terminal </w:t>
      </w:r>
      <w:proofErr w:type="spellStart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oxyfunctionalisation</w:t>
      </w:r>
      <w:proofErr w:type="spellEnd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linear alkanes by the </w:t>
      </w:r>
      <w:proofErr w:type="spellStart"/>
      <w:proofErr w:type="gramStart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AlkBGT</w:t>
      </w:r>
      <w:proofErr w:type="spellEnd"/>
      <w:proofErr w:type="gramEnd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monooxygenase the excess alkane substrate is often used as a second phase to extract the alcohol, aldehyde and acid products</w:t>
      </w:r>
      <w:r w:rsidR="00002E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the selection of other carrier phases or surfactants is complex due to the large amount of parameters that are involved, such </w:t>
      </w:r>
      <w:proofErr w:type="gramStart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as:</w:t>
      </w:r>
      <w:proofErr w:type="gramEnd"/>
      <w:r w:rsidRPr="00E77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biocompatibility, substrate bioavailability and product extraction selectivity. </w:t>
      </w:r>
    </w:p>
    <w:p w:rsidR="00704BDF" w:rsidRPr="008D0BEB" w:rsidRDefault="0024572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study investigates co-solvents of different polarities and structures as secondary solvents for the whole-cell alkane bio-oxidation by </w:t>
      </w:r>
      <w:proofErr w:type="spellStart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AlkBGT</w:t>
      </w:r>
      <w:proofErr w:type="spell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Initially, the impact of six co-solvents at two concentrations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</w:t>
      </w:r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Particular focus is on the overall product yield and specificity of the bio-oxidation of four linear alkane substrates. In order to efficiently screen this wide range of experimental conditions, a high-throughput </w:t>
      </w:r>
      <w:proofErr w:type="spellStart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microwell</w:t>
      </w:r>
      <w:proofErr w:type="spell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platform specifically </w:t>
      </w:r>
      <w:proofErr w:type="spellStart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customised</w:t>
      </w:r>
      <w:proofErr w:type="spell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non- conventional media is used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gramStart"/>
      <w:r w:rsidR="00271C17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proofErr w:type="gram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In a second </w:t>
      </w:r>
      <w:proofErr w:type="gramStart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</w:t>
      </w:r>
      <w:proofErr w:type="gram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data is combined with estimated physicochemical properties of the co-solvents in a multivariate Partial least squares projections to latent structures (PLS) regression analysis. This allows the identification of key properties of co-solvents that specifically affect the </w:t>
      </w:r>
      <w:proofErr w:type="spellStart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AlkBGT</w:t>
      </w:r>
      <w:proofErr w:type="spellEnd"/>
      <w:r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in terms of product specificity and yields.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D2379D" w:rsidRDefault="00D2379D" w:rsidP="00D2379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Materials and methods for whole cell bioconversion in customized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microwell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plates and analysis of the reaction products by gas chromatography has been described in detail in Kolmar et al 2018 [</w:t>
      </w:r>
      <w:r w:rsidR="00271C17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For data analysis physicochemical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i.e. </w:t>
      </w:r>
      <w:r w:rsidRPr="00D2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Hansen and </w:t>
      </w:r>
      <w:proofErr w:type="spellStart"/>
      <w:r w:rsidRPr="00D2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>logP</w:t>
      </w:r>
      <w:proofErr w:type="spellEnd"/>
      <w:r w:rsidRPr="00D2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parameters were estimated for co-solvents and reaction substrate and products using </w:t>
      </w:r>
      <w:proofErr w:type="spellStart"/>
      <w:r w:rsidRPr="00D2379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COMSOquick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software. </w:t>
      </w:r>
      <w:r w:rsidR="00245723"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PLS regression analysis was performed (SIMCA 13.0.3, </w:t>
      </w:r>
      <w:proofErr w:type="spellStart"/>
      <w:r w:rsidR="00245723"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Umetrics</w:t>
      </w:r>
      <w:proofErr w:type="spellEnd"/>
      <w:r w:rsidR="00245723"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for </w:t>
      </w:r>
      <w:proofErr w:type="spellStart"/>
      <w:r w:rsidR="00245723"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analysing</w:t>
      </w:r>
      <w:proofErr w:type="spellEnd"/>
      <w:r w:rsidR="00245723" w:rsidRP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multiple variables in one model</w:t>
      </w:r>
      <w:r w:rsidR="0024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05445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="Times" w:eastAsia="Times" w:hAnsi="Times" w:cs="Times"/>
          <w:noProof/>
          <w:sz w:val="24"/>
          <w:szCs w:val="24"/>
          <w:lang w:eastAsia="en-GB"/>
        </w:rPr>
        <w:drawing>
          <wp:anchor distT="152400" distB="152400" distL="152400" distR="152400" simplePos="0" relativeHeight="251666432" behindDoc="0" locked="0" layoutInCell="1" allowOverlap="1" wp14:anchorId="0564D2D0" wp14:editId="07F81EC7">
            <wp:simplePos x="0" y="0"/>
            <wp:positionH relativeFrom="margin">
              <wp:posOffset>18415</wp:posOffset>
            </wp:positionH>
            <wp:positionV relativeFrom="page">
              <wp:posOffset>3543300</wp:posOffset>
            </wp:positionV>
            <wp:extent cx="2578100" cy="1651000"/>
            <wp:effectExtent l="0" t="0" r="0" b="6350"/>
            <wp:wrapTopAndBottom distT="152400" distB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Figure_3.pdf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/>
                    </a:blip>
                    <a:srcRect b="48597"/>
                    <a:stretch/>
                  </pic:blipFill>
                  <pic:spPr bwMode="auto">
                    <a:xfrm>
                      <a:off x="0" y="0"/>
                      <a:ext cx="2578100" cy="1651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Partial least square regression showed that the defining factors for product specificity are the solubility properties of reaction substrate and product in the co-solvent, as measured by H</w:t>
      </w:r>
      <w:r w:rsid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ansen solubility parameters</w:t>
      </w:r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gramStart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</w:t>
      </w:r>
      <w:proofErr w:type="gramEnd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polarity of co-solvents determines the accumulation of either alcohol or acid products. Whereas usually the acid product accumulates during the reaction, by choosing a </w:t>
      </w:r>
      <w:proofErr w:type="gramStart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</w:t>
      </w:r>
      <w:r w:rsid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polar</w:t>
      </w:r>
      <w:proofErr w:type="gramEnd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co-solvent the 1-alcohol product can be accumulated. Especially with </w:t>
      </w:r>
      <w:proofErr w:type="spellStart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Tergitol</w:t>
      </w:r>
      <w:proofErr w:type="spellEnd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co-solvent, a 3.2 fold improvement in 1-octanol yield to 2.4 g l</w:t>
      </w:r>
      <w:r w:rsidR="006609BB" w:rsidRPr="0005445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achieved</w:t>
      </w:r>
      <w:proofErr w:type="gramEnd"/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relative </w:t>
      </w:r>
      <w:r>
        <w:rPr>
          <w:rFonts w:ascii="Times" w:eastAsia="Times" w:hAnsi="Times" w:cs="Times"/>
          <w:noProof/>
          <w:sz w:val="24"/>
          <w:szCs w:val="24"/>
          <w:lang w:eastAsia="en-GB"/>
        </w:rPr>
        <w:drawing>
          <wp:anchor distT="152400" distB="152400" distL="152400" distR="152400" simplePos="0" relativeHeight="251662336" behindDoc="0" locked="0" layoutInCell="1" allowOverlap="1" wp14:anchorId="553746EE" wp14:editId="44A8F2F9">
            <wp:simplePos x="0" y="0"/>
            <wp:positionH relativeFrom="margin">
              <wp:posOffset>3504565</wp:posOffset>
            </wp:positionH>
            <wp:positionV relativeFrom="line">
              <wp:posOffset>527050</wp:posOffset>
            </wp:positionV>
            <wp:extent cx="1776730" cy="1708150"/>
            <wp:effectExtent l="0" t="0" r="0" b="635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Figure_1.pdf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/>
                    </a:blip>
                    <a:srcRect l="174" t="51139" r="49092" b="-383"/>
                    <a:stretch/>
                  </pic:blipFill>
                  <pic:spPr bwMode="auto">
                    <a:xfrm>
                      <a:off x="0" y="0"/>
                      <a:ext cx="1776730" cy="17081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6609BB" w:rsidRPr="00660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o the control reaction without co-solvents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C25C24" w:rsidRPr="00C25C24">
        <w:rPr>
          <w:rFonts w:asciiTheme="minorHAnsi" w:hAnsiTheme="minorHAnsi"/>
          <w:lang w:val="en-US"/>
        </w:rPr>
        <w:t>PLS model M2 score scatter plot of response data showing X-scores (t) of the first component along the x-axis and X-scores of the second along the y-axis (A)</w:t>
      </w:r>
      <w:r w:rsidR="00C25C24">
        <w:rPr>
          <w:rFonts w:asciiTheme="minorHAnsi" w:hAnsiTheme="minorHAnsi"/>
          <w:lang w:val="en-US"/>
        </w:rPr>
        <w:t xml:space="preserve"> </w:t>
      </w:r>
      <w:r w:rsidR="0005445F" w:rsidRPr="0005445F">
        <w:rPr>
          <w:rFonts w:asciiTheme="minorHAnsi" w:eastAsia="MS PGothic" w:hAnsiTheme="minorHAnsi"/>
          <w:color w:val="000000"/>
          <w:szCs w:val="18"/>
          <w:lang w:val="en-US"/>
        </w:rPr>
        <w:t xml:space="preserve">Co-solvent screening with </w:t>
      </w:r>
      <w:r w:rsidR="0005445F">
        <w:rPr>
          <w:rFonts w:asciiTheme="minorHAnsi" w:eastAsia="MS PGothic" w:hAnsiTheme="minorHAnsi"/>
          <w:color w:val="000000"/>
          <w:szCs w:val="18"/>
          <w:lang w:val="en-US"/>
        </w:rPr>
        <w:t xml:space="preserve">octane </w:t>
      </w:r>
      <w:r w:rsidR="00C25C24" w:rsidRPr="00C25C24">
        <w:rPr>
          <w:rFonts w:asciiTheme="minorHAnsi" w:eastAsia="MS PGothic" w:hAnsiTheme="minorHAnsi"/>
          <w:color w:val="000000"/>
          <w:szCs w:val="18"/>
          <w:lang w:val="en-US"/>
        </w:rPr>
        <w:t xml:space="preserve">substrate after 24h at 30°C and 250rpm, at varying co-solvent percentages in substrate indicated below x-axis </w:t>
      </w:r>
      <w:r w:rsidR="0005445F">
        <w:rPr>
          <w:rFonts w:asciiTheme="minorHAnsi" w:eastAsia="MS PGothic" w:hAnsiTheme="minorHAnsi"/>
          <w:color w:val="000000"/>
          <w:szCs w:val="18"/>
          <w:lang w:val="en-US"/>
        </w:rPr>
        <w:t>(C)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002E90" w:rsidRDefault="00002E90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C25C2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C25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application of co-solvents is a promising strategy to influence whole-cell alkane oxidations. Further work needs to investigate efficient downstream processing options for the most promising candidates </w:t>
      </w:r>
      <w:proofErr w:type="gramStart"/>
      <w:r w:rsidRPr="00C25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fully leverage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advantages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02E90" w:rsidRPr="008D0BEB" w:rsidRDefault="00002E9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002E90" w:rsidRDefault="00002E90" w:rsidP="00D8713E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n-US"/>
        </w:rPr>
      </w:pPr>
      <w:r w:rsidRPr="00002E90">
        <w:rPr>
          <w:rFonts w:asciiTheme="minorHAnsi" w:hAnsiTheme="minorHAnsi"/>
          <w:color w:val="000000"/>
          <w:sz w:val="20"/>
          <w:lang w:val="en-US"/>
        </w:rPr>
        <w:t xml:space="preserve">P.-Y. Kim, D. J. Pollard, J. M. Woodley, Biotechnology Progress 2007, 23, 74– </w:t>
      </w:r>
      <w:r>
        <w:rPr>
          <w:rFonts w:asciiTheme="minorHAnsi" w:hAnsiTheme="minorHAnsi"/>
          <w:color w:val="000000"/>
          <w:sz w:val="20"/>
          <w:lang w:val="en-US"/>
        </w:rPr>
        <w:t>82</w:t>
      </w:r>
      <w:r w:rsidRPr="00002E90">
        <w:rPr>
          <w:rFonts w:asciiTheme="minorHAnsi" w:hAnsiTheme="minorHAnsi"/>
          <w:color w:val="000000"/>
          <w:sz w:val="20"/>
          <w:lang w:val="en-US"/>
        </w:rPr>
        <w:t>.</w:t>
      </w:r>
    </w:p>
    <w:p w:rsidR="00002E90" w:rsidRPr="00002E90" w:rsidRDefault="00002E90" w:rsidP="00002E90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n-US"/>
        </w:rPr>
      </w:pPr>
      <w:r w:rsidRPr="00002E90">
        <w:rPr>
          <w:rFonts w:asciiTheme="minorHAnsi" w:hAnsiTheme="minorHAnsi"/>
          <w:color w:val="000000"/>
          <w:sz w:val="20"/>
          <w:lang w:val="en-US"/>
        </w:rPr>
        <w:t xml:space="preserve">C. Grant, J. M. Woodley, F. </w:t>
      </w:r>
      <w:proofErr w:type="spellStart"/>
      <w:r w:rsidRPr="00002E90">
        <w:rPr>
          <w:rFonts w:asciiTheme="minorHAnsi" w:hAnsiTheme="minorHAnsi"/>
          <w:color w:val="000000"/>
          <w:sz w:val="20"/>
          <w:lang w:val="en-US"/>
        </w:rPr>
        <w:t>Baganz</w:t>
      </w:r>
      <w:proofErr w:type="spellEnd"/>
      <w:r w:rsidRPr="00002E90">
        <w:rPr>
          <w:rFonts w:asciiTheme="minorHAnsi" w:hAnsiTheme="minorHAnsi"/>
          <w:color w:val="000000"/>
          <w:sz w:val="20"/>
          <w:lang w:val="en-US"/>
        </w:rPr>
        <w:t>, Enzyme and Microbial Technology 2011, 48, 480–486.</w:t>
      </w:r>
    </w:p>
    <w:p w:rsidR="00704BDF" w:rsidRPr="008D0BEB" w:rsidRDefault="00271C17" w:rsidP="00271C1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71C17">
        <w:rPr>
          <w:rFonts w:asciiTheme="minorHAnsi" w:hAnsiTheme="minorHAnsi"/>
          <w:color w:val="000000"/>
        </w:rPr>
        <w:t xml:space="preserve">J. F. Kolmar, O. </w:t>
      </w:r>
      <w:proofErr w:type="spellStart"/>
      <w:r w:rsidRPr="00271C17">
        <w:rPr>
          <w:rFonts w:asciiTheme="minorHAnsi" w:hAnsiTheme="minorHAnsi"/>
          <w:color w:val="000000"/>
        </w:rPr>
        <w:t>Thum</w:t>
      </w:r>
      <w:proofErr w:type="spellEnd"/>
      <w:r w:rsidRPr="00271C17">
        <w:rPr>
          <w:rFonts w:asciiTheme="minorHAnsi" w:hAnsiTheme="minorHAnsi"/>
          <w:color w:val="000000"/>
        </w:rPr>
        <w:t xml:space="preserve">, F. </w:t>
      </w:r>
      <w:proofErr w:type="spellStart"/>
      <w:r w:rsidRPr="00271C17">
        <w:rPr>
          <w:rFonts w:asciiTheme="minorHAnsi" w:hAnsiTheme="minorHAnsi"/>
          <w:color w:val="000000"/>
        </w:rPr>
        <w:t>Baganz</w:t>
      </w:r>
      <w:proofErr w:type="spellEnd"/>
      <w:r w:rsidRPr="00271C17">
        <w:rPr>
          <w:rFonts w:asciiTheme="minorHAnsi" w:hAnsiTheme="minorHAnsi"/>
          <w:color w:val="000000"/>
        </w:rPr>
        <w:t>, Microbial Cell Factories 2017, 16, 174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7F" w:rsidRDefault="0027647F" w:rsidP="004F5E36">
      <w:r>
        <w:separator/>
      </w:r>
    </w:p>
  </w:endnote>
  <w:endnote w:type="continuationSeparator" w:id="0">
    <w:p w:rsidR="0027647F" w:rsidRDefault="002764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7F" w:rsidRDefault="0027647F" w:rsidP="004F5E36">
      <w:r>
        <w:separator/>
      </w:r>
    </w:p>
  </w:footnote>
  <w:footnote w:type="continuationSeparator" w:id="0">
    <w:p w:rsidR="0027647F" w:rsidRDefault="0027647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31CE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675B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2E90"/>
    <w:rsid w:val="000117CB"/>
    <w:rsid w:val="0003148D"/>
    <w:rsid w:val="0005445F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45723"/>
    <w:rsid w:val="00251550"/>
    <w:rsid w:val="00271C17"/>
    <w:rsid w:val="0027221A"/>
    <w:rsid w:val="00275B61"/>
    <w:rsid w:val="0027647F"/>
    <w:rsid w:val="002D1F12"/>
    <w:rsid w:val="003009B7"/>
    <w:rsid w:val="0030469C"/>
    <w:rsid w:val="00316566"/>
    <w:rsid w:val="003723D4"/>
    <w:rsid w:val="003A7D1C"/>
    <w:rsid w:val="00403911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9BB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25C24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2379D"/>
    <w:rsid w:val="00D84576"/>
    <w:rsid w:val="00DE0019"/>
    <w:rsid w:val="00DE264A"/>
    <w:rsid w:val="00E041E7"/>
    <w:rsid w:val="00E23CA1"/>
    <w:rsid w:val="00E409A8"/>
    <w:rsid w:val="00E47211"/>
    <w:rsid w:val="00E7209D"/>
    <w:rsid w:val="00E77A6E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45144"/>
  <w15:docId w15:val="{14CD3088-89B3-4F50-9325-520B9CE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00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63C4-6744-40CE-AB30-31C142FF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Frank</cp:lastModifiedBy>
  <cp:revision>2</cp:revision>
  <cp:lastPrinted>2015-05-12T18:31:00Z</cp:lastPrinted>
  <dcterms:created xsi:type="dcterms:W3CDTF">2019-01-16T00:32:00Z</dcterms:created>
  <dcterms:modified xsi:type="dcterms:W3CDTF">2019-01-16T00:32:00Z</dcterms:modified>
</cp:coreProperties>
</file>