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9AC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88FD161" w14:textId="58D56CA3" w:rsidR="00704BDF" w:rsidRPr="00DE0019" w:rsidRDefault="00D62C0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Experimental </w:t>
      </w:r>
      <w:r w:rsidR="00F4275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Investigation of Mass Transfer in a Miniplant Scale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Rotating Packed Bed</w:t>
      </w:r>
      <w:r w:rsidR="00373478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70607790" w14:textId="77777777" w:rsidR="00DE0019" w:rsidRPr="00DE0019" w:rsidRDefault="00D14EB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Matthias Hilpert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F499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Jens-Uwe Repke</w:t>
      </w:r>
      <w:r w:rsidRPr="008C73E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3FD7BCC8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2552D" w:rsidRPr="00E2552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Process Dynamics and Operations Group, Technische Universität Berlin, Sekr. KWT-9, Str. des 17. Juni 135, D-10623 Berlin, Germany</w:t>
      </w:r>
    </w:p>
    <w:p w14:paraId="52722D08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14EB0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matthias.hilpert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14EB0">
        <w:rPr>
          <w:rFonts w:asciiTheme="minorHAnsi" w:eastAsia="MS PGothic" w:hAnsiTheme="minorHAnsi"/>
          <w:bCs/>
          <w:i/>
          <w:iCs/>
          <w:sz w:val="20"/>
          <w:lang w:val="en-US"/>
        </w:rPr>
        <w:t>tu-berlin.de</w:t>
      </w:r>
    </w:p>
    <w:p w14:paraId="013666B9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F0F8061" w14:textId="77777777" w:rsidR="00704BDF" w:rsidRPr="00EC66CC" w:rsidRDefault="00835DA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RPB miniplant test stand constructed</w:t>
      </w:r>
    </w:p>
    <w:p w14:paraId="30BCD36B" w14:textId="77777777" w:rsidR="00704BDF" w:rsidRPr="00EC66CC" w:rsidRDefault="00835DA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liquid side mass transfer coefficient evaluated from O2-stripping from water</w:t>
      </w:r>
    </w:p>
    <w:p w14:paraId="57078E78" w14:textId="77777777" w:rsidR="00704BDF" w:rsidRPr="00EC66CC" w:rsidRDefault="00835DA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gas side mass transfer coefficient </w:t>
      </w:r>
      <w:r w:rsidR="00D85CBE">
        <w:rPr>
          <w:rFonts w:asciiTheme="minorHAnsi" w:hAnsiTheme="minorHAnsi"/>
        </w:rPr>
        <w:t>determined</w:t>
      </w:r>
      <w:r>
        <w:rPr>
          <w:rFonts w:asciiTheme="minorHAnsi" w:hAnsiTheme="minorHAnsi"/>
        </w:rPr>
        <w:t xml:space="preserve"> </w:t>
      </w:r>
      <w:r w:rsidR="00D85CBE">
        <w:rPr>
          <w:rFonts w:asciiTheme="minorHAnsi" w:hAnsiTheme="minorHAnsi"/>
        </w:rPr>
        <w:t>by</w:t>
      </w:r>
      <w:r>
        <w:rPr>
          <w:rFonts w:asciiTheme="minorHAnsi" w:hAnsiTheme="minorHAnsi"/>
        </w:rPr>
        <w:t xml:space="preserve"> distillation of binary alcohol mixtures</w:t>
      </w:r>
    </w:p>
    <w:p w14:paraId="57F16493" w14:textId="77777777" w:rsidR="00704BDF" w:rsidRPr="00217EC6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62AC4ECA" w14:textId="77777777" w:rsidR="00C867B1" w:rsidRDefault="00045C45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Rotating Packed Beds (RPBs) provide one approach to intensification of absorption and distillation processes by enhancing heat and mass transfer through intensified 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micromixing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increased effective specific surface area. </w:t>
      </w:r>
      <w:r w:rsidR="002277D4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much higher throughputs can be achieved without flooding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277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leads to a</w:t>
      </w:r>
      <w:r w:rsidR="00D85CB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10-fold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reduction in equipment size and thus lower </w:t>
      </w:r>
      <w:r w:rsidR="00BE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space requirements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capital expenditure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compared to conventional packed columns </w:t>
      </w:r>
      <w:r w:rsidR="001F528D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RPB consists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packing material 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shape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hollow cylinder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clamped between t</w:t>
      </w:r>
      <w:r w:rsidR="008202D1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>o plates</w:t>
      </w:r>
      <w:r w:rsidR="00BE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rotate at speeds up to 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about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2000 min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1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illustrated in Figure 1, l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iquid is fed in the center near the axis of rotation and flows through the bed at multiples of normal gravity, while gas in 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countercurrent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flows radially inward. The high centrifugal forces and thus the possibility to use high surface area packing</w:t>
      </w:r>
      <w:r w:rsidR="002F6F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would flood in </w:t>
      </w:r>
      <w:r w:rsidR="00BE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2F6F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columns</w:t>
      </w:r>
      <w:r w:rsidR="001449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 to the aforementioned process intensification.</w:t>
      </w:r>
    </w:p>
    <w:p w14:paraId="07579119" w14:textId="77777777" w:rsidR="00D85CBE" w:rsidRPr="00DE0019" w:rsidRDefault="00432286" w:rsidP="00D85CBE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de-DE" w:eastAsia="de-DE"/>
        </w:rPr>
        <w:drawing>
          <wp:inline distT="0" distB="0" distL="0" distR="0" wp14:anchorId="333CD080" wp14:editId="3F1799B0">
            <wp:extent cx="3677970" cy="1905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19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2D45" w14:textId="77777777" w:rsidR="00D85CBE" w:rsidRPr="00DE0019" w:rsidRDefault="00D85CBE" w:rsidP="00D85CB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Flow pattern inside a single-stage horizontal RPB (left) [1], CAD-model of the constructed RPB (right)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7BE38AF3" w14:textId="77777777" w:rsidR="0057587F" w:rsidRPr="00045C45" w:rsidRDefault="0057587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Despite the potential of RPBs there are still few</w:t>
      </w:r>
      <w:r w:rsidR="007F4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distillation applications in</w:t>
      </w:r>
      <w:r w:rsidR="00FF44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European chemical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 which is among other factors due to the lack of validated design models for predicting RPB separation performance. While some studies regarding the distillation of binary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mixtures have been published, to the best of our knowledge no publications on multi-component mixtures exist</w:t>
      </w:r>
      <w:r w:rsidR="007F4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now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These however are necessary to validate models of the required complexity. Furthermore, the</w:t>
      </w:r>
      <w:r w:rsidR="00354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existing studies report processed results in the form of correlations or</w:t>
      </w:r>
      <w:r w:rsidR="007F4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</w:t>
      </w:r>
      <w:r w:rsidR="00354E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NTU-values that are of limited use to the development of new correlations. Therefore, a test stand has been built at our institute to generate the required data. </w:t>
      </w:r>
    </w:p>
    <w:p w14:paraId="63569924" w14:textId="77777777" w:rsidR="004F6A1F" w:rsidRDefault="004F6A1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RPB test stand enables distillation, absorption and desorption experiments over a broad range of operating parameters at a semi-industrial scale. Different bed types, depths and heights, as well as different options for liquid distribution can be employed. Distillation under infinite and finite reflux conditions </w:t>
      </w:r>
      <w:r w:rsidR="00217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possible. </w:t>
      </w:r>
    </w:p>
    <w:p w14:paraId="0C3DE681" w14:textId="77777777" w:rsidR="004F6A1F" w:rsidRDefault="004C68B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develop a validated model for multicomponent distillation</w:t>
      </w:r>
      <w:r w:rsidR="00217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RPB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following systematic approach is chosen</w:t>
      </w:r>
      <w:r w:rsidR="00471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illustrated in Figure 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71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4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 transfer inside the RPB takes place during the very short residence time of </w:t>
      </w:r>
      <w:r w:rsidR="00217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less than</w:t>
      </w:r>
      <w:r w:rsidR="004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 s</w:t>
      </w:r>
      <w:r w:rsidR="0047190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Therefore,</w:t>
      </w:r>
      <w:r w:rsidR="004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rate-based modeling approach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adopted</w:t>
      </w:r>
      <w:r w:rsidR="004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requiring correlations for liquid and vapor side mass transfer coefficients.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Liquid side coefficients are determined from desorption of oxygen from water into nitrogen atmosphere. Overall mass transfer coefficients are derived from distillation of binary mixtures of lower-chain alcohols at infinite reflux. Gas side mass transfer coefficients will be back-calculated and correlated using the results.</w:t>
      </w:r>
      <w:r w:rsidR="004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test the validity of the model</w:t>
      </w:r>
      <w:r w:rsidR="00BE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binary and ternary ideal and non-ideal mixtures </w:t>
      </w:r>
      <w:r w:rsidR="00713FF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distilled and modeled.</w:t>
      </w:r>
    </w:p>
    <w:p w14:paraId="3DC08FF8" w14:textId="77777777" w:rsidR="00AE3519" w:rsidRPr="00DE0019" w:rsidRDefault="00AE3519" w:rsidP="00D10D08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object w:dxaOrig="12780" w:dyaOrig="3285" w14:anchorId="076FD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112.5pt" o:ole="">
            <v:imagedata r:id="rId11" o:title=""/>
          </v:shape>
          <o:OLEObject Type="Embed" ProgID="Visio.Drawing.15" ShapeID="_x0000_i1025" DrawAspect="Content" ObjectID="_1627980918" r:id="rId12"/>
        </w:object>
      </w:r>
    </w:p>
    <w:p w14:paraId="1F600446" w14:textId="77777777" w:rsidR="00471902" w:rsidRPr="00DE0019" w:rsidRDefault="00471902" w:rsidP="0047190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Schematic of</w:t>
      </w:r>
      <w:r w:rsidR="00BF4CB8">
        <w:rPr>
          <w:rFonts w:asciiTheme="minorHAnsi" w:eastAsia="MS PGothic" w:hAnsiTheme="minorHAnsi"/>
          <w:color w:val="000000"/>
          <w:szCs w:val="18"/>
          <w:lang w:val="en-US"/>
        </w:rPr>
        <w:t xml:space="preserve"> approach for determination of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mass transfer </w:t>
      </w:r>
      <w:r w:rsidR="00BF4CB8">
        <w:rPr>
          <w:rFonts w:asciiTheme="minorHAnsi" w:eastAsia="MS PGothic" w:hAnsiTheme="minorHAnsi"/>
          <w:color w:val="000000"/>
          <w:szCs w:val="18"/>
          <w:lang w:val="en-US"/>
        </w:rPr>
        <w:t>coefficients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190A97A" w14:textId="77777777" w:rsidR="00704BDF" w:rsidRPr="008D0BEB" w:rsidRDefault="004C68B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44BC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contribution</w:t>
      </w:r>
      <w:r w:rsidR="00713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</w:t>
      </w:r>
      <w:r w:rsidR="00044BC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6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details of the RPB test stand and the experimental design. R</w:t>
      </w:r>
      <w:r w:rsidR="00713F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esults from desorption experiments and from binary distillation runs</w:t>
      </w:r>
      <w:r w:rsidR="0046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be shown</w:t>
      </w:r>
      <w:r w:rsidR="009119D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form the basis for the development of mass transfer coefficient correlations</w:t>
      </w:r>
      <w:r w:rsidR="00713F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5C28210" w14:textId="77777777" w:rsidR="00704BDF" w:rsidRPr="008D0BEB" w:rsidRDefault="00D62C0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2048A5C" w14:textId="77777777" w:rsidR="00704BDF" w:rsidRPr="00217EC6" w:rsidRDefault="00FF44B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17EC6">
        <w:rPr>
          <w:rFonts w:asciiTheme="minorHAnsi" w:hAnsiTheme="minorHAnsi"/>
          <w:color w:val="000000"/>
          <w:lang w:val="de-DE"/>
        </w:rPr>
        <w:t xml:space="preserve">G.E. Cortes Garcia, J. van der Schaaf, A.A. Kiss, J. Chem. </w:t>
      </w:r>
      <w:r w:rsidRPr="00217EC6">
        <w:rPr>
          <w:rFonts w:asciiTheme="minorHAnsi" w:hAnsiTheme="minorHAnsi"/>
          <w:color w:val="000000"/>
        </w:rPr>
        <w:t>Technol. Biotechnol. 92 (2017)</w:t>
      </w:r>
      <w:r w:rsidR="001F528D" w:rsidRPr="00217EC6">
        <w:rPr>
          <w:rFonts w:asciiTheme="minorHAnsi" w:hAnsiTheme="minorHAnsi"/>
          <w:color w:val="000000"/>
        </w:rPr>
        <w:t xml:space="preserve"> 1136–</w:t>
      </w:r>
      <w:r w:rsidRPr="00217EC6">
        <w:rPr>
          <w:rFonts w:asciiTheme="minorHAnsi" w:hAnsiTheme="minorHAnsi"/>
          <w:color w:val="000000"/>
        </w:rPr>
        <w:t>1156.</w:t>
      </w:r>
    </w:p>
    <w:sectPr w:rsidR="00704BDF" w:rsidRPr="00217EC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B12A" w14:textId="77777777" w:rsidR="00452DFE" w:rsidRDefault="00452DFE" w:rsidP="004F5E36">
      <w:r>
        <w:separator/>
      </w:r>
    </w:p>
  </w:endnote>
  <w:endnote w:type="continuationSeparator" w:id="0">
    <w:p w14:paraId="1EBF0D53" w14:textId="77777777" w:rsidR="00452DFE" w:rsidRDefault="00452DF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B2A1D" w14:textId="77777777" w:rsidR="00452DFE" w:rsidRDefault="00452DFE" w:rsidP="004F5E36">
      <w:r>
        <w:separator/>
      </w:r>
    </w:p>
  </w:footnote>
  <w:footnote w:type="continuationSeparator" w:id="0">
    <w:p w14:paraId="1DF6F5FB" w14:textId="77777777" w:rsidR="00452DFE" w:rsidRDefault="00452DF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9DA2" w14:textId="77777777" w:rsidR="004D1162" w:rsidRDefault="00594E9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5C7D94" wp14:editId="584A862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3E0A96BC" wp14:editId="3745861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814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135C107" wp14:editId="063AE48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478BA93" w14:textId="77777777" w:rsidR="00704BDF" w:rsidRDefault="00704BDF">
    <w:pPr>
      <w:pStyle w:val="Intestazione"/>
    </w:pPr>
  </w:p>
  <w:p w14:paraId="469A6228" w14:textId="77777777" w:rsidR="00704BDF" w:rsidRDefault="00704BD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4D8F" wp14:editId="42752F5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44BC4"/>
    <w:rsid w:val="00045C45"/>
    <w:rsid w:val="00062A9A"/>
    <w:rsid w:val="000A03B2"/>
    <w:rsid w:val="000D34BE"/>
    <w:rsid w:val="000E36F1"/>
    <w:rsid w:val="000E3A73"/>
    <w:rsid w:val="000E414A"/>
    <w:rsid w:val="0013121F"/>
    <w:rsid w:val="00134DE4"/>
    <w:rsid w:val="001449BC"/>
    <w:rsid w:val="00150E59"/>
    <w:rsid w:val="00184AD6"/>
    <w:rsid w:val="001B65C1"/>
    <w:rsid w:val="001C684B"/>
    <w:rsid w:val="001D53FC"/>
    <w:rsid w:val="001F2EC7"/>
    <w:rsid w:val="001F528D"/>
    <w:rsid w:val="002065DB"/>
    <w:rsid w:val="00217EC6"/>
    <w:rsid w:val="002249F5"/>
    <w:rsid w:val="002277D4"/>
    <w:rsid w:val="002447EF"/>
    <w:rsid w:val="00251550"/>
    <w:rsid w:val="0027221A"/>
    <w:rsid w:val="00275B61"/>
    <w:rsid w:val="0029006F"/>
    <w:rsid w:val="002D1F12"/>
    <w:rsid w:val="002F6F77"/>
    <w:rsid w:val="003009B7"/>
    <w:rsid w:val="0030469C"/>
    <w:rsid w:val="00354E8E"/>
    <w:rsid w:val="003570B6"/>
    <w:rsid w:val="003723D4"/>
    <w:rsid w:val="00373478"/>
    <w:rsid w:val="003A7D1C"/>
    <w:rsid w:val="003E22AA"/>
    <w:rsid w:val="00432286"/>
    <w:rsid w:val="00452DFE"/>
    <w:rsid w:val="0046164A"/>
    <w:rsid w:val="00462DCD"/>
    <w:rsid w:val="00464937"/>
    <w:rsid w:val="00471902"/>
    <w:rsid w:val="004C68BF"/>
    <w:rsid w:val="004D1162"/>
    <w:rsid w:val="004E4DD6"/>
    <w:rsid w:val="004F5E36"/>
    <w:rsid w:val="004F6A1F"/>
    <w:rsid w:val="00504D18"/>
    <w:rsid w:val="005119A5"/>
    <w:rsid w:val="00522E2F"/>
    <w:rsid w:val="005278B7"/>
    <w:rsid w:val="005346C8"/>
    <w:rsid w:val="0057587F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827CD"/>
    <w:rsid w:val="006A58D2"/>
    <w:rsid w:val="006C5579"/>
    <w:rsid w:val="00704BDF"/>
    <w:rsid w:val="00713FF0"/>
    <w:rsid w:val="00736B13"/>
    <w:rsid w:val="007447F3"/>
    <w:rsid w:val="007661C8"/>
    <w:rsid w:val="00791923"/>
    <w:rsid w:val="007A0448"/>
    <w:rsid w:val="007D52CD"/>
    <w:rsid w:val="007F499A"/>
    <w:rsid w:val="00813288"/>
    <w:rsid w:val="00813985"/>
    <w:rsid w:val="00815E87"/>
    <w:rsid w:val="008168FC"/>
    <w:rsid w:val="008202D1"/>
    <w:rsid w:val="00834EB3"/>
    <w:rsid w:val="00835DA5"/>
    <w:rsid w:val="008479A2"/>
    <w:rsid w:val="0087637F"/>
    <w:rsid w:val="008A1512"/>
    <w:rsid w:val="008C73E4"/>
    <w:rsid w:val="008D0BEB"/>
    <w:rsid w:val="008E566E"/>
    <w:rsid w:val="00901EB6"/>
    <w:rsid w:val="009119DF"/>
    <w:rsid w:val="009450CE"/>
    <w:rsid w:val="0095164B"/>
    <w:rsid w:val="00996483"/>
    <w:rsid w:val="009E788A"/>
    <w:rsid w:val="00A022CB"/>
    <w:rsid w:val="00A1763D"/>
    <w:rsid w:val="00A17CEC"/>
    <w:rsid w:val="00A27EF0"/>
    <w:rsid w:val="00A76EFC"/>
    <w:rsid w:val="00A9626B"/>
    <w:rsid w:val="00A97F29"/>
    <w:rsid w:val="00AB0964"/>
    <w:rsid w:val="00AE3519"/>
    <w:rsid w:val="00AE377D"/>
    <w:rsid w:val="00B61DBF"/>
    <w:rsid w:val="00BC30C9"/>
    <w:rsid w:val="00BE1A9C"/>
    <w:rsid w:val="00BE3E58"/>
    <w:rsid w:val="00BF4CB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145F"/>
    <w:rsid w:val="00CD5FE2"/>
    <w:rsid w:val="00CE17BB"/>
    <w:rsid w:val="00D02B4C"/>
    <w:rsid w:val="00D10D08"/>
    <w:rsid w:val="00D14EB0"/>
    <w:rsid w:val="00D62C04"/>
    <w:rsid w:val="00D84576"/>
    <w:rsid w:val="00D85CBE"/>
    <w:rsid w:val="00DE0019"/>
    <w:rsid w:val="00DE264A"/>
    <w:rsid w:val="00E041E7"/>
    <w:rsid w:val="00E23CA1"/>
    <w:rsid w:val="00E2552D"/>
    <w:rsid w:val="00E30011"/>
    <w:rsid w:val="00E409A8"/>
    <w:rsid w:val="00E40BB5"/>
    <w:rsid w:val="00E626B5"/>
    <w:rsid w:val="00E7209D"/>
    <w:rsid w:val="00EA50E1"/>
    <w:rsid w:val="00EE0131"/>
    <w:rsid w:val="00F30C64"/>
    <w:rsid w:val="00F42753"/>
    <w:rsid w:val="00F62A18"/>
    <w:rsid w:val="00F77946"/>
    <w:rsid w:val="00F819CA"/>
    <w:rsid w:val="00F9605A"/>
    <w:rsid w:val="00FB730C"/>
    <w:rsid w:val="00FC2695"/>
    <w:rsid w:val="00FC3E03"/>
    <w:rsid w:val="00FE6A2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7714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-Zeichnung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E03E-12A2-4F66-9832-0FFEFB58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10</cp:revision>
  <cp:lastPrinted>2015-05-12T18:31:00Z</cp:lastPrinted>
  <dcterms:created xsi:type="dcterms:W3CDTF">2019-01-07T16:08:00Z</dcterms:created>
  <dcterms:modified xsi:type="dcterms:W3CDTF">2019-08-22T10:09:00Z</dcterms:modified>
</cp:coreProperties>
</file>