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0C1120" w:rsidP="00F53C66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Real-time prediction of protein quantity and purity</w:t>
      </w:r>
      <w:r w:rsidR="00402ABB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in downstream processing</w:t>
      </w:r>
    </w:p>
    <w:p w:rsidR="00DE0019" w:rsidRPr="007705CC" w:rsidRDefault="00402ABB" w:rsidP="007705CC">
      <w:pPr>
        <w:spacing w:after="240" w:line="276" w:lineRule="auto"/>
        <w:jc w:val="center"/>
        <w:rPr>
          <w:rFonts w:ascii="Calibri" w:eastAsia="Calibri" w:hAnsi="Calibri"/>
          <w:sz w:val="24"/>
          <w:lang w:val="de-AT"/>
        </w:rPr>
      </w:pPr>
      <w:r w:rsidRPr="00402ABB">
        <w:rPr>
          <w:rFonts w:ascii="Calibri" w:eastAsia="Calibri" w:hAnsi="Calibri"/>
          <w:sz w:val="24"/>
          <w:u w:val="single"/>
          <w:lang w:val="pt-PT"/>
        </w:rPr>
        <w:t>Michael Melcher</w:t>
      </w:r>
      <w:r w:rsidRPr="00920293">
        <w:rPr>
          <w:rFonts w:ascii="Calibri" w:eastAsia="Calibri" w:hAnsi="Calibri"/>
          <w:sz w:val="24"/>
          <w:vertAlign w:val="superscript"/>
          <w:lang w:val="pt-PT"/>
        </w:rPr>
        <w:t>1,2</w:t>
      </w:r>
      <w:r>
        <w:rPr>
          <w:rFonts w:ascii="Calibri" w:eastAsia="Calibri" w:hAnsi="Calibri"/>
          <w:sz w:val="24"/>
          <w:vertAlign w:val="superscript"/>
          <w:lang w:val="pt-PT"/>
        </w:rPr>
        <w:t>,*</w:t>
      </w:r>
      <w:r w:rsidRPr="00920293">
        <w:rPr>
          <w:rFonts w:ascii="Calibri" w:eastAsia="Calibri" w:hAnsi="Calibri"/>
          <w:sz w:val="24"/>
          <w:lang w:val="pt-PT"/>
        </w:rPr>
        <w:t xml:space="preserve">, </w:t>
      </w:r>
      <w:r w:rsidRPr="00402ABB">
        <w:rPr>
          <w:rFonts w:ascii="Calibri" w:eastAsia="Calibri" w:hAnsi="Calibri"/>
          <w:sz w:val="24"/>
          <w:lang w:val="pt-PT"/>
        </w:rPr>
        <w:t>Theresa Scharl-Hirsch</w:t>
      </w:r>
      <w:r w:rsidRPr="00920293">
        <w:rPr>
          <w:rFonts w:ascii="Calibri" w:eastAsia="Calibri" w:hAnsi="Calibri"/>
          <w:sz w:val="24"/>
          <w:vertAlign w:val="superscript"/>
          <w:lang w:val="pt-PT"/>
        </w:rPr>
        <w:t>1,2</w:t>
      </w:r>
      <w:r>
        <w:rPr>
          <w:rFonts w:ascii="Calibri" w:eastAsia="Calibri" w:hAnsi="Calibri"/>
          <w:sz w:val="24"/>
          <w:lang w:val="pt-PT"/>
        </w:rPr>
        <w:t xml:space="preserve">, </w:t>
      </w:r>
      <w:r w:rsidRPr="00920293">
        <w:rPr>
          <w:rFonts w:ascii="Calibri" w:eastAsia="Calibri" w:hAnsi="Calibri"/>
          <w:sz w:val="24"/>
          <w:lang w:val="pt-PT"/>
        </w:rPr>
        <w:t>Dominik Sauer</w:t>
      </w:r>
      <w:r w:rsidRPr="00920293">
        <w:rPr>
          <w:rFonts w:ascii="Calibri" w:eastAsia="Calibri" w:hAnsi="Calibri"/>
          <w:sz w:val="24"/>
          <w:vertAlign w:val="superscript"/>
          <w:lang w:val="pt-PT"/>
        </w:rPr>
        <w:t>1,3</w:t>
      </w:r>
      <w:r w:rsidRPr="00920293">
        <w:rPr>
          <w:rFonts w:ascii="Calibri" w:eastAsia="Calibri" w:hAnsi="Calibri"/>
          <w:sz w:val="24"/>
          <w:lang w:val="pt-PT"/>
        </w:rPr>
        <w:t>, Nicole Walch</w:t>
      </w:r>
      <w:r w:rsidRPr="00920293">
        <w:rPr>
          <w:rFonts w:ascii="Calibri" w:eastAsia="Calibri" w:hAnsi="Calibri"/>
          <w:sz w:val="24"/>
          <w:vertAlign w:val="superscript"/>
          <w:lang w:val="pt-PT"/>
        </w:rPr>
        <w:t>1,3</w:t>
      </w:r>
      <w:r w:rsidRPr="00920293">
        <w:rPr>
          <w:rFonts w:ascii="Calibri" w:eastAsia="Calibri" w:hAnsi="Calibri"/>
          <w:sz w:val="24"/>
          <w:lang w:val="pt-PT"/>
        </w:rPr>
        <w:t xml:space="preserve">, </w:t>
      </w:r>
      <w:r>
        <w:rPr>
          <w:rFonts w:ascii="Calibri" w:eastAsia="Calibri" w:hAnsi="Calibri"/>
          <w:sz w:val="24"/>
          <w:lang w:val="pt-PT"/>
        </w:rPr>
        <w:t>E</w:t>
      </w:r>
      <w:r w:rsidRPr="00920293">
        <w:rPr>
          <w:rFonts w:ascii="Calibri" w:eastAsia="Calibri" w:hAnsi="Calibri"/>
          <w:sz w:val="24"/>
          <w:lang w:val="pt-PT"/>
        </w:rPr>
        <w:t>dit Felföldi</w:t>
      </w:r>
      <w:r w:rsidRPr="00920293">
        <w:rPr>
          <w:rFonts w:ascii="Calibri" w:eastAsia="Calibri" w:hAnsi="Calibri"/>
          <w:sz w:val="24"/>
          <w:vertAlign w:val="superscript"/>
          <w:lang w:val="pt-PT"/>
        </w:rPr>
        <w:t>1,</w:t>
      </w:r>
      <w:r>
        <w:rPr>
          <w:rFonts w:ascii="Calibri" w:eastAsia="Calibri" w:hAnsi="Calibri"/>
          <w:sz w:val="24"/>
          <w:vertAlign w:val="superscript"/>
          <w:lang w:val="pt-PT"/>
        </w:rPr>
        <w:t>3</w:t>
      </w:r>
      <w:r>
        <w:rPr>
          <w:rFonts w:ascii="Calibri" w:eastAsia="Calibri" w:hAnsi="Calibri"/>
          <w:sz w:val="24"/>
          <w:lang w:val="pt-PT"/>
        </w:rPr>
        <w:t xml:space="preserve">, </w:t>
      </w:r>
      <w:r w:rsidR="005A3BDE">
        <w:rPr>
          <w:rFonts w:ascii="Calibri" w:eastAsia="Calibri" w:hAnsi="Calibri"/>
          <w:sz w:val="24"/>
          <w:lang w:val="pt-PT"/>
        </w:rPr>
        <w:t>Anna Christler</w:t>
      </w:r>
      <w:r w:rsidR="005A3BDE" w:rsidRPr="00920293">
        <w:rPr>
          <w:rFonts w:ascii="Calibri" w:eastAsia="Calibri" w:hAnsi="Calibri"/>
          <w:sz w:val="24"/>
          <w:vertAlign w:val="superscript"/>
          <w:lang w:val="pt-PT"/>
        </w:rPr>
        <w:t>1,</w:t>
      </w:r>
      <w:r w:rsidR="005A3BDE">
        <w:rPr>
          <w:rFonts w:ascii="Calibri" w:eastAsia="Calibri" w:hAnsi="Calibri"/>
          <w:sz w:val="24"/>
          <w:vertAlign w:val="superscript"/>
          <w:lang w:val="pt-PT"/>
        </w:rPr>
        <w:t>3</w:t>
      </w:r>
      <w:r w:rsidR="005A3BDE">
        <w:rPr>
          <w:rFonts w:ascii="Calibri" w:eastAsia="Calibri" w:hAnsi="Calibri"/>
          <w:sz w:val="24"/>
          <w:lang w:val="pt-PT"/>
        </w:rPr>
        <w:t xml:space="preserve">, </w:t>
      </w:r>
      <w:r w:rsidRPr="00402ABB">
        <w:rPr>
          <w:rFonts w:ascii="Calibri" w:eastAsia="Calibri" w:hAnsi="Calibri"/>
          <w:sz w:val="24"/>
          <w:lang w:val="pt-PT"/>
        </w:rPr>
        <w:t>Alois</w:t>
      </w:r>
      <w:r w:rsidRPr="00920293">
        <w:rPr>
          <w:rFonts w:ascii="Calibri" w:eastAsia="Calibri" w:hAnsi="Calibri"/>
          <w:sz w:val="24"/>
          <w:lang w:val="pt-PT"/>
        </w:rPr>
        <w:t xml:space="preserve"> Jungbauer</w:t>
      </w:r>
      <w:r w:rsidRPr="00920293">
        <w:rPr>
          <w:rFonts w:ascii="Calibri" w:eastAsia="Calibri" w:hAnsi="Calibri"/>
          <w:sz w:val="24"/>
          <w:vertAlign w:val="superscript"/>
          <w:lang w:val="pt-PT"/>
        </w:rPr>
        <w:t>1,3</w:t>
      </w:r>
      <w:r w:rsidRPr="00920293">
        <w:rPr>
          <w:rFonts w:ascii="Calibri" w:eastAsia="Calibri" w:hAnsi="Calibri"/>
          <w:sz w:val="24"/>
          <w:lang w:val="pt-PT"/>
        </w:rPr>
        <w:t>, Astrid Dürauer</w:t>
      </w:r>
      <w:r w:rsidRPr="00920293">
        <w:rPr>
          <w:rFonts w:ascii="Calibri" w:eastAsia="Calibri" w:hAnsi="Calibri"/>
          <w:sz w:val="24"/>
          <w:vertAlign w:val="superscript"/>
          <w:lang w:val="pt-PT"/>
        </w:rPr>
        <w:t xml:space="preserve">1,3   </w:t>
      </w:r>
      <w:r w:rsidRPr="00920293">
        <w:rPr>
          <w:rFonts w:ascii="Calibri" w:eastAsia="Calibri" w:hAnsi="Calibri"/>
          <w:sz w:val="24"/>
          <w:lang w:val="pt-PT"/>
        </w:rPr>
        <w:t>and Friedrich Leisch</w:t>
      </w:r>
      <w:r w:rsidRPr="00920293">
        <w:rPr>
          <w:rFonts w:ascii="Calibri" w:eastAsia="Calibri" w:hAnsi="Calibri"/>
          <w:sz w:val="24"/>
          <w:vertAlign w:val="superscript"/>
          <w:lang w:val="pt-PT"/>
        </w:rPr>
        <w:t>1,2</w:t>
      </w:r>
    </w:p>
    <w:p w:rsidR="00402ABB" w:rsidRPr="00920293" w:rsidRDefault="00402ABB" w:rsidP="00402ABB">
      <w:pPr>
        <w:snapToGrid w:val="0"/>
        <w:spacing w:after="120"/>
        <w:jc w:val="center"/>
        <w:rPr>
          <w:rFonts w:ascii="Calibri" w:eastAsia="MS PGothic" w:hAnsi="Calibri"/>
          <w:bCs/>
          <w:i/>
          <w:iCs/>
          <w:color w:val="000000"/>
          <w:sz w:val="20"/>
          <w:lang w:val="en-US"/>
        </w:rPr>
      </w:pPr>
      <w:r w:rsidRPr="00920293">
        <w:rPr>
          <w:rFonts w:ascii="Calibri" w:eastAsia="MS PGothic" w:hAnsi="Calibri"/>
          <w:i/>
          <w:iCs/>
          <w:color w:val="000000"/>
          <w:sz w:val="20"/>
          <w:lang w:val="en-US"/>
        </w:rPr>
        <w:t xml:space="preserve">1 </w:t>
      </w:r>
      <w:r w:rsidRPr="00920293">
        <w:rPr>
          <w:rFonts w:ascii="Calibri" w:hAnsi="Calibri"/>
          <w:i/>
          <w:sz w:val="20"/>
          <w:lang w:val="en-US" w:eastAsia="fr-FR"/>
        </w:rPr>
        <w:t xml:space="preserve">Austrian Centre of Industrial Biotechnology (ACIB), </w:t>
      </w:r>
      <w:proofErr w:type="spellStart"/>
      <w:r w:rsidRPr="00920293">
        <w:rPr>
          <w:rFonts w:ascii="Calibri" w:hAnsi="Calibri"/>
          <w:i/>
          <w:sz w:val="20"/>
          <w:lang w:val="en-US" w:eastAsia="fr-FR"/>
        </w:rPr>
        <w:t>Muthgasse</w:t>
      </w:r>
      <w:proofErr w:type="spellEnd"/>
      <w:r w:rsidRPr="00920293">
        <w:rPr>
          <w:rFonts w:ascii="Calibri" w:hAnsi="Calibri"/>
          <w:i/>
          <w:sz w:val="20"/>
          <w:lang w:val="en-US" w:eastAsia="fr-FR"/>
        </w:rPr>
        <w:t xml:space="preserve"> 11, 1190 Vienna, Austria</w:t>
      </w:r>
      <w:r w:rsidRPr="00920293">
        <w:rPr>
          <w:rFonts w:ascii="Calibri" w:eastAsia="MS PGothic" w:hAnsi="Calibri"/>
          <w:i/>
          <w:iCs/>
          <w:color w:val="000000"/>
          <w:sz w:val="20"/>
          <w:lang w:val="en-US"/>
        </w:rPr>
        <w:t xml:space="preserve">; 2 </w:t>
      </w:r>
      <w:r w:rsidRPr="00920293">
        <w:rPr>
          <w:rFonts w:ascii="Calibri" w:hAnsi="Calibri"/>
          <w:i/>
          <w:sz w:val="20"/>
          <w:lang w:val="en-US" w:eastAsia="fr-FR"/>
        </w:rPr>
        <w:t>Institute of Applied Statistics and Computing, University of Natural Resources and Life Sciences Vienna, Peter-Jordan-</w:t>
      </w:r>
      <w:proofErr w:type="spellStart"/>
      <w:r w:rsidRPr="00920293">
        <w:rPr>
          <w:rFonts w:ascii="Calibri" w:hAnsi="Calibri"/>
          <w:i/>
          <w:sz w:val="20"/>
          <w:lang w:val="en-US" w:eastAsia="fr-FR"/>
        </w:rPr>
        <w:t>St</w:t>
      </w:r>
      <w:r w:rsidR="007705CC">
        <w:rPr>
          <w:rFonts w:ascii="Calibri" w:hAnsi="Calibri"/>
          <w:i/>
          <w:sz w:val="20"/>
          <w:lang w:val="en-US" w:eastAsia="fr-FR"/>
        </w:rPr>
        <w:t>raß</w:t>
      </w:r>
      <w:r w:rsidRPr="00920293">
        <w:rPr>
          <w:rFonts w:ascii="Calibri" w:hAnsi="Calibri"/>
          <w:i/>
          <w:sz w:val="20"/>
          <w:lang w:val="en-US" w:eastAsia="fr-FR"/>
        </w:rPr>
        <w:t>e</w:t>
      </w:r>
      <w:proofErr w:type="spellEnd"/>
      <w:r w:rsidRPr="00920293">
        <w:rPr>
          <w:rFonts w:ascii="Calibri" w:hAnsi="Calibri"/>
          <w:i/>
          <w:sz w:val="20"/>
          <w:lang w:val="en-US" w:eastAsia="fr-FR"/>
        </w:rPr>
        <w:t xml:space="preserve"> 82, 1190 Vienna, Austria</w:t>
      </w:r>
      <w:r w:rsidRPr="00920293">
        <w:rPr>
          <w:rFonts w:ascii="Calibri" w:eastAsia="MS PGothic" w:hAnsi="Calibri"/>
          <w:bCs/>
          <w:i/>
          <w:iCs/>
          <w:color w:val="000000"/>
          <w:sz w:val="20"/>
          <w:lang w:val="en-US"/>
        </w:rPr>
        <w:t xml:space="preserve">; 3 </w:t>
      </w:r>
      <w:r w:rsidRPr="00920293">
        <w:rPr>
          <w:rFonts w:ascii="Calibri" w:hAnsi="Calibri"/>
          <w:i/>
          <w:sz w:val="20"/>
          <w:lang w:val="en-US" w:eastAsia="fr-FR"/>
        </w:rPr>
        <w:t xml:space="preserve">Department of Biotechnology, University of Natural Resources and Life Sciences Vienna, </w:t>
      </w:r>
      <w:proofErr w:type="spellStart"/>
      <w:r w:rsidRPr="00920293">
        <w:rPr>
          <w:rFonts w:ascii="Calibri" w:hAnsi="Calibri"/>
          <w:i/>
          <w:sz w:val="20"/>
          <w:lang w:val="en-US" w:eastAsia="fr-FR"/>
        </w:rPr>
        <w:t>Muthgasse</w:t>
      </w:r>
      <w:proofErr w:type="spellEnd"/>
      <w:r w:rsidRPr="00920293">
        <w:rPr>
          <w:rFonts w:ascii="Calibri" w:hAnsi="Calibri"/>
          <w:i/>
          <w:sz w:val="20"/>
          <w:lang w:val="en-US" w:eastAsia="fr-FR"/>
        </w:rPr>
        <w:t xml:space="preserve"> 18, 1190 Vienna, Austria</w:t>
      </w:r>
      <w:r w:rsidRPr="00920293">
        <w:rPr>
          <w:rFonts w:ascii="Calibri" w:eastAsia="MS PGothic" w:hAnsi="Calibri"/>
          <w:bCs/>
          <w:i/>
          <w:iCs/>
          <w:color w:val="000000"/>
          <w:sz w:val="20"/>
          <w:lang w:val="en-US"/>
        </w:rPr>
        <w:t xml:space="preserve"> 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402ABB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michael.melcher@acib.at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705CC" w:rsidRDefault="007705C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Online-monitoring of capture step of human fibroblast growth factor (FGF) 2</w:t>
      </w:r>
    </w:p>
    <w:p w:rsidR="007705CC" w:rsidRDefault="007705C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Multi-analytical approach (Fluorescence, ATR/FTIR, UV, refractive index, …)</w:t>
      </w:r>
    </w:p>
    <w:p w:rsidR="00704BDF" w:rsidRPr="00EC66CC" w:rsidRDefault="007705C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Various statistical</w:t>
      </w:r>
      <w:r w:rsidR="00074CEB">
        <w:rPr>
          <w:rFonts w:asciiTheme="minorHAnsi" w:hAnsiTheme="minorHAnsi"/>
        </w:rPr>
        <w:t xml:space="preserve"> learning methods (PLS, Lasso, s</w:t>
      </w:r>
      <w:r>
        <w:rPr>
          <w:rFonts w:asciiTheme="minorHAnsi" w:hAnsiTheme="minorHAnsi"/>
        </w:rPr>
        <w:t>tructured additive regression)</w:t>
      </w:r>
    </w:p>
    <w:p w:rsidR="00704BDF" w:rsidRPr="00EC66CC" w:rsidRDefault="007705C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Prediction errors of approx. 0.5 mg/ml (protein quantity), 200 </w:t>
      </w:r>
      <w:proofErr w:type="spellStart"/>
      <w:r>
        <w:rPr>
          <w:rFonts w:asciiTheme="minorHAnsi" w:hAnsiTheme="minorHAnsi"/>
        </w:rPr>
        <w:t>ppm</w:t>
      </w:r>
      <w:proofErr w:type="spellEnd"/>
      <w:r w:rsidR="00F53C6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(host cell protein)</w:t>
      </w:r>
      <w:r w:rsidR="00074CEB">
        <w:rPr>
          <w:rFonts w:asciiTheme="minorHAnsi" w:hAnsiTheme="minorHAnsi"/>
        </w:rPr>
        <w:t xml:space="preserve"> and 300 </w:t>
      </w:r>
      <w:proofErr w:type="spellStart"/>
      <w:r w:rsidR="00074CEB">
        <w:rPr>
          <w:rFonts w:asciiTheme="minorHAnsi" w:hAnsiTheme="minorHAnsi"/>
        </w:rPr>
        <w:t>ppm</w:t>
      </w:r>
      <w:proofErr w:type="spellEnd"/>
      <w:r w:rsidR="00074CEB">
        <w:rPr>
          <w:rFonts w:asciiTheme="minorHAnsi" w:hAnsiTheme="minorHAnsi"/>
        </w:rPr>
        <w:t xml:space="preserve"> (</w:t>
      </w:r>
      <w:proofErr w:type="spellStart"/>
      <w:r w:rsidR="00074CEB">
        <w:rPr>
          <w:rFonts w:asciiTheme="minorHAnsi" w:hAnsiTheme="minorHAnsi"/>
        </w:rPr>
        <w:t>dsDNA</w:t>
      </w:r>
      <w:proofErr w:type="spellEnd"/>
      <w:r w:rsidR="00074CEB">
        <w:rPr>
          <w:rFonts w:asciiTheme="minorHAnsi" w:hAnsiTheme="minorHAnsi"/>
        </w:rPr>
        <w:t>)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704BDF" w:rsidRPr="008D0BEB" w:rsidRDefault="00F53C66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Downstream processing (DSP) describes the purification of biopharmaceuticals with a chromatographic step being the main part. Conventional online sensors such as UV/Vis, pH or conductivity probes are </w:t>
      </w:r>
      <w:r w:rsidR="008E63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currently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used for monitoring</w:t>
      </w:r>
      <w:r w:rsidR="008E63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process. Unfortunately, key process parameters such as the concentration of various impurities (e.g. host cell protein</w:t>
      </w:r>
      <w:r w:rsidR="00A204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HCP</w:t>
      </w:r>
      <w:r w:rsidR="008E63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double-stranded DNA</w:t>
      </w:r>
      <w:r w:rsidR="00A204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A204CA">
        <w:rPr>
          <w:rFonts w:asciiTheme="minorHAnsi" w:eastAsia="MS PGothic" w:hAnsiTheme="minorHAnsi"/>
          <w:color w:val="000000"/>
          <w:sz w:val="22"/>
          <w:szCs w:val="22"/>
          <w:lang w:val="en-US"/>
        </w:rPr>
        <w:t>dsDNA</w:t>
      </w:r>
      <w:proofErr w:type="spellEnd"/>
      <w:r w:rsidR="008E63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are thereby not accessible requiring time-, labor- and cost-intensive offline measurements of the fractionated </w:t>
      </w:r>
      <w:proofErr w:type="spellStart"/>
      <w:r w:rsidR="008E633D">
        <w:rPr>
          <w:rFonts w:asciiTheme="minorHAnsi" w:eastAsia="MS PGothic" w:hAnsiTheme="minorHAnsi"/>
          <w:color w:val="000000"/>
          <w:sz w:val="22"/>
          <w:szCs w:val="22"/>
          <w:lang w:val="en-US"/>
        </w:rPr>
        <w:t>eluate</w:t>
      </w:r>
      <w:proofErr w:type="spellEnd"/>
      <w:r w:rsidR="006A32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="008E63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8D0BEB" w:rsidRDefault="008E633D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 conventional chromatographic workstation (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Äkta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Pure 25, GE Healthcare, Sweden) equipped with a multi-wavelength UV/Vis detector (the wavelengths 214, 260 and 280 nm are monitored), a conductivity and a pH probe, was enhanced with a mid-IR spectrometer (MATRIX-FM,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Bruker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USA), a fluorescence </w:t>
      </w:r>
      <w:r w:rsidRPr="008E633D">
        <w:rPr>
          <w:rFonts w:asciiTheme="minorHAnsi" w:eastAsia="MS PGothic" w:hAnsiTheme="minorHAnsi"/>
          <w:color w:val="000000"/>
          <w:sz w:val="22"/>
          <w:szCs w:val="22"/>
          <w:lang w:val="en-US"/>
        </w:rPr>
        <w:t>detector (</w:t>
      </w:r>
      <w:proofErr w:type="spellStart"/>
      <w:r w:rsidRPr="008E633D">
        <w:rPr>
          <w:rFonts w:asciiTheme="minorHAnsi" w:hAnsiTheme="minorHAnsi" w:cstheme="minorHAnsi"/>
          <w:sz w:val="22"/>
          <w:szCs w:val="22"/>
        </w:rPr>
        <w:t>AvaSpec</w:t>
      </w:r>
      <w:proofErr w:type="spellEnd"/>
      <w:r w:rsidRPr="008E633D">
        <w:rPr>
          <w:rFonts w:asciiTheme="minorHAnsi" w:hAnsiTheme="minorHAnsi" w:cstheme="minorHAnsi"/>
          <w:sz w:val="22"/>
          <w:szCs w:val="22"/>
        </w:rPr>
        <w:t>-ULS-TEC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Avantes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Netherlands), a multi-angle light scattering </w:t>
      </w:r>
      <w:r w:rsidR="00A204CA">
        <w:rPr>
          <w:rFonts w:asciiTheme="minorHAnsi" w:hAnsiTheme="minorHAnsi" w:cstheme="minorHAnsi"/>
          <w:sz w:val="22"/>
          <w:szCs w:val="22"/>
        </w:rPr>
        <w:t xml:space="preserve">(MALS) </w:t>
      </w:r>
      <w:r>
        <w:rPr>
          <w:rFonts w:asciiTheme="minorHAnsi" w:hAnsiTheme="minorHAnsi" w:cstheme="minorHAnsi"/>
          <w:sz w:val="22"/>
          <w:szCs w:val="22"/>
        </w:rPr>
        <w:t>spe</w:t>
      </w:r>
      <w:r w:rsidR="00A204CA">
        <w:rPr>
          <w:rFonts w:asciiTheme="minorHAnsi" w:hAnsiTheme="minorHAnsi" w:cstheme="minorHAnsi"/>
          <w:sz w:val="22"/>
          <w:szCs w:val="22"/>
        </w:rPr>
        <w:t>ctrometer (</w:t>
      </w:r>
      <w:proofErr w:type="spellStart"/>
      <w:r w:rsidR="00A204CA">
        <w:rPr>
          <w:rFonts w:asciiTheme="minorHAnsi" w:hAnsiTheme="minorHAnsi" w:cstheme="minorHAnsi"/>
          <w:sz w:val="22"/>
          <w:szCs w:val="22"/>
        </w:rPr>
        <w:t>miniDAWN</w:t>
      </w:r>
      <w:proofErr w:type="spellEnd"/>
      <w:r w:rsidR="00A204CA">
        <w:rPr>
          <w:rFonts w:asciiTheme="minorHAnsi" w:hAnsiTheme="minorHAnsi" w:cstheme="minorHAnsi"/>
          <w:sz w:val="22"/>
          <w:szCs w:val="22"/>
        </w:rPr>
        <w:t xml:space="preserve"> TREOS, Wyatt, USA) as well as with a differential refractive index (RI) detector (</w:t>
      </w:r>
      <w:proofErr w:type="spellStart"/>
      <w:r w:rsidR="00A204CA">
        <w:rPr>
          <w:rFonts w:asciiTheme="minorHAnsi" w:hAnsiTheme="minorHAnsi" w:cstheme="minorHAnsi"/>
          <w:sz w:val="22"/>
          <w:szCs w:val="22"/>
        </w:rPr>
        <w:t>Optilab</w:t>
      </w:r>
      <w:proofErr w:type="spellEnd"/>
      <w:r w:rsidR="00A204CA">
        <w:rPr>
          <w:rFonts w:asciiTheme="minorHAnsi" w:hAnsiTheme="minorHAnsi" w:cstheme="minorHAnsi"/>
          <w:sz w:val="22"/>
          <w:szCs w:val="22"/>
        </w:rPr>
        <w:t xml:space="preserve"> T-</w:t>
      </w:r>
      <w:proofErr w:type="spellStart"/>
      <w:r w:rsidR="00A204CA">
        <w:rPr>
          <w:rFonts w:asciiTheme="minorHAnsi" w:hAnsiTheme="minorHAnsi" w:cstheme="minorHAnsi"/>
          <w:sz w:val="22"/>
          <w:szCs w:val="22"/>
        </w:rPr>
        <w:t>rEX</w:t>
      </w:r>
      <w:proofErr w:type="spellEnd"/>
      <w:r w:rsidR="00A204CA">
        <w:rPr>
          <w:rFonts w:asciiTheme="minorHAnsi" w:hAnsiTheme="minorHAnsi" w:cstheme="minorHAnsi"/>
          <w:sz w:val="22"/>
          <w:szCs w:val="22"/>
        </w:rPr>
        <w:t xml:space="preserve">, Wyatt, USA). The chromatographic capture step of human fibroblast growth factor 2 (FGF-2) expressed in </w:t>
      </w:r>
      <w:r w:rsidR="00A204CA" w:rsidRPr="00A204CA">
        <w:rPr>
          <w:rFonts w:asciiTheme="minorHAnsi" w:hAnsiTheme="minorHAnsi" w:cstheme="minorHAnsi"/>
          <w:i/>
          <w:sz w:val="22"/>
          <w:szCs w:val="22"/>
        </w:rPr>
        <w:t>E. coli</w:t>
      </w:r>
      <w:r w:rsidR="00A204CA">
        <w:rPr>
          <w:rFonts w:asciiTheme="minorHAnsi" w:hAnsiTheme="minorHAnsi" w:cstheme="minorHAnsi"/>
          <w:sz w:val="22"/>
          <w:szCs w:val="22"/>
        </w:rPr>
        <w:t xml:space="preserve"> was monitored. On- and corresponding offline data for protein concentration and purity (HCP and </w:t>
      </w:r>
      <w:proofErr w:type="spellStart"/>
      <w:r w:rsidR="00A204CA">
        <w:rPr>
          <w:rFonts w:asciiTheme="minorHAnsi" w:hAnsiTheme="minorHAnsi" w:cstheme="minorHAnsi"/>
          <w:sz w:val="22"/>
          <w:szCs w:val="22"/>
        </w:rPr>
        <w:t>dsDNA</w:t>
      </w:r>
      <w:proofErr w:type="spellEnd"/>
      <w:r w:rsidR="00A204CA">
        <w:rPr>
          <w:rFonts w:asciiTheme="minorHAnsi" w:hAnsiTheme="minorHAnsi" w:cstheme="minorHAnsi"/>
          <w:sz w:val="22"/>
          <w:szCs w:val="22"/>
        </w:rPr>
        <w:t xml:space="preserve">) were measured for 16 runs resulting in an extensive data set. </w:t>
      </w:r>
      <w:r w:rsidR="006A3234">
        <w:rPr>
          <w:rFonts w:asciiTheme="minorHAnsi" w:hAnsiTheme="minorHAnsi" w:cstheme="minorHAnsi"/>
          <w:sz w:val="22"/>
          <w:szCs w:val="22"/>
        </w:rPr>
        <w:t xml:space="preserve">Traditional </w:t>
      </w:r>
      <w:proofErr w:type="spellStart"/>
      <w:r w:rsidR="006A3234">
        <w:rPr>
          <w:rFonts w:asciiTheme="minorHAnsi" w:hAnsiTheme="minorHAnsi" w:cstheme="minorHAnsi"/>
          <w:sz w:val="22"/>
          <w:szCs w:val="22"/>
        </w:rPr>
        <w:t>chemometric</w:t>
      </w:r>
      <w:proofErr w:type="spellEnd"/>
      <w:r w:rsidR="006A3234">
        <w:rPr>
          <w:rFonts w:asciiTheme="minorHAnsi" w:hAnsiTheme="minorHAnsi" w:cstheme="minorHAnsi"/>
          <w:sz w:val="22"/>
          <w:szCs w:val="22"/>
        </w:rPr>
        <w:t xml:space="preserve"> methods such as partial-least squares (PLS) or principal component regression (PCR) were compared with penalized techniques (ridge and Lasso regression) and structured additive regression (STAR) [2</w:t>
      </w:r>
      <w:proofErr w:type="gramStart"/>
      <w:r w:rsidR="006A3234">
        <w:rPr>
          <w:rFonts w:asciiTheme="minorHAnsi" w:hAnsiTheme="minorHAnsi" w:cstheme="minorHAnsi"/>
          <w:sz w:val="22"/>
          <w:szCs w:val="22"/>
        </w:rPr>
        <w:t>,3</w:t>
      </w:r>
      <w:proofErr w:type="gramEnd"/>
      <w:r w:rsidR="006A3234">
        <w:rPr>
          <w:rFonts w:asciiTheme="minorHAnsi" w:hAnsiTheme="minorHAnsi" w:cstheme="minorHAnsi"/>
          <w:sz w:val="22"/>
          <w:szCs w:val="22"/>
        </w:rPr>
        <w:t>]</w:t>
      </w:r>
      <w:r w:rsidR="0042750E">
        <w:rPr>
          <w:rFonts w:asciiTheme="minorHAnsi" w:hAnsiTheme="minorHAnsi" w:cstheme="minorHAnsi"/>
          <w:sz w:val="22"/>
          <w:szCs w:val="22"/>
        </w:rPr>
        <w:t xml:space="preserve">. All computations were performed in the R statistical computing environment [4]. </w:t>
      </w:r>
      <w:r w:rsidR="00A204CA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:rsidR="0042750E" w:rsidRDefault="0042750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Figure 1 depicts the performance of a quantity model on an independent test run showing good agreement between model predictions and measured values determined for the 15 fractions. On average </w:t>
      </w:r>
      <w:r w:rsidR="00074C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(over 6 test runs)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accuracy of </w:t>
      </w:r>
      <w:r w:rsidR="00074C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0.51 mg/ml (root-mean-squared error) is observed and can be expected for future applications of the model. A reduction of more than 30% in prediction error can be achieved compared by using spectroscopic data compared to models based on UV, conductivity and pH as predictors. Similarly, for HCP and </w:t>
      </w:r>
      <w:proofErr w:type="spellStart"/>
      <w:r w:rsidR="00074CEB">
        <w:rPr>
          <w:rFonts w:asciiTheme="minorHAnsi" w:eastAsia="MS PGothic" w:hAnsiTheme="minorHAnsi"/>
          <w:color w:val="000000"/>
          <w:sz w:val="22"/>
          <w:szCs w:val="22"/>
          <w:lang w:val="en-US"/>
        </w:rPr>
        <w:t>dsDNA</w:t>
      </w:r>
      <w:proofErr w:type="spellEnd"/>
      <w:r w:rsidR="00074C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errors of approximately 200 and 300 </w:t>
      </w:r>
      <w:proofErr w:type="spellStart"/>
      <w:r w:rsidR="00074CEB">
        <w:rPr>
          <w:rFonts w:asciiTheme="minorHAnsi" w:eastAsia="MS PGothic" w:hAnsiTheme="minorHAnsi"/>
          <w:color w:val="000000"/>
          <w:sz w:val="22"/>
          <w:szCs w:val="22"/>
          <w:lang w:val="en-US"/>
        </w:rPr>
        <w:t>ppm</w:t>
      </w:r>
      <w:proofErr w:type="spellEnd"/>
      <w:r w:rsidR="00074C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respectively, are obtained.      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</w:t>
      </w:r>
    </w:p>
    <w:p w:rsidR="0042750E" w:rsidRPr="008D0BEB" w:rsidRDefault="0042750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</w:p>
    <w:p w:rsidR="00704BDF" w:rsidRPr="00DE0019" w:rsidRDefault="00B22B29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hAnsiTheme="minorHAnsi"/>
          <w:noProof/>
          <w:lang w:val="de-AT" w:eastAsia="de-AT"/>
        </w:rPr>
        <w:drawing>
          <wp:inline distT="0" distB="0" distL="0" distR="0">
            <wp:extent cx="2833878" cy="2833878"/>
            <wp:effectExtent l="19050" t="0" r="4572" b="0"/>
            <wp:docPr id="4" name="Bild 4" descr="F:\Projekt_25011\ECAB5\plot_ecab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Projekt_25011\ECAB5\plot_ecab.tif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661" cy="283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proofErr w:type="gramStart"/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proofErr w:type="gramEnd"/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B22B29">
        <w:rPr>
          <w:rFonts w:asciiTheme="minorHAnsi" w:eastAsia="MS PGothic" w:hAnsiTheme="minorHAnsi"/>
          <w:color w:val="000000"/>
          <w:szCs w:val="18"/>
          <w:lang w:val="en-US"/>
        </w:rPr>
        <w:t xml:space="preserve">Performance of a </w:t>
      </w:r>
      <w:r w:rsidR="0076727C">
        <w:rPr>
          <w:rFonts w:asciiTheme="minorHAnsi" w:eastAsia="MS PGothic" w:hAnsiTheme="minorHAnsi"/>
          <w:color w:val="000000"/>
          <w:szCs w:val="18"/>
          <w:lang w:val="en-US"/>
        </w:rPr>
        <w:t xml:space="preserve">structured additive regression (STAR) </w:t>
      </w:r>
      <w:r w:rsidR="00B22B29">
        <w:rPr>
          <w:rFonts w:asciiTheme="minorHAnsi" w:eastAsia="MS PGothic" w:hAnsiTheme="minorHAnsi"/>
          <w:color w:val="000000"/>
          <w:szCs w:val="18"/>
          <w:lang w:val="en-US"/>
        </w:rPr>
        <w:t>model for the protein concentration on a new test run – online prediction on a time grid of 1 second (black) and concentration values determined by offline measurements for 15 fractions of 1 ml each (red).</w:t>
      </w:r>
      <w:r w:rsidR="0042750E">
        <w:rPr>
          <w:rFonts w:asciiTheme="minorHAnsi" w:eastAsia="MS PGothic" w:hAnsiTheme="minorHAnsi"/>
          <w:color w:val="000000"/>
          <w:szCs w:val="18"/>
          <w:lang w:val="en-US"/>
        </w:rPr>
        <w:t xml:space="preserve"> Five minutes before and after the elution peak (15 min) are shown.</w:t>
      </w:r>
      <w:r w:rsidR="00B22B29">
        <w:rPr>
          <w:rFonts w:asciiTheme="minorHAnsi" w:eastAsia="MS PGothic" w:hAnsiTheme="minorHAnsi"/>
          <w:color w:val="000000"/>
          <w:szCs w:val="18"/>
          <w:lang w:val="en-US"/>
        </w:rPr>
        <w:t xml:space="preserve">    </w:t>
      </w:r>
    </w:p>
    <w:p w:rsidR="00B22B29" w:rsidRPr="00DE0019" w:rsidRDefault="00B22B29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Default="00074CEB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Particularly non-linear STAR models</w:t>
      </w:r>
      <w:r w:rsidR="009D72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combination with boosting as a variable selection method allow for a reliable prediction of critical process quantities such as the protein concentration, host cell </w:t>
      </w:r>
      <w:r w:rsidR="00221B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protein and </w:t>
      </w:r>
      <w:proofErr w:type="spellStart"/>
      <w:r w:rsidR="00221B2B">
        <w:rPr>
          <w:rFonts w:asciiTheme="minorHAnsi" w:eastAsia="MS PGothic" w:hAnsiTheme="minorHAnsi"/>
          <w:color w:val="000000"/>
          <w:sz w:val="22"/>
          <w:szCs w:val="22"/>
          <w:lang w:val="en-US"/>
        </w:rPr>
        <w:t>dsDNA</w:t>
      </w:r>
      <w:proofErr w:type="spellEnd"/>
      <w:r w:rsidR="00221B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content</w:t>
      </w:r>
      <w:r w:rsidR="009D72AD">
        <w:rPr>
          <w:rFonts w:asciiTheme="minorHAnsi" w:eastAsia="MS PGothic" w:hAnsiTheme="minorHAnsi"/>
          <w:color w:val="000000"/>
          <w:sz w:val="22"/>
          <w:szCs w:val="22"/>
          <w:lang w:val="en-US"/>
        </w:rPr>
        <w:t>. While traditional sensors (UV/Vis, pH and conductivity) might be sufficient for the protein concentration, spectroscopic sensor systems are essential for modeling the impurities.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5A3BDE" w:rsidRPr="005A3BDE" w:rsidRDefault="005A3BDE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de-AT"/>
        </w:rPr>
      </w:pPr>
      <w:r w:rsidRPr="005A3BDE">
        <w:rPr>
          <w:rFonts w:asciiTheme="minorHAnsi" w:hAnsiTheme="minorHAnsi"/>
          <w:color w:val="000000"/>
          <w:lang w:val="de-AT"/>
        </w:rPr>
        <w:t xml:space="preserve">D. G. Sauer, M. </w:t>
      </w:r>
      <w:proofErr w:type="spellStart"/>
      <w:r w:rsidRPr="005A3BDE">
        <w:rPr>
          <w:rFonts w:asciiTheme="minorHAnsi" w:hAnsiTheme="minorHAnsi"/>
          <w:color w:val="000000"/>
          <w:lang w:val="de-AT"/>
        </w:rPr>
        <w:t>Mosor</w:t>
      </w:r>
      <w:proofErr w:type="spellEnd"/>
      <w:r w:rsidRPr="005A3BDE">
        <w:rPr>
          <w:rFonts w:asciiTheme="minorHAnsi" w:hAnsiTheme="minorHAnsi"/>
          <w:color w:val="000000"/>
          <w:lang w:val="de-AT"/>
        </w:rPr>
        <w:t xml:space="preserve">, </w:t>
      </w:r>
      <w:r>
        <w:rPr>
          <w:rFonts w:asciiTheme="minorHAnsi" w:hAnsiTheme="minorHAnsi"/>
          <w:color w:val="000000"/>
          <w:lang w:val="de-AT"/>
        </w:rPr>
        <w:t xml:space="preserve">A.-C. Frank, F. Weiß, A. </w:t>
      </w:r>
      <w:proofErr w:type="spellStart"/>
      <w:r>
        <w:rPr>
          <w:rFonts w:asciiTheme="minorHAnsi" w:hAnsiTheme="minorHAnsi"/>
          <w:color w:val="000000"/>
          <w:lang w:val="de-AT"/>
        </w:rPr>
        <w:t>Christler</w:t>
      </w:r>
      <w:proofErr w:type="spellEnd"/>
      <w:r>
        <w:rPr>
          <w:rFonts w:asciiTheme="minorHAnsi" w:hAnsiTheme="minorHAnsi"/>
          <w:color w:val="000000"/>
          <w:lang w:val="de-AT"/>
        </w:rPr>
        <w:t xml:space="preserve">, N. Walch, A. Jungbauer, A. </w:t>
      </w:r>
      <w:proofErr w:type="spellStart"/>
      <w:r>
        <w:rPr>
          <w:rFonts w:asciiTheme="minorHAnsi" w:hAnsiTheme="minorHAnsi"/>
          <w:color w:val="000000"/>
          <w:lang w:val="de-AT"/>
        </w:rPr>
        <w:t>Dürauer</w:t>
      </w:r>
      <w:proofErr w:type="spellEnd"/>
      <w:r>
        <w:rPr>
          <w:rFonts w:asciiTheme="minorHAnsi" w:hAnsiTheme="minorHAnsi"/>
          <w:color w:val="000000"/>
          <w:lang w:val="de-AT"/>
        </w:rPr>
        <w:t xml:space="preserve">, Protein </w:t>
      </w:r>
      <w:proofErr w:type="spellStart"/>
      <w:r>
        <w:rPr>
          <w:rFonts w:asciiTheme="minorHAnsi" w:hAnsiTheme="minorHAnsi"/>
          <w:color w:val="000000"/>
          <w:lang w:val="de-AT"/>
        </w:rPr>
        <w:t>Expr</w:t>
      </w:r>
      <w:proofErr w:type="spellEnd"/>
      <w:r>
        <w:rPr>
          <w:rFonts w:asciiTheme="minorHAnsi" w:hAnsiTheme="minorHAnsi"/>
          <w:color w:val="000000"/>
          <w:lang w:val="de-AT"/>
        </w:rPr>
        <w:t xml:space="preserve">. </w:t>
      </w:r>
      <w:proofErr w:type="spellStart"/>
      <w:r>
        <w:rPr>
          <w:rFonts w:asciiTheme="minorHAnsi" w:hAnsiTheme="minorHAnsi"/>
          <w:color w:val="000000"/>
          <w:lang w:val="de-AT"/>
        </w:rPr>
        <w:t>Purif</w:t>
      </w:r>
      <w:proofErr w:type="spellEnd"/>
      <w:r>
        <w:rPr>
          <w:rFonts w:asciiTheme="minorHAnsi" w:hAnsiTheme="minorHAnsi"/>
          <w:color w:val="000000"/>
          <w:lang w:val="de-AT"/>
        </w:rPr>
        <w:t>. 153 (2019) 70-82.</w:t>
      </w:r>
    </w:p>
    <w:p w:rsidR="005A3BDE" w:rsidRDefault="005A3BDE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R. </w:t>
      </w:r>
      <w:proofErr w:type="spellStart"/>
      <w:r>
        <w:rPr>
          <w:rFonts w:asciiTheme="minorHAnsi" w:hAnsiTheme="minorHAnsi"/>
          <w:color w:val="000000"/>
        </w:rPr>
        <w:t>Tibshirani</w:t>
      </w:r>
      <w:proofErr w:type="spellEnd"/>
      <w:r>
        <w:rPr>
          <w:rFonts w:asciiTheme="minorHAnsi" w:hAnsiTheme="minorHAnsi"/>
          <w:color w:val="000000"/>
        </w:rPr>
        <w:t>, J. Royal Stat. Soc. B 58 (1996) 267-288.</w:t>
      </w:r>
    </w:p>
    <w:p w:rsidR="005A3BDE" w:rsidRDefault="005A3BDE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A33D19">
        <w:rPr>
          <w:rFonts w:asciiTheme="minorHAnsi" w:hAnsiTheme="minorHAnsi"/>
          <w:color w:val="000000"/>
          <w:lang w:val="de-AT"/>
        </w:rPr>
        <w:t xml:space="preserve">M. Melcher, T. Scharl, M. </w:t>
      </w:r>
      <w:proofErr w:type="spellStart"/>
      <w:r w:rsidRPr="00A33D19">
        <w:rPr>
          <w:rFonts w:asciiTheme="minorHAnsi" w:hAnsiTheme="minorHAnsi"/>
          <w:color w:val="000000"/>
          <w:lang w:val="de-AT"/>
        </w:rPr>
        <w:t>Luchner</w:t>
      </w:r>
      <w:proofErr w:type="spellEnd"/>
      <w:r w:rsidRPr="00A33D19">
        <w:rPr>
          <w:rFonts w:asciiTheme="minorHAnsi" w:hAnsiTheme="minorHAnsi"/>
          <w:color w:val="000000"/>
          <w:lang w:val="de-AT"/>
        </w:rPr>
        <w:t xml:space="preserve">, G. </w:t>
      </w:r>
      <w:proofErr w:type="spellStart"/>
      <w:r w:rsidRPr="00A33D19">
        <w:rPr>
          <w:rFonts w:asciiTheme="minorHAnsi" w:hAnsiTheme="minorHAnsi"/>
          <w:color w:val="000000"/>
          <w:lang w:val="de-AT"/>
        </w:rPr>
        <w:t>Striedner</w:t>
      </w:r>
      <w:proofErr w:type="spellEnd"/>
      <w:r w:rsidRPr="00A33D19">
        <w:rPr>
          <w:rFonts w:asciiTheme="minorHAnsi" w:hAnsiTheme="minorHAnsi"/>
          <w:color w:val="000000"/>
          <w:lang w:val="de-AT"/>
        </w:rPr>
        <w:t xml:space="preserve">, F. </w:t>
      </w:r>
      <w:proofErr w:type="spellStart"/>
      <w:r w:rsidRPr="00A33D19">
        <w:rPr>
          <w:rFonts w:asciiTheme="minorHAnsi" w:hAnsiTheme="minorHAnsi"/>
          <w:color w:val="000000"/>
          <w:lang w:val="de-AT"/>
        </w:rPr>
        <w:t>Leisch</w:t>
      </w:r>
      <w:proofErr w:type="spellEnd"/>
      <w:r w:rsidRPr="00A33D19">
        <w:rPr>
          <w:rFonts w:asciiTheme="minorHAnsi" w:hAnsiTheme="minorHAnsi"/>
          <w:color w:val="000000"/>
          <w:lang w:val="de-AT"/>
        </w:rPr>
        <w:t xml:space="preserve">, </w:t>
      </w:r>
      <w:proofErr w:type="spellStart"/>
      <w:r w:rsidRPr="00A33D19">
        <w:rPr>
          <w:rFonts w:asciiTheme="minorHAnsi" w:hAnsiTheme="minorHAnsi"/>
          <w:color w:val="000000"/>
          <w:lang w:val="de-AT"/>
        </w:rPr>
        <w:t>Biotechn</w:t>
      </w:r>
      <w:proofErr w:type="spellEnd"/>
      <w:r w:rsidRPr="00A33D19">
        <w:rPr>
          <w:rFonts w:asciiTheme="minorHAnsi" w:hAnsiTheme="minorHAnsi"/>
          <w:color w:val="000000"/>
          <w:lang w:val="de-AT"/>
        </w:rPr>
        <w:t xml:space="preserve">. </w:t>
      </w:r>
      <w:proofErr w:type="spellStart"/>
      <w:r>
        <w:rPr>
          <w:rFonts w:asciiTheme="minorHAnsi" w:hAnsiTheme="minorHAnsi"/>
          <w:color w:val="000000"/>
        </w:rPr>
        <w:t>Bioeng</w:t>
      </w:r>
      <w:proofErr w:type="spellEnd"/>
      <w:r>
        <w:rPr>
          <w:rFonts w:asciiTheme="minorHAnsi" w:hAnsiTheme="minorHAnsi"/>
          <w:color w:val="000000"/>
        </w:rPr>
        <w:t xml:space="preserve">. 114 (2017) </w:t>
      </w:r>
      <w:r w:rsidR="0042750E">
        <w:rPr>
          <w:rFonts w:asciiTheme="minorHAnsi" w:hAnsiTheme="minorHAnsi"/>
          <w:color w:val="000000"/>
        </w:rPr>
        <w:t>321-334.</w:t>
      </w:r>
    </w:p>
    <w:p w:rsidR="00704BDF" w:rsidRPr="009D72AD" w:rsidRDefault="0042750E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eastAsia="zh-CN"/>
        </w:rPr>
      </w:pPr>
      <w:r w:rsidRPr="009D72AD">
        <w:rPr>
          <w:rFonts w:asciiTheme="minorHAnsi" w:hAnsiTheme="minorHAnsi"/>
          <w:color w:val="000000"/>
        </w:rPr>
        <w:t xml:space="preserve">R Core Team, R: A language and environment for statistical computing. R Foundation for Statistical Computing, Vienna, Austria. URL </w:t>
      </w:r>
      <w:hyperlink r:id="rId11" w:history="1">
        <w:r w:rsidRPr="009D72AD">
          <w:rPr>
            <w:rStyle w:val="Hyperlink"/>
            <w:rFonts w:asciiTheme="minorHAnsi" w:hAnsiTheme="minorHAnsi"/>
          </w:rPr>
          <w:t>https://www.R-project.org/</w:t>
        </w:r>
      </w:hyperlink>
      <w:r w:rsidRPr="009D72AD">
        <w:rPr>
          <w:rFonts w:asciiTheme="minorHAnsi" w:hAnsiTheme="minorHAnsi"/>
          <w:color w:val="000000"/>
        </w:rPr>
        <w:t>, 2018.</w:t>
      </w: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B0E" w:rsidRDefault="00877B0E" w:rsidP="004F5E36">
      <w:r>
        <w:separator/>
      </w:r>
    </w:p>
  </w:endnote>
  <w:endnote w:type="continuationSeparator" w:id="0">
    <w:p w:rsidR="00877B0E" w:rsidRDefault="00877B0E" w:rsidP="004F5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B0E" w:rsidRDefault="00877B0E" w:rsidP="004F5E36">
      <w:r>
        <w:separator/>
      </w:r>
    </w:p>
  </w:footnote>
  <w:footnote w:type="continuationSeparator" w:id="0">
    <w:p w:rsidR="00877B0E" w:rsidRDefault="00877B0E" w:rsidP="004F5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162" w:rsidRDefault="00AF066C">
    <w:pPr>
      <w:pStyle w:val="Kopfzeile"/>
    </w:pPr>
    <w:r w:rsidRPr="00AF066C">
      <w:rPr>
        <w:noProof/>
        <w:lang w:val="en-US"/>
      </w:rPr>
      <w:pict>
        <v:line id="Connettore 1 86" o:spid="_x0000_s4098" style="position:absolute;left:0;text-align:left;z-index:251666432;visibility:visible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<v:shadow on="t" color="black" opacity="24903f" origin=",.5" offset="0,.55556mm"/>
        </v:line>
      </w:pict>
    </w:r>
    <w:r w:rsidR="004D1162">
      <w:rPr>
        <w:noProof/>
        <w:lang w:val="de-AT" w:eastAsia="de-A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Kopfzeile"/>
    </w:pPr>
  </w:p>
  <w:p w:rsidR="00704BDF" w:rsidRDefault="00AF066C">
    <w:pPr>
      <w:pStyle w:val="Kopfzeile"/>
    </w:pPr>
    <w:r w:rsidRPr="00AF066C">
      <w:rPr>
        <w:noProof/>
        <w:lang w:val="en-US"/>
      </w:rPr>
      <w:pict>
        <v:line id="Connettore 1 12" o:spid="_x0000_s4097" style="position:absolute;left:0;text-align:left;z-index:251660288;visibility:visible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<v:shadow on="t" color="black" opacity="24903f" origin=",.5" offset="0,.55556mm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1001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&#10;qjvo8y9pBA==" w:salt="8sFClCFnh+DxuRmOWfcM7w=="/>
  <w:defaultTabStop w:val="708"/>
  <w:hyphenationZone w:val="283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E414A"/>
    <w:rsid w:val="0000178A"/>
    <w:rsid w:val="000027C0"/>
    <w:rsid w:val="000117CB"/>
    <w:rsid w:val="0003148D"/>
    <w:rsid w:val="00062836"/>
    <w:rsid w:val="00062A9A"/>
    <w:rsid w:val="00074CEB"/>
    <w:rsid w:val="000A03B2"/>
    <w:rsid w:val="000C1120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21B2B"/>
    <w:rsid w:val="002447EF"/>
    <w:rsid w:val="00251550"/>
    <w:rsid w:val="0027221A"/>
    <w:rsid w:val="00275B61"/>
    <w:rsid w:val="002D1F12"/>
    <w:rsid w:val="003009B7"/>
    <w:rsid w:val="0030469C"/>
    <w:rsid w:val="00304A79"/>
    <w:rsid w:val="003723D4"/>
    <w:rsid w:val="0039038E"/>
    <w:rsid w:val="003A7D1C"/>
    <w:rsid w:val="00402ABB"/>
    <w:rsid w:val="0042750E"/>
    <w:rsid w:val="0046164A"/>
    <w:rsid w:val="00462DCD"/>
    <w:rsid w:val="004D1162"/>
    <w:rsid w:val="004E4DD6"/>
    <w:rsid w:val="004F563B"/>
    <w:rsid w:val="004F5E36"/>
    <w:rsid w:val="005119A5"/>
    <w:rsid w:val="005278B7"/>
    <w:rsid w:val="005346C8"/>
    <w:rsid w:val="005574A6"/>
    <w:rsid w:val="00594E9F"/>
    <w:rsid w:val="005A3BDE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A3234"/>
    <w:rsid w:val="006B01AC"/>
    <w:rsid w:val="006C5579"/>
    <w:rsid w:val="00704BDF"/>
    <w:rsid w:val="0072527A"/>
    <w:rsid w:val="00736B13"/>
    <w:rsid w:val="007447F3"/>
    <w:rsid w:val="007661C8"/>
    <w:rsid w:val="0076727C"/>
    <w:rsid w:val="007705CC"/>
    <w:rsid w:val="007D52CD"/>
    <w:rsid w:val="00813288"/>
    <w:rsid w:val="008168FC"/>
    <w:rsid w:val="008479A2"/>
    <w:rsid w:val="0087637F"/>
    <w:rsid w:val="00877B0E"/>
    <w:rsid w:val="008A1512"/>
    <w:rsid w:val="008D0BEB"/>
    <w:rsid w:val="008E566E"/>
    <w:rsid w:val="008E633D"/>
    <w:rsid w:val="00901EB6"/>
    <w:rsid w:val="009450CE"/>
    <w:rsid w:val="0095164B"/>
    <w:rsid w:val="00996483"/>
    <w:rsid w:val="009D72AD"/>
    <w:rsid w:val="009E788A"/>
    <w:rsid w:val="00A1763D"/>
    <w:rsid w:val="00A17CEC"/>
    <w:rsid w:val="00A204CA"/>
    <w:rsid w:val="00A27EF0"/>
    <w:rsid w:val="00A33D19"/>
    <w:rsid w:val="00A76EFC"/>
    <w:rsid w:val="00A97F29"/>
    <w:rsid w:val="00AB0964"/>
    <w:rsid w:val="00AE377D"/>
    <w:rsid w:val="00AF066C"/>
    <w:rsid w:val="00B22B29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D02B4C"/>
    <w:rsid w:val="00D60CC7"/>
    <w:rsid w:val="00D84576"/>
    <w:rsid w:val="00DE0019"/>
    <w:rsid w:val="00DE264A"/>
    <w:rsid w:val="00E041E7"/>
    <w:rsid w:val="00E23CA1"/>
    <w:rsid w:val="00E409A8"/>
    <w:rsid w:val="00E47211"/>
    <w:rsid w:val="00E7209D"/>
    <w:rsid w:val="00EA50E1"/>
    <w:rsid w:val="00EE0131"/>
    <w:rsid w:val="00F30C64"/>
    <w:rsid w:val="00F53C66"/>
    <w:rsid w:val="00FB730C"/>
    <w:rsid w:val="00FC2695"/>
    <w:rsid w:val="00FC3E03"/>
    <w:rsid w:val="00FE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gitternetz">
    <w:name w:val="Table Grid"/>
    <w:basedOn w:val="NormaleTabelle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yperlink">
    <w:name w:val="Hyperlink"/>
    <w:basedOn w:val="Absatz-Standardschriftart"/>
    <w:uiPriority w:val="99"/>
    <w:unhideWhenUsed/>
    <w:locked/>
    <w:rsid w:val="004275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-project.org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9A4DE-E1A9-40DE-97EB-6AB1F01E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mm76</cp:lastModifiedBy>
  <cp:revision>2</cp:revision>
  <cp:lastPrinted>2015-05-12T18:31:00Z</cp:lastPrinted>
  <dcterms:created xsi:type="dcterms:W3CDTF">2019-01-15T22:44:00Z</dcterms:created>
  <dcterms:modified xsi:type="dcterms:W3CDTF">2019-01-15T22:44:00Z</dcterms:modified>
</cp:coreProperties>
</file>