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5D759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Erythritol-inducible promoter</w:t>
      </w:r>
      <w:r w:rsidR="00291F2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efficiently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triggers </w:t>
      </w: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lipase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CalB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production in bioreactor</w:t>
      </w:r>
      <w:r w:rsidR="00205337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DE0019" w:rsidRDefault="003231A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3231A2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Marie Vandermies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3231A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Young</w:t>
      </w:r>
      <w:r w:rsidR="00470DD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-</w:t>
      </w:r>
      <w:proofErr w:type="spellStart"/>
      <w:r w:rsidRPr="003231A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Kyoung</w:t>
      </w:r>
      <w:proofErr w:type="spellEnd"/>
      <w:r w:rsidRPr="003231A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Park</w:t>
      </w:r>
      <w:r w:rsidRPr="003231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3231A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Jean-Marc Nicaud</w:t>
      </w:r>
      <w:r w:rsidRPr="003231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3231A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Patrick Fickers</w:t>
      </w:r>
      <w:r w:rsidR="00704BDF" w:rsidRPr="003231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3231A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</w:p>
    <w:p w:rsidR="003231A2" w:rsidRDefault="003231A2" w:rsidP="00704BDF">
      <w:pPr>
        <w:snapToGrid w:val="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</w:pP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Microbial Processes and Interactions, TERRA</w:t>
      </w:r>
      <w:r w:rsidR="00FE159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</w:t>
      </w:r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Teaching and Research Center, University of Liège - Gembloux </w:t>
      </w:r>
      <w:proofErr w:type="spellStart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Agro</w:t>
      </w:r>
      <w:proofErr w:type="spellEnd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-Bio Tech, Av. de la </w:t>
      </w:r>
      <w:proofErr w:type="spellStart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Faculté</w:t>
      </w:r>
      <w:proofErr w:type="spellEnd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, 2B. </w:t>
      </w:r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 xml:space="preserve">5030, Gembloux, </w:t>
      </w:r>
      <w:proofErr w:type="spellStart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>Belgium</w:t>
      </w:r>
      <w:proofErr w:type="spellEnd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 xml:space="preserve"> </w:t>
      </w:r>
    </w:p>
    <w:p w:rsidR="003231A2" w:rsidRPr="003231A2" w:rsidRDefault="003231A2" w:rsidP="00704BDF">
      <w:pPr>
        <w:snapToGrid w:val="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</w:pPr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 xml:space="preserve">2 </w:t>
      </w:r>
      <w:proofErr w:type="spellStart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>Micalis</w:t>
      </w:r>
      <w:proofErr w:type="spellEnd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 xml:space="preserve"> Institute, INRA, AgroParisTech (UMR1319), Université Paris-Saclay, Domaine de </w:t>
      </w:r>
      <w:proofErr w:type="spellStart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>Vilvert</w:t>
      </w:r>
      <w:proofErr w:type="spellEnd"/>
      <w:r w:rsidRPr="003231A2">
        <w:rPr>
          <w:rFonts w:asciiTheme="minorHAnsi" w:eastAsia="MS PGothic" w:hAnsiTheme="minorHAnsi" w:cstheme="minorHAnsi"/>
          <w:i/>
          <w:iCs/>
          <w:color w:val="000000"/>
          <w:sz w:val="20"/>
          <w:lang w:val="fr-BE"/>
        </w:rPr>
        <w:t>, Jouy-en Josas 78352, France</w:t>
      </w:r>
    </w:p>
    <w:p w:rsidR="00704BDF" w:rsidRPr="00F56BE5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F56BE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F56BE5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F56BE5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231A2" w:rsidRPr="00F56BE5">
        <w:rPr>
          <w:rFonts w:asciiTheme="minorHAnsi" w:eastAsia="MS PGothic" w:hAnsiTheme="minorHAnsi"/>
          <w:bCs/>
          <w:i/>
          <w:iCs/>
          <w:sz w:val="20"/>
          <w:lang w:val="en-US"/>
        </w:rPr>
        <w:t>pfickers@uliege.be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D862EF" w:rsidRDefault="00D862E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Three types of erythritol-inducible promoters were compared to </w:t>
      </w:r>
      <w:proofErr w:type="spellStart"/>
      <w:r w:rsidRPr="00D862EF">
        <w:rPr>
          <w:rFonts w:asciiTheme="minorHAnsi" w:hAnsiTheme="minorHAnsi"/>
          <w:i/>
        </w:rPr>
        <w:t>pTEF</w:t>
      </w:r>
      <w:proofErr w:type="spellEnd"/>
      <w:r>
        <w:rPr>
          <w:rFonts w:asciiTheme="minorHAnsi" w:hAnsiTheme="minorHAnsi"/>
        </w:rPr>
        <w:t>.</w:t>
      </w:r>
    </w:p>
    <w:p w:rsidR="00704BDF" w:rsidRDefault="00D862E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862EF">
        <w:rPr>
          <w:rFonts w:asciiTheme="minorHAnsi" w:hAnsiTheme="minorHAnsi"/>
          <w:i/>
        </w:rPr>
        <w:t>pEYKA3B</w:t>
      </w:r>
      <w:r>
        <w:rPr>
          <w:rFonts w:asciiTheme="minorHAnsi" w:hAnsiTheme="minorHAnsi"/>
        </w:rPr>
        <w:t xml:space="preserve"> and </w:t>
      </w:r>
      <w:r w:rsidRPr="00D862EF">
        <w:rPr>
          <w:rFonts w:asciiTheme="minorHAnsi" w:hAnsiTheme="minorHAnsi"/>
          <w:i/>
        </w:rPr>
        <w:t>pHu8EYK</w:t>
      </w:r>
      <w:r>
        <w:rPr>
          <w:rFonts w:asciiTheme="minorHAnsi" w:hAnsiTheme="minorHAnsi"/>
        </w:rPr>
        <w:t xml:space="preserve"> led to 3-fold higher </w:t>
      </w:r>
      <w:proofErr w:type="spellStart"/>
      <w:r>
        <w:rPr>
          <w:rFonts w:asciiTheme="minorHAnsi" w:hAnsiTheme="minorHAnsi"/>
        </w:rPr>
        <w:t>CalB</w:t>
      </w:r>
      <w:proofErr w:type="spellEnd"/>
      <w:r>
        <w:rPr>
          <w:rFonts w:asciiTheme="minorHAnsi" w:hAnsiTheme="minorHAnsi"/>
        </w:rPr>
        <w:t xml:space="preserve"> expression than </w:t>
      </w:r>
      <w:proofErr w:type="spellStart"/>
      <w:r w:rsidRPr="00D862EF">
        <w:rPr>
          <w:rFonts w:asciiTheme="minorHAnsi" w:hAnsiTheme="minorHAnsi"/>
          <w:i/>
        </w:rPr>
        <w:t>pTEF</w:t>
      </w:r>
      <w:proofErr w:type="spellEnd"/>
      <w:r>
        <w:rPr>
          <w:rFonts w:asciiTheme="minorHAnsi" w:hAnsiTheme="minorHAnsi"/>
        </w:rPr>
        <w:t>.</w:t>
      </w:r>
    </w:p>
    <w:p w:rsidR="00D862EF" w:rsidRDefault="00D862E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862EF">
        <w:rPr>
          <w:rFonts w:asciiTheme="minorHAnsi" w:hAnsiTheme="minorHAnsi"/>
          <w:i/>
        </w:rPr>
        <w:t>pEYKA3B</w:t>
      </w:r>
      <w:r>
        <w:rPr>
          <w:rFonts w:asciiTheme="minorHAnsi" w:hAnsiTheme="minorHAnsi"/>
        </w:rPr>
        <w:t xml:space="preserve"> led to 3-fold higher </w:t>
      </w:r>
      <w:proofErr w:type="spellStart"/>
      <w:r>
        <w:rPr>
          <w:rFonts w:asciiTheme="minorHAnsi" w:hAnsiTheme="minorHAnsi"/>
        </w:rPr>
        <w:t>CalB</w:t>
      </w:r>
      <w:proofErr w:type="spellEnd"/>
      <w:r>
        <w:rPr>
          <w:rFonts w:asciiTheme="minorHAnsi" w:hAnsiTheme="minorHAnsi"/>
        </w:rPr>
        <w:t xml:space="preserve"> activity than </w:t>
      </w:r>
      <w:proofErr w:type="spellStart"/>
      <w:r w:rsidRPr="00D862EF">
        <w:rPr>
          <w:rFonts w:asciiTheme="minorHAnsi" w:hAnsiTheme="minorHAnsi"/>
          <w:i/>
        </w:rPr>
        <w:t>pTEF</w:t>
      </w:r>
      <w:proofErr w:type="spellEnd"/>
      <w:r>
        <w:rPr>
          <w:rFonts w:asciiTheme="minorHAnsi" w:hAnsiTheme="minorHAnsi"/>
        </w:rPr>
        <w:t>.</w:t>
      </w:r>
    </w:p>
    <w:p w:rsidR="00D862EF" w:rsidRPr="00EC66CC" w:rsidRDefault="00D862E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Glycerol 2-L fed-batch enabled consequent </w:t>
      </w:r>
      <w:r w:rsidRPr="00D862EF">
        <w:rPr>
          <w:rFonts w:asciiTheme="minorHAnsi" w:hAnsiTheme="minorHAnsi"/>
          <w:i/>
        </w:rPr>
        <w:t>pEYKA3B</w:t>
      </w:r>
      <w:r>
        <w:rPr>
          <w:rFonts w:asciiTheme="minorHAnsi" w:hAnsiTheme="minorHAnsi"/>
        </w:rPr>
        <w:t xml:space="preserve">-driven </w:t>
      </w:r>
      <w:proofErr w:type="spellStart"/>
      <w:r>
        <w:rPr>
          <w:rFonts w:asciiTheme="minorHAnsi" w:hAnsiTheme="minorHAnsi"/>
        </w:rPr>
        <w:t>CalB</w:t>
      </w:r>
      <w:proofErr w:type="spellEnd"/>
      <w:r>
        <w:rPr>
          <w:rFonts w:asciiTheme="minorHAnsi" w:hAnsiTheme="minorHAnsi"/>
        </w:rPr>
        <w:t xml:space="preserve"> production.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D0767" w:rsidRPr="00E61888" w:rsidRDefault="00AD0767" w:rsidP="00E6188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non-conventional yeast Yarrowia lipolytica is increasingly used as an alternative cell factory</w:t>
      </w:r>
      <w:r w:rsidR="00211DA7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recombinant protein production. Although efficient molecular tools have been developed for this host, there is still a lack of versatile regulated promoters. Such promoters would allow to modulate the detrimental metabolic load inherent to recombinant gene expression </w:t>
      </w:r>
      <w:r w:rsidR="00800C30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D759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Current regulated promoters respond to hydrophobic inducers, dispersed in the culture medium as an emulsion technically sensitive to maintain, particularly at large scale. 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Recently, promoters from the erythritol kinase </w:t>
      </w:r>
      <w:r w:rsidRPr="00980E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EYK1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 </w:t>
      </w:r>
      <w:r w:rsidR="00800C30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[2] 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erythritol dehydrogenase </w:t>
      </w:r>
      <w:r w:rsidRPr="00980E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EYD1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 </w:t>
      </w:r>
      <w:r w:rsidR="00800C30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[3] 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isolated and shown </w:t>
      </w:r>
      <w:r w:rsid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be 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induced by erythritol</w:t>
      </w:r>
      <w:r w:rsidR="005D759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 hydrophilic substance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Series of hybrid promoters have been developed from upstream activating sequences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(UAS) of </w:t>
      </w:r>
      <w:r w:rsidR="00507323" w:rsidRPr="00980E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pEYK1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07323" w:rsidRPr="00980E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pEYD1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other promoters, 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fluorescent reporter proteins in small-scale cultures</w:t>
      </w:r>
      <w:r w:rsidR="00800C30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 [3]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Here we report on the comparison of 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types of 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erythritol-inducible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promoters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(native, based on </w:t>
      </w:r>
      <w:r w:rsidR="00507323" w:rsidRPr="00980E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UAS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507323" w:rsidRPr="00980E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pEYK1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</w:t>
      </w:r>
      <w:r w:rsidR="00507323" w:rsidRPr="00980E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UAS</w:t>
      </w:r>
      <w:r w:rsidR="00507323"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another promoter) 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subsequent selection of the most suitable promoter for proof-of-concept production of </w:t>
      </w:r>
      <w:r w:rsid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industrial lipase B from Candida </w:t>
      </w:r>
      <w:proofErr w:type="spellStart"/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antarctica</w:t>
      </w:r>
      <w:proofErr w:type="spellEnd"/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CalB</w:t>
      </w:r>
      <w:proofErr w:type="spellEnd"/>
      <w:r w:rsidRPr="00E61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in 2-L bioreactor.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95A45" w:rsidRPr="00095A45" w:rsidRDefault="003D53F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CalB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expression was driven by promoters </w:t>
      </w:r>
      <w:proofErr w:type="spellStart"/>
      <w:r w:rsidR="00095A45" w:rsidRPr="003D53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pTEF</w:t>
      </w:r>
      <w:proofErr w:type="spellEnd"/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073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native </w:t>
      </w:r>
      <w:r w:rsidR="00507323" w:rsidRPr="0050732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pEYD1</w:t>
      </w:r>
      <w:r w:rsidR="005073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40018" w:rsidRPr="00507323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synthetic</w:t>
      </w:r>
      <w:r w:rsidR="006400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07323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507323"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095A45"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pEYKA3B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3D53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+ 3 </w:t>
      </w:r>
      <w:r w:rsidRPr="003D53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UAS1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Pr="003D53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073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095A45"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pHu8EYK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3D53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+ 8 </w:t>
      </w:r>
      <w:r w:rsidRPr="003D53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UAS1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64001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pXPR2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400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host strain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optimized for recombinant 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t>lipase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production, with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deletions of alkaline extracellular protease</w:t>
      </w:r>
      <w:r w:rsidR="00E61888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E61888" w:rsidRPr="00E61888">
        <w:rPr>
          <w:rFonts w:asciiTheme="minorHAnsi" w:eastAsia="SimSun" w:hAnsiTheme="minorHAnsi"/>
          <w:i/>
          <w:sz w:val="22"/>
          <w:szCs w:val="22"/>
          <w:lang w:eastAsia="zh-CN"/>
        </w:rPr>
        <w:t>XPR2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="00BF626C">
        <w:rPr>
          <w:rFonts w:asciiTheme="minorHAnsi" w:eastAsia="SimSun" w:hAnsiTheme="minorHAnsi"/>
          <w:sz w:val="22"/>
          <w:szCs w:val="22"/>
          <w:lang w:eastAsia="zh-CN"/>
        </w:rPr>
        <w:t xml:space="preserve">of </w:t>
      </w:r>
      <w:r>
        <w:rPr>
          <w:rFonts w:asciiTheme="minorHAnsi" w:eastAsia="SimSun" w:hAnsiTheme="minorHAnsi"/>
          <w:sz w:val="22"/>
          <w:szCs w:val="22"/>
          <w:lang w:eastAsia="zh-CN"/>
        </w:rPr>
        <w:t>extracellular lipases</w:t>
      </w:r>
      <w:r w:rsidR="00E61888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E61888" w:rsidRPr="00E61888">
        <w:rPr>
          <w:rFonts w:asciiTheme="minorHAnsi" w:eastAsia="SimSun" w:hAnsiTheme="minorHAnsi"/>
          <w:i/>
          <w:sz w:val="22"/>
          <w:szCs w:val="22"/>
          <w:lang w:eastAsia="zh-CN"/>
        </w:rPr>
        <w:t>Lip2</w:t>
      </w:r>
      <w:r w:rsidR="00E61888"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="00E61888" w:rsidRPr="00E61888">
        <w:rPr>
          <w:rFonts w:asciiTheme="minorHAnsi" w:eastAsia="SimSun" w:hAnsiTheme="minorHAnsi"/>
          <w:i/>
          <w:sz w:val="22"/>
          <w:szCs w:val="22"/>
          <w:lang w:eastAsia="zh-CN"/>
        </w:rPr>
        <w:t>Lip7</w:t>
      </w:r>
      <w:r w:rsidR="00E61888"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="00E61888" w:rsidRPr="00E61888">
        <w:rPr>
          <w:rFonts w:asciiTheme="minorHAnsi" w:eastAsia="SimSun" w:hAnsiTheme="minorHAnsi"/>
          <w:i/>
          <w:sz w:val="22"/>
          <w:szCs w:val="22"/>
          <w:lang w:eastAsia="zh-CN"/>
        </w:rPr>
        <w:t>Lip8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>and</w:t>
      </w:r>
      <w:r w:rsidR="00BF626C">
        <w:rPr>
          <w:rFonts w:asciiTheme="minorHAnsi" w:eastAsia="SimSun" w:hAnsiTheme="minorHAnsi"/>
          <w:sz w:val="22"/>
          <w:szCs w:val="22"/>
          <w:lang w:eastAsia="zh-CN"/>
        </w:rPr>
        <w:t xml:space="preserve"> of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Pr="003231A2">
        <w:rPr>
          <w:rFonts w:asciiTheme="minorHAnsi" w:eastAsia="SimSun" w:hAnsiTheme="minorHAnsi"/>
          <w:i/>
          <w:iCs/>
          <w:sz w:val="22"/>
          <w:szCs w:val="22"/>
          <w:lang w:eastAsia="zh-CN"/>
        </w:rPr>
        <w:t xml:space="preserve">EYK1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gene </w:t>
      </w:r>
      <w:r>
        <w:rPr>
          <w:rFonts w:asciiTheme="minorHAnsi" w:eastAsia="SimSun" w:hAnsiTheme="minorHAnsi"/>
          <w:sz w:val="22"/>
          <w:szCs w:val="22"/>
          <w:lang w:eastAsia="zh-CN"/>
        </w:rPr>
        <w:t>(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to use erythritol as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a free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>inducer</w:t>
      </w:r>
      <w:r>
        <w:rPr>
          <w:rFonts w:asciiTheme="minorHAnsi" w:eastAsia="SimSun" w:hAnsiTheme="minorHAnsi"/>
          <w:sz w:val="22"/>
          <w:szCs w:val="22"/>
          <w:lang w:eastAsia="zh-CN"/>
        </w:rPr>
        <w:t>, no longer consumed by the cells)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>.  </w:t>
      </w:r>
    </w:p>
    <w:p w:rsidR="00470DD5" w:rsidRDefault="00AD076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Promoter comparison was based on triplicate 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48h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cultures in </w:t>
      </w:r>
      <w:r w:rsidR="00790421">
        <w:rPr>
          <w:rFonts w:asciiTheme="minorHAnsi" w:eastAsia="MS PGothic" w:hAnsiTheme="minorHAnsi"/>
          <w:color w:val="000000"/>
          <w:sz w:val="22"/>
          <w:szCs w:val="22"/>
          <w:lang w:val="en-US"/>
        </w:rPr>
        <w:t>2Mag mini bioreactors</w:t>
      </w:r>
      <w:r w:rsidR="00470D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(10 m</w:t>
      </w:r>
      <w:r w:rsidR="00C55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470D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working volume)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qPCR and lipase activity assays were performed to assess promoter efficiency at gene expression and protein production level, respectively. P</w:t>
      </w:r>
      <w:r w:rsidR="00790421">
        <w:rPr>
          <w:rFonts w:asciiTheme="minorHAnsi" w:eastAsia="MS PGothic" w:hAnsiTheme="minorHAnsi"/>
          <w:color w:val="000000"/>
          <w:sz w:val="22"/>
          <w:szCs w:val="22"/>
          <w:lang w:val="en-US"/>
        </w:rPr>
        <w:t>roo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f-</w:t>
      </w:r>
      <w:r w:rsidR="0079042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79042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cultures were realized 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72h 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duplicate in a 2-L Sartorius bioreactor operated in fed-batch mode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increasing 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glycerol feed values</w:t>
      </w:r>
      <w:r w:rsidR="00800C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(0.45; 0.9; and 1.35 </w:t>
      </w:r>
      <w:proofErr w:type="gramStart"/>
      <w:r w:rsidR="00800C30">
        <w:rPr>
          <w:rFonts w:asciiTheme="minorHAnsi" w:eastAsia="MS PGothic" w:hAnsiTheme="minorHAnsi"/>
          <w:color w:val="000000"/>
          <w:sz w:val="22"/>
          <w:szCs w:val="22"/>
          <w:lang w:val="en-US"/>
        </w:rPr>
        <w:t>g.</w:t>
      </w:r>
      <w:r w:rsidR="00C55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proofErr w:type="gramEnd"/>
      <w:r w:rsidR="00800C30" w:rsidRPr="00CB6CB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00C30">
        <w:rPr>
          <w:rFonts w:asciiTheme="minorHAnsi" w:eastAsia="MS PGothic" w:hAnsiTheme="minorHAnsi"/>
          <w:color w:val="000000"/>
          <w:sz w:val="22"/>
          <w:szCs w:val="22"/>
          <w:lang w:val="en-US"/>
        </w:rPr>
        <w:t>.h</w:t>
      </w:r>
      <w:r w:rsidR="00800C30" w:rsidRPr="00CB6CB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00C3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for 24h</w:t>
      </w:r>
      <w:r w:rsidR="00800C30" w:rsidRPr="00800C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0C30">
        <w:rPr>
          <w:rFonts w:asciiTheme="minorHAnsi" w:eastAsia="MS PGothic" w:hAnsiTheme="minorHAnsi"/>
          <w:color w:val="000000"/>
          <w:sz w:val="22"/>
          <w:szCs w:val="22"/>
          <w:lang w:val="en-US"/>
        </w:rPr>
        <w:t>each)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D53FD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ipase activity assay</w:t>
      </w:r>
      <w:r w:rsidR="003D53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D53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SDS gel and carbon source 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HPLC</w:t>
      </w:r>
      <w:r w:rsidR="003D53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assays were performed on culture supernatants.</w:t>
      </w:r>
      <w:r w:rsidR="0009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470DD5" w:rsidRPr="00790421" w:rsidRDefault="00470DD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culture medium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>contain</w:t>
      </w:r>
      <w:r>
        <w:rPr>
          <w:rFonts w:asciiTheme="minorHAnsi" w:eastAsia="SimSun" w:hAnsiTheme="minorHAnsi"/>
          <w:sz w:val="22"/>
          <w:szCs w:val="22"/>
          <w:lang w:eastAsia="zh-CN"/>
        </w:rPr>
        <w:t>ed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 glycerol </w:t>
      </w:r>
      <w:r>
        <w:rPr>
          <w:rFonts w:asciiTheme="minorHAnsi" w:eastAsia="SimSun" w:hAnsiTheme="minorHAnsi"/>
          <w:sz w:val="22"/>
          <w:szCs w:val="22"/>
          <w:lang w:eastAsia="zh-CN"/>
        </w:rPr>
        <w:t>(10 g/</w:t>
      </w:r>
      <w:r w:rsidR="00C5526D">
        <w:rPr>
          <w:rFonts w:asciiTheme="minorHAnsi" w:eastAsia="SimSun" w:hAnsiTheme="minorHAnsi"/>
          <w:sz w:val="22"/>
          <w:szCs w:val="22"/>
          <w:lang w:eastAsia="zh-CN"/>
        </w:rPr>
        <w:t>L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for 2Mag cultures, 1 g/</w:t>
      </w:r>
      <w:r w:rsidR="00C5526D">
        <w:rPr>
          <w:rFonts w:asciiTheme="minorHAnsi" w:eastAsia="SimSun" w:hAnsiTheme="minorHAnsi"/>
          <w:sz w:val="22"/>
          <w:szCs w:val="22"/>
          <w:lang w:eastAsia="zh-CN"/>
        </w:rPr>
        <w:t>L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initially plus glycerol feed for 2-L cultures)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as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a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main carbon source and erythritol </w:t>
      </w:r>
      <w:r>
        <w:rPr>
          <w:rFonts w:asciiTheme="minorHAnsi" w:eastAsia="SimSun" w:hAnsiTheme="minorHAnsi"/>
          <w:sz w:val="22"/>
          <w:szCs w:val="22"/>
          <w:lang w:eastAsia="zh-CN"/>
        </w:rPr>
        <w:t>(10 g/</w:t>
      </w:r>
      <w:r w:rsidR="00C5526D">
        <w:rPr>
          <w:rFonts w:asciiTheme="minorHAnsi" w:eastAsia="SimSun" w:hAnsiTheme="minorHAnsi"/>
          <w:sz w:val="22"/>
          <w:szCs w:val="22"/>
          <w:lang w:eastAsia="zh-CN"/>
        </w:rPr>
        <w:t>L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)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 xml:space="preserve">as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an </w:t>
      </w:r>
      <w:r w:rsidRPr="003231A2">
        <w:rPr>
          <w:rFonts w:asciiTheme="minorHAnsi" w:eastAsia="SimSun" w:hAnsiTheme="minorHAnsi"/>
          <w:sz w:val="22"/>
          <w:szCs w:val="22"/>
          <w:lang w:eastAsia="zh-CN"/>
        </w:rPr>
        <w:t>inducer</w:t>
      </w:r>
      <w:r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AD076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Erythritol-inducible promoters </w:t>
      </w:r>
      <w:r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pEYKA3B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pHu8EYK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</w:t>
      </w:r>
      <w:r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pEYD1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compared to 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C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strong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constitutive promoter </w:t>
      </w:r>
      <w:proofErr w:type="spellStart"/>
      <w:r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pTEF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CalB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expression and production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At the expression</w:t>
      </w:r>
      <w:r w:rsidR="00095A45">
        <w:rPr>
          <w:rFonts w:asciiTheme="minorHAnsi" w:eastAsia="MS PGothic" w:hAnsiTheme="minorHAnsi"/>
          <w:color w:val="000000"/>
          <w:sz w:val="22"/>
          <w:szCs w:val="22"/>
        </w:rPr>
        <w:t xml:space="preserve"> level, </w:t>
      </w:r>
      <w:r w:rsidR="00095A45" w:rsidRPr="00095A45">
        <w:rPr>
          <w:rFonts w:asciiTheme="minorHAnsi" w:eastAsia="MS PGothic" w:hAnsiTheme="minorHAnsi"/>
          <w:i/>
          <w:color w:val="000000"/>
          <w:sz w:val="22"/>
          <w:szCs w:val="22"/>
        </w:rPr>
        <w:t>pEYKA3B</w:t>
      </w:r>
      <w:r w:rsidR="00095A45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095A45" w:rsidRPr="00095A45">
        <w:rPr>
          <w:rFonts w:asciiTheme="minorHAnsi" w:eastAsia="MS PGothic" w:hAnsiTheme="minorHAnsi"/>
          <w:i/>
          <w:color w:val="000000"/>
          <w:sz w:val="22"/>
          <w:szCs w:val="22"/>
        </w:rPr>
        <w:t>pHu8EYK</w:t>
      </w:r>
      <w:r w:rsidR="00095A4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showed </w:t>
      </w:r>
      <w:r w:rsidR="00095A45">
        <w:rPr>
          <w:rFonts w:asciiTheme="minorHAnsi" w:eastAsia="MS PGothic" w:hAnsiTheme="minorHAnsi"/>
          <w:color w:val="000000"/>
          <w:sz w:val="22"/>
          <w:szCs w:val="22"/>
        </w:rPr>
        <w:t xml:space="preserve">a 3-fold higher response than </w:t>
      </w:r>
      <w:proofErr w:type="spellStart"/>
      <w:r w:rsidR="00095A45" w:rsidRPr="00095A45">
        <w:rPr>
          <w:rFonts w:asciiTheme="minorHAnsi" w:eastAsia="MS PGothic" w:hAnsiTheme="minorHAnsi"/>
          <w:i/>
          <w:color w:val="000000"/>
          <w:sz w:val="22"/>
          <w:szCs w:val="22"/>
        </w:rPr>
        <w:t>pTEF</w:t>
      </w:r>
      <w:proofErr w:type="spellEnd"/>
      <w:r w:rsidR="00095A45">
        <w:rPr>
          <w:rFonts w:asciiTheme="minorHAnsi" w:eastAsia="MS PGothic" w:hAnsiTheme="minorHAnsi"/>
          <w:color w:val="000000"/>
          <w:sz w:val="22"/>
          <w:szCs w:val="22"/>
        </w:rPr>
        <w:t>, while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1262F"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pEYD</w:t>
      </w:r>
      <w:r w:rsidR="00B1262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1</w:t>
      </w:r>
      <w:r w:rsidR="00B126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presented the same behavior as </w:t>
      </w:r>
      <w:proofErr w:type="spellStart"/>
      <w:r w:rsidR="00B1262F" w:rsidRPr="00B1262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pTEF</w:t>
      </w:r>
      <w:proofErr w:type="spellEnd"/>
      <w:r w:rsidR="00095A45">
        <w:rPr>
          <w:rFonts w:asciiTheme="minorHAnsi" w:eastAsia="MS PGothic" w:hAnsiTheme="minorHAnsi"/>
          <w:color w:val="000000"/>
          <w:sz w:val="22"/>
          <w:szCs w:val="22"/>
        </w:rPr>
        <w:t xml:space="preserve">. At the production level, </w:t>
      </w:r>
      <w:r w:rsidR="00B1262F" w:rsidRPr="00B1262F">
        <w:rPr>
          <w:rFonts w:asciiTheme="minorHAnsi" w:eastAsia="MS PGothic" w:hAnsiTheme="minorHAnsi"/>
          <w:i/>
          <w:color w:val="000000"/>
          <w:sz w:val="22"/>
          <w:szCs w:val="22"/>
        </w:rPr>
        <w:t>pEYKA3B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 delivered </w:t>
      </w:r>
      <w:r w:rsidR="00BF626C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3-fold higher extracellular </w:t>
      </w:r>
      <w:proofErr w:type="spellStart"/>
      <w:r w:rsidR="00B1262F">
        <w:rPr>
          <w:rFonts w:asciiTheme="minorHAnsi" w:eastAsia="MS PGothic" w:hAnsiTheme="minorHAnsi"/>
          <w:color w:val="000000"/>
          <w:sz w:val="22"/>
          <w:szCs w:val="22"/>
        </w:rPr>
        <w:t>CalB</w:t>
      </w:r>
      <w:proofErr w:type="spellEnd"/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862EF">
        <w:rPr>
          <w:rFonts w:asciiTheme="minorHAnsi" w:eastAsia="MS PGothic" w:hAnsiTheme="minorHAnsi"/>
          <w:color w:val="000000"/>
          <w:sz w:val="22"/>
          <w:szCs w:val="22"/>
        </w:rPr>
        <w:t>activity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 than </w:t>
      </w:r>
      <w:proofErr w:type="spellStart"/>
      <w:r w:rsidR="00B1262F" w:rsidRPr="00B1262F">
        <w:rPr>
          <w:rFonts w:asciiTheme="minorHAnsi" w:eastAsia="MS PGothic" w:hAnsiTheme="minorHAnsi"/>
          <w:i/>
          <w:color w:val="000000"/>
          <w:sz w:val="22"/>
          <w:szCs w:val="22"/>
        </w:rPr>
        <w:t>pTEF</w:t>
      </w:r>
      <w:proofErr w:type="spellEnd"/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, in accordance with qPCR results. </w:t>
      </w:r>
      <w:r w:rsidR="00BF626C"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pHu8EYK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BF626C" w:rsidRPr="00AD076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pEYD1</w:t>
      </w:r>
      <w:r w:rsidR="00BF62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led to lower </w:t>
      </w:r>
      <w:proofErr w:type="spellStart"/>
      <w:r w:rsidR="00840A37">
        <w:rPr>
          <w:rFonts w:asciiTheme="minorHAnsi" w:eastAsia="MS PGothic" w:hAnsiTheme="minorHAnsi"/>
          <w:color w:val="000000"/>
          <w:sz w:val="22"/>
          <w:szCs w:val="22"/>
        </w:rPr>
        <w:t>CalB</w:t>
      </w:r>
      <w:proofErr w:type="spellEnd"/>
      <w:r w:rsidR="00840A3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862EF">
        <w:rPr>
          <w:rFonts w:asciiTheme="minorHAnsi" w:eastAsia="MS PGothic" w:hAnsiTheme="minorHAnsi"/>
          <w:color w:val="000000"/>
          <w:sz w:val="22"/>
          <w:szCs w:val="22"/>
        </w:rPr>
        <w:t>activity</w:t>
      </w:r>
      <w:r w:rsidR="00840A37">
        <w:rPr>
          <w:rFonts w:asciiTheme="minorHAnsi" w:eastAsia="MS PGothic" w:hAnsiTheme="minorHAnsi"/>
          <w:color w:val="000000"/>
          <w:sz w:val="22"/>
          <w:szCs w:val="22"/>
        </w:rPr>
        <w:t xml:space="preserve"> levels. 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In consequence, </w:t>
      </w:r>
      <w:r w:rsidR="00B1262F" w:rsidRPr="00B1262F">
        <w:rPr>
          <w:rFonts w:asciiTheme="minorHAnsi" w:eastAsia="MS PGothic" w:hAnsiTheme="minorHAnsi"/>
          <w:i/>
          <w:color w:val="000000"/>
          <w:sz w:val="22"/>
          <w:szCs w:val="22"/>
        </w:rPr>
        <w:t>pEYKA3B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 was selected for </w:t>
      </w:r>
      <w:r w:rsidR="003D53FD">
        <w:rPr>
          <w:rFonts w:asciiTheme="minorHAnsi" w:eastAsia="MS PGothic" w:hAnsiTheme="minorHAnsi"/>
          <w:color w:val="000000"/>
          <w:sz w:val="22"/>
          <w:szCs w:val="22"/>
        </w:rPr>
        <w:t xml:space="preserve">larger-scale </w:t>
      </w:r>
      <w:r w:rsidR="00B1262F">
        <w:rPr>
          <w:rFonts w:asciiTheme="minorHAnsi" w:eastAsia="MS PGothic" w:hAnsiTheme="minorHAnsi"/>
          <w:color w:val="000000"/>
          <w:sz w:val="22"/>
          <w:szCs w:val="22"/>
        </w:rPr>
        <w:t xml:space="preserve">experiments. </w:t>
      </w:r>
    </w:p>
    <w:p w:rsidR="00A524EF" w:rsidRDefault="00A524E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In previous studies, </w:t>
      </w:r>
      <w:r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induction levels of </w:t>
      </w:r>
      <w:r w:rsidRPr="00A524E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pEYK1</w:t>
      </w:r>
      <w:r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>-derived promoters were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directly correlated with erythritol concentration</w:t>
      </w:r>
      <w:r w:rsidR="00CB6C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culture medium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</w:t>
      </w:r>
      <w:r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erythritol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cellular </w:t>
      </w:r>
      <w:r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uptake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appeared</w:t>
      </w:r>
      <w:r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reduced in the presence of glycerol</w:t>
      </w:r>
      <w:r w:rsidR="00CB6C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culture medium</w:t>
      </w:r>
      <w:r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0C30">
        <w:rPr>
          <w:rFonts w:asciiTheme="minorHAnsi" w:eastAsia="SimSun" w:hAnsiTheme="minorHAnsi"/>
          <w:sz w:val="22"/>
          <w:szCs w:val="22"/>
          <w:lang w:eastAsia="zh-CN"/>
        </w:rPr>
        <w:t>[2]</w:t>
      </w:r>
      <w:r w:rsidR="00800C30" w:rsidRPr="00800C30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800C30">
        <w:rPr>
          <w:rFonts w:asciiTheme="minorHAnsi" w:eastAsia="SimSun" w:hAnsiTheme="minorHAnsi"/>
          <w:sz w:val="22"/>
          <w:szCs w:val="22"/>
          <w:lang w:eastAsia="zh-CN"/>
        </w:rPr>
        <w:t>[4]</w:t>
      </w:r>
      <w:r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B6C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Here, reactor cultures were operated in fed-batch mode to allow progressive glycerol feed at 3 increasing concentrations. </w:t>
      </w:r>
      <w:r w:rsidR="00CB6CB0"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these conditions, glycerol</w:t>
      </w:r>
      <w:r w:rsidR="00CB6C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accumulation in the culture medium was prevented, while providing </w:t>
      </w:r>
      <w:proofErr w:type="gramStart"/>
      <w:r w:rsidR="00CB6CB0"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sufficient</w:t>
      </w:r>
      <w:proofErr w:type="gramEnd"/>
      <w:r w:rsidR="00CB6CB0"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 for cell growth and </w:t>
      </w:r>
      <w:proofErr w:type="spellStart"/>
      <w:r w:rsidR="00CB6CB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CalB</w:t>
      </w:r>
      <w:proofErr w:type="spellEnd"/>
      <w:r w:rsidR="00CB6CB0" w:rsidRPr="00A52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synthesis.</w:t>
      </w:r>
      <w:r w:rsidR="00CB6C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6CB0">
        <w:rPr>
          <w:rFonts w:asciiTheme="minorHAnsi" w:eastAsia="MS PGothic" w:hAnsiTheme="minorHAnsi"/>
          <w:color w:val="000000"/>
          <w:sz w:val="22"/>
          <w:szCs w:val="22"/>
        </w:rPr>
        <w:t>Hence, d</w:t>
      </w:r>
      <w:r w:rsidR="00BF626C">
        <w:rPr>
          <w:rFonts w:asciiTheme="minorHAnsi" w:eastAsia="MS PGothic" w:hAnsiTheme="minorHAnsi"/>
          <w:color w:val="000000"/>
          <w:sz w:val="22"/>
          <w:szCs w:val="22"/>
        </w:rPr>
        <w:t xml:space="preserve">uring 2-L reactor cultures, </w:t>
      </w:r>
      <w:proofErr w:type="spellStart"/>
      <w:r w:rsidR="00BF626C">
        <w:rPr>
          <w:rFonts w:asciiTheme="minorHAnsi" w:eastAsia="MS PGothic" w:hAnsiTheme="minorHAnsi"/>
          <w:color w:val="000000"/>
          <w:sz w:val="22"/>
          <w:szCs w:val="22"/>
        </w:rPr>
        <w:t>CalB</w:t>
      </w:r>
      <w:proofErr w:type="spellEnd"/>
      <w:r w:rsidR="00BF626C">
        <w:rPr>
          <w:rFonts w:asciiTheme="minorHAnsi" w:eastAsia="MS PGothic" w:hAnsiTheme="minorHAnsi"/>
          <w:color w:val="000000"/>
          <w:sz w:val="22"/>
          <w:szCs w:val="22"/>
        </w:rPr>
        <w:t xml:space="preserve"> was accumulated in the culture medium, reaching a final value of</w:t>
      </w:r>
      <w:r w:rsidR="00F96F4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96F40" w:rsidRPr="008C377B">
        <w:rPr>
          <w:rFonts w:asciiTheme="minorHAnsi" w:eastAsia="MS PGothic" w:hAnsiTheme="minorHAnsi"/>
          <w:color w:val="000000"/>
          <w:sz w:val="22"/>
          <w:szCs w:val="22"/>
        </w:rPr>
        <w:t>about</w:t>
      </w:r>
      <w:r w:rsidR="008C377B" w:rsidRPr="008C377B">
        <w:rPr>
          <w:rFonts w:asciiTheme="minorHAnsi" w:eastAsia="MS PGothic" w:hAnsiTheme="minorHAnsi"/>
          <w:color w:val="000000"/>
          <w:sz w:val="22"/>
          <w:szCs w:val="22"/>
        </w:rPr>
        <w:t xml:space="preserve"> 900 U/</w:t>
      </w:r>
      <w:proofErr w:type="spellStart"/>
      <w:r w:rsidR="008C377B" w:rsidRPr="008C377B">
        <w:rPr>
          <w:rFonts w:asciiTheme="minorHAnsi" w:eastAsia="MS PGothic" w:hAnsiTheme="minorHAnsi"/>
          <w:color w:val="000000"/>
          <w:sz w:val="22"/>
          <w:szCs w:val="22"/>
        </w:rPr>
        <w:t>gDCW</w:t>
      </w:r>
      <w:proofErr w:type="spellEnd"/>
      <w:r w:rsidR="00BF626C" w:rsidRPr="008C377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BF62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07323">
        <w:rPr>
          <w:rFonts w:asciiTheme="minorHAnsi" w:eastAsia="MS PGothic" w:hAnsiTheme="minorHAnsi"/>
          <w:color w:val="000000"/>
          <w:sz w:val="22"/>
          <w:szCs w:val="22"/>
        </w:rPr>
        <w:t xml:space="preserve">SDS gel analysis proved </w:t>
      </w:r>
      <w:proofErr w:type="spellStart"/>
      <w:r w:rsidR="00507323">
        <w:rPr>
          <w:rFonts w:asciiTheme="minorHAnsi" w:eastAsia="MS PGothic" w:hAnsiTheme="minorHAnsi"/>
          <w:color w:val="000000"/>
          <w:sz w:val="22"/>
          <w:szCs w:val="22"/>
        </w:rPr>
        <w:t>CalB</w:t>
      </w:r>
      <w:proofErr w:type="spellEnd"/>
      <w:r w:rsidR="00507323">
        <w:rPr>
          <w:rFonts w:asciiTheme="minorHAnsi" w:eastAsia="MS PGothic" w:hAnsiTheme="minorHAnsi"/>
          <w:color w:val="000000"/>
          <w:sz w:val="22"/>
          <w:szCs w:val="22"/>
        </w:rPr>
        <w:t xml:space="preserve"> adequate size and integrity in the culture supernatant.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4C1F46" w:rsidRDefault="0050732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 the </w:t>
      </w:r>
      <w:r>
        <w:rPr>
          <w:rFonts w:asciiTheme="minorHAnsi" w:eastAsia="MS PGothic" w:hAnsiTheme="minorHAnsi"/>
          <w:color w:val="000000"/>
          <w:sz w:val="22"/>
          <w:szCs w:val="22"/>
        </w:rPr>
        <w:t>three</w:t>
      </w:r>
      <w:r w:rsidRPr="00507323">
        <w:rPr>
          <w:rFonts w:asciiTheme="minorHAnsi" w:eastAsia="MS PGothic" w:hAnsiTheme="minorHAnsi"/>
          <w:color w:val="000000"/>
          <w:sz w:val="22"/>
          <w:szCs w:val="22"/>
        </w:rPr>
        <w:t xml:space="preserve"> types of erythritol-inducible promoters </w:t>
      </w:r>
      <w:r>
        <w:rPr>
          <w:rFonts w:asciiTheme="minorHAnsi" w:eastAsia="MS PGothic" w:hAnsiTheme="minorHAnsi"/>
          <w:color w:val="000000"/>
          <w:sz w:val="22"/>
          <w:szCs w:val="22"/>
        </w:rPr>
        <w:t>examined in the present study,</w:t>
      </w:r>
      <w:r w:rsidR="00800C30">
        <w:rPr>
          <w:rFonts w:asciiTheme="minorHAnsi" w:eastAsia="MS PGothic" w:hAnsiTheme="minorHAnsi"/>
          <w:color w:val="000000"/>
          <w:sz w:val="22"/>
          <w:szCs w:val="22"/>
        </w:rPr>
        <w:t xml:space="preserve"> the promoter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4C1F46">
        <w:rPr>
          <w:rFonts w:asciiTheme="minorHAnsi" w:eastAsia="MS PGothic" w:hAnsiTheme="minorHAnsi"/>
          <w:i/>
          <w:color w:val="000000"/>
          <w:sz w:val="22"/>
          <w:szCs w:val="22"/>
        </w:rPr>
        <w:t>pEYKA3B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based on 3 </w:t>
      </w:r>
      <w:r w:rsidR="004C1F46" w:rsidRPr="00507323">
        <w:rPr>
          <w:rFonts w:asciiTheme="minorHAnsi" w:eastAsia="MS PGothic" w:hAnsiTheme="minorHAnsi"/>
          <w:i/>
          <w:color w:val="000000"/>
          <w:sz w:val="22"/>
          <w:szCs w:val="22"/>
        </w:rPr>
        <w:t>UAS</w:t>
      </w:r>
      <w:r w:rsidR="004C1F46" w:rsidRPr="004C1F46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</w:rPr>
        <w:t>1</w:t>
      </w:r>
      <w:r w:rsidR="004C1F46" w:rsidRPr="00507323">
        <w:rPr>
          <w:rFonts w:asciiTheme="minorHAnsi" w:eastAsia="MS PGothic" w:hAnsiTheme="minorHAnsi"/>
          <w:color w:val="000000"/>
          <w:sz w:val="22"/>
          <w:szCs w:val="22"/>
        </w:rPr>
        <w:t xml:space="preserve"> from </w:t>
      </w:r>
      <w:r w:rsidR="004C1F46" w:rsidRPr="00507323">
        <w:rPr>
          <w:rFonts w:asciiTheme="minorHAnsi" w:eastAsia="MS PGothic" w:hAnsiTheme="minorHAnsi"/>
          <w:i/>
          <w:color w:val="000000"/>
          <w:sz w:val="22"/>
          <w:szCs w:val="22"/>
        </w:rPr>
        <w:t>pEYK1</w:t>
      </w:r>
      <w:r w:rsidR="004C1F46" w:rsidRPr="00507323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4C1F46">
        <w:rPr>
          <w:rFonts w:asciiTheme="minorHAnsi" w:eastAsia="MS PGothic" w:hAnsiTheme="minorHAnsi"/>
          <w:color w:val="000000"/>
          <w:sz w:val="22"/>
          <w:szCs w:val="22"/>
        </w:rPr>
        <w:t xml:space="preserve"> stood out with high </w:t>
      </w:r>
      <w:proofErr w:type="spellStart"/>
      <w:r w:rsidR="004C1F46">
        <w:rPr>
          <w:rFonts w:asciiTheme="minorHAnsi" w:eastAsia="MS PGothic" w:hAnsiTheme="minorHAnsi"/>
          <w:color w:val="000000"/>
          <w:sz w:val="22"/>
          <w:szCs w:val="22"/>
        </w:rPr>
        <w:t>CalB</w:t>
      </w:r>
      <w:proofErr w:type="spellEnd"/>
      <w:r w:rsidR="004C1F46">
        <w:rPr>
          <w:rFonts w:asciiTheme="minorHAnsi" w:eastAsia="MS PGothic" w:hAnsiTheme="minorHAnsi"/>
          <w:color w:val="000000"/>
          <w:sz w:val="22"/>
          <w:szCs w:val="22"/>
        </w:rPr>
        <w:t xml:space="preserve"> expression and production levels.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of lipase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CalB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fed-batch bioreactor demonstrate</w:t>
      </w:r>
      <w:r w:rsidR="004C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the adequacy of </w:t>
      </w:r>
      <w:r w:rsidR="004C1F46" w:rsidRPr="004C1F46">
        <w:rPr>
          <w:rFonts w:asciiTheme="minorHAnsi" w:eastAsia="MS PGothic" w:hAnsiTheme="minorHAnsi"/>
          <w:i/>
          <w:color w:val="000000"/>
          <w:sz w:val="22"/>
          <w:szCs w:val="22"/>
        </w:rPr>
        <w:t>pEYKA3B</w:t>
      </w:r>
      <w:r w:rsidR="004C1F46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800C30">
        <w:rPr>
          <w:rFonts w:asciiTheme="minorHAnsi" w:eastAsia="MS PGothic" w:hAnsiTheme="minorHAnsi"/>
          <w:color w:val="000000"/>
          <w:sz w:val="22"/>
          <w:szCs w:val="22"/>
        </w:rPr>
        <w:t xml:space="preserve">more generally </w:t>
      </w:r>
      <w:r w:rsidR="004C1F46">
        <w:rPr>
          <w:rFonts w:asciiTheme="minorHAnsi" w:eastAsia="MS PGothic" w:hAnsiTheme="minorHAnsi"/>
          <w:color w:val="000000"/>
          <w:sz w:val="22"/>
          <w:szCs w:val="22"/>
        </w:rPr>
        <w:t>erythritol-inducible promoters for recombinant protein production.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800C30" w:rsidRDefault="00800C3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GB"/>
        </w:rPr>
        <w:t xml:space="preserve">M. </w:t>
      </w:r>
      <w:r w:rsidRPr="00800C30">
        <w:rPr>
          <w:rFonts w:asciiTheme="minorHAnsi" w:hAnsiTheme="minorHAnsi"/>
          <w:color w:val="000000"/>
          <w:lang w:val="en-GB"/>
        </w:rPr>
        <w:t xml:space="preserve">Vandermies and </w:t>
      </w:r>
      <w:r>
        <w:rPr>
          <w:rFonts w:asciiTheme="minorHAnsi" w:hAnsiTheme="minorHAnsi"/>
          <w:color w:val="000000"/>
          <w:lang w:val="en-GB"/>
        </w:rPr>
        <w:t xml:space="preserve">P. </w:t>
      </w:r>
      <w:proofErr w:type="spellStart"/>
      <w:r w:rsidRPr="00800C30">
        <w:rPr>
          <w:rFonts w:asciiTheme="minorHAnsi" w:hAnsiTheme="minorHAnsi"/>
          <w:color w:val="000000"/>
          <w:lang w:val="en-GB"/>
        </w:rPr>
        <w:t>Fickers</w:t>
      </w:r>
      <w:proofErr w:type="spellEnd"/>
      <w:r w:rsidRPr="00800C30">
        <w:rPr>
          <w:rFonts w:asciiTheme="minorHAnsi" w:hAnsiTheme="minorHAnsi"/>
          <w:color w:val="000000"/>
          <w:lang w:val="en-GB"/>
        </w:rPr>
        <w:t>,</w:t>
      </w:r>
      <w:r>
        <w:rPr>
          <w:rFonts w:asciiTheme="minorHAnsi" w:hAnsiTheme="minorHAnsi"/>
          <w:color w:val="000000"/>
          <w:lang w:val="en-GB"/>
        </w:rPr>
        <w:t xml:space="preserve"> Microorganisms (2019),</w:t>
      </w:r>
      <w:r w:rsidRPr="00800C30">
        <w:rPr>
          <w:rFonts w:asciiTheme="minorHAnsi" w:hAnsiTheme="minorHAnsi"/>
          <w:color w:val="000000"/>
          <w:lang w:val="en-GB"/>
        </w:rPr>
        <w:t xml:space="preserve"> submitted</w:t>
      </w:r>
      <w:r>
        <w:rPr>
          <w:rFonts w:asciiTheme="minorHAnsi" w:hAnsiTheme="minorHAnsi"/>
          <w:color w:val="000000"/>
          <w:lang w:val="en-GB"/>
        </w:rPr>
        <w:t>.</w:t>
      </w:r>
    </w:p>
    <w:p w:rsidR="00704BDF" w:rsidRDefault="0083327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BE"/>
        </w:rPr>
      </w:pPr>
      <w:r w:rsidRPr="0083327C">
        <w:rPr>
          <w:rFonts w:asciiTheme="minorHAnsi" w:hAnsiTheme="minorHAnsi"/>
          <w:color w:val="000000"/>
          <w:lang w:val="fr-BE"/>
        </w:rPr>
        <w:t xml:space="preserve">M. </w:t>
      </w:r>
      <w:proofErr w:type="spellStart"/>
      <w:r w:rsidRPr="0083327C">
        <w:rPr>
          <w:rFonts w:asciiTheme="minorHAnsi" w:hAnsiTheme="minorHAnsi"/>
          <w:color w:val="000000"/>
          <w:lang w:val="fr-BE"/>
        </w:rPr>
        <w:t>Trassaert</w:t>
      </w:r>
      <w:proofErr w:type="spellEnd"/>
      <w:r w:rsidRPr="0083327C">
        <w:rPr>
          <w:rFonts w:asciiTheme="minorHAnsi" w:hAnsiTheme="minorHAnsi"/>
          <w:color w:val="000000"/>
          <w:lang w:val="fr-BE"/>
        </w:rPr>
        <w:t xml:space="preserve"> et al, </w:t>
      </w:r>
      <w:proofErr w:type="spellStart"/>
      <w:r w:rsidRPr="0083327C">
        <w:rPr>
          <w:rFonts w:asciiTheme="minorHAnsi" w:hAnsiTheme="minorHAnsi"/>
          <w:color w:val="000000"/>
          <w:lang w:val="fr-BE"/>
        </w:rPr>
        <w:t>Microb</w:t>
      </w:r>
      <w:proofErr w:type="spellEnd"/>
      <w:r w:rsidRPr="0083327C">
        <w:rPr>
          <w:rFonts w:asciiTheme="minorHAnsi" w:hAnsiTheme="minorHAnsi"/>
          <w:color w:val="000000"/>
          <w:lang w:val="fr-BE"/>
        </w:rPr>
        <w:t xml:space="preserve"> </w:t>
      </w:r>
      <w:proofErr w:type="spellStart"/>
      <w:r w:rsidRPr="0083327C">
        <w:rPr>
          <w:rFonts w:asciiTheme="minorHAnsi" w:hAnsiTheme="minorHAnsi"/>
          <w:color w:val="000000"/>
          <w:lang w:val="fr-BE"/>
        </w:rPr>
        <w:t>Cell</w:t>
      </w:r>
      <w:proofErr w:type="spellEnd"/>
      <w:r w:rsidRPr="0083327C">
        <w:rPr>
          <w:rFonts w:asciiTheme="minorHAnsi" w:hAnsiTheme="minorHAnsi"/>
          <w:color w:val="000000"/>
          <w:lang w:val="fr-BE"/>
        </w:rPr>
        <w:t xml:space="preserve"> Fact </w:t>
      </w:r>
      <w:proofErr w:type="gramStart"/>
      <w:r w:rsidRPr="0083327C">
        <w:rPr>
          <w:rFonts w:asciiTheme="minorHAnsi" w:hAnsiTheme="minorHAnsi"/>
          <w:color w:val="000000"/>
          <w:lang w:val="fr-BE"/>
        </w:rPr>
        <w:t>16:</w:t>
      </w:r>
      <w:proofErr w:type="gramEnd"/>
      <w:r w:rsidRPr="0083327C">
        <w:rPr>
          <w:rFonts w:asciiTheme="minorHAnsi" w:hAnsiTheme="minorHAnsi"/>
          <w:color w:val="000000"/>
          <w:lang w:val="fr-BE"/>
        </w:rPr>
        <w:t>141 (2017)</w:t>
      </w:r>
      <w:r w:rsidR="00704BDF" w:rsidRPr="0083327C">
        <w:rPr>
          <w:rFonts w:asciiTheme="minorHAnsi" w:hAnsiTheme="minorHAnsi"/>
          <w:color w:val="000000"/>
          <w:lang w:val="fr-BE"/>
        </w:rPr>
        <w:t>.</w:t>
      </w:r>
    </w:p>
    <w:p w:rsidR="0083327C" w:rsidRPr="0083327C" w:rsidRDefault="0083327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3327C">
        <w:rPr>
          <w:rFonts w:asciiTheme="minorHAnsi" w:hAnsiTheme="minorHAnsi"/>
          <w:color w:val="000000"/>
        </w:rPr>
        <w:t>Y.</w:t>
      </w:r>
      <w:r w:rsidR="00470DD5">
        <w:rPr>
          <w:rFonts w:asciiTheme="minorHAnsi" w:hAnsiTheme="minorHAnsi"/>
          <w:color w:val="000000"/>
        </w:rPr>
        <w:t>-</w:t>
      </w:r>
      <w:r w:rsidRPr="0083327C">
        <w:rPr>
          <w:rFonts w:asciiTheme="minorHAnsi" w:hAnsiTheme="minorHAnsi"/>
          <w:color w:val="000000"/>
        </w:rPr>
        <w:t xml:space="preserve">K. Park et al, </w:t>
      </w:r>
      <w:r>
        <w:rPr>
          <w:rFonts w:asciiTheme="minorHAnsi" w:hAnsiTheme="minorHAnsi"/>
          <w:color w:val="000000"/>
        </w:rPr>
        <w:t xml:space="preserve">FEMS Yeast Res </w:t>
      </w:r>
      <w:r w:rsidRPr="0083327C">
        <w:rPr>
          <w:rFonts w:asciiTheme="minorHAnsi" w:hAnsiTheme="minorHAnsi"/>
          <w:color w:val="000000"/>
        </w:rPr>
        <w:t>19</w:t>
      </w:r>
      <w:r>
        <w:rPr>
          <w:rFonts w:asciiTheme="minorHAnsi" w:hAnsiTheme="minorHAnsi"/>
          <w:color w:val="000000"/>
        </w:rPr>
        <w:t>:</w:t>
      </w:r>
      <w:r w:rsidRPr="0083327C">
        <w:rPr>
          <w:rFonts w:asciiTheme="minorHAnsi" w:hAnsiTheme="minorHAnsi"/>
          <w:color w:val="000000"/>
        </w:rPr>
        <w:t>1 (2019)</w:t>
      </w:r>
      <w:r>
        <w:rPr>
          <w:rFonts w:asciiTheme="minorHAnsi" w:hAnsiTheme="minorHAnsi"/>
          <w:color w:val="000000"/>
        </w:rPr>
        <w:t>.</w:t>
      </w:r>
    </w:p>
    <w:p w:rsidR="00704BDF" w:rsidRPr="008D0BEB" w:rsidRDefault="0083327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F. Carly et al, </w:t>
      </w:r>
      <w:r w:rsidRPr="0083327C">
        <w:rPr>
          <w:rFonts w:asciiTheme="minorHAnsi" w:hAnsiTheme="minorHAnsi"/>
          <w:color w:val="000000"/>
        </w:rPr>
        <w:t>Bioresource Technol 247 (2018) 963–969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1D33EE" w:rsidRDefault="001D33EE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F56BE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E24" w:rsidRDefault="00AE4E24" w:rsidP="004F5E36">
      <w:r>
        <w:separator/>
      </w:r>
    </w:p>
  </w:endnote>
  <w:endnote w:type="continuationSeparator" w:id="0">
    <w:p w:rsidR="00AE4E24" w:rsidRDefault="00AE4E2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E24" w:rsidRDefault="00AE4E24" w:rsidP="004F5E36">
      <w:r>
        <w:separator/>
      </w:r>
    </w:p>
  </w:footnote>
  <w:footnote w:type="continuationSeparator" w:id="0">
    <w:p w:rsidR="00AE4E24" w:rsidRDefault="00AE4E2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7E6049C"/>
    <w:multiLevelType w:val="hybridMultilevel"/>
    <w:tmpl w:val="9C40E6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4F0D"/>
    <w:rsid w:val="000117CB"/>
    <w:rsid w:val="0003148D"/>
    <w:rsid w:val="00062A9A"/>
    <w:rsid w:val="00095A45"/>
    <w:rsid w:val="000A03B2"/>
    <w:rsid w:val="000D0103"/>
    <w:rsid w:val="000D34BE"/>
    <w:rsid w:val="000E36F1"/>
    <w:rsid w:val="000E3A73"/>
    <w:rsid w:val="000E414A"/>
    <w:rsid w:val="0013121F"/>
    <w:rsid w:val="00134DE4"/>
    <w:rsid w:val="00150E59"/>
    <w:rsid w:val="00175A79"/>
    <w:rsid w:val="00184AD6"/>
    <w:rsid w:val="001B65C1"/>
    <w:rsid w:val="001C684B"/>
    <w:rsid w:val="001D33EE"/>
    <w:rsid w:val="001D53FC"/>
    <w:rsid w:val="001F2EC7"/>
    <w:rsid w:val="00205337"/>
    <w:rsid w:val="002065DB"/>
    <w:rsid w:val="00211DA7"/>
    <w:rsid w:val="002447EF"/>
    <w:rsid w:val="00251550"/>
    <w:rsid w:val="0027221A"/>
    <w:rsid w:val="00275B61"/>
    <w:rsid w:val="00291F2D"/>
    <w:rsid w:val="002D1F12"/>
    <w:rsid w:val="002D48D3"/>
    <w:rsid w:val="003009B7"/>
    <w:rsid w:val="0030469C"/>
    <w:rsid w:val="003231A2"/>
    <w:rsid w:val="00345EB5"/>
    <w:rsid w:val="003723D4"/>
    <w:rsid w:val="003A7D1C"/>
    <w:rsid w:val="003D53FD"/>
    <w:rsid w:val="003F2642"/>
    <w:rsid w:val="0046164A"/>
    <w:rsid w:val="00462DCD"/>
    <w:rsid w:val="00470DD5"/>
    <w:rsid w:val="004C1F46"/>
    <w:rsid w:val="004D1162"/>
    <w:rsid w:val="004E4DD6"/>
    <w:rsid w:val="004F563B"/>
    <w:rsid w:val="004F5E36"/>
    <w:rsid w:val="00507323"/>
    <w:rsid w:val="005119A5"/>
    <w:rsid w:val="005278B7"/>
    <w:rsid w:val="005346C8"/>
    <w:rsid w:val="005773FC"/>
    <w:rsid w:val="00594E9F"/>
    <w:rsid w:val="005B61E6"/>
    <w:rsid w:val="005C77E1"/>
    <w:rsid w:val="005D6A2F"/>
    <w:rsid w:val="005D7593"/>
    <w:rsid w:val="005E1A82"/>
    <w:rsid w:val="005F0A28"/>
    <w:rsid w:val="005F0E5E"/>
    <w:rsid w:val="00620DEE"/>
    <w:rsid w:val="00625639"/>
    <w:rsid w:val="006366F8"/>
    <w:rsid w:val="00640018"/>
    <w:rsid w:val="0064184D"/>
    <w:rsid w:val="00660E3E"/>
    <w:rsid w:val="00662E74"/>
    <w:rsid w:val="0068369B"/>
    <w:rsid w:val="006B01AC"/>
    <w:rsid w:val="006C5579"/>
    <w:rsid w:val="00704BDF"/>
    <w:rsid w:val="00736B13"/>
    <w:rsid w:val="007447F3"/>
    <w:rsid w:val="007661C8"/>
    <w:rsid w:val="00790421"/>
    <w:rsid w:val="007D52CD"/>
    <w:rsid w:val="00800C30"/>
    <w:rsid w:val="00813288"/>
    <w:rsid w:val="008168FC"/>
    <w:rsid w:val="0083327C"/>
    <w:rsid w:val="00840A37"/>
    <w:rsid w:val="008479A2"/>
    <w:rsid w:val="0087637F"/>
    <w:rsid w:val="008A1512"/>
    <w:rsid w:val="008C377B"/>
    <w:rsid w:val="008D0BEB"/>
    <w:rsid w:val="008E566E"/>
    <w:rsid w:val="00901EB6"/>
    <w:rsid w:val="009450CE"/>
    <w:rsid w:val="0095164B"/>
    <w:rsid w:val="00980E3F"/>
    <w:rsid w:val="00996483"/>
    <w:rsid w:val="009E788A"/>
    <w:rsid w:val="00A1763D"/>
    <w:rsid w:val="00A17CEC"/>
    <w:rsid w:val="00A23695"/>
    <w:rsid w:val="00A27EF0"/>
    <w:rsid w:val="00A524EF"/>
    <w:rsid w:val="00A76EFC"/>
    <w:rsid w:val="00A97F29"/>
    <w:rsid w:val="00AB0964"/>
    <w:rsid w:val="00AD0767"/>
    <w:rsid w:val="00AE377D"/>
    <w:rsid w:val="00AE4E24"/>
    <w:rsid w:val="00B1262F"/>
    <w:rsid w:val="00B61DBF"/>
    <w:rsid w:val="00B81F3B"/>
    <w:rsid w:val="00BC30C9"/>
    <w:rsid w:val="00BE3E58"/>
    <w:rsid w:val="00BF626C"/>
    <w:rsid w:val="00C01616"/>
    <w:rsid w:val="00C0162B"/>
    <w:rsid w:val="00C345B1"/>
    <w:rsid w:val="00C40142"/>
    <w:rsid w:val="00C5526D"/>
    <w:rsid w:val="00C57182"/>
    <w:rsid w:val="00C655FD"/>
    <w:rsid w:val="00C94434"/>
    <w:rsid w:val="00CA1C95"/>
    <w:rsid w:val="00CA5A9C"/>
    <w:rsid w:val="00CB6CB0"/>
    <w:rsid w:val="00CC3F4B"/>
    <w:rsid w:val="00CD5FE2"/>
    <w:rsid w:val="00D02B4C"/>
    <w:rsid w:val="00D83D01"/>
    <w:rsid w:val="00D84576"/>
    <w:rsid w:val="00D862EF"/>
    <w:rsid w:val="00D9655E"/>
    <w:rsid w:val="00DE0019"/>
    <w:rsid w:val="00DE264A"/>
    <w:rsid w:val="00E041E7"/>
    <w:rsid w:val="00E23CA1"/>
    <w:rsid w:val="00E409A8"/>
    <w:rsid w:val="00E47211"/>
    <w:rsid w:val="00E5610C"/>
    <w:rsid w:val="00E61888"/>
    <w:rsid w:val="00E70BA6"/>
    <w:rsid w:val="00E7209D"/>
    <w:rsid w:val="00EA50E1"/>
    <w:rsid w:val="00EE0131"/>
    <w:rsid w:val="00F30C64"/>
    <w:rsid w:val="00F56BE5"/>
    <w:rsid w:val="00F814C7"/>
    <w:rsid w:val="00F96F40"/>
    <w:rsid w:val="00FB730C"/>
    <w:rsid w:val="00FC2695"/>
    <w:rsid w:val="00FC3E03"/>
    <w:rsid w:val="00FC70F7"/>
    <w:rsid w:val="00FE1592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E779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A71F-EE3A-4DA2-BBBE-F3EDEFD9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Marie Vandermies</cp:lastModifiedBy>
  <cp:revision>24</cp:revision>
  <cp:lastPrinted>2015-05-12T18:31:00Z</cp:lastPrinted>
  <dcterms:created xsi:type="dcterms:W3CDTF">2018-05-26T08:50:00Z</dcterms:created>
  <dcterms:modified xsi:type="dcterms:W3CDTF">2019-01-15T22:53:00Z</dcterms:modified>
</cp:coreProperties>
</file>