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bookmarkStart w:id="0" w:name="_GoBack"/>
      <w:bookmarkEnd w:id="0"/>
    </w:p>
    <w:p w:rsidR="00704BDF" w:rsidRPr="00DE0019" w:rsidRDefault="00813B97"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Investigating Coarse-Graining Effects on CFD-DEM Simulations of Fluidized and Spouted Bed Reactors</w:t>
      </w:r>
    </w:p>
    <w:p w:rsidR="00DE0019" w:rsidRPr="00DE0019" w:rsidRDefault="00813B97"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Thomas Eppinger</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Nico Jurtz</w:t>
      </w:r>
      <w:r>
        <w:rPr>
          <w:rFonts w:eastAsia="SimSun"/>
          <w:color w:val="000000"/>
          <w:vertAlign w:val="superscript"/>
          <w:lang w:val="en-US" w:eastAsia="zh-CN"/>
        </w:rPr>
        <w:t>2</w:t>
      </w:r>
      <w:r>
        <w:rPr>
          <w:rFonts w:eastAsia="SimSun"/>
          <w:color w:val="000000"/>
          <w:lang w:val="en-US" w:eastAsia="zh-CN"/>
        </w:rPr>
        <w:t>, Felix Klippel1, Leonard Becker1, Oleh Baran</w:t>
      </w:r>
      <w:r>
        <w:rPr>
          <w:rFonts w:eastAsia="SimSun"/>
          <w:color w:val="000000"/>
          <w:vertAlign w:val="superscript"/>
          <w:lang w:val="en-US" w:eastAsia="zh-CN"/>
        </w:rPr>
        <w:t>3</w:t>
      </w:r>
      <w:r>
        <w:rPr>
          <w:rFonts w:eastAsia="SimSun"/>
          <w:color w:val="000000"/>
          <w:lang w:val="en-US" w:eastAsia="zh-CN"/>
        </w:rPr>
        <w:t>, Ravindra Aglave</w:t>
      </w:r>
      <w:r>
        <w:rPr>
          <w:rFonts w:eastAsia="SimSun"/>
          <w:color w:val="000000"/>
          <w:vertAlign w:val="superscript"/>
          <w:lang w:val="en-US" w:eastAsia="zh-CN"/>
        </w:rPr>
        <w:t>3</w:t>
      </w:r>
      <w:r>
        <w:rPr>
          <w:rFonts w:eastAsia="SimSun"/>
          <w:color w:val="000000"/>
          <w:lang w:val="en-US" w:eastAsia="zh-CN"/>
        </w:rPr>
        <w:t>, Matthias Kraume</w:t>
      </w:r>
      <w:r>
        <w:rPr>
          <w:rFonts w:eastAsia="SimSun"/>
          <w:color w:val="000000"/>
          <w:vertAlign w:val="superscript"/>
          <w:lang w:val="en-US" w:eastAsia="zh-CN"/>
        </w:rPr>
        <w:t>2</w:t>
      </w:r>
    </w:p>
    <w:p w:rsidR="00704BDF" w:rsidRPr="00DE0019" w:rsidRDefault="00704BDF" w:rsidP="00813B97">
      <w:pPr>
        <w:pStyle w:val="Affiliation"/>
        <w:rPr>
          <w:rFonts w:asciiTheme="minorHAnsi" w:eastAsia="MS PGothic" w:hAnsiTheme="minorHAnsi"/>
          <w:i/>
          <w:iCs/>
          <w:color w:val="000000"/>
        </w:rPr>
      </w:pPr>
      <w:r w:rsidRPr="00813B97">
        <w:rPr>
          <w:rFonts w:eastAsia="MS PGothic"/>
          <w:i/>
          <w:iCs/>
          <w:color w:val="000000"/>
        </w:rPr>
        <w:t>1</w:t>
      </w:r>
      <w:r w:rsidR="00813B97" w:rsidRPr="00813B97">
        <w:rPr>
          <w:rFonts w:asciiTheme="minorHAnsi" w:eastAsia="MS PGothic" w:hAnsiTheme="minorHAnsi" w:cstheme="minorHAnsi"/>
          <w:iCs/>
          <w:color w:val="000000"/>
        </w:rPr>
        <w:t xml:space="preserve"> </w:t>
      </w:r>
      <w:r w:rsidR="00813B97" w:rsidRPr="00813B97">
        <w:rPr>
          <w:rFonts w:asciiTheme="minorHAnsi" w:hAnsiTheme="minorHAnsi" w:cstheme="minorHAnsi"/>
          <w:i/>
        </w:rPr>
        <w:t>Siemens Industry Software GmbH, Nürnberg, Germany</w:t>
      </w:r>
      <w:r w:rsidRPr="00813B97">
        <w:rPr>
          <w:rFonts w:asciiTheme="minorHAnsi" w:eastAsia="MS PGothic" w:hAnsiTheme="minorHAnsi" w:cstheme="minorHAnsi"/>
          <w:i/>
          <w:iCs/>
          <w:color w:val="000000"/>
        </w:rPr>
        <w:t>;</w:t>
      </w:r>
      <w:r w:rsidRPr="00813B97">
        <w:rPr>
          <w:rFonts w:asciiTheme="minorHAnsi" w:eastAsia="MS PGothic" w:hAnsiTheme="minorHAnsi" w:cstheme="minorHAnsi"/>
          <w:iCs/>
          <w:color w:val="000000"/>
        </w:rPr>
        <w:t xml:space="preserve"> </w:t>
      </w:r>
      <w:r w:rsidRPr="00DE0019">
        <w:rPr>
          <w:rFonts w:asciiTheme="minorHAnsi" w:eastAsia="MS PGothic" w:hAnsiTheme="minorHAnsi"/>
          <w:i/>
          <w:iCs/>
          <w:color w:val="000000"/>
        </w:rPr>
        <w:t xml:space="preserve">2 </w:t>
      </w:r>
      <w:r w:rsidR="00813B97" w:rsidRPr="00813B97">
        <w:rPr>
          <w:rFonts w:asciiTheme="minorHAnsi" w:eastAsia="MS PGothic" w:hAnsiTheme="minorHAnsi"/>
          <w:i/>
          <w:iCs/>
          <w:color w:val="000000"/>
        </w:rPr>
        <w:t>Berlin Institut of Technology, Chair of Chemical &amp; Process Engineer</w:t>
      </w:r>
      <w:r w:rsidR="00813B97">
        <w:rPr>
          <w:rFonts w:asciiTheme="minorHAnsi" w:eastAsia="MS PGothic" w:hAnsiTheme="minorHAnsi"/>
          <w:i/>
          <w:iCs/>
          <w:color w:val="000000"/>
        </w:rPr>
        <w:t>ing,</w:t>
      </w:r>
      <w:r w:rsidR="00813B97" w:rsidRPr="00813B97">
        <w:rPr>
          <w:rFonts w:asciiTheme="minorHAnsi" w:eastAsia="MS PGothic" w:hAnsiTheme="minorHAnsi"/>
          <w:i/>
          <w:iCs/>
          <w:color w:val="000000"/>
        </w:rPr>
        <w:t xml:space="preserve"> Berlin, Germa</w:t>
      </w:r>
      <w:r w:rsidR="00813B97">
        <w:rPr>
          <w:rFonts w:asciiTheme="minorHAnsi" w:eastAsia="MS PGothic" w:hAnsiTheme="minorHAnsi"/>
          <w:i/>
          <w:iCs/>
          <w:color w:val="000000"/>
        </w:rPr>
        <w:t xml:space="preserve">ny; 3 </w:t>
      </w:r>
      <w:r w:rsidR="00813B97" w:rsidRPr="00813B97">
        <w:rPr>
          <w:rFonts w:asciiTheme="minorHAnsi" w:eastAsia="MS PGothic" w:hAnsiTheme="minorHAnsi"/>
          <w:i/>
          <w:iCs/>
          <w:color w:val="000000"/>
        </w:rPr>
        <w:t>Siemens PLM, Houston, TX, USA</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813B97">
        <w:rPr>
          <w:rFonts w:asciiTheme="minorHAnsi" w:eastAsia="MS PGothic" w:hAnsiTheme="minorHAnsi"/>
          <w:bCs/>
          <w:i/>
          <w:iCs/>
          <w:sz w:val="20"/>
          <w:lang w:val="en-US"/>
        </w:rPr>
        <w:t>Thomas.eppinger@siemens.com</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813B97" w:rsidP="00704BDF">
      <w:pPr>
        <w:pStyle w:val="AbstractBody"/>
        <w:numPr>
          <w:ilvl w:val="0"/>
          <w:numId w:val="16"/>
        </w:numPr>
        <w:rPr>
          <w:rFonts w:asciiTheme="minorHAnsi" w:hAnsiTheme="minorHAnsi"/>
        </w:rPr>
      </w:pPr>
      <w:r>
        <w:rPr>
          <w:rFonts w:asciiTheme="minorHAnsi" w:hAnsiTheme="minorHAnsi"/>
        </w:rPr>
        <w:t>Effect of different coarse-graining methods and factors are investigated</w:t>
      </w:r>
    </w:p>
    <w:p w:rsidR="00704BDF" w:rsidRPr="00EC66CC" w:rsidRDefault="00813B97" w:rsidP="00704BDF">
      <w:pPr>
        <w:pStyle w:val="AbstractBody"/>
        <w:numPr>
          <w:ilvl w:val="0"/>
          <w:numId w:val="16"/>
        </w:numPr>
        <w:rPr>
          <w:rFonts w:asciiTheme="minorHAnsi" w:hAnsiTheme="minorHAnsi"/>
        </w:rPr>
      </w:pPr>
      <w:r>
        <w:rPr>
          <w:rFonts w:asciiTheme="minorHAnsi" w:hAnsiTheme="minorHAnsi"/>
        </w:rPr>
        <w:t>Comparison against experimental data shows good agreement with averaged quantities</w:t>
      </w:r>
    </w:p>
    <w:p w:rsidR="00704BDF" w:rsidRPr="00813B97" w:rsidRDefault="00813B97" w:rsidP="00813B97">
      <w:pPr>
        <w:pStyle w:val="AbstractBody"/>
        <w:numPr>
          <w:ilvl w:val="0"/>
          <w:numId w:val="16"/>
        </w:numPr>
        <w:rPr>
          <w:rFonts w:asciiTheme="minorHAnsi" w:hAnsiTheme="minorHAnsi"/>
        </w:rPr>
      </w:pPr>
      <w:r>
        <w:rPr>
          <w:rFonts w:asciiTheme="minorHAnsi" w:hAnsiTheme="minorHAnsi"/>
        </w:rPr>
        <w:t>Differences in the dynamic behavior are quantified</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422ED3" w:rsidRPr="00422ED3" w:rsidRDefault="00240225" w:rsidP="00422ED3">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Since its introduction [1]</w:t>
      </w:r>
      <w:r w:rsidR="00422ED3" w:rsidRPr="00422ED3">
        <w:rPr>
          <w:rFonts w:asciiTheme="minorHAnsi" w:eastAsia="MS PGothic" w:hAnsiTheme="minorHAnsi"/>
          <w:color w:val="000000"/>
          <w:sz w:val="22"/>
          <w:szCs w:val="22"/>
          <w:lang w:val="en-US"/>
        </w:rPr>
        <w:t>, the Discrete Element Method (DEM) has proven to be a valuable method for the analyzing and understanding particulate flows. Supported by the continuously increasing computational power, CFD-DEM simulations have found their way into the chemical and process industry for various applications like solid</w:t>
      </w:r>
      <w:r w:rsidR="00C24738">
        <w:rPr>
          <w:rFonts w:asciiTheme="minorHAnsi" w:eastAsia="MS PGothic" w:hAnsiTheme="minorHAnsi"/>
          <w:color w:val="000000"/>
          <w:sz w:val="22"/>
          <w:szCs w:val="22"/>
          <w:lang w:val="en-US"/>
        </w:rPr>
        <w:t xml:space="preserve"> suspension in mixing vessels, fluidized and spouted beds</w:t>
      </w:r>
      <w:r w:rsidR="00422ED3" w:rsidRPr="00422ED3">
        <w:rPr>
          <w:rFonts w:asciiTheme="minorHAnsi" w:eastAsia="MS PGothic" w:hAnsiTheme="minorHAnsi"/>
          <w:color w:val="000000"/>
          <w:sz w:val="22"/>
          <w:szCs w:val="22"/>
          <w:lang w:val="en-US"/>
        </w:rPr>
        <w:t>, granular transport and coating applications in rotary drums</w:t>
      </w:r>
      <w:r w:rsidR="00C24738">
        <w:rPr>
          <w:rFonts w:asciiTheme="minorHAnsi" w:eastAsia="MS PGothic" w:hAnsiTheme="minorHAnsi"/>
          <w:color w:val="000000"/>
          <w:sz w:val="22"/>
          <w:szCs w:val="22"/>
          <w:lang w:val="en-US"/>
        </w:rPr>
        <w:t xml:space="preserve"> [2,3]</w:t>
      </w:r>
      <w:r w:rsidR="00422ED3" w:rsidRPr="00422ED3">
        <w:rPr>
          <w:rFonts w:asciiTheme="minorHAnsi" w:eastAsia="MS PGothic" w:hAnsiTheme="minorHAnsi"/>
          <w:color w:val="000000"/>
          <w:sz w:val="22"/>
          <w:szCs w:val="22"/>
          <w:lang w:val="en-US"/>
        </w:rPr>
        <w:t xml:space="preserve">. </w:t>
      </w:r>
    </w:p>
    <w:p w:rsidR="00422ED3" w:rsidRPr="00422ED3" w:rsidRDefault="00422ED3" w:rsidP="00422ED3">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major shortcoming of</w:t>
      </w:r>
      <w:r w:rsidRPr="00422ED3">
        <w:rPr>
          <w:rFonts w:asciiTheme="minorHAnsi" w:eastAsia="MS PGothic" w:hAnsiTheme="minorHAnsi"/>
          <w:color w:val="000000"/>
          <w:sz w:val="22"/>
          <w:szCs w:val="22"/>
          <w:lang w:val="en-US"/>
        </w:rPr>
        <w:t xml:space="preserve"> DEM, however, is its computational cost that increases with the amount of particles involved, their material properties (stiffness) and size. This hinders the application of CFD-DEM simulation to large-scale systems of industrial size. To overcome this shortcoming a coarse grain (CG) model has been described </w:t>
      </w:r>
      <w:r w:rsidR="00C24738">
        <w:rPr>
          <w:rFonts w:asciiTheme="minorHAnsi" w:eastAsia="MS PGothic" w:hAnsiTheme="minorHAnsi"/>
          <w:color w:val="000000"/>
          <w:sz w:val="22"/>
          <w:szCs w:val="22"/>
          <w:lang w:val="en-US"/>
        </w:rPr>
        <w:t>[4]</w:t>
      </w:r>
      <w:r w:rsidRPr="00422ED3">
        <w:rPr>
          <w:rFonts w:asciiTheme="minorHAnsi" w:eastAsia="MS PGothic" w:hAnsiTheme="minorHAnsi"/>
          <w:color w:val="000000"/>
          <w:sz w:val="22"/>
          <w:szCs w:val="22"/>
          <w:lang w:val="en-US"/>
        </w:rPr>
        <w:t xml:space="preserve">. Using straightforward scaling rules, a group of particles gets replaced by a representative coarse parcel. This effectively reduces the number of particles that need to be processed and subsequently shortens the computational time. </w:t>
      </w:r>
      <w:r w:rsidRPr="00813B97">
        <w:rPr>
          <w:rFonts w:asciiTheme="minorHAnsi" w:eastAsia="MS PGothic" w:hAnsiTheme="minorHAnsi"/>
          <w:color w:val="000000"/>
          <w:sz w:val="22"/>
          <w:szCs w:val="22"/>
          <w:lang w:val="en-US"/>
        </w:rPr>
        <w:t>On the other hand they introduce a modeling error into the simulation. In this study we are investigating different coarse graining models and quantify the effect on different parameters and their fluctuation like pressure drop and expansion height in a fluidized and spouted bed.</w:t>
      </w:r>
    </w:p>
    <w:p w:rsidR="00C867B1" w:rsidRPr="008D0BEB" w:rsidRDefault="00422ED3" w:rsidP="00422ED3">
      <w:pPr>
        <w:snapToGrid w:val="0"/>
        <w:spacing w:after="120"/>
        <w:rPr>
          <w:rFonts w:asciiTheme="minorHAnsi" w:eastAsia="MS PGothic" w:hAnsiTheme="minorHAnsi"/>
          <w:color w:val="000000"/>
          <w:sz w:val="22"/>
          <w:szCs w:val="22"/>
          <w:lang w:val="en-US"/>
        </w:rPr>
      </w:pPr>
      <w:r w:rsidRPr="00422ED3">
        <w:rPr>
          <w:rFonts w:asciiTheme="minorHAnsi" w:eastAsia="MS PGothic" w:hAnsiTheme="minorHAnsi"/>
          <w:color w:val="000000"/>
          <w:sz w:val="22"/>
          <w:szCs w:val="22"/>
          <w:lang w:val="en-US"/>
        </w:rPr>
        <w:t xml:space="preserve">In this work two different contact scaling methods are examined for a fluidized and for a spouted bed reactor. The results are compared against experimental results and against a DEM simulation without coarse graining. </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422ED3" w:rsidRPr="00422ED3" w:rsidRDefault="00422ED3" w:rsidP="00422ED3">
      <w:pPr>
        <w:snapToGrid w:val="0"/>
        <w:spacing w:after="120"/>
        <w:rPr>
          <w:rFonts w:asciiTheme="minorHAnsi" w:eastAsia="MS PGothic" w:hAnsiTheme="minorHAnsi"/>
          <w:color w:val="000000"/>
          <w:sz w:val="22"/>
          <w:szCs w:val="22"/>
          <w:lang w:val="en-US"/>
        </w:rPr>
      </w:pPr>
      <w:r w:rsidRPr="00422ED3">
        <w:rPr>
          <w:rFonts w:asciiTheme="minorHAnsi" w:eastAsia="MS PGothic" w:hAnsiTheme="minorHAnsi"/>
          <w:color w:val="000000"/>
          <w:sz w:val="22"/>
          <w:szCs w:val="22"/>
          <w:lang w:val="en-US"/>
        </w:rPr>
        <w:t>In this investigation the software tool Simcenter STAR-CCM+ was used for the coupled CFD-DEM simulation. The built-in DEM solves for each particle Newton’s law of motion in each time step. The particle-particle and particle-wall interaction is taken into account based on Hertz-Mindlin model (spouted bed) or the linear-spring-dashpot model (fluidized bed). Momentum exchange between the background gas phase and the DEM particles is calculat</w:t>
      </w:r>
      <w:r>
        <w:rPr>
          <w:rFonts w:asciiTheme="minorHAnsi" w:eastAsia="MS PGothic" w:hAnsiTheme="minorHAnsi"/>
          <w:color w:val="000000"/>
          <w:sz w:val="22"/>
          <w:szCs w:val="22"/>
          <w:lang w:val="en-US"/>
        </w:rPr>
        <w:t xml:space="preserve">ed based on Gidaspow drag model and </w:t>
      </w:r>
      <w:r>
        <w:rPr>
          <w:rFonts w:asciiTheme="minorHAnsi" w:eastAsia="MS PGothic" w:hAnsiTheme="minorHAnsi"/>
          <w:color w:val="000000"/>
          <w:sz w:val="22"/>
          <w:szCs w:val="22"/>
          <w:lang w:val="en-US"/>
        </w:rPr>
        <w:lastRenderedPageBreak/>
        <w:t xml:space="preserve">three different coarse graining (CG) approaches were used: </w:t>
      </w:r>
      <w:r w:rsidRPr="00422ED3">
        <w:rPr>
          <w:rFonts w:asciiTheme="minorHAnsi" w:eastAsia="MS PGothic" w:hAnsiTheme="minorHAnsi"/>
          <w:color w:val="000000"/>
          <w:sz w:val="22"/>
          <w:szCs w:val="22"/>
          <w:lang w:val="en-US"/>
        </w:rPr>
        <w:tab/>
        <w:t>Particle-based CG with l3-scaling</w:t>
      </w:r>
      <w:r>
        <w:rPr>
          <w:rFonts w:asciiTheme="minorHAnsi" w:eastAsia="MS PGothic" w:hAnsiTheme="minorHAnsi"/>
          <w:color w:val="000000"/>
          <w:sz w:val="22"/>
          <w:szCs w:val="22"/>
          <w:lang w:val="en-US"/>
        </w:rPr>
        <w:t xml:space="preserve">, </w:t>
      </w:r>
      <w:r w:rsidRPr="00422ED3">
        <w:rPr>
          <w:rFonts w:asciiTheme="minorHAnsi" w:eastAsia="MS PGothic" w:hAnsiTheme="minorHAnsi"/>
          <w:color w:val="000000"/>
          <w:sz w:val="22"/>
          <w:szCs w:val="22"/>
          <w:lang w:val="en-US"/>
        </w:rPr>
        <w:t>Parcel-based CG with l3-scaling</w:t>
      </w:r>
      <w:r>
        <w:rPr>
          <w:rFonts w:asciiTheme="minorHAnsi" w:eastAsia="MS PGothic" w:hAnsiTheme="minorHAnsi"/>
          <w:color w:val="000000"/>
          <w:sz w:val="22"/>
          <w:szCs w:val="22"/>
          <w:lang w:val="en-US"/>
        </w:rPr>
        <w:t xml:space="preserve"> and </w:t>
      </w:r>
      <w:r w:rsidRPr="00422ED3">
        <w:rPr>
          <w:rFonts w:asciiTheme="minorHAnsi" w:eastAsia="MS PGothic" w:hAnsiTheme="minorHAnsi"/>
          <w:color w:val="000000"/>
          <w:sz w:val="22"/>
          <w:szCs w:val="22"/>
          <w:lang w:val="en-US"/>
        </w:rPr>
        <w:t>Parcel-based CG with l2-scaling</w:t>
      </w:r>
      <w:r>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Pr="00700C9C" w:rsidRDefault="00422ED3" w:rsidP="00700C9C">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 xml:space="preserve">Exemplarily the results for the </w:t>
      </w:r>
      <w:r w:rsidR="00700C9C">
        <w:rPr>
          <w:rFonts w:asciiTheme="minorHAnsi" w:eastAsia="MS PGothic" w:hAnsiTheme="minorHAnsi"/>
          <w:color w:val="000000"/>
          <w:sz w:val="22"/>
          <w:szCs w:val="22"/>
          <w:lang w:val="en-US"/>
        </w:rPr>
        <w:t>fluidized</w:t>
      </w:r>
      <w:r>
        <w:rPr>
          <w:rFonts w:asciiTheme="minorHAnsi" w:eastAsia="MS PGothic" w:hAnsiTheme="minorHAnsi"/>
          <w:color w:val="000000"/>
          <w:sz w:val="22"/>
          <w:szCs w:val="22"/>
          <w:lang w:val="en-US"/>
        </w:rPr>
        <w:t xml:space="preserve"> bed are </w:t>
      </w:r>
      <w:r w:rsidR="00700C9C">
        <w:rPr>
          <w:rFonts w:asciiTheme="minorHAnsi" w:eastAsia="MS PGothic" w:hAnsiTheme="minorHAnsi"/>
          <w:color w:val="000000"/>
          <w:sz w:val="22"/>
          <w:szCs w:val="22"/>
          <w:lang w:val="en-US"/>
        </w:rPr>
        <w:t>shown here, but similar results were also found for the spouted bed. Figure 1 shows a snapshot in time of the different CG methods.</w:t>
      </w:r>
      <w:r w:rsidR="00700C9C" w:rsidRPr="00700C9C">
        <w:t xml:space="preserve"> </w:t>
      </w:r>
      <w:r w:rsidR="00700C9C" w:rsidRPr="00700C9C">
        <w:rPr>
          <w:rFonts w:asciiTheme="minorHAnsi" w:eastAsia="MS PGothic" w:hAnsiTheme="minorHAnsi"/>
          <w:color w:val="000000"/>
          <w:sz w:val="22"/>
          <w:szCs w:val="22"/>
          <w:lang w:val="en-US"/>
        </w:rPr>
        <w:t>In general it can be stated that bed expansion</w:t>
      </w:r>
      <w:r w:rsidR="00700C9C">
        <w:rPr>
          <w:rFonts w:asciiTheme="minorHAnsi" w:eastAsia="MS PGothic" w:hAnsiTheme="minorHAnsi"/>
          <w:color w:val="000000"/>
          <w:sz w:val="22"/>
          <w:szCs w:val="22"/>
          <w:lang w:val="en-US"/>
        </w:rPr>
        <w:t xml:space="preserve"> </w:t>
      </w:r>
      <w:r w:rsidR="00700C9C" w:rsidRPr="00700C9C">
        <w:rPr>
          <w:rFonts w:asciiTheme="minorHAnsi" w:eastAsia="MS PGothic" w:hAnsiTheme="minorHAnsi"/>
          <w:color w:val="000000"/>
          <w:sz w:val="22"/>
          <w:szCs w:val="22"/>
          <w:lang w:val="en-US"/>
        </w:rPr>
        <w:t>and pressure drop are well predicted for all investigated CG methods, but depending on the CG factor the dynamic of the system cannot be captures which can be seen in Figure 2 as deviations in the RMS values for the respective parameter.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4"/>
        <w:gridCol w:w="4303"/>
      </w:tblGrid>
      <w:tr w:rsidR="00700C9C" w:rsidTr="00541604">
        <w:tc>
          <w:tcPr>
            <w:tcW w:w="4388" w:type="dxa"/>
          </w:tcPr>
          <w:p w:rsidR="00700C9C" w:rsidRDefault="00700C9C" w:rsidP="00704BDF">
            <w:pPr>
              <w:snapToGrid w:val="0"/>
              <w:spacing w:after="120"/>
              <w:jc w:val="center"/>
              <w:rPr>
                <w:rFonts w:asciiTheme="minorHAnsi" w:eastAsia="MS PGothic" w:hAnsiTheme="minorHAnsi"/>
                <w:b/>
                <w:color w:val="000000"/>
                <w:szCs w:val="18"/>
                <w:lang w:val="en-US"/>
              </w:rPr>
            </w:pPr>
            <w:r>
              <w:rPr>
                <w:rFonts w:asciiTheme="minorHAnsi" w:eastAsia="MS PGothic" w:hAnsiTheme="minorHAnsi"/>
                <w:b/>
                <w:noProof/>
                <w:color w:val="000000"/>
                <w:szCs w:val="18"/>
                <w:lang w:val="de-DE" w:eastAsia="de-DE"/>
              </w:rPr>
              <w:drawing>
                <wp:inline distT="0" distB="0" distL="0" distR="0" wp14:anchorId="78764454">
                  <wp:extent cx="2710800" cy="125640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0800" cy="1256400"/>
                          </a:xfrm>
                          <a:prstGeom prst="rect">
                            <a:avLst/>
                          </a:prstGeom>
                          <a:noFill/>
                        </pic:spPr>
                      </pic:pic>
                    </a:graphicData>
                  </a:graphic>
                </wp:inline>
              </w:drawing>
            </w:r>
          </w:p>
        </w:tc>
        <w:tc>
          <w:tcPr>
            <w:tcW w:w="4389" w:type="dxa"/>
          </w:tcPr>
          <w:p w:rsidR="00700C9C" w:rsidRDefault="00700C9C" w:rsidP="00704BDF">
            <w:pPr>
              <w:snapToGrid w:val="0"/>
              <w:spacing w:after="120"/>
              <w:jc w:val="center"/>
              <w:rPr>
                <w:rFonts w:asciiTheme="minorHAnsi" w:eastAsia="MS PGothic" w:hAnsiTheme="minorHAnsi"/>
                <w:b/>
                <w:color w:val="000000"/>
                <w:szCs w:val="18"/>
                <w:lang w:val="en-US"/>
              </w:rPr>
            </w:pPr>
            <w:r>
              <w:rPr>
                <w:rFonts w:asciiTheme="minorHAnsi" w:eastAsia="MS PGothic" w:hAnsiTheme="minorHAnsi"/>
                <w:b/>
                <w:noProof/>
                <w:color w:val="000000"/>
                <w:szCs w:val="18"/>
                <w:lang w:val="de-DE" w:eastAsia="de-DE"/>
              </w:rPr>
              <w:drawing>
                <wp:inline distT="0" distB="0" distL="0" distR="0" wp14:anchorId="528E4AED">
                  <wp:extent cx="2498400" cy="121680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400" cy="1216800"/>
                          </a:xfrm>
                          <a:prstGeom prst="rect">
                            <a:avLst/>
                          </a:prstGeom>
                          <a:noFill/>
                        </pic:spPr>
                      </pic:pic>
                    </a:graphicData>
                  </a:graphic>
                </wp:inline>
              </w:drawing>
            </w:r>
          </w:p>
        </w:tc>
      </w:tr>
      <w:tr w:rsidR="00700C9C" w:rsidTr="00541604">
        <w:tc>
          <w:tcPr>
            <w:tcW w:w="4388" w:type="dxa"/>
          </w:tcPr>
          <w:p w:rsidR="00700C9C" w:rsidRDefault="00700C9C" w:rsidP="00700C9C">
            <w:pPr>
              <w:snapToGrid w:val="0"/>
              <w:spacing w:after="120"/>
              <w:jc w:val="center"/>
              <w:rPr>
                <w:rFonts w:asciiTheme="minorHAnsi" w:eastAsia="MS PGothic" w:hAnsiTheme="minorHAnsi"/>
                <w:b/>
                <w:color w:val="000000"/>
                <w:szCs w:val="18"/>
                <w:lang w:val="en-US"/>
              </w:rPr>
            </w:pPr>
            <w:r w:rsidRPr="00700C9C">
              <w:rPr>
                <w:rFonts w:asciiTheme="minorHAnsi" w:eastAsia="MS PGothic" w:hAnsiTheme="minorHAnsi"/>
                <w:b/>
                <w:color w:val="000000"/>
                <w:szCs w:val="18"/>
                <w:lang w:val="en-US"/>
              </w:rPr>
              <w:t xml:space="preserve">Figure </w:t>
            </w:r>
            <w:r>
              <w:rPr>
                <w:rFonts w:asciiTheme="minorHAnsi" w:eastAsia="MS PGothic" w:hAnsiTheme="minorHAnsi"/>
                <w:b/>
                <w:color w:val="000000"/>
                <w:szCs w:val="18"/>
                <w:lang w:val="en-US"/>
              </w:rPr>
              <w:t>1.</w:t>
            </w:r>
            <w:r w:rsidRPr="00700C9C">
              <w:rPr>
                <w:rFonts w:asciiTheme="minorHAnsi" w:eastAsia="MS PGothic" w:hAnsiTheme="minorHAnsi"/>
                <w:b/>
                <w:color w:val="000000"/>
                <w:szCs w:val="18"/>
                <w:lang w:val="en-US"/>
              </w:rPr>
              <w:t xml:space="preserve"> </w:t>
            </w:r>
            <w:r w:rsidRPr="00700C9C">
              <w:rPr>
                <w:rFonts w:asciiTheme="minorHAnsi" w:eastAsia="MS PGothic" w:hAnsiTheme="minorHAnsi"/>
                <w:color w:val="000000"/>
                <w:szCs w:val="18"/>
                <w:lang w:val="en-US"/>
              </w:rPr>
              <w:t>Comparison of the particle dynamics for different CG methods</w:t>
            </w:r>
          </w:p>
        </w:tc>
        <w:tc>
          <w:tcPr>
            <w:tcW w:w="4389" w:type="dxa"/>
          </w:tcPr>
          <w:p w:rsidR="00700C9C" w:rsidRDefault="00700C9C" w:rsidP="00704BDF">
            <w:pPr>
              <w:snapToGrid w:val="0"/>
              <w:spacing w:after="120"/>
              <w:jc w:val="center"/>
              <w:rPr>
                <w:rFonts w:asciiTheme="minorHAnsi" w:eastAsia="MS PGothic" w:hAnsiTheme="minorHAnsi"/>
                <w:b/>
                <w:color w:val="000000"/>
                <w:szCs w:val="18"/>
                <w:lang w:val="en-US"/>
              </w:rPr>
            </w:pPr>
            <w:r>
              <w:rPr>
                <w:rFonts w:asciiTheme="minorHAnsi" w:eastAsia="MS PGothic" w:hAnsiTheme="minorHAnsi"/>
                <w:b/>
                <w:color w:val="000000"/>
                <w:szCs w:val="18"/>
                <w:lang w:val="en-US"/>
              </w:rPr>
              <w:t>Figure 2</w:t>
            </w:r>
            <w:r w:rsidRPr="00700C9C">
              <w:rPr>
                <w:rFonts w:asciiTheme="minorHAnsi" w:eastAsia="MS PGothic" w:hAnsiTheme="minorHAnsi"/>
                <w:b/>
                <w:color w:val="000000"/>
                <w:szCs w:val="18"/>
                <w:lang w:val="en-US"/>
              </w:rPr>
              <w:t xml:space="preserve">: </w:t>
            </w:r>
            <w:r w:rsidRPr="00700C9C">
              <w:rPr>
                <w:rFonts w:asciiTheme="minorHAnsi" w:eastAsia="MS PGothic" w:hAnsiTheme="minorHAnsi"/>
                <w:color w:val="000000"/>
                <w:szCs w:val="18"/>
                <w:lang w:val="en-US"/>
              </w:rPr>
              <w:t>Average and RMS expansion height for different CG methods</w:t>
            </w:r>
          </w:p>
        </w:tc>
      </w:tr>
    </w:tbl>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Default="00541604"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Coarse-graining is a promising method to increase the number of particles in CFD-DEM simulations and simultaneously reducing the runtime by orders of magnitude. The predictivity is slightly affected in terms of the particle dynamics while overall properties are still predicted accurately in the investigated CG range.</w:t>
      </w:r>
    </w:p>
    <w:p w:rsidR="00C24738" w:rsidRDefault="00C24738" w:rsidP="00704BDF">
      <w:pPr>
        <w:snapToGrid w:val="0"/>
        <w:spacing w:after="120"/>
        <w:rPr>
          <w:rFonts w:asciiTheme="minorHAnsi" w:eastAsia="MS PGothic" w:hAnsiTheme="minorHAnsi"/>
          <w:color w:val="000000"/>
          <w:sz w:val="22"/>
          <w:szCs w:val="22"/>
          <w:lang w:val="en-US"/>
        </w:rPr>
      </w:pPr>
    </w:p>
    <w:p w:rsidR="00C24738" w:rsidRPr="008D0BEB" w:rsidRDefault="00C24738" w:rsidP="00704BDF">
      <w:pPr>
        <w:snapToGrid w:val="0"/>
        <w:spacing w:after="120"/>
        <w:rPr>
          <w:rFonts w:asciiTheme="minorHAnsi" w:eastAsia="MS PGothic" w:hAnsiTheme="minorHAnsi"/>
          <w:color w:val="000000"/>
          <w:sz w:val="22"/>
          <w:szCs w:val="22"/>
          <w:lang w:val="en-US"/>
        </w:rPr>
      </w:pPr>
    </w:p>
    <w:p w:rsidR="00704BDF" w:rsidRPr="008D0BEB" w:rsidRDefault="00C24738"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704BDF" w:rsidRPr="00C24738" w:rsidRDefault="00240225" w:rsidP="00240225">
      <w:pPr>
        <w:pStyle w:val="FirstParagraph"/>
        <w:numPr>
          <w:ilvl w:val="0"/>
          <w:numId w:val="17"/>
        </w:numPr>
        <w:tabs>
          <w:tab w:val="left" w:pos="426"/>
        </w:tabs>
        <w:spacing w:line="240" w:lineRule="auto"/>
        <w:rPr>
          <w:rFonts w:asciiTheme="minorHAnsi" w:hAnsiTheme="minorHAnsi"/>
          <w:color w:val="000000"/>
        </w:rPr>
      </w:pPr>
      <w:r w:rsidRPr="00C24738">
        <w:rPr>
          <w:rFonts w:asciiTheme="minorHAnsi" w:hAnsiTheme="minorHAnsi"/>
          <w:color w:val="000000"/>
        </w:rPr>
        <w:t>P.A.</w:t>
      </w:r>
      <w:r w:rsidRPr="00C24738">
        <w:rPr>
          <w:rFonts w:asciiTheme="minorHAnsi" w:hAnsiTheme="minorHAnsi"/>
          <w:color w:val="000000"/>
        </w:rPr>
        <w:t xml:space="preserve"> Cundall, O.D.L. Strack, Geotechnique, 29</w:t>
      </w:r>
      <w:r w:rsidR="00C24738" w:rsidRPr="00C24738">
        <w:rPr>
          <w:rFonts w:asciiTheme="minorHAnsi" w:hAnsiTheme="minorHAnsi"/>
          <w:color w:val="000000"/>
        </w:rPr>
        <w:t xml:space="preserve"> (1979)</w:t>
      </w:r>
      <w:r w:rsidRPr="00C24738">
        <w:rPr>
          <w:rFonts w:asciiTheme="minorHAnsi" w:hAnsiTheme="minorHAnsi"/>
          <w:color w:val="000000"/>
        </w:rPr>
        <w:t>, 47</w:t>
      </w:r>
    </w:p>
    <w:p w:rsidR="00704BDF" w:rsidRPr="00C24738" w:rsidRDefault="00C24738" w:rsidP="00C24738">
      <w:pPr>
        <w:pStyle w:val="FirstParagraph"/>
        <w:numPr>
          <w:ilvl w:val="0"/>
          <w:numId w:val="17"/>
        </w:numPr>
        <w:tabs>
          <w:tab w:val="left" w:pos="426"/>
        </w:tabs>
        <w:spacing w:line="240" w:lineRule="auto"/>
        <w:rPr>
          <w:rFonts w:asciiTheme="minorHAnsi" w:hAnsiTheme="minorHAnsi"/>
          <w:color w:val="000000"/>
        </w:rPr>
      </w:pPr>
      <w:r w:rsidRPr="00C24738">
        <w:rPr>
          <w:rFonts w:asciiTheme="minorHAnsi" w:hAnsiTheme="minorHAnsi"/>
          <w:color w:val="000000"/>
        </w:rPr>
        <w:t>T. Eppinger, O. Baran, R. Aglave, S. Lo, Simulating Solid Suspension in Stirred Vessels with a Fully Coupled CFD-DEM Algorithm (161d), AIChE Annual Meeting 2017, Minneapolis</w:t>
      </w:r>
    </w:p>
    <w:p w:rsidR="005346C8" w:rsidRPr="00C24738" w:rsidRDefault="00C24738" w:rsidP="00C24738">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lang w:eastAsia="zh-CN"/>
        </w:rPr>
      </w:pPr>
      <w:r w:rsidRPr="00C24738">
        <w:rPr>
          <w:rFonts w:asciiTheme="minorHAnsi" w:hAnsiTheme="minorHAnsi"/>
          <w:color w:val="000000"/>
        </w:rPr>
        <w:t>O. Baran, R. Aglave, M. Tandon, A. Karnik, S. Lo, Numerical Simulation of Dense Gas-Solid Fluidized Beds: Comparison Between Eulerian Multiphase and Discrete Element Methods, AIChE Annual Meeting 2015, Salt Lake City, UT.</w:t>
      </w:r>
    </w:p>
    <w:p w:rsidR="00C24738" w:rsidRPr="00C24738" w:rsidRDefault="00C24738" w:rsidP="00C24738">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lang w:eastAsia="zh-CN"/>
        </w:rPr>
      </w:pPr>
      <w:r w:rsidRPr="00C24738">
        <w:rPr>
          <w:rFonts w:asciiTheme="minorHAnsi" w:eastAsia="SimSun" w:hAnsiTheme="minorHAnsi"/>
          <w:lang w:eastAsia="zh-CN"/>
        </w:rPr>
        <w:t>M. Sakai, Y. Yamada, Y. Shigeto, K. Shibata, V.M. Kawasaki, S. Koshizuka, Numerical Methods in Fluids 64 (2010), 1319</w:t>
      </w:r>
    </w:p>
    <w:p w:rsidR="00C24738" w:rsidRPr="00C24738" w:rsidRDefault="00C24738" w:rsidP="00C24738">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lang w:eastAsia="zh-CN"/>
        </w:rPr>
      </w:pPr>
      <w:r w:rsidRPr="00C24738">
        <w:rPr>
          <w:rFonts w:asciiTheme="minorHAnsi" w:eastAsia="SimSun" w:hAnsiTheme="minorHAnsi"/>
          <w:lang w:eastAsia="zh-CN"/>
        </w:rPr>
        <w:t>V. Salikov, V., S. Antonyuk, S. Heinrich, V.S. Sutkar, N.G. Deen, J.A.M. Kuipers, Pow. Tech.270 (2015</w:t>
      </w:r>
      <w:r>
        <w:rPr>
          <w:rFonts w:asciiTheme="minorHAnsi" w:eastAsia="SimSun" w:hAnsiTheme="minorHAnsi"/>
          <w:lang w:eastAsia="zh-CN"/>
        </w:rPr>
        <w:t>)</w:t>
      </w:r>
      <w:r w:rsidRPr="00C24738">
        <w:rPr>
          <w:rFonts w:asciiTheme="minorHAnsi" w:eastAsia="SimSun" w:hAnsiTheme="minorHAnsi"/>
          <w:lang w:eastAsia="zh-CN"/>
        </w:rPr>
        <w:t>, 622</w:t>
      </w: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43F" w:rsidRDefault="00C9743F" w:rsidP="004F5E36">
      <w:r>
        <w:separator/>
      </w:r>
    </w:p>
  </w:endnote>
  <w:endnote w:type="continuationSeparator" w:id="0">
    <w:p w:rsidR="00C9743F" w:rsidRDefault="00C9743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43F" w:rsidRDefault="00C9743F" w:rsidP="004F5E36">
      <w:r>
        <w:separator/>
      </w:r>
    </w:p>
  </w:footnote>
  <w:footnote w:type="continuationSeparator" w:id="0">
    <w:p w:rsidR="00C9743F" w:rsidRDefault="00C9743F"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Header"/>
    </w:pPr>
    <w:r>
      <w:rPr>
        <w:noProof/>
        <w:lang w:val="de-DE" w:eastAsia="de-DE"/>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de-DE" w:eastAsia="de-DE"/>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de-DE" w:eastAsia="de-DE"/>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de-DE" w:eastAsia="de-DE"/>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0225"/>
    <w:rsid w:val="002447EF"/>
    <w:rsid w:val="00251550"/>
    <w:rsid w:val="0027221A"/>
    <w:rsid w:val="00275B61"/>
    <w:rsid w:val="002D1F12"/>
    <w:rsid w:val="003009B7"/>
    <w:rsid w:val="0030469C"/>
    <w:rsid w:val="003723D4"/>
    <w:rsid w:val="003A7D1C"/>
    <w:rsid w:val="00422ED3"/>
    <w:rsid w:val="0046164A"/>
    <w:rsid w:val="00462DCD"/>
    <w:rsid w:val="004D1162"/>
    <w:rsid w:val="004E4DD6"/>
    <w:rsid w:val="004F5E36"/>
    <w:rsid w:val="005119A5"/>
    <w:rsid w:val="005278B7"/>
    <w:rsid w:val="005346C8"/>
    <w:rsid w:val="00541604"/>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0C9C"/>
    <w:rsid w:val="00704BDF"/>
    <w:rsid w:val="00736B13"/>
    <w:rsid w:val="007447F3"/>
    <w:rsid w:val="007661C8"/>
    <w:rsid w:val="007D52CD"/>
    <w:rsid w:val="00813288"/>
    <w:rsid w:val="00813B97"/>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24738"/>
    <w:rsid w:val="00C345B1"/>
    <w:rsid w:val="00C40142"/>
    <w:rsid w:val="00C57182"/>
    <w:rsid w:val="00C655FD"/>
    <w:rsid w:val="00C867B1"/>
    <w:rsid w:val="00C94434"/>
    <w:rsid w:val="00C9743F"/>
    <w:rsid w:val="00CA1C95"/>
    <w:rsid w:val="00CA5A9C"/>
    <w:rsid w:val="00CD5FE2"/>
    <w:rsid w:val="00D02B4C"/>
    <w:rsid w:val="00D1124F"/>
    <w:rsid w:val="00D84576"/>
    <w:rsid w:val="00DE0019"/>
    <w:rsid w:val="00DE264A"/>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customStyle="1" w:styleId="Affiliation">
    <w:name w:val="Affiliation"/>
    <w:basedOn w:val="Normal"/>
    <w:rsid w:val="00813B97"/>
    <w:pPr>
      <w:tabs>
        <w:tab w:val="clear" w:pos="7100"/>
      </w:tabs>
      <w:spacing w:line="240" w:lineRule="auto"/>
      <w:ind w:left="1440" w:right="1440"/>
      <w:jc w:val="center"/>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EF582-95F9-43D5-9BB9-DBDE667C7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3903</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Eppinger, Thomas (DF PL STS CCM PRM APP)</cp:lastModifiedBy>
  <cp:revision>3</cp:revision>
  <cp:lastPrinted>2015-05-12T18:31:00Z</cp:lastPrinted>
  <dcterms:created xsi:type="dcterms:W3CDTF">2019-01-15T22:28:00Z</dcterms:created>
  <dcterms:modified xsi:type="dcterms:W3CDTF">2019-01-15T22:41:00Z</dcterms:modified>
</cp:coreProperties>
</file>