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8271E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Light activated </w:t>
      </w:r>
      <w:r w:rsidRPr="008271E1">
        <w:rPr>
          <w:rFonts w:asciiTheme="minorHAnsi" w:eastAsia="MS PGothic" w:hAnsiTheme="minorHAnsi"/>
          <w:b/>
          <w:bCs/>
          <w:sz w:val="28"/>
          <w:szCs w:val="28"/>
          <w:lang w:val="en-US"/>
        </w:rPr>
        <w:t>dehydrogenation of Liquid Organic Hydrogen Carriers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. </w:t>
      </w:r>
    </w:p>
    <w:p w:rsidR="00DE0019" w:rsidRPr="00E4753A" w:rsidRDefault="00AA070C" w:rsidP="00704BDF">
      <w:pPr>
        <w:snapToGrid w:val="0"/>
        <w:spacing w:after="120"/>
        <w:jc w:val="center"/>
        <w:rPr>
          <w:rFonts w:eastAsia="SimSun"/>
          <w:color w:val="000000"/>
          <w:lang w:val="de-DE" w:eastAsia="zh-CN"/>
        </w:rPr>
      </w:pPr>
      <w:r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Alexander Wunsch</w:t>
      </w:r>
      <w:r w:rsidR="000D3B63" w:rsidRPr="00E4753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0D3B63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Michel Bartsch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</w:t>
      </w:r>
      <w:r w:rsidR="000D3B63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Marek</w:t>
      </w:r>
      <w:r w:rsidR="00736B13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 </w:t>
      </w:r>
      <w:r w:rsidR="000D3B63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Grzelczak</w:t>
      </w:r>
      <w:r w:rsidR="00E4753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2</w:t>
      </w:r>
      <w:r w:rsidR="000D3B63" w:rsidRP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Roland Dittmeyer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>, Peter Pfeifer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DE" w:eastAsia="zh-CN"/>
        </w:rPr>
        <w:t>1</w:t>
      </w:r>
      <w:r w:rsidR="00E4753A">
        <w:rPr>
          <w:rFonts w:asciiTheme="minorHAnsi" w:eastAsia="SimSun" w:hAnsiTheme="minorHAnsi"/>
          <w:color w:val="000000"/>
          <w:sz w:val="24"/>
          <w:szCs w:val="24"/>
          <w:lang w:val="de-DE" w:eastAsia="zh-CN"/>
        </w:rPr>
        <w:t xml:space="preserve">, 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u w:val="single"/>
          <w:lang w:val="de-DE" w:eastAsia="zh-CN"/>
        </w:rPr>
        <w:t>Alexander Navarrete</w:t>
      </w:r>
      <w:r w:rsidR="00E4753A" w:rsidRPr="00E4753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DE" w:eastAsia="zh-CN"/>
        </w:rPr>
        <w:t>1</w:t>
      </w:r>
      <w:r w:rsidR="00DE0019" w:rsidRPr="00E4753A">
        <w:rPr>
          <w:rFonts w:eastAsia="SimSun"/>
          <w:color w:val="000000"/>
          <w:lang w:val="de-DE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C13EF4" w:rsidRPr="00C13E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Institute for Micro Process Engineering, Karlsruhe Institute of Technology, </w:t>
      </w:r>
      <w:proofErr w:type="spellStart"/>
      <w:r w:rsidR="00C13EF4" w:rsidRPr="00C13E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Eggenstein-Leopoldshafen</w:t>
      </w:r>
      <w:proofErr w:type="spellEnd"/>
      <w:r w:rsidR="00C13EF4" w:rsidRPr="00C13E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proofErr w:type="spellStart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Donostia</w:t>
      </w:r>
      <w:proofErr w:type="spellEnd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International Physics Center (DIPC), Paseo Manuel de </w:t>
      </w:r>
      <w:proofErr w:type="spellStart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Lardizabal</w:t>
      </w:r>
      <w:proofErr w:type="spellEnd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4, </w:t>
      </w:r>
      <w:proofErr w:type="spellStart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Donostia</w:t>
      </w:r>
      <w:proofErr w:type="spellEnd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– San </w:t>
      </w:r>
      <w:proofErr w:type="spellStart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Sebastián</w:t>
      </w:r>
      <w:proofErr w:type="spellEnd"/>
      <w:r w:rsidR="00FB5ACD" w:rsidRPr="00FB5AC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20018, Spain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E1122F">
        <w:rPr>
          <w:rFonts w:asciiTheme="minorHAnsi" w:eastAsia="MS PGothic" w:hAnsiTheme="minorHAnsi"/>
          <w:bCs/>
          <w:i/>
          <w:iCs/>
          <w:sz w:val="20"/>
          <w:lang w:val="en-US"/>
        </w:rPr>
        <w:t>alexander.navarrete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E1122F">
        <w:rPr>
          <w:rFonts w:asciiTheme="minorHAnsi" w:eastAsia="MS PGothic" w:hAnsiTheme="minorHAnsi"/>
          <w:bCs/>
          <w:i/>
          <w:iCs/>
          <w:sz w:val="20"/>
          <w:lang w:val="en-US"/>
        </w:rPr>
        <w:t>kit.edu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878F7" w:rsidRPr="005878F7" w:rsidRDefault="005878F7" w:rsidP="005878F7">
      <w:pPr>
        <w:pStyle w:val="Prrafodelista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5878F7">
        <w:rPr>
          <w:rFonts w:asciiTheme="minorHAnsi" w:hAnsiTheme="minorHAnsi"/>
          <w:sz w:val="20"/>
          <w:lang w:val="en-US"/>
        </w:rPr>
        <w:t>Renewable energy has great potential but fluctuation and storage are always a challenge.</w:t>
      </w:r>
    </w:p>
    <w:p w:rsidR="005878F7" w:rsidRDefault="005878F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Long-term storage of hydrogen can connect high-energy potential with demand.</w:t>
      </w:r>
    </w:p>
    <w:p w:rsidR="005878F7" w:rsidRDefault="009E44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We propose a process to release hydrogen from LOHCs using solar energy.</w:t>
      </w:r>
    </w:p>
    <w:p w:rsidR="005878F7" w:rsidRDefault="009E44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Concept and initial results are introduced.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7591C" w:rsidRPr="00C7591C" w:rsidRDefault="00C7591C" w:rsidP="00C7591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Potential for renewable energy based society is big but it cannot achieved without an appropriate energy storage infrastructure that copes with the fluctuating nature of the renewable sources</w:t>
      </w:r>
      <w:r w:rsidR="00E112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6B4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1-3</w:t>
      </w:r>
      <w:r w:rsidR="00E1122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C7591C" w:rsidRDefault="00C7591C" w:rsidP="00C7591C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Long-term hydrogen storage by means of Liquid Organic Hydrogen Carriers (LOHCs) is based on cycles of hydrogenation- dehydrogenation. This provides an option, which is potentially cheap, safe and easy to handle in order to connect regions with high-energy generation potential to regions with large energy demand.</w:t>
      </w:r>
      <w:r w:rsidR="008A41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sustainability of the process requires </w:t>
      </w:r>
      <w:r w:rsidR="008A4193"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recover the hydrogen </w:t>
      </w:r>
      <w:r w:rsidR="008A419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heat source that do not emit CO</w:t>
      </w:r>
      <w:r w:rsidRPr="00C7591C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112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6B47F4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E1122F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Pr="00C7591C">
        <w:rPr>
          <w:rFonts w:asciiTheme="minorHAnsi" w:eastAsia="MS PGothic" w:hAnsiTheme="minorHAnsi"/>
          <w:color w:val="000000"/>
          <w:sz w:val="22"/>
          <w:szCs w:val="22"/>
          <w:lang w:val="en-US"/>
        </w:rPr>
        <w:t>. Solar light is an abundant resource that can be used for this purpose. Nevertheless the technology is not yet developed</w:t>
      </w:r>
      <w:r w:rsidR="008A41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C7591C" w:rsidRDefault="00705BC5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make use of a plasmonic composite in order to capture the light energy and locally activate the dehydrogenation of LOHCs. </w:t>
      </w:r>
      <w:r w:rsidR="002A5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this, we have developed a dedicated </w:t>
      </w:r>
      <w:bookmarkStart w:id="0" w:name="_GoBack"/>
      <w:bookmarkEnd w:id="0"/>
      <w:r w:rsidR="002A508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system, which will be described here.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75499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2.1. </w:t>
      </w:r>
      <w:r w:rsidR="006F2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setup and catalyst integration</w:t>
      </w:r>
      <w:r w:rsidR="002A5086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</w:p>
    <w:p w:rsidR="002A5086" w:rsidRDefault="0075499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reactor allows the illumination of the plasmonic composite while the flow and temperature of the LOHC is controlled. </w:t>
      </w:r>
      <w:r w:rsidR="000975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plasmonic catalyst is deposited on the transparent slides by means of a layer-by-layer method. Optical </w:t>
      </w:r>
      <w:proofErr w:type="spellStart"/>
      <w:r w:rsidR="0009757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profilometry</w:t>
      </w:r>
      <w:proofErr w:type="spellEnd"/>
      <w:r w:rsidR="000975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UV-Vis </w:t>
      </w:r>
      <w:r w:rsidR="006F2626">
        <w:rPr>
          <w:rFonts w:asciiTheme="minorHAnsi" w:eastAsia="MS PGothic" w:hAnsiTheme="minorHAnsi"/>
          <w:color w:val="000000"/>
          <w:sz w:val="22"/>
          <w:szCs w:val="22"/>
          <w:lang w:val="en-US"/>
        </w:rPr>
        <w:t>spectroscopy are</w:t>
      </w:r>
      <w:r w:rsidR="0009757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used to characterize the surface. Electronic microscopy is used to study the </w:t>
      </w:r>
      <w:r w:rsidR="00E116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catalytic nanostructure. </w:t>
      </w:r>
    </w:p>
    <w:p w:rsidR="002A5086" w:rsidRDefault="006F262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2.2. </w:t>
      </w:r>
      <w:r w:rsidR="002A508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 test:</w:t>
      </w:r>
    </w:p>
    <w:p w:rsidR="002A5086" w:rsidRDefault="007B416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reactor is tested under white light with different flow rates. </w:t>
      </w:r>
      <w:r w:rsidR="009F42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production of hydrogen is followed by the degradation of the LOHC by means of </w:t>
      </w:r>
      <w:proofErr w:type="spellStart"/>
      <w:r w:rsidR="009F425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refractometry</w:t>
      </w:r>
      <w:proofErr w:type="spellEnd"/>
      <w:r w:rsidR="009F42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:rsidR="002A5086" w:rsidRPr="008D0BEB" w:rsidRDefault="002A5086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3. </w:t>
      </w:r>
      <w:r w:rsidR="00083F1D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</w:t>
      </w:r>
      <w:r w:rsidR="00AD6084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nitial results</w:t>
      </w:r>
    </w:p>
    <w:p w:rsidR="00AE6159" w:rsidRDefault="00AE615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7B4166" w:rsidRDefault="009E478E" w:rsidP="005E5324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s-ES_tradnl" w:eastAsia="es-ES_tradnl"/>
        </w:rPr>
        <w:drawing>
          <wp:anchor distT="0" distB="0" distL="114300" distR="114300" simplePos="0" relativeHeight="251660288" behindDoc="0" locked="0" layoutInCell="1" allowOverlap="1" wp14:anchorId="400FADB1" wp14:editId="3487353F">
            <wp:simplePos x="0" y="0"/>
            <wp:positionH relativeFrom="margin">
              <wp:posOffset>3065145</wp:posOffset>
            </wp:positionH>
            <wp:positionV relativeFrom="paragraph">
              <wp:posOffset>1270</wp:posOffset>
            </wp:positionV>
            <wp:extent cx="2409825" cy="1445895"/>
            <wp:effectExtent l="0" t="0" r="9525" b="190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4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MS PGothic" w:hAnsiTheme="minorHAnsi"/>
          <w:noProof/>
          <w:color w:val="000000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4212727A" wp14:editId="58BE7BD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447925" cy="146939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A5" w:rsidRDefault="002E7298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  <w:r w:rsidRPr="00644CA5">
        <w:rPr>
          <w:rFonts w:asciiTheme="minorHAnsi" w:eastAsia="MS PGothic" w:hAnsiTheme="minorHAnsi"/>
          <w:noProof/>
          <w:color w:val="000000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1A37B680" wp14:editId="66611896">
            <wp:simplePos x="0" y="0"/>
            <wp:positionH relativeFrom="margin">
              <wp:posOffset>491490</wp:posOffset>
            </wp:positionH>
            <wp:positionV relativeFrom="paragraph">
              <wp:posOffset>15875</wp:posOffset>
            </wp:positionV>
            <wp:extent cx="571500" cy="526415"/>
            <wp:effectExtent l="0" t="0" r="0" b="6985"/>
            <wp:wrapSquare wrapText="bothSides"/>
            <wp:docPr id="11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MS PGothic" w:hAnsiTheme="minorHAnsi"/>
          <w:noProof/>
          <w:color w:val="000000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4AC03797" wp14:editId="4B21885A">
            <wp:simplePos x="0" y="0"/>
            <wp:positionH relativeFrom="column">
              <wp:posOffset>3576955</wp:posOffset>
            </wp:positionH>
            <wp:positionV relativeFrom="paragraph">
              <wp:posOffset>13970</wp:posOffset>
            </wp:positionV>
            <wp:extent cx="659130" cy="438150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2E7298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67C8CAAD" wp14:editId="1D144097">
            <wp:simplePos x="0" y="0"/>
            <wp:positionH relativeFrom="page">
              <wp:align>center</wp:align>
            </wp:positionH>
            <wp:positionV relativeFrom="paragraph">
              <wp:posOffset>3175</wp:posOffset>
            </wp:positionV>
            <wp:extent cx="2862580" cy="1743075"/>
            <wp:effectExtent l="0" t="0" r="0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CA5" w:rsidRP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644CA5" w:rsidRDefault="00644CA5" w:rsidP="00644CA5">
      <w:pPr>
        <w:snapToGrid w:val="0"/>
        <w:spacing w:after="120"/>
        <w:rPr>
          <w:rFonts w:asciiTheme="minorHAnsi" w:eastAsia="MS PGothic" w:hAnsiTheme="minorHAnsi"/>
          <w:color w:val="000000"/>
        </w:rPr>
      </w:pPr>
    </w:p>
    <w:p w:rsidR="00644CA5" w:rsidRDefault="00644CA5" w:rsidP="00297047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297047" w:rsidRDefault="0029704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297047" w:rsidRDefault="00297047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2E7298">
        <w:rPr>
          <w:rFonts w:asciiTheme="minorHAnsi" w:eastAsia="MS PGothic" w:hAnsiTheme="minorHAnsi"/>
          <w:b/>
          <w:color w:val="000000"/>
          <w:szCs w:val="18"/>
          <w:lang w:val="en-US"/>
        </w:rPr>
        <w:t>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644CA5">
        <w:rPr>
          <w:rFonts w:asciiTheme="minorHAnsi" w:eastAsia="MS PGothic" w:hAnsiTheme="minorHAnsi"/>
          <w:color w:val="000000"/>
          <w:szCs w:val="18"/>
          <w:lang w:val="en-US"/>
        </w:rPr>
        <w:t>atalyst deposition evolution</w:t>
      </w:r>
      <w:r w:rsidR="00297047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AD6084" w:rsidRDefault="002E729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layer-by-layer method is appropriate to deposit catalyst with controlled optical characteristics that allow to absorb solar energy. This work provides evidence on the possibility of stor</w:t>
      </w:r>
      <w:r w:rsidR="00E0599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releas</w:t>
      </w:r>
      <w:r w:rsidR="00E0599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hydrogen using renewable energy during the storage-supply cycle.</w:t>
      </w:r>
      <w:r w:rsidR="00E059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particular, hydrogen could be recovered using solar energy in future processes based on LOHCs.</w:t>
      </w:r>
    </w:p>
    <w:p w:rsidR="00704BDF" w:rsidRPr="00E05994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2E7298" w:rsidRDefault="002E7298" w:rsidP="002E729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DE"/>
        </w:rPr>
      </w:pPr>
      <w:r w:rsidRPr="002E7298">
        <w:rPr>
          <w:rFonts w:asciiTheme="minorHAnsi" w:hAnsiTheme="minorHAnsi"/>
          <w:color w:val="000000"/>
          <w:lang w:val="de-DE"/>
        </w:rPr>
        <w:t>K. F. Kalz, R. Kraehnert, M. Dvoyashkin, R. Dittmeyer, R. Gläser, U. Krewer, K. Reuter, J.-D. Grunwaldt, ChemCatChem</w:t>
      </w:r>
      <w:r>
        <w:rPr>
          <w:rFonts w:asciiTheme="minorHAnsi" w:hAnsiTheme="minorHAnsi"/>
          <w:color w:val="000000"/>
          <w:lang w:val="de-DE"/>
        </w:rPr>
        <w:t>. 9</w:t>
      </w:r>
      <w:r w:rsidRPr="002E7298">
        <w:rPr>
          <w:rFonts w:asciiTheme="minorHAnsi" w:hAnsiTheme="minorHAnsi"/>
          <w:color w:val="000000"/>
          <w:lang w:val="de-DE"/>
        </w:rPr>
        <w:t xml:space="preserve"> </w:t>
      </w:r>
      <w:r>
        <w:rPr>
          <w:rFonts w:asciiTheme="minorHAnsi" w:hAnsiTheme="minorHAnsi"/>
          <w:color w:val="000000"/>
          <w:lang w:val="de-DE"/>
        </w:rPr>
        <w:t>(</w:t>
      </w:r>
      <w:r w:rsidRPr="002E7298">
        <w:rPr>
          <w:rFonts w:asciiTheme="minorHAnsi" w:hAnsiTheme="minorHAnsi"/>
          <w:color w:val="000000"/>
          <w:lang w:val="de-DE"/>
        </w:rPr>
        <w:t>2017</w:t>
      </w:r>
      <w:r>
        <w:rPr>
          <w:rFonts w:asciiTheme="minorHAnsi" w:hAnsiTheme="minorHAnsi"/>
          <w:color w:val="000000"/>
          <w:lang w:val="de-DE"/>
        </w:rPr>
        <w:t xml:space="preserve">) </w:t>
      </w:r>
      <w:r w:rsidRPr="002E7298">
        <w:rPr>
          <w:rFonts w:asciiTheme="minorHAnsi" w:hAnsiTheme="minorHAnsi"/>
          <w:color w:val="000000"/>
          <w:lang w:val="de-DE"/>
        </w:rPr>
        <w:t>17</w:t>
      </w:r>
      <w:r>
        <w:rPr>
          <w:rFonts w:asciiTheme="minorHAnsi" w:hAnsiTheme="minorHAnsi"/>
          <w:color w:val="000000"/>
          <w:lang w:val="de-DE"/>
        </w:rPr>
        <w:t>-29.</w:t>
      </w:r>
    </w:p>
    <w:p w:rsidR="006B47F4" w:rsidRPr="006B47F4" w:rsidRDefault="006B47F4" w:rsidP="006B47F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B47F4">
        <w:rPr>
          <w:rFonts w:asciiTheme="minorHAnsi" w:hAnsiTheme="minorHAnsi"/>
          <w:color w:val="000000"/>
        </w:rPr>
        <w:t xml:space="preserve">P. </w:t>
      </w:r>
      <w:proofErr w:type="spellStart"/>
      <w:r w:rsidRPr="006B47F4">
        <w:rPr>
          <w:rFonts w:asciiTheme="minorHAnsi" w:hAnsiTheme="minorHAnsi"/>
          <w:color w:val="000000"/>
        </w:rPr>
        <w:t>Lanzafame</w:t>
      </w:r>
      <w:proofErr w:type="spellEnd"/>
      <w:r w:rsidRPr="006B47F4">
        <w:rPr>
          <w:rFonts w:asciiTheme="minorHAnsi" w:hAnsiTheme="minorHAnsi"/>
          <w:color w:val="000000"/>
        </w:rPr>
        <w:t xml:space="preserve">, S. Abate, C. </w:t>
      </w:r>
      <w:proofErr w:type="spellStart"/>
      <w:r w:rsidRPr="006B47F4">
        <w:rPr>
          <w:rFonts w:asciiTheme="minorHAnsi" w:hAnsiTheme="minorHAnsi"/>
          <w:color w:val="000000"/>
        </w:rPr>
        <w:t>Ampelli</w:t>
      </w:r>
      <w:proofErr w:type="spellEnd"/>
      <w:r w:rsidRPr="006B47F4">
        <w:rPr>
          <w:rFonts w:asciiTheme="minorHAnsi" w:hAnsiTheme="minorHAnsi"/>
          <w:color w:val="000000"/>
        </w:rPr>
        <w:t xml:space="preserve">, C. Genovese, R. </w:t>
      </w:r>
      <w:proofErr w:type="spellStart"/>
      <w:r w:rsidRPr="006B47F4">
        <w:rPr>
          <w:rFonts w:asciiTheme="minorHAnsi" w:hAnsiTheme="minorHAnsi"/>
          <w:color w:val="000000"/>
        </w:rPr>
        <w:t>Passalacqua</w:t>
      </w:r>
      <w:proofErr w:type="spellEnd"/>
      <w:r w:rsidRPr="006B47F4">
        <w:rPr>
          <w:rFonts w:asciiTheme="minorHAnsi" w:hAnsiTheme="minorHAnsi"/>
          <w:color w:val="000000"/>
        </w:rPr>
        <w:t xml:space="preserve">, G. Centi, S. </w:t>
      </w:r>
      <w:proofErr w:type="spellStart"/>
      <w:r w:rsidRPr="006B47F4">
        <w:rPr>
          <w:rFonts w:asciiTheme="minorHAnsi" w:hAnsiTheme="minorHAnsi"/>
          <w:color w:val="000000"/>
        </w:rPr>
        <w:t>Perathoner</w:t>
      </w:r>
      <w:proofErr w:type="spellEnd"/>
      <w:r w:rsidRPr="006B47F4">
        <w:rPr>
          <w:rFonts w:asciiTheme="minorHAnsi" w:hAnsiTheme="minorHAnsi"/>
          <w:color w:val="000000"/>
        </w:rPr>
        <w:t xml:space="preserve">, </w:t>
      </w:r>
      <w:proofErr w:type="spellStart"/>
      <w:r w:rsidRPr="006B47F4">
        <w:rPr>
          <w:rFonts w:asciiTheme="minorHAnsi" w:hAnsiTheme="minorHAnsi"/>
          <w:color w:val="000000"/>
        </w:rPr>
        <w:t>ChemSusChem</w:t>
      </w:r>
      <w:proofErr w:type="spellEnd"/>
      <w:r>
        <w:rPr>
          <w:rFonts w:asciiTheme="minorHAnsi" w:hAnsiTheme="minorHAnsi"/>
          <w:color w:val="000000"/>
        </w:rPr>
        <w:t>, 10</w:t>
      </w:r>
      <w:r w:rsidRPr="006B47F4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(</w:t>
      </w:r>
      <w:r w:rsidRPr="006B47F4">
        <w:rPr>
          <w:rFonts w:asciiTheme="minorHAnsi" w:hAnsiTheme="minorHAnsi"/>
          <w:color w:val="000000"/>
        </w:rPr>
        <w:t>2017</w:t>
      </w:r>
      <w:r>
        <w:rPr>
          <w:rFonts w:asciiTheme="minorHAnsi" w:hAnsiTheme="minorHAnsi"/>
          <w:color w:val="000000"/>
        </w:rPr>
        <w:t>)</w:t>
      </w:r>
      <w:r w:rsidRPr="006B47F4">
        <w:rPr>
          <w:rFonts w:asciiTheme="minorHAnsi" w:hAnsiTheme="minorHAnsi"/>
          <w:color w:val="000000"/>
        </w:rPr>
        <w:t xml:space="preserve">  4409-4419</w:t>
      </w:r>
      <w:r>
        <w:rPr>
          <w:rFonts w:asciiTheme="minorHAnsi" w:hAnsiTheme="minorHAnsi"/>
          <w:color w:val="000000"/>
        </w:rPr>
        <w:t>.</w:t>
      </w:r>
    </w:p>
    <w:p w:rsidR="008271E1" w:rsidRDefault="008271E1" w:rsidP="008271E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271E1">
        <w:rPr>
          <w:rFonts w:asciiTheme="minorHAnsi" w:hAnsiTheme="minorHAnsi"/>
          <w:color w:val="000000"/>
        </w:rPr>
        <w:t>A. Navarrete, G. Centi, A. Bogaerts, Á. Martín, A. York, G. D. Stefanidis, Energy Technol.</w:t>
      </w:r>
      <w:r w:rsidR="00CF4CC9">
        <w:rPr>
          <w:rFonts w:asciiTheme="minorHAnsi" w:hAnsiTheme="minorHAnsi"/>
          <w:color w:val="000000"/>
        </w:rPr>
        <w:t xml:space="preserve"> 5 (</w:t>
      </w:r>
      <w:r w:rsidRPr="008271E1">
        <w:rPr>
          <w:rFonts w:asciiTheme="minorHAnsi" w:hAnsiTheme="minorHAnsi"/>
          <w:color w:val="000000"/>
        </w:rPr>
        <w:t>2017</w:t>
      </w:r>
      <w:r w:rsidR="00CF4CC9">
        <w:rPr>
          <w:rFonts w:asciiTheme="minorHAnsi" w:hAnsiTheme="minorHAnsi"/>
          <w:color w:val="000000"/>
        </w:rPr>
        <w:t>) 796-811.</w:t>
      </w:r>
    </w:p>
    <w:p w:rsidR="004D1162" w:rsidRPr="0045254A" w:rsidRDefault="00E1122F" w:rsidP="00095A86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  <w:r w:rsidRPr="0045254A">
        <w:rPr>
          <w:rFonts w:asciiTheme="minorHAnsi" w:hAnsiTheme="minorHAnsi"/>
          <w:color w:val="000000"/>
          <w:lang w:val="de-DE"/>
        </w:rPr>
        <w:t xml:space="preserve">M. Niermann, S. Drünert, M. Kaltschmitt, K. Bonhoff, Energy Environ. </w:t>
      </w:r>
      <w:r w:rsidRPr="0045254A">
        <w:rPr>
          <w:rFonts w:asciiTheme="minorHAnsi" w:hAnsiTheme="minorHAnsi"/>
          <w:color w:val="000000"/>
        </w:rPr>
        <w:t>Sci. (2019) accepted.</w:t>
      </w:r>
      <w:r w:rsidRPr="0045254A">
        <w:rPr>
          <w:rFonts w:asciiTheme="minorHAnsi" w:hAnsiTheme="minorHAnsi"/>
          <w:color w:val="000000"/>
        </w:rPr>
        <w:br/>
        <w:t>DOI: 10.1039/C8EE02700E.</w:t>
      </w:r>
    </w:p>
    <w:p w:rsidR="004D1162" w:rsidRPr="002E7298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2E729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2E729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2E729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2E729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p w:rsidR="00704BDF" w:rsidRPr="002E7298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</w:p>
    <w:sectPr w:rsidR="00704BDF" w:rsidRPr="002E7298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D2" w:rsidRDefault="006A58D2" w:rsidP="004F5E36">
      <w:r>
        <w:separator/>
      </w:r>
    </w:p>
  </w:endnote>
  <w:endnote w:type="continuationSeparator" w:id="0">
    <w:p w:rsidR="006A58D2" w:rsidRDefault="006A58D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D2" w:rsidRDefault="006A58D2" w:rsidP="004F5E36">
      <w:r>
        <w:separator/>
      </w:r>
    </w:p>
  </w:footnote>
  <w:footnote w:type="continuationSeparator" w:id="0">
    <w:p w:rsidR="006A58D2" w:rsidRDefault="006A58D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cabezado"/>
    </w:pPr>
  </w:p>
  <w:p w:rsidR="00704BDF" w:rsidRDefault="00704BDF">
    <w:pPr>
      <w:pStyle w:val="Encabezad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83F1D"/>
    <w:rsid w:val="00097576"/>
    <w:rsid w:val="000A03B2"/>
    <w:rsid w:val="000D34BE"/>
    <w:rsid w:val="000D3B63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97047"/>
    <w:rsid w:val="002A5086"/>
    <w:rsid w:val="002D1F12"/>
    <w:rsid w:val="002E7298"/>
    <w:rsid w:val="003009B7"/>
    <w:rsid w:val="0030469C"/>
    <w:rsid w:val="003723D4"/>
    <w:rsid w:val="003A7D1C"/>
    <w:rsid w:val="0044177E"/>
    <w:rsid w:val="0045254A"/>
    <w:rsid w:val="0046164A"/>
    <w:rsid w:val="00462DCD"/>
    <w:rsid w:val="004B6E5E"/>
    <w:rsid w:val="004D1162"/>
    <w:rsid w:val="004E4DD6"/>
    <w:rsid w:val="004F5E36"/>
    <w:rsid w:val="005119A5"/>
    <w:rsid w:val="005278B7"/>
    <w:rsid w:val="005346C8"/>
    <w:rsid w:val="005878F7"/>
    <w:rsid w:val="00594E9F"/>
    <w:rsid w:val="005B61E6"/>
    <w:rsid w:val="005C77E1"/>
    <w:rsid w:val="005D6A2F"/>
    <w:rsid w:val="005E1A82"/>
    <w:rsid w:val="005E5324"/>
    <w:rsid w:val="005F0A28"/>
    <w:rsid w:val="005F0E5E"/>
    <w:rsid w:val="00620DEE"/>
    <w:rsid w:val="00625639"/>
    <w:rsid w:val="0064184D"/>
    <w:rsid w:val="00644CA5"/>
    <w:rsid w:val="00660E3E"/>
    <w:rsid w:val="00662E74"/>
    <w:rsid w:val="006A58D2"/>
    <w:rsid w:val="006B47F4"/>
    <w:rsid w:val="006C5579"/>
    <w:rsid w:val="006F2626"/>
    <w:rsid w:val="00704BDF"/>
    <w:rsid w:val="00705BC5"/>
    <w:rsid w:val="00736B13"/>
    <w:rsid w:val="007447F3"/>
    <w:rsid w:val="00754990"/>
    <w:rsid w:val="007661C8"/>
    <w:rsid w:val="007B4166"/>
    <w:rsid w:val="007D52CD"/>
    <w:rsid w:val="00813288"/>
    <w:rsid w:val="008168FC"/>
    <w:rsid w:val="008271E1"/>
    <w:rsid w:val="008479A2"/>
    <w:rsid w:val="0087637F"/>
    <w:rsid w:val="008A1512"/>
    <w:rsid w:val="008A4193"/>
    <w:rsid w:val="008D0BEB"/>
    <w:rsid w:val="008E566E"/>
    <w:rsid w:val="00901EB6"/>
    <w:rsid w:val="009450CE"/>
    <w:rsid w:val="0095164B"/>
    <w:rsid w:val="00996483"/>
    <w:rsid w:val="009E4440"/>
    <w:rsid w:val="009E478E"/>
    <w:rsid w:val="009E788A"/>
    <w:rsid w:val="009F4259"/>
    <w:rsid w:val="00A1763D"/>
    <w:rsid w:val="00A17CEC"/>
    <w:rsid w:val="00A27EF0"/>
    <w:rsid w:val="00A76EFC"/>
    <w:rsid w:val="00A9626B"/>
    <w:rsid w:val="00A97F29"/>
    <w:rsid w:val="00AA070C"/>
    <w:rsid w:val="00AB0964"/>
    <w:rsid w:val="00AD6084"/>
    <w:rsid w:val="00AE377D"/>
    <w:rsid w:val="00AE6159"/>
    <w:rsid w:val="00B241FD"/>
    <w:rsid w:val="00B61DBF"/>
    <w:rsid w:val="00BC30C9"/>
    <w:rsid w:val="00BE3E58"/>
    <w:rsid w:val="00C01616"/>
    <w:rsid w:val="00C0162B"/>
    <w:rsid w:val="00C13EF4"/>
    <w:rsid w:val="00C345B1"/>
    <w:rsid w:val="00C40142"/>
    <w:rsid w:val="00C57182"/>
    <w:rsid w:val="00C655FD"/>
    <w:rsid w:val="00C7591C"/>
    <w:rsid w:val="00C867B1"/>
    <w:rsid w:val="00C94434"/>
    <w:rsid w:val="00CA1C95"/>
    <w:rsid w:val="00CA5A9C"/>
    <w:rsid w:val="00CD5FE2"/>
    <w:rsid w:val="00CF4CC9"/>
    <w:rsid w:val="00D02B4C"/>
    <w:rsid w:val="00D2393B"/>
    <w:rsid w:val="00D84576"/>
    <w:rsid w:val="00DE0019"/>
    <w:rsid w:val="00DE264A"/>
    <w:rsid w:val="00E041E7"/>
    <w:rsid w:val="00E05994"/>
    <w:rsid w:val="00E1122F"/>
    <w:rsid w:val="00E116AE"/>
    <w:rsid w:val="00E23CA1"/>
    <w:rsid w:val="00E409A8"/>
    <w:rsid w:val="00E4753A"/>
    <w:rsid w:val="00E7209D"/>
    <w:rsid w:val="00EA50E1"/>
    <w:rsid w:val="00EB3DCA"/>
    <w:rsid w:val="00EE0131"/>
    <w:rsid w:val="00F30C64"/>
    <w:rsid w:val="00FB5ACD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rrafodelista">
    <w:name w:val="List Paragraph"/>
    <w:basedOn w:val="Normal"/>
    <w:uiPriority w:val="34"/>
    <w:qFormat/>
    <w:locked/>
    <w:rsid w:val="00587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66447-3090-4367-8241-3F1324DB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Alexander Navarrete</cp:lastModifiedBy>
  <cp:revision>18</cp:revision>
  <cp:lastPrinted>2015-05-12T18:31:00Z</cp:lastPrinted>
  <dcterms:created xsi:type="dcterms:W3CDTF">2019-01-15T15:19:00Z</dcterms:created>
  <dcterms:modified xsi:type="dcterms:W3CDTF">2019-01-15T22:38:00Z</dcterms:modified>
</cp:coreProperties>
</file>