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088C" w14:textId="77777777" w:rsidR="0068052F" w:rsidRPr="000A03B2" w:rsidRDefault="0068052F" w:rsidP="0068052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68052F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54CAB76" w14:textId="75E09260" w:rsidR="0068052F" w:rsidRPr="004E5997" w:rsidRDefault="0068052F" w:rsidP="0068052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bookmarkStart w:id="0" w:name="OLE_LINK4"/>
      <w:r w:rsidRPr="004E5997">
        <w:rPr>
          <w:rFonts w:asciiTheme="minorHAnsi" w:eastAsia="MS PGothic" w:hAnsiTheme="minorHAnsi"/>
          <w:b/>
          <w:bCs/>
          <w:sz w:val="28"/>
          <w:szCs w:val="28"/>
        </w:rPr>
        <w:t xml:space="preserve">Chaotic Mixing in </w:t>
      </w:r>
      <w:r w:rsidR="00BF05C4" w:rsidRPr="004E5997">
        <w:rPr>
          <w:rFonts w:asciiTheme="minorHAnsi" w:eastAsia="MS PGothic" w:hAnsiTheme="minorHAnsi"/>
          <w:b/>
          <w:bCs/>
          <w:sz w:val="28"/>
          <w:szCs w:val="28"/>
        </w:rPr>
        <w:t xml:space="preserve">the </w:t>
      </w:r>
      <w:proofErr w:type="spellStart"/>
      <w:r w:rsidRPr="004E5997">
        <w:rPr>
          <w:rFonts w:asciiTheme="minorHAnsi" w:eastAsia="MS PGothic" w:hAnsiTheme="minorHAnsi"/>
          <w:b/>
          <w:bCs/>
          <w:sz w:val="28"/>
          <w:szCs w:val="28"/>
        </w:rPr>
        <w:t>NETmix</w:t>
      </w:r>
      <w:proofErr w:type="spellEnd"/>
      <w:r w:rsidRPr="004E5997">
        <w:rPr>
          <w:rFonts w:asciiTheme="minorHAnsi" w:eastAsia="MS PGothic" w:hAnsiTheme="minorHAnsi"/>
          <w:b/>
          <w:bCs/>
          <w:sz w:val="28"/>
          <w:szCs w:val="28"/>
        </w:rPr>
        <w:t xml:space="preserve"> Reactor</w:t>
      </w:r>
    </w:p>
    <w:bookmarkEnd w:id="0"/>
    <w:p w14:paraId="195ACE72" w14:textId="06B0CDA6" w:rsidR="0068052F" w:rsidRPr="00EC7B41" w:rsidRDefault="0068052F" w:rsidP="0068052F">
      <w:pPr>
        <w:snapToGrid w:val="0"/>
        <w:jc w:val="center"/>
        <w:rPr>
          <w:rFonts w:eastAsia="SimSun"/>
          <w:color w:val="000000"/>
          <w:lang w:val="pt-PT" w:eastAsia="zh-CN"/>
        </w:rPr>
      </w:pPr>
      <w:r w:rsidRPr="00EC7B41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Joana Matos</w:t>
      </w:r>
      <w:r w:rsidRPr="00EC7B4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EC7B41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Ricardo Santos</w:t>
      </w:r>
      <w:r w:rsidRPr="00EC7B4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EC7B41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Madalena </w:t>
      </w:r>
      <w:r w:rsidR="003235F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M. </w:t>
      </w:r>
      <w:r w:rsidRPr="00EC7B41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Dias</w:t>
      </w:r>
      <w:r w:rsidRPr="00EC7B4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EC7B41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José Carlos </w:t>
      </w:r>
      <w:r w:rsidR="003235F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B. </w:t>
      </w:r>
      <w:r w:rsidRPr="00EC7B41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Lopes</w:t>
      </w:r>
      <w:r w:rsidRPr="00EC7B4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*</w:t>
      </w:r>
      <w:r w:rsidRPr="00EC7B41">
        <w:rPr>
          <w:rFonts w:eastAsia="SimSun"/>
          <w:color w:val="000000"/>
          <w:vertAlign w:val="superscript"/>
          <w:lang w:val="pt-PT" w:eastAsia="zh-CN"/>
        </w:rPr>
        <w:t xml:space="preserve"> </w:t>
      </w:r>
    </w:p>
    <w:p w14:paraId="4BAEB990" w14:textId="77777777" w:rsidR="0068052F" w:rsidRPr="00EC7B41" w:rsidRDefault="0068052F" w:rsidP="0068052F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pt-PT"/>
        </w:rPr>
      </w:pPr>
      <w:r w:rsidRPr="00EC7B41">
        <w:rPr>
          <w:rFonts w:eastAsia="MS PGothic"/>
          <w:i/>
          <w:iCs/>
          <w:color w:val="000000"/>
          <w:sz w:val="20"/>
          <w:lang w:val="pt-PT"/>
        </w:rPr>
        <w:t>1</w:t>
      </w:r>
      <w:r w:rsidRPr="00EC7B41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LA LSRE-LCM. R</w:t>
      </w:r>
      <w:r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ua</w:t>
      </w:r>
      <w:r w:rsidRPr="00EC7B41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Dr. Roberto Frias, 4200-465 Porto</w:t>
      </w:r>
      <w:r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, Portugal</w:t>
      </w:r>
    </w:p>
    <w:p w14:paraId="0911B477" w14:textId="77777777" w:rsidR="0068052F" w:rsidRPr="00DE0019" w:rsidRDefault="0068052F" w:rsidP="0068052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lopes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fe.up.pt</w:t>
      </w:r>
    </w:p>
    <w:p w14:paraId="0744E2F8" w14:textId="77777777" w:rsidR="0068052F" w:rsidRPr="00EC66CC" w:rsidRDefault="0068052F" w:rsidP="0068052F">
      <w:pPr>
        <w:pStyle w:val="AbstractHeading"/>
        <w:tabs>
          <w:tab w:val="left" w:pos="3547"/>
          <w:tab w:val="center" w:pos="4694"/>
        </w:tabs>
        <w:spacing w:before="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78C3FE3C" w14:textId="77777777" w:rsidR="0068052F" w:rsidRPr="00EC66CC" w:rsidRDefault="0068052F" w:rsidP="0068052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NETmix</w:t>
      </w:r>
      <w:proofErr w:type="spellEnd"/>
      <w:r>
        <w:rPr>
          <w:rFonts w:asciiTheme="minorHAnsi" w:hAnsiTheme="minorHAnsi"/>
        </w:rPr>
        <w:t xml:space="preserve"> is an industrial reactor constituted by chambers and channels</w:t>
      </w:r>
      <w:r w:rsidRPr="00EC66CC">
        <w:rPr>
          <w:rFonts w:asciiTheme="minorHAnsi" w:hAnsiTheme="minorHAnsi"/>
        </w:rPr>
        <w:t>.</w:t>
      </w:r>
    </w:p>
    <w:p w14:paraId="11FD4234" w14:textId="77777777" w:rsidR="0068052F" w:rsidRPr="00EC66CC" w:rsidRDefault="0068052F" w:rsidP="0068052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ratio between chamber diameter and channel width is crucial on mixing</w:t>
      </w:r>
      <w:r w:rsidRPr="00EC66CC">
        <w:rPr>
          <w:rFonts w:asciiTheme="minorHAnsi" w:hAnsiTheme="minorHAnsi"/>
        </w:rPr>
        <w:t xml:space="preserve">. </w:t>
      </w:r>
    </w:p>
    <w:p w14:paraId="3BE188DA" w14:textId="77777777" w:rsidR="0068052F" w:rsidRDefault="0068052F" w:rsidP="0068052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7B5B8A">
        <w:rPr>
          <w:rFonts w:asciiTheme="minorHAnsi" w:hAnsiTheme="minorHAnsi"/>
        </w:rPr>
        <w:t>ifferent structures of strange attractors</w:t>
      </w:r>
      <w:r>
        <w:rPr>
          <w:rFonts w:asciiTheme="minorHAnsi" w:hAnsiTheme="minorHAnsi"/>
        </w:rPr>
        <w:t xml:space="preserve"> can be related with mixing in chambers.</w:t>
      </w:r>
    </w:p>
    <w:p w14:paraId="564BE35E" w14:textId="77777777" w:rsidR="0068052F" w:rsidRPr="00942029" w:rsidRDefault="0068052F" w:rsidP="0068052F">
      <w:pPr>
        <w:pStyle w:val="AbstractBody"/>
        <w:ind w:left="1080"/>
        <w:rPr>
          <w:rFonts w:asciiTheme="minorHAnsi" w:hAnsiTheme="minorHAnsi"/>
        </w:rPr>
      </w:pPr>
    </w:p>
    <w:p w14:paraId="385E74A0" w14:textId="77777777" w:rsidR="0068052F" w:rsidRPr="00A51410" w:rsidRDefault="0068052F" w:rsidP="0068052F">
      <w:pPr>
        <w:pStyle w:val="PargrafodaLista"/>
        <w:numPr>
          <w:ilvl w:val="0"/>
          <w:numId w:val="18"/>
        </w:num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A5141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Introduction</w:t>
      </w:r>
    </w:p>
    <w:p w14:paraId="1AACF20C" w14:textId="62442660" w:rsidR="0068052F" w:rsidRDefault="0068052F" w:rsidP="0068052F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1" w:name="OLE_LINK27"/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NETmix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novel static mixer reactor composed by a meso or micro sized network of mixing chambers interconnected by channels (Figure 1a) </w:t>
      </w:r>
      <w:r w:rsidRPr="00670864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NETmix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network can be obtained by the repetition of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NETmix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Unit Block (NUB) (Figure 1b).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NETmix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used in industry for continuous production of nanoparticles [2] and other applications are being developed, namely: continuous production of CO2 hydrates [3]</w:t>
      </w:r>
      <w:r w:rsidRPr="006708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bookmarkStart w:id="2" w:name="OLE_LINK17"/>
      <w:r w:rsidRPr="00670864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6708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oxidation </w:t>
      </w:r>
      <w:bookmarkEnd w:id="2"/>
      <w:r w:rsidRPr="0067086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processes in water treatment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Pr="00670864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Mixing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NETmix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depends on the reactor geometry which influences the flow dynamics. Mixing will be evaluated using particles injections: the best mixture occurs when the particles out fraction is 0.5. The ratio between chambers diameter and channels width, </w:t>
      </w:r>
      <w:r w:rsidRPr="006015F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Pr="006015F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(Figure 1b) is studied along with the v</w:t>
      </w:r>
      <w:r w:rsidR="00CA1F12">
        <w:rPr>
          <w:rFonts w:asciiTheme="minorHAnsi" w:eastAsia="MS PGothic" w:hAnsiTheme="minorHAnsi"/>
          <w:color w:val="000000"/>
          <w:sz w:val="22"/>
          <w:szCs w:val="22"/>
          <w:lang w:val="en-US"/>
        </w:rPr>
        <w:t>orticity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history dynamics </w:t>
      </w:r>
      <w:bookmarkStart w:id="3" w:name="OLE_LINK23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phase diagrams that show </w:t>
      </w:r>
      <w:bookmarkStart w:id="4" w:name="OLE_LINK24"/>
      <w:bookmarkStart w:id="5" w:name="OLE_LINK25"/>
      <w:bookmarkStart w:id="6" w:name="OLE_LINK26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structures of strange attractors</w:t>
      </w:r>
      <w:bookmarkEnd w:id="3"/>
      <w:bookmarkEnd w:id="4"/>
      <w:bookmarkEnd w:id="5"/>
      <w:bookmarkEnd w:id="6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are related to the degree of mixing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NETmix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bookmarkEnd w:id="1"/>
    <w:p w14:paraId="77CE7A9E" w14:textId="77777777" w:rsidR="0068052F" w:rsidRDefault="0068052F" w:rsidP="0068052F">
      <w:pPr>
        <w:snapToGrid w:val="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1F70D3E3" wp14:editId="3D9460EB">
            <wp:extent cx="5285879" cy="18161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080" cy="195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EB72" w14:textId="2BC12F91" w:rsidR="0068052F" w:rsidRPr="00D10CD1" w:rsidRDefault="0068052F" w:rsidP="0068052F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(a)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NETmix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network, (b) NUB, (c) </w:t>
      </w:r>
      <w:proofErr w:type="spellStart"/>
      <w:r w:rsidR="004E5997">
        <w:rPr>
          <w:rFonts w:asciiTheme="minorHAnsi" w:eastAsia="MS PGothic" w:hAnsiTheme="minorHAnsi"/>
          <w:color w:val="000000"/>
          <w:szCs w:val="18"/>
          <w:lang w:val="en-US"/>
        </w:rPr>
        <w:t>ExtendedNUB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>, (d) velocity</w:t>
      </w:r>
      <w:r w:rsidR="00CA1F12">
        <w:rPr>
          <w:rFonts w:asciiTheme="minorHAnsi" w:eastAsia="MS PGothic" w:hAnsiTheme="minorHAnsi"/>
          <w:color w:val="000000"/>
          <w:szCs w:val="18"/>
          <w:lang w:val="en-US"/>
        </w:rPr>
        <w:t xml:space="preserve"> magnitude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contour.</w:t>
      </w:r>
    </w:p>
    <w:p w14:paraId="6D4F4B8E" w14:textId="77777777" w:rsidR="0068052F" w:rsidRPr="008D0BEB" w:rsidRDefault="0068052F" w:rsidP="0068052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61269F2" w14:textId="2335D749" w:rsidR="0068052F" w:rsidRPr="008C17BD" w:rsidRDefault="0068052F" w:rsidP="0068052F">
      <w:pPr>
        <w:snapToGrid w:val="0"/>
        <w:rPr>
          <w:rFonts w:asciiTheme="minorHAnsi" w:eastAsia="MS PGothic" w:hAnsiTheme="minorHAnsi"/>
          <w:iCs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2D CFD simulations (time step, </w:t>
      </w:r>
      <w:bookmarkStart w:id="7" w:name="OLE_LINK1"/>
      <w:bookmarkStart w:id="8" w:name="OLE_LINK2"/>
      <w:bookmarkStart w:id="9" w:name="OLE_LINK6"/>
      <m:oMath>
        <m:r>
          <w:rPr>
            <w:rFonts w:ascii="Cambria Math" w:eastAsia="MS PGothic" w:hAnsi="Cambria Math"/>
            <w:color w:val="000000"/>
            <w:sz w:val="22"/>
            <w:szCs w:val="22"/>
          </w:rPr>
          <m:t>∆t</m:t>
        </m:r>
      </m:oMath>
      <w:bookmarkEnd w:id="7"/>
      <w:bookmarkEnd w:id="8"/>
      <w:bookmarkEnd w:id="9"/>
      <w:r>
        <w:rPr>
          <w:rFonts w:asciiTheme="minorHAnsi" w:eastAsia="MS PGothic" w:hAnsiTheme="minorHAnsi"/>
          <w:color w:val="000000"/>
          <w:sz w:val="22"/>
          <w:szCs w:val="22"/>
        </w:rPr>
        <w:t xml:space="preserve"> = </w:t>
      </w:r>
      <w:r w:rsidRPr="00DE64C9">
        <w:rPr>
          <w:rFonts w:asciiTheme="minorHAnsi" w:eastAsia="MS PGothic" w:hAnsiTheme="minorHAnsi"/>
          <w:color w:val="000000"/>
          <w:sz w:val="22"/>
          <w:szCs w:val="22"/>
        </w:rPr>
        <w:t>1.14</w:t>
      </w:r>
      <m:oMath>
        <m:r>
          <w:rPr>
            <w:rFonts w:ascii="Cambria Math" w:eastAsia="MS PGothic" w:hAnsi="Cambria Math"/>
            <w:color w:val="000000"/>
            <w:sz w:val="22"/>
            <w:szCs w:val="22"/>
          </w:rPr>
          <m:t>×</m:t>
        </m:r>
        <m:sSup>
          <m:sSupPr>
            <m:ctrlPr>
              <w:rPr>
                <w:rFonts w:ascii="Cambria Math" w:eastAsia="MS PGothic" w:hAnsi="Cambria Math"/>
                <w:i/>
                <w:iCs/>
                <w:color w:val="000000"/>
                <w:sz w:val="22"/>
                <w:szCs w:val="22"/>
                <w:lang w:val="pt-PT"/>
              </w:rPr>
            </m:ctrlPr>
          </m:s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-4</m:t>
            </m:r>
          </m:sup>
        </m:sSup>
      </m:oMath>
      <w:r w:rsidRPr="00DE64C9">
        <w:rPr>
          <w:rFonts w:asciiTheme="minorHAnsi" w:eastAsia="MS PGothic" w:hAnsiTheme="minorHAnsi"/>
          <w:color w:val="000000"/>
          <w:sz w:val="22"/>
          <w:szCs w:val="22"/>
        </w:rPr>
        <w:t xml:space="preserve"> m/s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with water were performed for Re = 300, using the </w:t>
      </w:r>
      <w:proofErr w:type="spellStart"/>
      <w:r w:rsidR="00C7095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ExtendedNUB</w:t>
      </w:r>
      <w:proofErr w:type="spellEnd"/>
      <w:r w:rsidR="00C709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geometry in Figure 1c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The channel width is </w:t>
      </w:r>
      <w:r w:rsidRPr="00DE64C9">
        <w:rPr>
          <w:rFonts w:asciiTheme="minorHAnsi" w:eastAsia="MS PGothic" w:hAnsiTheme="minorHAnsi"/>
          <w:i/>
          <w:color w:val="000000"/>
          <w:sz w:val="22"/>
          <w:szCs w:val="22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= 1.00 mm and the chamber diameter</w:t>
      </w:r>
      <w:r w:rsidR="0083344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varied from </w:t>
      </w:r>
      <w:r>
        <w:rPr>
          <w:rFonts w:asciiTheme="minorHAnsi" w:eastAsia="MS PGothic" w:hAnsiTheme="minorHAnsi"/>
          <w:i/>
          <w:color w:val="000000"/>
          <w:sz w:val="22"/>
          <w:szCs w:val="22"/>
        </w:rPr>
        <w:t>D</w:t>
      </w:r>
      <w:r w:rsidR="00833445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i/>
          <w:color w:val="000000"/>
          <w:sz w:val="22"/>
          <w:szCs w:val="22"/>
        </w:rPr>
        <w:t>=</w:t>
      </w:r>
      <w:r w:rsidR="00833445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5.75 to 7.25 mm. The </w:t>
      </w:r>
      <w:bookmarkStart w:id="10" w:name="_GoBack"/>
      <w:bookmarkEnd w:id="10"/>
      <w:r>
        <w:rPr>
          <w:rFonts w:asciiTheme="minorHAnsi" w:eastAsia="MS PGothic" w:hAnsiTheme="minorHAnsi"/>
          <w:color w:val="000000"/>
          <w:sz w:val="22"/>
          <w:szCs w:val="22"/>
        </w:rPr>
        <w:t xml:space="preserve">simulated velocity flow-fields (e.g. for </w:t>
      </w:r>
      <w:r w:rsidRPr="00DE64C9">
        <w:rPr>
          <w:rFonts w:asciiTheme="minorHAnsi" w:eastAsia="MS PGothic" w:hAnsiTheme="minorHAnsi"/>
          <w:i/>
          <w:color w:val="000000"/>
          <w:sz w:val="22"/>
          <w:szCs w:val="22"/>
        </w:rPr>
        <w:t>D</w:t>
      </w:r>
      <w:r>
        <w:rPr>
          <w:rFonts w:asciiTheme="minorHAnsi" w:eastAsia="MS PGothic" w:hAnsiTheme="minorHAnsi"/>
          <w:i/>
          <w:color w:val="000000"/>
          <w:sz w:val="22"/>
          <w:szCs w:val="22"/>
        </w:rPr>
        <w:t>/d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= 6.55 in Figure 1d) were used for particle tracking with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Lagrangian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Mixing Simulation (LMS). LMS is an algorithm developed by Matos et al. [</w:t>
      </w:r>
      <w:r w:rsidR="003235FE">
        <w:rPr>
          <w:rFonts w:asciiTheme="minorHAnsi" w:eastAsia="MS PGothic" w:hAnsiTheme="minorHAnsi"/>
          <w:color w:val="000000"/>
          <w:sz w:val="22"/>
          <w:szCs w:val="22"/>
        </w:rPr>
        <w:t>5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] where the mixing interface between two fluids is tracked. 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Blue particles were positioned at left inlet and red particles at right over the initial velocity field of chamber 6. Along with the flow-time, the particles change their </w:t>
      </w:r>
      <w:r w:rsidRPr="00EC3CB0">
        <w:rPr>
          <w:rFonts w:asciiTheme="minorHAnsi" w:eastAsia="MS PGothic" w:hAnsiTheme="minorHAnsi" w:cstheme="minorHAnsi"/>
          <w:iCs/>
          <w:color w:val="000000"/>
          <w:sz w:val="22"/>
          <w:szCs w:val="22"/>
        </w:rPr>
        <w:t xml:space="preserve">position: Figure 2a for </w:t>
      </w:r>
      <w:r w:rsidRPr="00EC3CB0">
        <w:rPr>
          <w:rFonts w:asciiTheme="minorHAnsi" w:eastAsia="MS PGothic" w:hAnsiTheme="minorHAnsi" w:cstheme="minorHAnsi"/>
          <w:color w:val="000000"/>
          <w:sz w:val="22"/>
          <w:szCs w:val="22"/>
        </w:rPr>
        <w:t>8.00</w:t>
      </w:r>
      <m:oMath>
        <m:r>
          <w:rPr>
            <w:rFonts w:ascii="Cambria Math" w:eastAsia="MS PGothic" w:hAnsi="Cambria Math" w:cstheme="minorHAnsi"/>
            <w:color w:val="000000"/>
            <w:sz w:val="22"/>
            <w:szCs w:val="22"/>
          </w:rPr>
          <m:t>×</m:t>
        </m:r>
        <m:sSup>
          <m:sSupPr>
            <m:ctrlPr>
              <w:rPr>
                <w:rFonts w:ascii="Cambria Math" w:eastAsia="MS PGothic" w:hAnsi="Cambria Math" w:cstheme="minorHAnsi"/>
                <w:i/>
                <w:iCs/>
                <w:color w:val="000000"/>
                <w:sz w:val="22"/>
                <w:szCs w:val="22"/>
                <w:lang w:val="pt-PT"/>
              </w:rPr>
            </m:ctrlPr>
          </m:sSupPr>
          <m:e>
            <m:r>
              <w:rPr>
                <w:rFonts w:ascii="Cambria Math" w:eastAsia="MS PGothic" w:hAnsi="Cambria Math" w:cstheme="minorHAnsi"/>
                <w:color w:val="000000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="MS PGothic" w:hAnsi="Cambria Math" w:cstheme="minorHAnsi"/>
                <w:color w:val="000000"/>
                <w:sz w:val="22"/>
                <w:szCs w:val="22"/>
              </w:rPr>
              <m:t>-4</m:t>
            </m:r>
          </m:sup>
        </m:sSup>
      </m:oMath>
      <w:r w:rsidRPr="00EC3CB0">
        <w:rPr>
          <w:rFonts w:asciiTheme="minorHAnsi" w:eastAsia="MS PGothic" w:hAnsiTheme="minorHAnsi" w:cstheme="minorHAnsi"/>
          <w:iCs/>
          <w:color w:val="000000"/>
          <w:sz w:val="22"/>
          <w:szCs w:val="22"/>
        </w:rPr>
        <w:t xml:space="preserve"> s</w:t>
      </w:r>
      <w:r w:rsidRPr="00EC3CB0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 </w:t>
      </w:r>
      <w:r w:rsidRPr="00EC3CB0">
        <w:rPr>
          <w:rFonts w:asciiTheme="minorHAnsi" w:eastAsia="MS PGothic" w:hAnsiTheme="minorHAnsi" w:cstheme="minorHAnsi"/>
          <w:iCs/>
          <w:color w:val="000000"/>
          <w:sz w:val="22"/>
          <w:szCs w:val="22"/>
        </w:rPr>
        <w:t xml:space="preserve">and Figure 2b for </w:t>
      </w:r>
      <w:r w:rsidRPr="00EC3CB0">
        <w:rPr>
          <w:rFonts w:asciiTheme="minorHAnsi" w:eastAsia="MS PGothic" w:hAnsiTheme="minorHAnsi" w:cstheme="minorHAnsi"/>
          <w:color w:val="000000"/>
          <w:sz w:val="22"/>
          <w:szCs w:val="22"/>
        </w:rPr>
        <w:t>3.50</w:t>
      </w:r>
      <m:oMath>
        <m:r>
          <w:rPr>
            <w:rFonts w:ascii="Cambria Math" w:eastAsia="MS PGothic" w:hAnsi="Cambria Math" w:cstheme="minorHAnsi"/>
            <w:color w:val="000000"/>
            <w:sz w:val="22"/>
            <w:szCs w:val="22"/>
          </w:rPr>
          <m:t>×</m:t>
        </m:r>
        <m:sSup>
          <m:sSupPr>
            <m:ctrlPr>
              <w:rPr>
                <w:rFonts w:ascii="Cambria Math" w:eastAsia="MS PGothic" w:hAnsi="Cambria Math" w:cstheme="minorHAnsi"/>
                <w:i/>
                <w:iCs/>
                <w:color w:val="000000"/>
                <w:sz w:val="22"/>
                <w:szCs w:val="22"/>
                <w:lang w:val="pt-PT"/>
              </w:rPr>
            </m:ctrlPr>
          </m:sSupPr>
          <m:e>
            <m:r>
              <w:rPr>
                <w:rFonts w:ascii="Cambria Math" w:eastAsia="MS PGothic" w:hAnsi="Cambria Math" w:cstheme="minorHAnsi"/>
                <w:color w:val="000000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="MS PGothic" w:hAnsi="Cambria Math" w:cstheme="minorHAnsi"/>
                <w:color w:val="000000"/>
                <w:sz w:val="22"/>
                <w:szCs w:val="22"/>
              </w:rPr>
              <m:t>-3</m:t>
            </m:r>
          </m:sup>
        </m:sSup>
      </m:oMath>
      <w:r w:rsidRPr="00EC3CB0">
        <w:rPr>
          <w:rFonts w:asciiTheme="minorHAnsi" w:eastAsia="MS PGothic" w:hAnsiTheme="minorHAnsi" w:cstheme="minorHAnsi"/>
          <w:iCs/>
          <w:color w:val="000000"/>
          <w:sz w:val="22"/>
          <w:szCs w:val="22"/>
        </w:rPr>
        <w:t xml:space="preserve"> s. Note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that in LMS, the number of particles in each series (blue and red) increases to represent accurately the mixing dynamics.</w:t>
      </w:r>
    </w:p>
    <w:p w14:paraId="5B7716FE" w14:textId="77777777" w:rsidR="0068052F" w:rsidRDefault="0068052F" w:rsidP="0068052F">
      <w:pPr>
        <w:snapToGrid w:val="0"/>
        <w:jc w:val="center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5BDF20C" wp14:editId="72FB875B">
            <wp:extent cx="3096228" cy="1255830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13" cy="13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0351" w14:textId="77777777" w:rsidR="0068052F" w:rsidRDefault="0068052F" w:rsidP="0068052F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Particles injection in </w:t>
      </w:r>
      <w:r w:rsidRPr="00776889">
        <w:rPr>
          <w:rFonts w:asciiTheme="minorHAnsi" w:eastAsia="MS PGothic" w:hAnsiTheme="minorHAnsi"/>
          <w:color w:val="000000"/>
          <w:szCs w:val="18"/>
          <w:lang w:val="en-US"/>
        </w:rPr>
        <w:t>chamber 6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776889">
        <w:rPr>
          <w:rFonts w:asciiTheme="minorHAnsi" w:eastAsia="MS PGothic" w:hAnsiTheme="minorHAnsi"/>
          <w:color w:val="000000"/>
          <w:szCs w:val="18"/>
          <w:lang w:val="en-US"/>
        </w:rPr>
        <w:t>with LM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S at different flow-times: </w:t>
      </w:r>
      <w:r w:rsidRPr="00776889">
        <w:rPr>
          <w:rFonts w:asciiTheme="minorHAnsi" w:eastAsia="MS PGothic" w:hAnsiTheme="minorHAnsi"/>
          <w:color w:val="000000"/>
          <w:szCs w:val="18"/>
          <w:lang w:val="en-US"/>
        </w:rPr>
        <w:t>(a</w:t>
      </w:r>
      <w:r w:rsidRPr="00EC3CB0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) </w:t>
      </w:r>
      <w:r w:rsidRPr="00EC3CB0">
        <w:rPr>
          <w:rFonts w:asciiTheme="minorHAnsi" w:eastAsia="MS PGothic" w:hAnsiTheme="minorHAnsi" w:cstheme="minorHAnsi"/>
          <w:color w:val="000000"/>
          <w:szCs w:val="18"/>
        </w:rPr>
        <w:t>8.00</w:t>
      </w:r>
      <m:oMath>
        <m:r>
          <w:rPr>
            <w:rFonts w:ascii="Cambria Math" w:eastAsia="MS PGothic" w:hAnsi="Cambria Math" w:cstheme="minorHAnsi"/>
            <w:color w:val="000000"/>
            <w:szCs w:val="18"/>
          </w:rPr>
          <m:t>×</m:t>
        </m:r>
        <m:sSup>
          <m:sSupPr>
            <m:ctrlPr>
              <w:rPr>
                <w:rFonts w:ascii="Cambria Math" w:eastAsia="MS PGothic" w:hAnsi="Cambria Math" w:cstheme="minorHAnsi"/>
                <w:i/>
                <w:iCs/>
                <w:color w:val="000000"/>
                <w:szCs w:val="18"/>
                <w:lang w:val="pt-PT"/>
              </w:rPr>
            </m:ctrlPr>
          </m:sSupPr>
          <m:e>
            <m:r>
              <w:rPr>
                <w:rFonts w:ascii="Cambria Math" w:eastAsia="MS PGothic" w:hAnsi="Cambria Math" w:cstheme="minorHAnsi"/>
                <w:color w:val="000000"/>
                <w:szCs w:val="18"/>
              </w:rPr>
              <m:t>10</m:t>
            </m:r>
          </m:e>
          <m:sup>
            <m:r>
              <w:rPr>
                <w:rFonts w:ascii="Cambria Math" w:eastAsia="MS PGothic" w:hAnsi="Cambria Math" w:cstheme="minorHAnsi"/>
                <w:color w:val="000000"/>
                <w:szCs w:val="18"/>
              </w:rPr>
              <m:t>-4</m:t>
            </m:r>
          </m:sup>
        </m:sSup>
      </m:oMath>
      <w:r w:rsidRPr="00EC3CB0">
        <w:rPr>
          <w:rFonts w:asciiTheme="minorHAnsi" w:eastAsia="MS PGothic" w:hAnsiTheme="minorHAnsi" w:cstheme="minorHAnsi"/>
          <w:iCs/>
          <w:color w:val="000000"/>
          <w:szCs w:val="18"/>
        </w:rPr>
        <w:t xml:space="preserve"> s</w:t>
      </w:r>
      <w:r w:rsidRPr="00EC3CB0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and </w:t>
      </w:r>
      <w:r w:rsidRPr="00EC3CB0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(b) </w:t>
      </w:r>
      <w:r w:rsidRPr="00EC3CB0">
        <w:rPr>
          <w:rFonts w:asciiTheme="minorHAnsi" w:eastAsia="MS PGothic" w:hAnsiTheme="minorHAnsi" w:cstheme="minorHAnsi"/>
          <w:color w:val="000000"/>
          <w:szCs w:val="18"/>
        </w:rPr>
        <w:t>3.50</w:t>
      </w:r>
      <m:oMath>
        <m:r>
          <w:rPr>
            <w:rFonts w:ascii="Cambria Math" w:eastAsia="MS PGothic" w:hAnsi="Cambria Math" w:cstheme="minorHAnsi"/>
            <w:color w:val="000000"/>
            <w:szCs w:val="18"/>
          </w:rPr>
          <m:t>×</m:t>
        </m:r>
        <m:sSup>
          <m:sSupPr>
            <m:ctrlPr>
              <w:rPr>
                <w:rFonts w:ascii="Cambria Math" w:eastAsia="MS PGothic" w:hAnsi="Cambria Math" w:cstheme="minorHAnsi"/>
                <w:i/>
                <w:iCs/>
                <w:color w:val="000000"/>
                <w:szCs w:val="18"/>
                <w:lang w:val="pt-PT"/>
              </w:rPr>
            </m:ctrlPr>
          </m:sSupPr>
          <m:e>
            <m:r>
              <w:rPr>
                <w:rFonts w:ascii="Cambria Math" w:eastAsia="MS PGothic" w:hAnsi="Cambria Math" w:cstheme="minorHAnsi"/>
                <w:color w:val="000000"/>
                <w:szCs w:val="18"/>
              </w:rPr>
              <m:t>10</m:t>
            </m:r>
          </m:e>
          <m:sup>
            <m:r>
              <w:rPr>
                <w:rFonts w:ascii="Cambria Math" w:eastAsia="MS PGothic" w:hAnsi="Cambria Math" w:cstheme="minorHAnsi"/>
                <w:color w:val="000000"/>
                <w:szCs w:val="18"/>
              </w:rPr>
              <m:t>-3</m:t>
            </m:r>
          </m:sup>
        </m:sSup>
      </m:oMath>
      <w:r w:rsidRPr="00EC3CB0">
        <w:rPr>
          <w:rFonts w:asciiTheme="minorHAnsi" w:eastAsia="MS PGothic" w:hAnsiTheme="minorHAnsi" w:cstheme="minorHAnsi"/>
          <w:iCs/>
          <w:color w:val="000000"/>
          <w:szCs w:val="18"/>
        </w:rPr>
        <w:t xml:space="preserve"> s</w:t>
      </w:r>
      <w:r>
        <w:rPr>
          <w:rFonts w:asciiTheme="minorHAnsi" w:eastAsia="MS PGothic" w:hAnsiTheme="minorHAnsi" w:cstheme="minorHAnsi"/>
          <w:iCs/>
          <w:color w:val="000000"/>
          <w:szCs w:val="18"/>
        </w:rPr>
        <w:t>.</w:t>
      </w:r>
    </w:p>
    <w:p w14:paraId="351DE343" w14:textId="77777777" w:rsidR="0068052F" w:rsidRPr="00081BA3" w:rsidRDefault="0068052F" w:rsidP="0068052F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56A45AF5" w14:textId="77777777" w:rsidR="0068052F" w:rsidRDefault="0068052F" w:rsidP="0068052F">
      <w:pPr>
        <w:snapToGrid w:val="0"/>
        <w:rPr>
          <w:rFonts w:asciiTheme="minorHAnsi" w:eastAsia="MS PGothic" w:hAnsiTheme="minorHAnsi"/>
          <w:iCs/>
          <w:color w:val="000000"/>
          <w:sz w:val="22"/>
          <w:szCs w:val="22"/>
        </w:rPr>
      </w:pPr>
      <w:r>
        <w:rPr>
          <w:rFonts w:asciiTheme="minorHAnsi" w:eastAsia="MS PGothic" w:hAnsiTheme="minorHAnsi"/>
          <w:iCs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iCs/>
          <w:color w:val="000000"/>
          <w:sz w:val="22"/>
          <w:szCs w:val="22"/>
        </w:rPr>
        <w:t>o study the mixing inside the chamber, the fraction of blue and red particles that leave chamber 6 through right or left channel was recorded using batch particles injections, i.e., maintaining the initial number of particles.</w:t>
      </w:r>
    </w:p>
    <w:p w14:paraId="7A423CC5" w14:textId="77777777" w:rsidR="0068052F" w:rsidRPr="008D0BEB" w:rsidRDefault="0068052F" w:rsidP="0068052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5A22549D" w14:textId="5D698E72" w:rsidR="0068052F" w:rsidRPr="001455BD" w:rsidRDefault="0068052F" w:rsidP="0068052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11" w:name="OLE_LINK28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Pr="00BE625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/d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5.75 to 5.95, the fraction of particles that go out </w:t>
      </w:r>
      <w:bookmarkStart w:id="12" w:name="OLE_LINK21"/>
      <w:bookmarkStart w:id="13" w:name="OLE_LINK22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</w:t>
      </w:r>
      <w:bookmarkEnd w:id="12"/>
      <w:bookmarkEnd w:id="13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same side from where they were injected is 0.9. This shows that only 10% of the particles are advected to the opposite side of the chamber. When </w:t>
      </w:r>
      <w:r w:rsidRPr="00102E0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D/d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between 6.55 and 6.95, the particles outlet distribution is 0.5 which represents complete mixture between the inlet streams. For larger </w:t>
      </w:r>
      <w:r w:rsidRPr="00102E0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D/d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particles out fraction grows apart from 0.5 again, e.g., at </w:t>
      </w:r>
      <w:r w:rsidRPr="00BE625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/d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7.25 the fraction is 0.8, i.e. only 20% of the particles are advected to the opposite side. Phase diagrams</w:t>
      </w:r>
      <w:r w:rsidR="00CA1F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 different structures of strange attractors which can be related to the mixture inside the chamber. Figure 3 shows that a good mixture</w:t>
      </w:r>
      <w:r w:rsidR="003235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associated to </w:t>
      </w:r>
      <w:r w:rsidR="003235F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strange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attractor</w:t>
      </w:r>
      <w:r w:rsidR="003235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a poor mixture is represented by </w:t>
      </w:r>
      <w:r w:rsidR="003235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disorganized structure. </w:t>
      </w:r>
      <w:bookmarkStart w:id="14" w:name="OLE_LINK3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structures clearly show the transition between turbulent (</w:t>
      </w:r>
      <w:r w:rsidRPr="009E025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D/d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5.75 and 7.2</w:t>
      </w:r>
      <w:r w:rsidR="007E6605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chaotic (</w:t>
      </w:r>
      <w:r w:rsidRPr="009E025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D/d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6.55 and 6.</w:t>
      </w:r>
      <w:r w:rsidR="004909A3">
        <w:rPr>
          <w:rFonts w:asciiTheme="minorHAnsi" w:eastAsia="MS PGothic" w:hAnsiTheme="minorHAnsi"/>
          <w:color w:val="000000"/>
          <w:sz w:val="22"/>
          <w:szCs w:val="22"/>
          <w:lang w:val="en-US"/>
        </w:rPr>
        <w:t>78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laminar flows and the best mix</w:t>
      </w:r>
      <w:r w:rsidR="0017275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NETmix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(50/50 outlet distribution) is obtained with chaotic flows.</w:t>
      </w:r>
      <w:bookmarkEnd w:id="14"/>
    </w:p>
    <w:p w14:paraId="7214FF65" w14:textId="7F591A3C" w:rsidR="0068052F" w:rsidRDefault="000056B1" w:rsidP="0068052F">
      <w:pPr>
        <w:snapToGrid w:val="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15" w:name="OLE_LINK29"/>
      <w:bookmarkEnd w:id="11"/>
      <w:r>
        <w:rPr>
          <w:noProof/>
        </w:rPr>
        <w:drawing>
          <wp:inline distT="0" distB="0" distL="0" distR="0" wp14:anchorId="185076E5" wp14:editId="4758D24A">
            <wp:extent cx="5530037" cy="1130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9583" cy="113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C944" w14:textId="4DCC7A79" w:rsidR="0068052F" w:rsidRDefault="0068052F" w:rsidP="0068052F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3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Normalized </w:t>
      </w:r>
      <w:r w:rsidR="00CA1F12">
        <w:rPr>
          <w:rFonts w:asciiTheme="minorHAnsi" w:eastAsia="MS PGothic" w:hAnsiTheme="minorHAnsi"/>
          <w:i/>
          <w:color w:val="000000"/>
          <w:szCs w:val="18"/>
          <w:lang w:val="en-US"/>
        </w:rPr>
        <w:t>Strain Rate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vs </w:t>
      </w:r>
      <w:r w:rsidR="00CA1F12">
        <w:rPr>
          <w:rFonts w:asciiTheme="minorHAnsi" w:eastAsia="MS PGothic" w:hAnsiTheme="minorHAnsi"/>
          <w:i/>
          <w:color w:val="000000"/>
          <w:szCs w:val="18"/>
          <w:lang w:val="en-US"/>
        </w:rPr>
        <w:t>Vorticity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for </w:t>
      </w:r>
      <w:r w:rsidRPr="00942029">
        <w:rPr>
          <w:rFonts w:asciiTheme="minorHAnsi" w:eastAsia="MS PGothic" w:hAnsiTheme="minorHAnsi"/>
          <w:i/>
          <w:color w:val="000000"/>
          <w:szCs w:val="18"/>
          <w:lang w:val="en-US"/>
        </w:rPr>
        <w:t>D</w:t>
      </w:r>
      <w:r>
        <w:rPr>
          <w:rFonts w:asciiTheme="minorHAnsi" w:eastAsia="MS PGothic" w:hAnsiTheme="minorHAnsi"/>
          <w:i/>
          <w:color w:val="000000"/>
          <w:szCs w:val="18"/>
          <w:lang w:val="en-US"/>
        </w:rPr>
        <w:t>/d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= 5.75, 6.55, 6.</w:t>
      </w:r>
      <w:r w:rsidR="004909A3">
        <w:rPr>
          <w:rFonts w:asciiTheme="minorHAnsi" w:eastAsia="MS PGothic" w:hAnsiTheme="minorHAnsi"/>
          <w:color w:val="000000"/>
          <w:szCs w:val="18"/>
          <w:lang w:val="en-US"/>
        </w:rPr>
        <w:t>78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and 7.25 in the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centre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of chamber 6.</w:t>
      </w:r>
    </w:p>
    <w:bookmarkEnd w:id="15"/>
    <w:p w14:paraId="75B40E0A" w14:textId="77777777" w:rsidR="0068052F" w:rsidRPr="008D0BEB" w:rsidRDefault="0068052F" w:rsidP="0068052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78B9BC2" w14:textId="2F8074BE" w:rsidR="0068052F" w:rsidRDefault="0068052F" w:rsidP="0068052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bookmarkStart w:id="16" w:name="OLE_LINK3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ratio </w:t>
      </w:r>
      <w:r w:rsidR="003235FE" w:rsidRPr="003235FE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D/d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</w:t>
      </w:r>
      <w:r w:rsidR="003235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 optimal range</w:t>
      </w:r>
      <w:r w:rsidR="003235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6.55 to 6.95</w:t>
      </w:r>
      <w:r w:rsidR="003235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mixing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NETmix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</w:t>
      </w:r>
      <w:r w:rsidR="00D54B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degree of mixing</w:t>
      </w:r>
      <w:r w:rsidR="003235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D54B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represented 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strange attractors</w:t>
      </w:r>
      <w:r w:rsidR="00D54B0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12018CB" w14:textId="77777777" w:rsidR="003235FE" w:rsidRDefault="003235FE" w:rsidP="003235FE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Acknowledgements</w:t>
      </w:r>
    </w:p>
    <w:p w14:paraId="103F5B3E" w14:textId="77777777" w:rsidR="003235FE" w:rsidRDefault="003235FE" w:rsidP="003235FE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3235FE">
        <w:rPr>
          <w:rFonts w:asciiTheme="minorHAnsi" w:eastAsia="MS PGothic" w:hAnsiTheme="minorHAnsi"/>
          <w:color w:val="000000"/>
          <w:sz w:val="20"/>
          <w:lang w:val="en-US"/>
        </w:rPr>
        <w:t>Fin</w:t>
      </w:r>
      <w:r>
        <w:rPr>
          <w:rFonts w:asciiTheme="minorHAnsi" w:eastAsia="MS PGothic" w:hAnsiTheme="minorHAnsi"/>
          <w:color w:val="000000"/>
          <w:sz w:val="20"/>
          <w:lang w:val="en-US"/>
        </w:rPr>
        <w:t>anced by</w:t>
      </w:r>
      <w:r w:rsidRPr="003235FE">
        <w:rPr>
          <w:rFonts w:asciiTheme="minorHAnsi" w:eastAsia="MS PGothic" w:hAnsiTheme="minorHAnsi"/>
          <w:color w:val="000000"/>
          <w:sz w:val="20"/>
        </w:rPr>
        <w:t>: NORTE-01-0145-FEDER-000006 - funded by NORTE2020 through PT2020 and ERDF; Associate Laboratory LSRE-LCM - UID/EQU/50020/2019 - funded by national funds through FCT/MCTES (PIDDAC).</w:t>
      </w:r>
      <w:bookmarkEnd w:id="16"/>
    </w:p>
    <w:p w14:paraId="61E31A58" w14:textId="1C129734" w:rsidR="0068052F" w:rsidRPr="003235FE" w:rsidRDefault="0068052F" w:rsidP="003235FE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60769D00" w14:textId="77777777" w:rsidR="0068052F" w:rsidRPr="003E3992" w:rsidRDefault="0068052F" w:rsidP="0068052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bookmarkStart w:id="17" w:name="OLE_LINK7"/>
      <w:r w:rsidRPr="003E3992">
        <w:rPr>
          <w:rFonts w:asciiTheme="minorHAnsi" w:hAnsiTheme="minorHAnsi"/>
          <w:color w:val="000000"/>
          <w:lang w:val="en-GB"/>
        </w:rPr>
        <w:t xml:space="preserve">P. E. </w:t>
      </w:r>
      <w:proofErr w:type="spellStart"/>
      <w:r w:rsidRPr="003E3992">
        <w:rPr>
          <w:rFonts w:asciiTheme="minorHAnsi" w:hAnsiTheme="minorHAnsi"/>
          <w:color w:val="000000"/>
          <w:lang w:val="en-GB"/>
        </w:rPr>
        <w:t>Laranjeira</w:t>
      </w:r>
      <w:proofErr w:type="spellEnd"/>
      <w:r w:rsidRPr="003E3992">
        <w:rPr>
          <w:rFonts w:asciiTheme="minorHAnsi" w:hAnsiTheme="minorHAnsi"/>
          <w:color w:val="000000"/>
          <w:lang w:val="en-GB"/>
        </w:rPr>
        <w:t>, NETMIX Static Mixer, PhD Thesis of University of Porto, 2005.</w:t>
      </w:r>
    </w:p>
    <w:bookmarkEnd w:id="17"/>
    <w:p w14:paraId="4171EC94" w14:textId="77777777" w:rsidR="0068052F" w:rsidRPr="007A7F3E" w:rsidRDefault="0068052F" w:rsidP="0068052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val="pt-PT" w:eastAsia="zh-CN"/>
        </w:rPr>
      </w:pPr>
      <w:r w:rsidRPr="007A7F3E">
        <w:rPr>
          <w:rFonts w:asciiTheme="minorHAnsi" w:eastAsia="SimSun" w:hAnsiTheme="minorHAnsi"/>
          <w:lang w:val="pt-PT" w:eastAsia="zh-CN"/>
        </w:rPr>
        <w:t xml:space="preserve">V. Silva, P.A. Quadros, P.E. Laranjeira, M.M. Dias, J.C.B. Lopes, J. </w:t>
      </w:r>
      <w:proofErr w:type="spellStart"/>
      <w:r w:rsidRPr="007A7F3E">
        <w:rPr>
          <w:rFonts w:asciiTheme="minorHAnsi" w:eastAsia="SimSun" w:hAnsiTheme="minorHAnsi"/>
          <w:lang w:val="pt-PT" w:eastAsia="zh-CN"/>
        </w:rPr>
        <w:t>Disper</w:t>
      </w:r>
      <w:proofErr w:type="spellEnd"/>
      <w:r w:rsidRPr="007A7F3E">
        <w:rPr>
          <w:rFonts w:asciiTheme="minorHAnsi" w:eastAsia="SimSun" w:hAnsiTheme="minorHAnsi"/>
          <w:lang w:val="pt-PT" w:eastAsia="zh-CN"/>
        </w:rPr>
        <w:t xml:space="preserve">. </w:t>
      </w:r>
      <w:proofErr w:type="spellStart"/>
      <w:r w:rsidRPr="007A7F3E">
        <w:rPr>
          <w:rFonts w:asciiTheme="minorHAnsi" w:eastAsia="SimSun" w:hAnsiTheme="minorHAnsi"/>
          <w:lang w:val="pt-PT" w:eastAsia="zh-CN"/>
        </w:rPr>
        <w:t>Sci</w:t>
      </w:r>
      <w:proofErr w:type="spellEnd"/>
      <w:r w:rsidRPr="007A7F3E">
        <w:rPr>
          <w:rFonts w:asciiTheme="minorHAnsi" w:eastAsia="SimSun" w:hAnsiTheme="minorHAnsi"/>
          <w:lang w:val="pt-PT" w:eastAsia="zh-CN"/>
        </w:rPr>
        <w:t xml:space="preserve">. </w:t>
      </w:r>
      <w:proofErr w:type="spellStart"/>
      <w:r w:rsidRPr="007A7F3E">
        <w:rPr>
          <w:rFonts w:asciiTheme="minorHAnsi" w:eastAsia="SimSun" w:hAnsiTheme="minorHAnsi"/>
          <w:lang w:val="pt-PT" w:eastAsia="zh-CN"/>
        </w:rPr>
        <w:t>Technol</w:t>
      </w:r>
      <w:proofErr w:type="spellEnd"/>
      <w:r w:rsidRPr="007A7F3E">
        <w:rPr>
          <w:rFonts w:asciiTheme="minorHAnsi" w:eastAsia="SimSun" w:hAnsiTheme="minorHAnsi"/>
          <w:lang w:val="pt-PT" w:eastAsia="zh-CN"/>
        </w:rPr>
        <w:t>. 29 (2008) 542-547.</w:t>
      </w:r>
    </w:p>
    <w:p w14:paraId="4A8DD2F7" w14:textId="6977FFB8" w:rsidR="0068052F" w:rsidRPr="004E7C0B" w:rsidRDefault="0068052F" w:rsidP="0068052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en-GB"/>
        </w:rPr>
      </w:pPr>
      <w:r>
        <w:rPr>
          <w:rFonts w:asciiTheme="minorHAnsi" w:hAnsiTheme="minorHAnsi"/>
          <w:color w:val="000000"/>
          <w:lang w:val="en-GB"/>
        </w:rPr>
        <w:t>M</w:t>
      </w:r>
      <w:r w:rsidRPr="003E3992">
        <w:rPr>
          <w:rFonts w:asciiTheme="minorHAnsi" w:hAnsiTheme="minorHAnsi"/>
          <w:color w:val="000000"/>
          <w:lang w:val="en-GB"/>
        </w:rPr>
        <w:t xml:space="preserve">. </w:t>
      </w:r>
      <w:r>
        <w:rPr>
          <w:rFonts w:asciiTheme="minorHAnsi" w:hAnsiTheme="minorHAnsi"/>
          <w:color w:val="000000"/>
          <w:lang w:val="en-GB"/>
        </w:rPr>
        <w:t>F</w:t>
      </w:r>
      <w:r w:rsidRPr="003E3992">
        <w:rPr>
          <w:rFonts w:asciiTheme="minorHAnsi" w:hAnsiTheme="minorHAnsi"/>
          <w:color w:val="000000"/>
          <w:lang w:val="en-GB"/>
        </w:rPr>
        <w:t xml:space="preserve">. </w:t>
      </w:r>
      <w:r>
        <w:rPr>
          <w:rFonts w:asciiTheme="minorHAnsi" w:hAnsiTheme="minorHAnsi"/>
          <w:color w:val="000000"/>
          <w:lang w:val="en-GB"/>
        </w:rPr>
        <w:t>Costa</w:t>
      </w:r>
      <w:r w:rsidRPr="003E3992">
        <w:rPr>
          <w:rFonts w:asciiTheme="minorHAnsi" w:hAnsiTheme="minorHAnsi"/>
          <w:color w:val="000000"/>
          <w:lang w:val="en-GB"/>
        </w:rPr>
        <w:t xml:space="preserve">, </w:t>
      </w:r>
      <w:r w:rsidRPr="00670864">
        <w:rPr>
          <w:rFonts w:asciiTheme="minorHAnsi" w:hAnsiTheme="minorHAnsi"/>
          <w:color w:val="000000"/>
          <w:lang w:val="en-GB"/>
        </w:rPr>
        <w:t xml:space="preserve">The </w:t>
      </w:r>
      <w:proofErr w:type="spellStart"/>
      <w:r w:rsidRPr="00670864">
        <w:rPr>
          <w:rFonts w:asciiTheme="minorHAnsi" w:hAnsiTheme="minorHAnsi"/>
          <w:color w:val="000000"/>
          <w:lang w:val="en-GB"/>
        </w:rPr>
        <w:t>NETmix</w:t>
      </w:r>
      <w:proofErr w:type="spellEnd"/>
      <w:r w:rsidRPr="00670864">
        <w:rPr>
          <w:rFonts w:asciiTheme="minorHAnsi" w:hAnsiTheme="minorHAnsi"/>
          <w:color w:val="000000"/>
          <w:lang w:val="en-GB"/>
        </w:rPr>
        <w:t>® Technology</w:t>
      </w:r>
      <w:r w:rsidR="003847C7">
        <w:rPr>
          <w:rFonts w:asciiTheme="minorHAnsi" w:hAnsiTheme="minorHAnsi"/>
          <w:color w:val="000000"/>
          <w:lang w:val="en-GB"/>
        </w:rPr>
        <w:t>, A</w:t>
      </w:r>
      <w:r w:rsidRPr="00670864">
        <w:rPr>
          <w:rFonts w:asciiTheme="minorHAnsi" w:hAnsiTheme="minorHAnsi"/>
          <w:color w:val="000000"/>
          <w:lang w:val="en-GB"/>
        </w:rPr>
        <w:t>pplied to Gas Hydrates Production</w:t>
      </w:r>
      <w:r w:rsidR="003847C7">
        <w:rPr>
          <w:rFonts w:asciiTheme="minorHAnsi" w:hAnsiTheme="minorHAnsi"/>
          <w:color w:val="000000"/>
          <w:lang w:val="en-GB"/>
        </w:rPr>
        <w:t xml:space="preserve">. </w:t>
      </w:r>
      <w:r w:rsidRPr="003E3992">
        <w:rPr>
          <w:rFonts w:asciiTheme="minorHAnsi" w:hAnsiTheme="minorHAnsi"/>
          <w:color w:val="000000"/>
          <w:lang w:val="en-GB"/>
        </w:rPr>
        <w:t>PhD Thesis of U</w:t>
      </w:r>
      <w:r w:rsidR="003847C7">
        <w:rPr>
          <w:rFonts w:asciiTheme="minorHAnsi" w:hAnsiTheme="minorHAnsi"/>
          <w:color w:val="000000"/>
          <w:lang w:val="en-GB"/>
        </w:rPr>
        <w:t xml:space="preserve">. </w:t>
      </w:r>
      <w:r w:rsidRPr="003E3992">
        <w:rPr>
          <w:rFonts w:asciiTheme="minorHAnsi" w:hAnsiTheme="minorHAnsi"/>
          <w:color w:val="000000"/>
          <w:lang w:val="en-GB"/>
        </w:rPr>
        <w:t>Porto, 20</w:t>
      </w:r>
      <w:r>
        <w:rPr>
          <w:rFonts w:asciiTheme="minorHAnsi" w:hAnsiTheme="minorHAnsi"/>
          <w:color w:val="000000"/>
          <w:lang w:val="en-GB"/>
        </w:rPr>
        <w:t>17</w:t>
      </w:r>
      <w:r w:rsidRPr="003E3992">
        <w:rPr>
          <w:rFonts w:asciiTheme="minorHAnsi" w:hAnsiTheme="minorHAnsi"/>
          <w:color w:val="000000"/>
          <w:lang w:val="en-GB"/>
        </w:rPr>
        <w:t>.</w:t>
      </w:r>
    </w:p>
    <w:p w14:paraId="3DE32878" w14:textId="77777777" w:rsidR="0068052F" w:rsidRPr="004B179E" w:rsidRDefault="0068052F" w:rsidP="0068052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708" w:hanging="708"/>
        <w:rPr>
          <w:rFonts w:asciiTheme="minorHAnsi" w:eastAsia="SimSun" w:hAnsiTheme="minorHAnsi"/>
          <w:sz w:val="22"/>
          <w:szCs w:val="22"/>
          <w:lang w:val="pt-PT" w:eastAsia="zh-CN"/>
        </w:rPr>
      </w:pPr>
      <w:r w:rsidRPr="007A7F3E">
        <w:rPr>
          <w:rFonts w:asciiTheme="minorHAnsi" w:hAnsiTheme="minorHAnsi"/>
          <w:color w:val="000000"/>
          <w:lang w:val="pt-PT"/>
        </w:rPr>
        <w:t xml:space="preserve">M. </w:t>
      </w:r>
      <w:r>
        <w:rPr>
          <w:rFonts w:asciiTheme="minorHAnsi" w:hAnsiTheme="minorHAnsi"/>
          <w:color w:val="000000"/>
          <w:lang w:val="pt-PT"/>
        </w:rPr>
        <w:t>J</w:t>
      </w:r>
      <w:r w:rsidRPr="007A7F3E">
        <w:rPr>
          <w:rFonts w:asciiTheme="minorHAnsi" w:hAnsiTheme="minorHAnsi"/>
          <w:color w:val="000000"/>
          <w:lang w:val="pt-PT"/>
        </w:rPr>
        <w:t xml:space="preserve">. </w:t>
      </w:r>
      <w:r>
        <w:rPr>
          <w:rFonts w:asciiTheme="minorHAnsi" w:hAnsiTheme="minorHAnsi"/>
          <w:color w:val="000000"/>
          <w:lang w:val="pt-PT"/>
        </w:rPr>
        <w:t>Lima</w:t>
      </w:r>
      <w:r w:rsidRPr="007A7F3E">
        <w:rPr>
          <w:rFonts w:asciiTheme="minorHAnsi" w:hAnsiTheme="minorHAnsi"/>
          <w:color w:val="000000"/>
          <w:lang w:val="pt-PT"/>
        </w:rPr>
        <w:t xml:space="preserve">, </w:t>
      </w:r>
      <w:r>
        <w:rPr>
          <w:rFonts w:asciiTheme="minorHAnsi" w:hAnsiTheme="minorHAnsi"/>
          <w:color w:val="000000"/>
          <w:lang w:val="pt-PT"/>
        </w:rPr>
        <w:t>A</w:t>
      </w:r>
      <w:r w:rsidRPr="007A7F3E">
        <w:rPr>
          <w:rFonts w:asciiTheme="minorHAnsi" w:hAnsiTheme="minorHAnsi"/>
          <w:color w:val="000000"/>
          <w:lang w:val="pt-PT"/>
        </w:rPr>
        <w:t>.M.</w:t>
      </w:r>
      <w:r>
        <w:rPr>
          <w:rFonts w:asciiTheme="minorHAnsi" w:hAnsiTheme="minorHAnsi"/>
          <w:color w:val="000000"/>
          <w:lang w:val="pt-PT"/>
        </w:rPr>
        <w:t>T.</w:t>
      </w:r>
      <w:r w:rsidRPr="007A7F3E">
        <w:rPr>
          <w:rFonts w:asciiTheme="minorHAnsi" w:hAnsiTheme="minorHAnsi"/>
          <w:color w:val="000000"/>
          <w:lang w:val="pt-PT"/>
        </w:rPr>
        <w:t xml:space="preserve"> </w:t>
      </w:r>
      <w:r>
        <w:rPr>
          <w:rFonts w:asciiTheme="minorHAnsi" w:hAnsiTheme="minorHAnsi"/>
          <w:color w:val="000000"/>
          <w:lang w:val="pt-PT"/>
        </w:rPr>
        <w:t>Silva</w:t>
      </w:r>
      <w:r w:rsidRPr="007A7F3E">
        <w:rPr>
          <w:rFonts w:asciiTheme="minorHAnsi" w:hAnsiTheme="minorHAnsi"/>
          <w:color w:val="000000"/>
          <w:lang w:val="pt-PT"/>
        </w:rPr>
        <w:t xml:space="preserve">, </w:t>
      </w:r>
      <w:r>
        <w:rPr>
          <w:rFonts w:asciiTheme="minorHAnsi" w:hAnsiTheme="minorHAnsi"/>
          <w:color w:val="000000"/>
          <w:lang w:val="pt-PT"/>
        </w:rPr>
        <w:t>C.G. Silva, J.L. Faria</w:t>
      </w:r>
      <w:r w:rsidRPr="007A7F3E">
        <w:rPr>
          <w:rFonts w:asciiTheme="minorHAnsi" w:hAnsiTheme="minorHAnsi"/>
          <w:color w:val="000000"/>
          <w:lang w:val="pt-PT"/>
        </w:rPr>
        <w:t>, J.C.B.</w:t>
      </w:r>
      <w:r>
        <w:rPr>
          <w:rFonts w:asciiTheme="minorHAnsi" w:hAnsiTheme="minorHAnsi"/>
          <w:color w:val="000000"/>
          <w:lang w:val="pt-PT"/>
        </w:rPr>
        <w:t xml:space="preserve"> </w:t>
      </w:r>
      <w:r w:rsidRPr="007A7F3E">
        <w:rPr>
          <w:rFonts w:asciiTheme="minorHAnsi" w:hAnsiTheme="minorHAnsi"/>
          <w:color w:val="000000"/>
          <w:lang w:val="pt-PT"/>
        </w:rPr>
        <w:t>Lopes, M.M. Dias</w:t>
      </w:r>
      <w:r>
        <w:rPr>
          <w:rFonts w:asciiTheme="minorHAnsi" w:hAnsiTheme="minorHAnsi"/>
          <w:color w:val="000000"/>
          <w:lang w:val="pt-PT"/>
        </w:rPr>
        <w:t xml:space="preserve">, </w:t>
      </w:r>
      <w:proofErr w:type="spellStart"/>
      <w:r>
        <w:rPr>
          <w:rFonts w:asciiTheme="minorHAnsi" w:hAnsiTheme="minorHAnsi"/>
          <w:color w:val="000000"/>
          <w:lang w:val="pt-PT"/>
        </w:rPr>
        <w:t>Chem</w:t>
      </w:r>
      <w:proofErr w:type="spellEnd"/>
      <w:r>
        <w:rPr>
          <w:rFonts w:asciiTheme="minorHAnsi" w:hAnsiTheme="minorHAnsi"/>
          <w:color w:val="000000"/>
          <w:lang w:val="pt-PT"/>
        </w:rPr>
        <w:t>. Eng.</w:t>
      </w:r>
      <w:r w:rsidRPr="007A7F3E">
        <w:rPr>
          <w:rFonts w:asciiTheme="minorHAnsi" w:hAnsiTheme="minorHAnsi"/>
          <w:color w:val="000000"/>
          <w:lang w:val="pt-PT"/>
        </w:rPr>
        <w:t xml:space="preserve"> J. </w:t>
      </w:r>
      <w:r>
        <w:rPr>
          <w:rFonts w:asciiTheme="minorHAnsi" w:hAnsiTheme="minorHAnsi"/>
          <w:color w:val="000000"/>
          <w:lang w:val="pt-PT"/>
        </w:rPr>
        <w:t>287</w:t>
      </w:r>
      <w:r w:rsidRPr="007A7F3E">
        <w:rPr>
          <w:rFonts w:asciiTheme="minorHAnsi" w:hAnsiTheme="minorHAnsi"/>
          <w:color w:val="000000"/>
          <w:lang w:val="pt-PT"/>
        </w:rPr>
        <w:t xml:space="preserve"> (2017) </w:t>
      </w:r>
      <w:r>
        <w:rPr>
          <w:rFonts w:asciiTheme="minorHAnsi" w:hAnsiTheme="minorHAnsi"/>
          <w:color w:val="000000"/>
          <w:lang w:val="pt-PT"/>
        </w:rPr>
        <w:t>419</w:t>
      </w:r>
      <w:r w:rsidRPr="007A7F3E">
        <w:rPr>
          <w:rFonts w:asciiTheme="minorHAnsi" w:hAnsiTheme="minorHAnsi"/>
          <w:color w:val="000000"/>
          <w:lang w:val="pt-PT"/>
        </w:rPr>
        <w:t>-</w:t>
      </w:r>
      <w:r>
        <w:rPr>
          <w:rFonts w:asciiTheme="minorHAnsi" w:hAnsiTheme="minorHAnsi"/>
          <w:color w:val="000000"/>
          <w:lang w:val="pt-PT"/>
        </w:rPr>
        <w:t>424</w:t>
      </w:r>
      <w:r w:rsidRPr="007A7F3E">
        <w:rPr>
          <w:rFonts w:asciiTheme="minorHAnsi" w:hAnsiTheme="minorHAnsi"/>
          <w:color w:val="000000"/>
          <w:lang w:val="pt-PT"/>
        </w:rPr>
        <w:t>.</w:t>
      </w:r>
    </w:p>
    <w:p w14:paraId="2CA05F32" w14:textId="77777777" w:rsidR="00682321" w:rsidRPr="0068052F" w:rsidRDefault="0068052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val="pt-PT" w:eastAsia="zh-CN"/>
        </w:rPr>
      </w:pPr>
      <w:r w:rsidRPr="009D2899">
        <w:rPr>
          <w:rFonts w:asciiTheme="minorHAnsi" w:eastAsia="SimSun" w:hAnsiTheme="minorHAnsi"/>
          <w:lang w:val="pt-PT" w:eastAsia="zh-CN"/>
        </w:rPr>
        <w:t xml:space="preserve">J. Matos, M.S.C.A. Brito, M.M. Dias, J.C.B. Lopes, R.J. Santos, </w:t>
      </w:r>
      <w:proofErr w:type="spellStart"/>
      <w:r w:rsidRPr="009D2899">
        <w:rPr>
          <w:rFonts w:asciiTheme="minorHAnsi" w:eastAsia="SimSun" w:hAnsiTheme="minorHAnsi"/>
          <w:lang w:val="pt-PT" w:eastAsia="zh-CN"/>
        </w:rPr>
        <w:t>Chem</w:t>
      </w:r>
      <w:proofErr w:type="spellEnd"/>
      <w:r w:rsidRPr="009D2899">
        <w:rPr>
          <w:rFonts w:asciiTheme="minorHAnsi" w:eastAsia="SimSun" w:hAnsiTheme="minorHAnsi"/>
          <w:lang w:val="pt-PT" w:eastAsia="zh-CN"/>
        </w:rPr>
        <w:t xml:space="preserve">. Eng. </w:t>
      </w:r>
      <w:proofErr w:type="spellStart"/>
      <w:r w:rsidRPr="009D2899">
        <w:rPr>
          <w:rFonts w:asciiTheme="minorHAnsi" w:eastAsia="SimSun" w:hAnsiTheme="minorHAnsi"/>
          <w:lang w:val="pt-PT" w:eastAsia="zh-CN"/>
        </w:rPr>
        <w:t>Sci</w:t>
      </w:r>
      <w:proofErr w:type="spellEnd"/>
      <w:r w:rsidRPr="009D2899">
        <w:rPr>
          <w:rFonts w:asciiTheme="minorHAnsi" w:eastAsia="SimSun" w:hAnsiTheme="minorHAnsi"/>
          <w:lang w:val="pt-PT" w:eastAsia="zh-CN"/>
        </w:rPr>
        <w:t>. 192 (2018) 199-210</w:t>
      </w:r>
      <w:r>
        <w:rPr>
          <w:rFonts w:asciiTheme="minorHAnsi" w:eastAsia="SimSun" w:hAnsiTheme="minorHAnsi"/>
          <w:lang w:val="pt-PT" w:eastAsia="zh-CN"/>
        </w:rPr>
        <w:t>.</w:t>
      </w:r>
    </w:p>
    <w:sectPr w:rsidR="00682321" w:rsidRPr="0068052F" w:rsidSect="002065DB">
      <w:headerReference w:type="default" r:id="rId13"/>
      <w:headerReference w:type="first" r:id="rId14"/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2F36" w14:textId="77777777" w:rsidR="00241A13" w:rsidRDefault="00241A13" w:rsidP="004F5E36">
      <w:r>
        <w:separator/>
      </w:r>
    </w:p>
  </w:endnote>
  <w:endnote w:type="continuationSeparator" w:id="0">
    <w:p w14:paraId="5C9713AA" w14:textId="77777777" w:rsidR="00241A13" w:rsidRDefault="00241A1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FF2EA" w14:textId="77777777" w:rsidR="00241A13" w:rsidRDefault="00241A13" w:rsidP="004F5E36">
      <w:r>
        <w:separator/>
      </w:r>
    </w:p>
  </w:footnote>
  <w:footnote w:type="continuationSeparator" w:id="0">
    <w:p w14:paraId="2353F0EB" w14:textId="77777777" w:rsidR="00241A13" w:rsidRDefault="00241A1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C4848" w14:textId="77777777" w:rsidR="0068052F" w:rsidRDefault="0068052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3FEB00" wp14:editId="70273E2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3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288FBD" id="Connettore 1 8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yA0QEAAP8DAAAOAAAAZHJzL2Uyb0RvYy54bWysU9uK2zAQfS/0H4TeG9spCcHE2Ycs25fS&#10;hl4+QJFHiUA3Rmrs/H1HcuJduoWF0hfZI805mnNmtH0YrWEXwKi963izqDkDJ32v3anjP388fdhw&#10;FpNwvTDeQcevEPnD7v277RBaWPqzNz0gIxIX2yF0/JxSaKsqyjNYERc+gKND5dGKRCGeqh7FQOzW&#10;VMu6XleDxz6glxAj7T5Oh3xX+JUCmb4qFSEx03GqLZUVy3rMa7XbivaEIpy1vJUh/qEKK7SjS2eq&#10;R5EE+4X6FZXVEn30Ki2kt5VXSksoGkhNU/+h5vtZBChayJwYZpvi/6OVXy4HZLrv+EfOnLDUor13&#10;DlLyCKxhm3W2aAixpcy9O+AtiuGAWe+o0OYvKWFjsfU62wpjYpI2V6tNs16R+/J+Vj0DA8b0Cbxl&#10;+afjRrusWLTi8jkmuoxS7yl527i8Rm90/6SNKQGejnuD7CJyj+tlvS5tJeCLNIoytMpKptrLX7oa&#10;mGi/gSIbqNplub4MIMy0QkpwaZm9KEyUnWGKSpiB9dvAW36GQhnOGdy8DZ4R5Wbv0gy22nn8G0Ea&#10;m1vJasq/OzDpzhYcfX8tXS3W0JQVhbcXkcf4ZVzgz+929xs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rwycgNEBAAD/Aw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2C887899" wp14:editId="0A8746F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5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D6F1" w14:textId="77777777" w:rsidR="0068052F" w:rsidRPr="00DE0019" w:rsidRDefault="006805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2BB6E12" wp14:editId="6B7A5C5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6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2824AE33" w14:textId="77777777" w:rsidR="0068052F" w:rsidRDefault="0068052F">
    <w:pPr>
      <w:pStyle w:val="Cabealho"/>
    </w:pPr>
  </w:p>
  <w:p w14:paraId="223B9B6B" w14:textId="77777777" w:rsidR="0068052F" w:rsidRDefault="0068052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34569C" wp14:editId="02EB7EA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4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A6BAD" id="Connettore 1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Ks0gEAAP8DAAAOAAAAZHJzL2Uyb0RvYy54bWysU8tu2zAQvBfoPxC8x5KM2AgEyzk4SC9F&#10;a/TxATS1tAnwhSVryX/fJWUrQVMgQNHLSkvuDHdmyc3jaA07A0btXcebRc0ZOOl77Y4d//nj+e6B&#10;s5iE64XxDjp+gcgftx8/bIbQwtKfvOkBGZG42A6h46eUQltVUZ7AirjwARxtKo9WJErxWPUoBmK3&#10;plrW9boaPPYBvYQYafVp2uTbwq8UyPRVqQiJmY5Tb6lELPGQY7XdiPaIIpy0vLYh/qELK7SjQ2eq&#10;J5EE+4X6DZXVEn30Ki2kt5VXSksoGkhNU/+h5vtJBChayJwYZpvi/6OVX857ZLrv+D1nTlga0c47&#10;Byl5BNawZpktGkJsqXLn9njNYthj1jsqtPlLSthYbL3MtsKYmKTF1eqhWa/IfXnbq16AAWP6BN6y&#10;/NNxo11WLFpx/hwTHUalt5K8bFyO0RvdP2tjSoLHw84gO4s843pZr8tYCfiqjLIMrbKSqffyly4G&#10;JtpvoMgG6nZZji8XEGZaISW4VLwoTFSdYYpamIH1+8BrfYZCuZwzuHkfPCPKyd6lGWy18/g3gjQ2&#10;eXzUsprqbw5MurMFB99fylSLNXTLSvn1ReRr/Dov8Jd3u/0NAAD//wMAUEsDBBQABgAIAAAAIQA2&#10;bRiE2wAAAAgBAAAPAAAAZHJzL2Rvd25yZXYueG1sTI/NTsMwEITvSLyDtUjcqEPETxPiVAgJENxa&#10;kCJu23hJAvE6jd0mvD2LOMBxZ0az3xSr2fXqQGPoPBs4XySgiGtvO24MvL7cny1BhYhssfdMBr4o&#10;wKo8Piowt37iNR02sVFSwiFHA22MQ651qFtyGBZ+IBbv3Y8Oo5xjo+2Ik5S7XqdJcqUddiwfWhzo&#10;rqX6c7N3Bt6erMbKTtf8UFWPz83FLrv82BlzejLf3oCKNMe/MPzgCzqUwrT1e7ZB9QbSJJWk6KlM&#10;En+ZZSJsfwVdFvr/gPIbAAD//wMAUEsBAi0AFAAGAAgAAAAhALaDOJL+AAAA4QEAABMAAAAAAAAA&#10;AAAAAAAAAAAAAFtDb250ZW50X1R5cGVzXS54bWxQSwECLQAUAAYACAAAACEAOP0h/9YAAACUAQAA&#10;CwAAAAAAAAAAAAAAAAAvAQAAX3JlbHMvLnJlbHNQSwECLQAUAAYACAAAACEAy4DSrNIBAAD/AwAA&#10;DgAAAAAAAAAAAAAAAAAuAgAAZHJzL2Uyb0RvYy54bWxQSwECLQAUAAYACAAAACEANm0YhNsAAAAI&#10;AQAADwAAAAAAAAAAAAAAAAAs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D317" w14:textId="77777777" w:rsidR="00AB0A71" w:rsidRDefault="00AB0A71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66C0A9" wp14:editId="43F9CDC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157B5C9" wp14:editId="7CE5DB33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C3B92" w14:textId="77777777" w:rsidR="00AB0A71" w:rsidRPr="00DE0019" w:rsidRDefault="00AB0A71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917250C" wp14:editId="27F4F808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2FF5F056" w14:textId="77777777" w:rsidR="00AB0A71" w:rsidRDefault="00AB0A71">
    <w:pPr>
      <w:pStyle w:val="Cabealho"/>
    </w:pPr>
  </w:p>
  <w:p w14:paraId="0911D1BC" w14:textId="77777777" w:rsidR="00AB0A71" w:rsidRDefault="00AB0A71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C06FF" wp14:editId="4305586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824FD"/>
    <w:multiLevelType w:val="hybridMultilevel"/>
    <w:tmpl w:val="DE18BB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56B1"/>
    <w:rsid w:val="000117CB"/>
    <w:rsid w:val="0002161A"/>
    <w:rsid w:val="00027A7E"/>
    <w:rsid w:val="0003148D"/>
    <w:rsid w:val="00040BF0"/>
    <w:rsid w:val="00043315"/>
    <w:rsid w:val="00054252"/>
    <w:rsid w:val="000574FD"/>
    <w:rsid w:val="00062A9A"/>
    <w:rsid w:val="00081BA3"/>
    <w:rsid w:val="000A03B2"/>
    <w:rsid w:val="000A4E7A"/>
    <w:rsid w:val="000B0B06"/>
    <w:rsid w:val="000D34BE"/>
    <w:rsid w:val="000E36F1"/>
    <w:rsid w:val="000E3A73"/>
    <w:rsid w:val="000E414A"/>
    <w:rsid w:val="00102E0F"/>
    <w:rsid w:val="00124171"/>
    <w:rsid w:val="0013121F"/>
    <w:rsid w:val="00134DE4"/>
    <w:rsid w:val="001455BD"/>
    <w:rsid w:val="00150C7C"/>
    <w:rsid w:val="00150E59"/>
    <w:rsid w:val="0017275E"/>
    <w:rsid w:val="001837B0"/>
    <w:rsid w:val="00184AD6"/>
    <w:rsid w:val="001910EC"/>
    <w:rsid w:val="001B65C1"/>
    <w:rsid w:val="001C684B"/>
    <w:rsid w:val="001D53FC"/>
    <w:rsid w:val="001E4246"/>
    <w:rsid w:val="001F2EC7"/>
    <w:rsid w:val="00205B88"/>
    <w:rsid w:val="002065DB"/>
    <w:rsid w:val="00215668"/>
    <w:rsid w:val="0021659A"/>
    <w:rsid w:val="00241A13"/>
    <w:rsid w:val="002447EF"/>
    <w:rsid w:val="00251550"/>
    <w:rsid w:val="00271F96"/>
    <w:rsid w:val="0027221A"/>
    <w:rsid w:val="00273CB1"/>
    <w:rsid w:val="00274185"/>
    <w:rsid w:val="00275B61"/>
    <w:rsid w:val="00295A8C"/>
    <w:rsid w:val="002C6458"/>
    <w:rsid w:val="002D1F12"/>
    <w:rsid w:val="002F1BB5"/>
    <w:rsid w:val="003009B7"/>
    <w:rsid w:val="0030469C"/>
    <w:rsid w:val="003235FE"/>
    <w:rsid w:val="00360371"/>
    <w:rsid w:val="003723D4"/>
    <w:rsid w:val="003750B2"/>
    <w:rsid w:val="00380E5E"/>
    <w:rsid w:val="003847C7"/>
    <w:rsid w:val="00391D0E"/>
    <w:rsid w:val="003A7D1C"/>
    <w:rsid w:val="003E2AE8"/>
    <w:rsid w:val="003E3992"/>
    <w:rsid w:val="003F566E"/>
    <w:rsid w:val="004101DD"/>
    <w:rsid w:val="00423F9C"/>
    <w:rsid w:val="0046164A"/>
    <w:rsid w:val="00462DCD"/>
    <w:rsid w:val="004909A3"/>
    <w:rsid w:val="00494ED3"/>
    <w:rsid w:val="00495C4D"/>
    <w:rsid w:val="004B179E"/>
    <w:rsid w:val="004D1162"/>
    <w:rsid w:val="004E4DD6"/>
    <w:rsid w:val="004E5997"/>
    <w:rsid w:val="004E7C0B"/>
    <w:rsid w:val="004F5E36"/>
    <w:rsid w:val="005119A5"/>
    <w:rsid w:val="00525B09"/>
    <w:rsid w:val="005278B7"/>
    <w:rsid w:val="005346C8"/>
    <w:rsid w:val="005664DF"/>
    <w:rsid w:val="00594E9F"/>
    <w:rsid w:val="005A3E64"/>
    <w:rsid w:val="005B61E6"/>
    <w:rsid w:val="005C77E1"/>
    <w:rsid w:val="005D6A2F"/>
    <w:rsid w:val="005E1A82"/>
    <w:rsid w:val="005F0A28"/>
    <w:rsid w:val="005F0E5E"/>
    <w:rsid w:val="005F1B2B"/>
    <w:rsid w:val="006015F4"/>
    <w:rsid w:val="00620DEE"/>
    <w:rsid w:val="00625639"/>
    <w:rsid w:val="00635DA4"/>
    <w:rsid w:val="0064184D"/>
    <w:rsid w:val="00645247"/>
    <w:rsid w:val="00660E3E"/>
    <w:rsid w:val="00660F22"/>
    <w:rsid w:val="00662E74"/>
    <w:rsid w:val="00670864"/>
    <w:rsid w:val="0068052F"/>
    <w:rsid w:val="00682321"/>
    <w:rsid w:val="006A58D2"/>
    <w:rsid w:val="006C5579"/>
    <w:rsid w:val="00704BDF"/>
    <w:rsid w:val="00736B13"/>
    <w:rsid w:val="007447F3"/>
    <w:rsid w:val="00752937"/>
    <w:rsid w:val="007661C8"/>
    <w:rsid w:val="00766E03"/>
    <w:rsid w:val="00776889"/>
    <w:rsid w:val="007A7F3E"/>
    <w:rsid w:val="007B5B8A"/>
    <w:rsid w:val="007D52CD"/>
    <w:rsid w:val="007E6478"/>
    <w:rsid w:val="007E6605"/>
    <w:rsid w:val="007F7414"/>
    <w:rsid w:val="00813288"/>
    <w:rsid w:val="008168FC"/>
    <w:rsid w:val="00833445"/>
    <w:rsid w:val="008479A2"/>
    <w:rsid w:val="008539D0"/>
    <w:rsid w:val="008708B1"/>
    <w:rsid w:val="0087637F"/>
    <w:rsid w:val="008770D2"/>
    <w:rsid w:val="00895729"/>
    <w:rsid w:val="008A004B"/>
    <w:rsid w:val="008A1512"/>
    <w:rsid w:val="008C17BD"/>
    <w:rsid w:val="008C3142"/>
    <w:rsid w:val="008D0581"/>
    <w:rsid w:val="008D0BEB"/>
    <w:rsid w:val="008E566E"/>
    <w:rsid w:val="00901EB6"/>
    <w:rsid w:val="00914D9D"/>
    <w:rsid w:val="00942029"/>
    <w:rsid w:val="009450CE"/>
    <w:rsid w:val="0095164B"/>
    <w:rsid w:val="00992C82"/>
    <w:rsid w:val="00996483"/>
    <w:rsid w:val="009A066D"/>
    <w:rsid w:val="009C2DE3"/>
    <w:rsid w:val="009D2899"/>
    <w:rsid w:val="009E0250"/>
    <w:rsid w:val="009E788A"/>
    <w:rsid w:val="00A11ACF"/>
    <w:rsid w:val="00A12A0A"/>
    <w:rsid w:val="00A1763D"/>
    <w:rsid w:val="00A17CEC"/>
    <w:rsid w:val="00A27EF0"/>
    <w:rsid w:val="00A5044D"/>
    <w:rsid w:val="00A51410"/>
    <w:rsid w:val="00A76EFC"/>
    <w:rsid w:val="00A9626B"/>
    <w:rsid w:val="00A97F29"/>
    <w:rsid w:val="00AB0964"/>
    <w:rsid w:val="00AB0A71"/>
    <w:rsid w:val="00AC6109"/>
    <w:rsid w:val="00AE1CBA"/>
    <w:rsid w:val="00AE1EF6"/>
    <w:rsid w:val="00AE377D"/>
    <w:rsid w:val="00B305FF"/>
    <w:rsid w:val="00B61DBF"/>
    <w:rsid w:val="00B81C78"/>
    <w:rsid w:val="00BA2F0D"/>
    <w:rsid w:val="00BA7A2E"/>
    <w:rsid w:val="00BC30C9"/>
    <w:rsid w:val="00BD0B8A"/>
    <w:rsid w:val="00BD59A2"/>
    <w:rsid w:val="00BD70EE"/>
    <w:rsid w:val="00BE2701"/>
    <w:rsid w:val="00BE3E58"/>
    <w:rsid w:val="00BE6255"/>
    <w:rsid w:val="00BF05C4"/>
    <w:rsid w:val="00BF29DB"/>
    <w:rsid w:val="00C01616"/>
    <w:rsid w:val="00C0162B"/>
    <w:rsid w:val="00C13D57"/>
    <w:rsid w:val="00C345B1"/>
    <w:rsid w:val="00C34814"/>
    <w:rsid w:val="00C35A2B"/>
    <w:rsid w:val="00C40142"/>
    <w:rsid w:val="00C57182"/>
    <w:rsid w:val="00C655FD"/>
    <w:rsid w:val="00C70956"/>
    <w:rsid w:val="00C867B1"/>
    <w:rsid w:val="00C94434"/>
    <w:rsid w:val="00CA1C95"/>
    <w:rsid w:val="00CA1F12"/>
    <w:rsid w:val="00CA5A9C"/>
    <w:rsid w:val="00CB059B"/>
    <w:rsid w:val="00CD3EF2"/>
    <w:rsid w:val="00CD5FE2"/>
    <w:rsid w:val="00CE2511"/>
    <w:rsid w:val="00D02B4C"/>
    <w:rsid w:val="00D04EBC"/>
    <w:rsid w:val="00D10CD1"/>
    <w:rsid w:val="00D24A98"/>
    <w:rsid w:val="00D54B02"/>
    <w:rsid w:val="00D84576"/>
    <w:rsid w:val="00DA0A21"/>
    <w:rsid w:val="00DA3DB6"/>
    <w:rsid w:val="00DE0019"/>
    <w:rsid w:val="00DE264A"/>
    <w:rsid w:val="00DE64C9"/>
    <w:rsid w:val="00DF17B5"/>
    <w:rsid w:val="00DF1834"/>
    <w:rsid w:val="00E041E7"/>
    <w:rsid w:val="00E23CA1"/>
    <w:rsid w:val="00E409A8"/>
    <w:rsid w:val="00E61035"/>
    <w:rsid w:val="00E7209D"/>
    <w:rsid w:val="00E82031"/>
    <w:rsid w:val="00E93077"/>
    <w:rsid w:val="00EA04F7"/>
    <w:rsid w:val="00EA50E1"/>
    <w:rsid w:val="00EC3CB0"/>
    <w:rsid w:val="00EC7B41"/>
    <w:rsid w:val="00EE0131"/>
    <w:rsid w:val="00F12372"/>
    <w:rsid w:val="00F30C64"/>
    <w:rsid w:val="00F846AE"/>
    <w:rsid w:val="00FB730C"/>
    <w:rsid w:val="00FC2695"/>
    <w:rsid w:val="00FC3E03"/>
    <w:rsid w:val="00FE6A2D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6AAB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te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arte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arte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314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arter"/>
    <w:uiPriority w:val="99"/>
    <w:semiHidden/>
    <w:unhideWhenUsed/>
    <w:locked/>
    <w:rsid w:val="0003148D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03148D"/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03148D"/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locked/>
    <w:rsid w:val="0003148D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03148D"/>
  </w:style>
  <w:style w:type="paragraph" w:styleId="Rematedecarta">
    <w:name w:val="Closing"/>
    <w:basedOn w:val="Normal"/>
    <w:link w:val="Rematedecart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03148D"/>
  </w:style>
  <w:style w:type="paragraph" w:styleId="ndice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arte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locked/>
    <w:rsid w:val="0003148D"/>
    <w:pPr>
      <w:spacing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03148D"/>
  </w:style>
  <w:style w:type="paragraph" w:styleId="Mapadodocumento">
    <w:name w:val="Document Map"/>
    <w:basedOn w:val="Normal"/>
    <w:link w:val="MapadodocumentoCarte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03148D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3148D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03148D"/>
  </w:style>
  <w:style w:type="paragraph" w:styleId="Listacommarc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03148D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148D"/>
    <w:rPr>
      <w:sz w:val="16"/>
      <w:szCs w:val="16"/>
    </w:rPr>
  </w:style>
  <w:style w:type="paragraph" w:styleId="Avan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148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03148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148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arte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endiceremissivo">
    <w:name w:val="index heading"/>
    <w:basedOn w:val="Normal"/>
    <w:next w:val="ndice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Cabealh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Tipodeletrapredefinidodopar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elha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xtodoMarcadordePosio">
    <w:name w:val="Placeholder Text"/>
    <w:basedOn w:val="Tipodeletrapredefinidodopargrafo"/>
    <w:uiPriority w:val="99"/>
    <w:semiHidden/>
    <w:locked/>
    <w:rsid w:val="00380E5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A5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6E24-59E9-4C63-BEF5-B84D849F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Joana Matos</cp:lastModifiedBy>
  <cp:revision>17</cp:revision>
  <cp:lastPrinted>2015-05-12T18:31:00Z</cp:lastPrinted>
  <dcterms:created xsi:type="dcterms:W3CDTF">2019-01-15T22:26:00Z</dcterms:created>
  <dcterms:modified xsi:type="dcterms:W3CDTF">2019-08-11T00:35:00Z</dcterms:modified>
</cp:coreProperties>
</file>