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9E0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48340F6" w14:textId="7732C0B0" w:rsidR="00704BDF" w:rsidRPr="00DE0019" w:rsidRDefault="00ED0CF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BA7A49">
        <w:rPr>
          <w:rFonts w:asciiTheme="minorHAnsi" w:eastAsia="MS PGothic" w:hAnsiTheme="minorHAnsi"/>
          <w:b/>
          <w:bCs/>
          <w:sz w:val="28"/>
          <w:szCs w:val="28"/>
          <w:lang w:val="en-US"/>
        </w:rPr>
        <w:t>Performances</w:t>
      </w:r>
      <w:r w:rsidR="00783177" w:rsidRPr="00BA7A4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</w:t>
      </w:r>
      <w:r w:rsidR="00E55C5D" w:rsidRPr="00BA7A49">
        <w:rPr>
          <w:rFonts w:asciiTheme="minorHAnsi" w:eastAsia="MS PGothic" w:hAnsiTheme="minorHAnsi"/>
          <w:b/>
          <w:bCs/>
          <w:sz w:val="28"/>
          <w:szCs w:val="28"/>
          <w:lang w:val="en-US"/>
        </w:rPr>
        <w:t>a C</w:t>
      </w:r>
      <w:r w:rsidR="00862A17" w:rsidRPr="00BA7A49">
        <w:rPr>
          <w:rFonts w:asciiTheme="minorHAnsi" w:eastAsia="MS PGothic" w:hAnsiTheme="minorHAnsi"/>
          <w:b/>
          <w:bCs/>
          <w:sz w:val="28"/>
          <w:szCs w:val="28"/>
          <w:lang w:val="en-US"/>
        </w:rPr>
        <w:t>ompact</w:t>
      </w:r>
      <w:r w:rsidR="00862A1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Static </w:t>
      </w:r>
      <w:r w:rsidR="00E55C5D">
        <w:rPr>
          <w:rFonts w:asciiTheme="minorHAnsi" w:eastAsia="MS PGothic" w:hAnsiTheme="minorHAnsi"/>
          <w:b/>
          <w:bCs/>
          <w:sz w:val="28"/>
          <w:szCs w:val="28"/>
          <w:lang w:val="en-US"/>
        </w:rPr>
        <w:t>M</w:t>
      </w:r>
      <w:r w:rsidR="00862A17">
        <w:rPr>
          <w:rFonts w:asciiTheme="minorHAnsi" w:eastAsia="MS PGothic" w:hAnsiTheme="minorHAnsi"/>
          <w:b/>
          <w:bCs/>
          <w:sz w:val="28"/>
          <w:szCs w:val="28"/>
          <w:lang w:val="en-US"/>
        </w:rPr>
        <w:t>ixer</w:t>
      </w:r>
      <w:r w:rsidR="00E55C5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for Turbulent </w:t>
      </w:r>
      <w:r w:rsidR="00A0324D">
        <w:rPr>
          <w:rFonts w:asciiTheme="minorHAnsi" w:eastAsia="MS PGothic" w:hAnsiTheme="minorHAnsi"/>
          <w:b/>
          <w:bCs/>
          <w:sz w:val="28"/>
          <w:szCs w:val="28"/>
          <w:lang w:val="en-US"/>
        </w:rPr>
        <w:t>Flows</w:t>
      </w:r>
      <w:r w:rsidR="0074770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E55C5D">
        <w:rPr>
          <w:rFonts w:asciiTheme="minorHAnsi" w:eastAsia="MS PGothic" w:hAnsiTheme="minorHAnsi"/>
          <w:b/>
          <w:bCs/>
          <w:sz w:val="28"/>
          <w:szCs w:val="28"/>
          <w:lang w:val="en-US"/>
        </w:rPr>
        <w:t>in Pipelines</w:t>
      </w:r>
    </w:p>
    <w:p w14:paraId="4A600AD6" w14:textId="77777777" w:rsidR="00DE0019" w:rsidRPr="00783177" w:rsidRDefault="00783177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A4167A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Alessandro Paglianti</w:t>
      </w:r>
      <w:r w:rsidR="00704BDF" w:rsidRPr="00A4167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736B13" w:rsidRPr="0078317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Francesco Maluta</w:t>
      </w:r>
      <w:r w:rsidRPr="0078317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Pr="00A4167A">
        <w:rPr>
          <w:rFonts w:asciiTheme="minorHAnsi" w:eastAsia="SimSun" w:hAnsiTheme="minorHAnsi"/>
          <w:color w:val="000000"/>
          <w:sz w:val="24"/>
          <w:szCs w:val="24"/>
          <w:u w:val="thick"/>
          <w:lang w:val="it-IT" w:eastAsia="zh-CN"/>
        </w:rPr>
        <w:t>Giuseppina Montante</w:t>
      </w:r>
      <w:r w:rsidR="00704BDF" w:rsidRPr="00783177">
        <w:rPr>
          <w:rFonts w:eastAsia="SimSun"/>
          <w:color w:val="000000"/>
          <w:vertAlign w:val="superscript"/>
          <w:lang w:val="it-IT" w:eastAsia="zh-CN"/>
        </w:rPr>
        <w:t>2</w:t>
      </w:r>
      <w:r w:rsidR="00DE0019" w:rsidRPr="00783177">
        <w:rPr>
          <w:rFonts w:eastAsia="SimSun"/>
          <w:color w:val="000000"/>
          <w:lang w:val="it-IT" w:eastAsia="zh-CN"/>
        </w:rPr>
        <w:t xml:space="preserve"> </w:t>
      </w:r>
    </w:p>
    <w:p w14:paraId="618C9C0A" w14:textId="77777777" w:rsidR="00704BDF" w:rsidRPr="00783177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783177">
        <w:rPr>
          <w:rFonts w:eastAsia="MS PGothic"/>
          <w:i/>
          <w:iCs/>
          <w:color w:val="000000"/>
          <w:sz w:val="20"/>
          <w:lang w:val="it-IT"/>
        </w:rPr>
        <w:t>1</w:t>
      </w:r>
      <w:r w:rsidRPr="0078317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783177" w:rsidRPr="0078317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DICAM – Università di Bologna, via Terracini 34, 40131 Bologna</w:t>
      </w:r>
      <w:r w:rsidR="00A0324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, Italy</w:t>
      </w:r>
      <w:r w:rsidRPr="0078317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; 2 </w:t>
      </w:r>
      <w:r w:rsidR="0078317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CHIMIND</w:t>
      </w:r>
      <w:r w:rsidR="00783177" w:rsidRPr="0078317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– Università di Bologna, via Terracini 34, 40131 Bologna</w:t>
      </w:r>
      <w:r w:rsidR="00A0324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, Italy</w:t>
      </w:r>
    </w:p>
    <w:p w14:paraId="6A4B25D7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865447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865447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86544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65447" w:rsidRPr="00865447">
        <w:rPr>
          <w:rFonts w:asciiTheme="minorHAnsi" w:eastAsia="MS PGothic" w:hAnsiTheme="minorHAnsi"/>
          <w:bCs/>
          <w:i/>
          <w:iCs/>
          <w:sz w:val="20"/>
          <w:lang w:val="en-US"/>
        </w:rPr>
        <w:t>giuseppina.montante</w:t>
      </w:r>
      <w:r w:rsidRPr="00865447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865447" w:rsidRPr="00865447">
        <w:rPr>
          <w:rFonts w:asciiTheme="minorHAnsi" w:eastAsia="MS PGothic" w:hAnsiTheme="minorHAnsi"/>
          <w:bCs/>
          <w:i/>
          <w:iCs/>
          <w:sz w:val="20"/>
          <w:lang w:val="en-US"/>
        </w:rPr>
        <w:t>unibo.it</w:t>
      </w:r>
    </w:p>
    <w:p w14:paraId="5FF78CC2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6DFDEA5" w14:textId="77777777" w:rsidR="00704BDF" w:rsidRPr="00EC66CC" w:rsidRDefault="003A3524" w:rsidP="003A3524">
      <w:pPr>
        <w:pStyle w:val="AbstractBody"/>
        <w:numPr>
          <w:ilvl w:val="0"/>
          <w:numId w:val="16"/>
        </w:num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Good mixing with limited energy requirements is achieved by a very </w:t>
      </w:r>
      <w:r w:rsidR="00DB3E20">
        <w:rPr>
          <w:rFonts w:asciiTheme="minorHAnsi" w:hAnsiTheme="minorHAnsi"/>
        </w:rPr>
        <w:t>c</w:t>
      </w:r>
      <w:r w:rsidR="00783177">
        <w:rPr>
          <w:rFonts w:asciiTheme="minorHAnsi" w:hAnsiTheme="minorHAnsi"/>
        </w:rPr>
        <w:t>ompact static mixer</w:t>
      </w:r>
      <w:r w:rsidR="00704BDF" w:rsidRPr="00EC66CC">
        <w:rPr>
          <w:rFonts w:asciiTheme="minorHAnsi" w:hAnsiTheme="minorHAnsi"/>
        </w:rPr>
        <w:t>.</w:t>
      </w:r>
    </w:p>
    <w:p w14:paraId="456D368F" w14:textId="77777777" w:rsidR="00704BDF" w:rsidRPr="00EC66CC" w:rsidRDefault="00DB3E20" w:rsidP="003A3524">
      <w:pPr>
        <w:pStyle w:val="AbstractBody"/>
        <w:numPr>
          <w:ilvl w:val="0"/>
          <w:numId w:val="16"/>
        </w:num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Enhancement</w:t>
      </w:r>
      <w:r w:rsidR="00747708">
        <w:rPr>
          <w:rFonts w:asciiTheme="minorHAnsi" w:hAnsiTheme="minorHAnsi"/>
        </w:rPr>
        <w:t xml:space="preserve"> of </w:t>
      </w:r>
      <w:r w:rsidR="003A3524">
        <w:rPr>
          <w:rFonts w:asciiTheme="minorHAnsi" w:hAnsiTheme="minorHAnsi"/>
        </w:rPr>
        <w:t>blending</w:t>
      </w:r>
      <w:r w:rsidR="00747708">
        <w:rPr>
          <w:rFonts w:asciiTheme="minorHAnsi" w:hAnsiTheme="minorHAnsi"/>
        </w:rPr>
        <w:t xml:space="preserve"> </w:t>
      </w:r>
      <w:r w:rsidR="003A3524">
        <w:rPr>
          <w:rFonts w:asciiTheme="minorHAnsi" w:hAnsiTheme="minorHAnsi"/>
        </w:rPr>
        <w:t>is ensured</w:t>
      </w:r>
      <w:r w:rsidR="00747708">
        <w:rPr>
          <w:rFonts w:asciiTheme="minorHAnsi" w:hAnsiTheme="minorHAnsi"/>
        </w:rPr>
        <w:t xml:space="preserve"> without modification </w:t>
      </w:r>
      <w:r w:rsidR="00747708" w:rsidRPr="00747708">
        <w:rPr>
          <w:rFonts w:asciiTheme="minorHAnsi" w:hAnsiTheme="minorHAnsi"/>
        </w:rPr>
        <w:t>in existing pipe</w:t>
      </w:r>
      <w:r>
        <w:rPr>
          <w:rFonts w:asciiTheme="minorHAnsi" w:hAnsiTheme="minorHAnsi"/>
        </w:rPr>
        <w:t>lines</w:t>
      </w:r>
      <w:r w:rsidR="00704BDF" w:rsidRPr="00EC66CC">
        <w:rPr>
          <w:rFonts w:asciiTheme="minorHAnsi" w:hAnsiTheme="minorHAnsi"/>
        </w:rPr>
        <w:t xml:space="preserve">. </w:t>
      </w:r>
    </w:p>
    <w:p w14:paraId="09D2E4E5" w14:textId="77777777" w:rsidR="00704BDF" w:rsidRPr="00EC66CC" w:rsidRDefault="00DB3E20" w:rsidP="003A3524">
      <w:pPr>
        <w:pStyle w:val="AbstractBody"/>
        <w:numPr>
          <w:ilvl w:val="0"/>
          <w:numId w:val="16"/>
        </w:num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Effective </w:t>
      </w:r>
      <w:r w:rsidR="003A3524">
        <w:rPr>
          <w:rFonts w:asciiTheme="minorHAnsi" w:hAnsiTheme="minorHAnsi"/>
        </w:rPr>
        <w:t>mixing</w:t>
      </w:r>
      <w:r w:rsidRPr="00DB3E20">
        <w:rPr>
          <w:rFonts w:asciiTheme="minorHAnsi" w:hAnsiTheme="minorHAnsi"/>
        </w:rPr>
        <w:t xml:space="preserve"> </w:t>
      </w:r>
      <w:r w:rsidR="003A3524">
        <w:rPr>
          <w:rFonts w:asciiTheme="minorHAnsi" w:hAnsiTheme="minorHAnsi"/>
        </w:rPr>
        <w:t>with limited space requirement helps continuous process intensification</w:t>
      </w:r>
      <w:r>
        <w:rPr>
          <w:rFonts w:asciiTheme="minorHAnsi" w:hAnsiTheme="minorHAnsi"/>
        </w:rPr>
        <w:t>.</w:t>
      </w:r>
    </w:p>
    <w:p w14:paraId="7AA3C99A" w14:textId="77777777" w:rsidR="00704BDF" w:rsidRPr="000163B7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14:paraId="787A23C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0BBC631" w14:textId="673614BF" w:rsidR="00C867B1" w:rsidRPr="008D0BEB" w:rsidRDefault="004C581E" w:rsidP="00E54D6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tatic mixers for turbulent flows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adopted in several</w:t>
      </w:r>
      <w:r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industrial </w:t>
      </w:r>
      <w:r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operations,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54D65">
        <w:rPr>
          <w:rFonts w:asciiTheme="minorHAnsi" w:eastAsia="MS PGothic" w:hAnsiTheme="minorHAnsi"/>
          <w:color w:val="000000"/>
          <w:sz w:val="22"/>
          <w:szCs w:val="22"/>
          <w:lang w:val="en-US"/>
        </w:rPr>
        <w:t>ranging</w:t>
      </w:r>
      <w:r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</w:t>
      </w:r>
      <w:r w:rsidR="008D5B2D"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synthesis of pharmaceuticals </w:t>
      </w:r>
      <w:r w:rsidR="00365CAD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8D5B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to </w:t>
      </w:r>
      <w:r w:rsidR="008D5B2D"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mass transfer in </w:t>
      </w:r>
      <w:r w:rsidR="008D5B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bioreactors </w:t>
      </w:r>
      <w:r w:rsidR="00365CAD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8D5B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emulsification </w:t>
      </w:r>
      <w:r w:rsidR="00365CAD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 t</w:t>
      </w:r>
      <w:r w:rsidR="00E54D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ransfer </w:t>
      </w:r>
      <w:r w:rsidR="00365CAD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 w:rsidR="00E54D6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just to mention a few examples</w:t>
      </w:r>
      <w:r w:rsidRPr="004C58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0121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</w:t>
      </w:r>
      <w:r w:rsid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012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mixing performances and the energy requirement</w:t>
      </w:r>
      <w:r w:rsidR="008D5B2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012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novel </w:t>
      </w:r>
      <w:r w:rsid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static mixer,</w:t>
      </w:r>
      <w:r w:rsidR="00E54D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whose main characteristics with respect to other traditional designs are </w:t>
      </w:r>
      <w:r w:rsidR="006F009F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001211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0CFC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easiness </w:t>
      </w:r>
      <w:r w:rsidR="00001211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ED0CFC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01211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installation</w:t>
      </w:r>
      <w:r w:rsidR="000012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B5F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BC55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5B5F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compact </w:t>
      </w:r>
      <w:r w:rsid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>geometry,</w:t>
      </w:r>
      <w:r w:rsidR="005B5F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121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investigated by Computational Fluid Dynamics (CFD).</w:t>
      </w:r>
      <w:r w:rsidR="00BC55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validation of the computational results based on the comparison with experimental pressure drops and tracer homogenization data </w:t>
      </w:r>
      <w:r w:rsidR="00A032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presented. The </w:t>
      </w:r>
      <w:r w:rsidR="00BC55E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investigation can be easily extended to any industrial application</w:t>
      </w:r>
      <w:r w:rsidR="00365CA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C55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078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A032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BC55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preliminary </w:t>
      </w:r>
      <w:r w:rsidR="00A0324D">
        <w:rPr>
          <w:rFonts w:asciiTheme="minorHAnsi" w:eastAsia="MS PGothic" w:hAnsiTheme="minorHAnsi"/>
          <w:color w:val="000000"/>
          <w:sz w:val="22"/>
          <w:szCs w:val="22"/>
          <w:lang w:val="en-US"/>
        </w:rPr>
        <w:t>identification of</w:t>
      </w:r>
      <w:r w:rsidR="00BC55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most effective geometrical and operating conditions for achieving th</w:t>
      </w:r>
      <w:r w:rsidR="00822357">
        <w:rPr>
          <w:rFonts w:asciiTheme="minorHAnsi" w:eastAsia="MS PGothic" w:hAnsiTheme="minorHAnsi"/>
          <w:color w:val="000000"/>
          <w:sz w:val="22"/>
          <w:szCs w:val="22"/>
          <w:lang w:val="en-US"/>
        </w:rPr>
        <w:t>e desired production target.</w:t>
      </w:r>
    </w:p>
    <w:p w14:paraId="3EAEF621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9252FE5" w14:textId="65261D53" w:rsidR="00A0324D" w:rsidRPr="00B055CD" w:rsidRDefault="006F009F" w:rsidP="00B055C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velocity flow field, the pressure drops and the pipe length required to achieve the </w:t>
      </w:r>
      <w:r w:rsidR="00C60A9B">
        <w:rPr>
          <w:rFonts w:asciiTheme="minorHAnsi" w:eastAsia="MS PGothic" w:hAnsiTheme="minorHAnsi"/>
          <w:color w:val="000000"/>
          <w:sz w:val="22"/>
          <w:szCs w:val="22"/>
          <w:lang w:val="en-US"/>
        </w:rPr>
        <w:t>blending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two </w:t>
      </w:r>
      <w:r w:rsidR="00B055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miscible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streams </w:t>
      </w:r>
      <w:r w:rsidR="00C60A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B055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</w:t>
      </w:r>
      <w:r w:rsidR="00A0324D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the numerical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solution of the Reynolds-Averaged conservation equations of mass, momentum and scalar concentration for incompressible, isothermal and </w:t>
      </w:r>
      <w:proofErr w:type="gramStart"/>
      <w:r w:rsidRP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steady-state</w:t>
      </w:r>
      <w:proofErr w:type="gramEnd"/>
      <w:r w:rsidRPr="006F00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of Newtonian liquids. The Reynolds stress and the Reynolds flux terms are modelled using the eddy viscosity and the eddy diffusivity hypotheses, respectively.</w:t>
      </w:r>
      <w:r w:rsidR="00A032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55CD" w:rsidRPr="00B055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computational domain consists </w:t>
      </w:r>
      <w:r w:rsidR="00B055CD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B055CD" w:rsidRPr="00B055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pipe of diameter, D, equal to 90 mm and length, L, equal to 10×D </w:t>
      </w:r>
      <w:r w:rsidR="00B055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placed horizontally and </w:t>
      </w:r>
      <w:r w:rsidR="00B055CD" w:rsidRPr="00B055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equipped with one compact static mixer 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element </w:t>
      </w:r>
      <w:r w:rsidR="00677D22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TWIN-P </w:t>
      </w:r>
      <w:r w:rsidR="00677D22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series 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designed by </w:t>
      </w:r>
      <w:proofErr w:type="spellStart"/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Pittaluga</w:t>
      </w:r>
      <w:proofErr w:type="spellEnd"/>
      <w:r w:rsid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s.r.l</w:t>
      </w:r>
      <w:proofErr w:type="spellEnd"/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is a very compact static mixer, being its width, W, equal to D/7, consisting of six 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45° 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pitched blades fixed to the external surface of a Venturi section. Blending is ensured by a double-mechanism, due to the combined action of the blades and of the Venturi section</w:t>
      </w:r>
      <w:r w:rsidR="00C60A9B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particularly suitable for treating streams of </w:t>
      </w:r>
      <w:r w:rsidR="00C60A9B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flowrates.</w:t>
      </w:r>
      <w:r w:rsidR="00E65302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domain discretization 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performed 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an unstructured grid consisting of about 4.3×10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6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cells. The grid effect </w:t>
      </w:r>
      <w:r w:rsidR="00E65302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mean velocity field, </w:t>
      </w:r>
      <w:r w:rsidR="007A11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turbulent variables and </w:t>
      </w:r>
      <w:r w:rsidR="007A11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="00B055CD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degree of homogenization is also considered.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0A9B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simulations replicate </w:t>
      </w:r>
      <w:proofErr w:type="spellStart"/>
      <w:r w:rsid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 w:rsid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parallel</w:t>
      </w:r>
      <w:r w:rsidR="00C60A9B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 </w:t>
      </w:r>
      <w:r w:rsid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investigation</w:t>
      </w:r>
      <w:r w:rsidR="00C60A9B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considering</w:t>
      </w:r>
      <w:r w:rsidR="00C60A9B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ifferent flow rates of </w:t>
      </w:r>
      <w:r w:rsidR="000962E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 liquid water stream, </w:t>
      </w:r>
      <w:r w:rsidR="000962E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Q, 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varying from 4 to 3</w:t>
      </w:r>
      <w:r w:rsidR="00A4167A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030789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>/h</w:t>
      </w:r>
      <w:r w:rsidR="00C60A9B" w:rsidRPr="00A95E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single flow rate of</w:t>
      </w:r>
      <w:r w:rsidR="00C60A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07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secondary stream, </w:t>
      </w:r>
      <w:r w:rsidR="000962E9">
        <w:rPr>
          <w:rFonts w:asciiTheme="minorHAnsi" w:eastAsia="MS PGothic" w:hAnsiTheme="minorHAnsi"/>
          <w:color w:val="000000"/>
          <w:sz w:val="22"/>
          <w:szCs w:val="22"/>
          <w:lang w:val="en-US"/>
        </w:rPr>
        <w:t>Q</w:t>
      </w:r>
      <w:r w:rsidR="000962E9" w:rsidRPr="000962E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s</w:t>
      </w:r>
      <w:r w:rsidR="000962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60A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is </w:t>
      </w:r>
      <w:r w:rsidR="0003078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a</w:t>
      </w:r>
      <w:r w:rsidR="00030789" w:rsidRPr="00030789">
        <w:rPr>
          <w:rFonts w:asciiTheme="minorHAnsi" w:eastAsia="MS PGothic" w:hAnsiTheme="minorHAnsi"/>
          <w:color w:val="000000"/>
          <w:sz w:val="22"/>
          <w:szCs w:val="22"/>
          <w:lang w:val="en-US"/>
        </w:rPr>
        <w:t>queous solution of Rhodamine</w:t>
      </w:r>
      <w:r w:rsidR="000307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030789" w:rsidRPr="000307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 L/h</w:t>
      </w:r>
      <w:r w:rsidR="00030789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60A9B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12D5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pressure </w:t>
      </w:r>
      <w:r w:rsidR="003512D5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drops and tracer concentration data adopted as a benchmark for the simulation results are measured by pressure transducers and Planar Laser Induced Fluorescence (PLIF), respectively, placing the static mixer in </w:t>
      </w:r>
      <w:r w:rsidR="00BA7A49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3512D5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test rig consisting of a 7 m long plexiglass pipe, </w:t>
      </w:r>
      <w:r w:rsidR="00DC235D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7A116D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storage</w:t>
      </w:r>
      <w:r w:rsidR="00DC235D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tank and a centrifugal pump</w:t>
      </w:r>
      <w:r w:rsidR="003512D5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2AB5CA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30F35B0" w14:textId="7814B1AB" w:rsidR="00E42325" w:rsidRDefault="00B5118B" w:rsidP="009C50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C4E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requirements and the mixing performances of the </w:t>
      </w:r>
      <w:r w:rsidR="00400BE5" w:rsidRPr="00400B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TWIN-P </w:t>
      </w:r>
      <w:r w:rsidR="00CC4E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static mixer are shown in Figure 1, by means of the parameter </w:t>
      </w:r>
      <w:r w:rsidR="00CC4E72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 </w:t>
      </w:r>
      <w:r w:rsidR="00DC235D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different water flow rates </w:t>
      </w:r>
      <w:r w:rsidR="00CC4E72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DC235D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0962E9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0962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Coefficient of </w:t>
      </w:r>
      <w:r w:rsidR="00ED0CFC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Variation</w:t>
      </w:r>
      <w:r w:rsidR="000962E9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63B7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0163B7" w:rsidRPr="00BA7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CoV</w:t>
      </w:r>
      <w:proofErr w:type="spellEnd"/>
      <w:r w:rsidR="000163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of the Rhodamine concentration </w:t>
      </w:r>
      <w:r w:rsidR="001B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>along the pipe axis</w:t>
      </w:r>
      <w:r w:rsidR="00E4232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C5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23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K value is defined as: </w:t>
      </w:r>
    </w:p>
    <w:p w14:paraId="798B566F" w14:textId="77777777" w:rsidR="00C60A9B" w:rsidRPr="00E42325" w:rsidRDefault="009C5042" w:rsidP="009C5042">
      <w:pPr>
        <w:tabs>
          <w:tab w:val="clear" w:pos="7100"/>
          <w:tab w:val="center" w:pos="3969"/>
          <w:tab w:val="right" w:pos="8647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42325" w:rsidRPr="00E42325">
        <w:rPr>
          <w:rFonts w:asciiTheme="minorHAnsi" w:eastAsia="MS PGothic" w:hAnsiTheme="minorHAnsi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K=∆P/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ρ</m:t>
            </m:r>
            <m:sSubSup>
              <m:sSub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s</m:t>
                </m:r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bSup>
          </m:e>
        </m:d>
      </m:oMath>
      <w:r w:rsidR="00E42325" w:rsidRPr="00E42325">
        <w:rPr>
          <w:rFonts w:asciiTheme="minorHAnsi" w:hAnsiTheme="minorHAnsi"/>
          <w:sz w:val="22"/>
          <w:szCs w:val="22"/>
        </w:rPr>
        <w:tab/>
        <w:t>(1)</w:t>
      </w:r>
    </w:p>
    <w:p w14:paraId="717FEBAF" w14:textId="77777777" w:rsidR="00E42325" w:rsidRDefault="00C60A9B" w:rsidP="009C50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where </w:t>
      </w:r>
      <w:r w:rsidRPr="00E42325">
        <w:rPr>
          <w:rFonts w:ascii="Symbol" w:eastAsia="MS PGothic" w:hAnsi="Symbol"/>
          <w:color w:val="000000"/>
          <w:sz w:val="22"/>
          <w:szCs w:val="22"/>
          <w:lang w:val="en-US"/>
        </w:rPr>
        <w:t>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 is the absolute pressure difference across the mixer</w:t>
      </w:r>
      <w:r w:rsidR="009C5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9C5042" w:rsidRPr="009C5042">
        <w:rPr>
          <w:rFonts w:ascii="Symbol" w:eastAsia="MS PGothic" w:hAnsi="Symbol"/>
          <w:color w:val="000000"/>
          <w:sz w:val="22"/>
          <w:szCs w:val="22"/>
          <w:lang w:val="en-US"/>
        </w:rPr>
        <w:t></w:t>
      </w:r>
      <w:r w:rsidR="009C5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fluid density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</w:t>
      </w:r>
      <w:r w:rsidRPr="00E4232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</w:t>
      </w:r>
      <w:r w:rsidR="009C5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fluid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superficial velocity.</w:t>
      </w:r>
      <w:r w:rsidR="000962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2325" w:rsidRPr="00E423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0962E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CoV</w:t>
      </w:r>
      <w:proofErr w:type="spellEnd"/>
      <w:r w:rsidR="00E42325" w:rsidRPr="00E423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3C8B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selected</w:t>
      </w:r>
      <w:r w:rsidR="005563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pipe cross section</w:t>
      </w:r>
      <w:r w:rsidR="00AA3C8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563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2325" w:rsidRPr="00E4232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calculated as:</w:t>
      </w:r>
    </w:p>
    <w:p w14:paraId="53818B97" w14:textId="77777777" w:rsidR="00E42325" w:rsidRPr="00E42325" w:rsidRDefault="00CE369D" w:rsidP="009C5042">
      <w:pPr>
        <w:tabs>
          <w:tab w:val="center" w:pos="3828"/>
          <w:tab w:val="right" w:pos="8647"/>
        </w:tabs>
        <w:snapToGri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eastAsia="MS PGothic" w:hAnsiTheme="minorHAnsi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CoV=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mean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N-1</m:t>
                </m:r>
              </m:den>
            </m:f>
          </m:e>
        </m:rad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mean</m:t>
                </m:r>
              </m:sub>
            </m:sSub>
          </m:den>
        </m:f>
      </m:oMath>
      <w:r w:rsidR="009C5042">
        <w:rPr>
          <w:rFonts w:asciiTheme="minorHAnsi" w:hAnsiTheme="minorHAnsi"/>
          <w:sz w:val="22"/>
          <w:szCs w:val="22"/>
        </w:rPr>
        <w:tab/>
      </w:r>
      <w:r w:rsidR="00A4167A">
        <w:rPr>
          <w:rFonts w:asciiTheme="minorHAnsi" w:hAnsiTheme="minorHAnsi"/>
          <w:sz w:val="22"/>
          <w:szCs w:val="22"/>
        </w:rPr>
        <w:tab/>
      </w:r>
      <w:r w:rsidR="009C5042">
        <w:rPr>
          <w:rFonts w:asciiTheme="minorHAnsi" w:hAnsiTheme="minorHAnsi"/>
          <w:sz w:val="22"/>
          <w:szCs w:val="22"/>
        </w:rPr>
        <w:t>(2)</w:t>
      </w:r>
    </w:p>
    <w:p w14:paraId="2BD4F2CD" w14:textId="77777777" w:rsidR="00E42325" w:rsidRDefault="00E42325" w:rsidP="009C5042">
      <w:pPr>
        <w:snapToGri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where c</w:t>
      </w:r>
      <w:r w:rsidRPr="009C5042">
        <w:rPr>
          <w:rFonts w:asciiTheme="minorHAnsi" w:hAnsiTheme="minorHAnsi"/>
          <w:sz w:val="22"/>
          <w:szCs w:val="22"/>
          <w:vertAlign w:val="subscript"/>
        </w:rPr>
        <w:t>i</w:t>
      </w:r>
      <w:r>
        <w:rPr>
          <w:rFonts w:asciiTheme="minorHAnsi" w:hAnsiTheme="minorHAnsi"/>
          <w:sz w:val="22"/>
          <w:szCs w:val="22"/>
        </w:rPr>
        <w:t xml:space="preserve"> is </w:t>
      </w:r>
      <w:r w:rsidRPr="00E42325">
        <w:rPr>
          <w:rFonts w:asciiTheme="minorHAnsi" w:hAnsiTheme="minorHAnsi"/>
          <w:sz w:val="22"/>
          <w:szCs w:val="22"/>
        </w:rPr>
        <w:t xml:space="preserve">local </w:t>
      </w:r>
      <w:r w:rsidR="00856174" w:rsidRPr="00030789">
        <w:rPr>
          <w:rFonts w:asciiTheme="minorHAnsi" w:eastAsia="MS PGothic" w:hAnsiTheme="minorHAnsi"/>
          <w:color w:val="000000"/>
          <w:sz w:val="22"/>
          <w:szCs w:val="22"/>
          <w:lang w:val="en-US"/>
        </w:rPr>
        <w:t>Rhodamine</w:t>
      </w:r>
      <w:r w:rsidR="008561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42325">
        <w:rPr>
          <w:rFonts w:asciiTheme="minorHAnsi" w:hAnsiTheme="minorHAnsi"/>
          <w:sz w:val="22"/>
          <w:szCs w:val="22"/>
        </w:rPr>
        <w:t xml:space="preserve">concentration at the </w:t>
      </w:r>
      <w:proofErr w:type="spellStart"/>
      <w:r w:rsidRPr="00E42325">
        <w:rPr>
          <w:rFonts w:asciiTheme="minorHAnsi" w:hAnsiTheme="minorHAnsi"/>
          <w:sz w:val="22"/>
          <w:szCs w:val="22"/>
        </w:rPr>
        <w:t>i-th</w:t>
      </w:r>
      <w:proofErr w:type="spellEnd"/>
      <w:r w:rsidRPr="00E42325">
        <w:rPr>
          <w:rFonts w:asciiTheme="minorHAnsi" w:hAnsiTheme="minorHAnsi"/>
          <w:sz w:val="22"/>
          <w:szCs w:val="22"/>
        </w:rPr>
        <w:t xml:space="preserve"> evaluation point, </w:t>
      </w:r>
      <w:proofErr w:type="spellStart"/>
      <w:r w:rsidRPr="00E42325">
        <w:rPr>
          <w:rFonts w:asciiTheme="minorHAnsi" w:hAnsiTheme="minorHAnsi"/>
          <w:sz w:val="22"/>
          <w:szCs w:val="22"/>
        </w:rPr>
        <w:t>c</w:t>
      </w:r>
      <w:r w:rsidRPr="009C5042">
        <w:rPr>
          <w:rFonts w:asciiTheme="minorHAnsi" w:hAnsiTheme="minorHAnsi"/>
          <w:sz w:val="22"/>
          <w:szCs w:val="22"/>
          <w:vertAlign w:val="subscript"/>
        </w:rPr>
        <w:t>mean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E42325">
        <w:rPr>
          <w:rFonts w:asciiTheme="minorHAnsi" w:hAnsiTheme="minorHAnsi"/>
          <w:sz w:val="22"/>
          <w:szCs w:val="22"/>
        </w:rPr>
        <w:t>is the mean concentration on the cross section, N</w:t>
      </w:r>
      <w:r w:rsidR="009C5042">
        <w:rPr>
          <w:rFonts w:asciiTheme="minorHAnsi" w:hAnsiTheme="minorHAnsi"/>
          <w:sz w:val="22"/>
          <w:szCs w:val="22"/>
        </w:rPr>
        <w:t xml:space="preserve"> is </w:t>
      </w:r>
      <w:r w:rsidRPr="00E42325">
        <w:rPr>
          <w:rFonts w:asciiTheme="minorHAnsi" w:hAnsiTheme="minorHAnsi"/>
          <w:sz w:val="22"/>
          <w:szCs w:val="22"/>
        </w:rPr>
        <w:t>number of evaluation positions at the cross section.</w:t>
      </w:r>
    </w:p>
    <w:p w14:paraId="20E4F5B1" w14:textId="77777777" w:rsidR="00A95E3E" w:rsidRPr="00E42325" w:rsidRDefault="00A95E3E" w:rsidP="009C5042">
      <w:pPr>
        <w:snapToGrid w:val="0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GB"/>
        </w:rPr>
        <w:drawing>
          <wp:inline distT="0" distB="0" distL="0" distR="0" wp14:anchorId="652B5EBE" wp14:editId="4BDE988F">
            <wp:extent cx="2617200" cy="1969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19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2"/>
          <w:szCs w:val="22"/>
          <w:lang w:eastAsia="en-GB"/>
        </w:rPr>
        <w:drawing>
          <wp:inline distT="0" distB="0" distL="0" distR="0" wp14:anchorId="358F7141" wp14:editId="5AF89324">
            <wp:extent cx="2613025" cy="192706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" b="-1"/>
                    <a:stretch/>
                  </pic:blipFill>
                  <pic:spPr bwMode="auto">
                    <a:xfrm>
                      <a:off x="0" y="0"/>
                      <a:ext cx="2613025" cy="192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2596D" w14:textId="77777777" w:rsidR="005563B6" w:rsidRDefault="005563B6" w:rsidP="005563B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Comparison of CFD and experimental results. (a) K vs Q; (b)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CoV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at different cross sections downstream the mixer outlet section, Q=20 m</w:t>
      </w:r>
      <w:r w:rsidRPr="000962E9">
        <w:rPr>
          <w:rFonts w:asciiTheme="minorHAnsi" w:eastAsia="MS PGothic" w:hAnsiTheme="minorHAnsi"/>
          <w:color w:val="000000"/>
          <w:szCs w:val="18"/>
          <w:vertAlign w:val="superscript"/>
          <w:lang w:val="en-US"/>
        </w:rPr>
        <w:t>3</w:t>
      </w:r>
      <w:r>
        <w:rPr>
          <w:rFonts w:asciiTheme="minorHAnsi" w:eastAsia="MS PGothic" w:hAnsiTheme="minorHAnsi"/>
          <w:color w:val="000000"/>
          <w:szCs w:val="18"/>
          <w:lang w:val="en-US"/>
        </w:rPr>
        <w:t>/h.</w:t>
      </w:r>
    </w:p>
    <w:p w14:paraId="771D6111" w14:textId="77777777" w:rsidR="00C60A9B" w:rsidRDefault="00C60A9B" w:rsidP="000962E9">
      <w:pPr>
        <w:snapToGrid w:val="0"/>
        <w:spacing w:after="120"/>
        <w:jc w:val="left"/>
        <w:rPr>
          <w:rFonts w:asciiTheme="minorHAnsi" w:eastAsia="MS PGothic" w:hAnsiTheme="minorHAnsi"/>
          <w:noProof/>
          <w:color w:val="000000"/>
          <w:lang w:eastAsia="en-GB"/>
        </w:rPr>
      </w:pPr>
    </w:p>
    <w:p w14:paraId="3D21CB67" w14:textId="4A4CD9BC" w:rsidR="00C60A9B" w:rsidRDefault="00DC235D" w:rsidP="009C50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the</w:t>
      </w:r>
      <w:r w:rsidR="000F43A9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</w:t>
      </w:r>
      <w:r w:rsidR="00677D22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>xperimental data</w:t>
      </w:r>
      <w:r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comparison with the performances of </w:t>
      </w:r>
      <w:r w:rsidR="00CA5285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other static mixers </w:t>
      </w:r>
      <w:r w:rsidR="003A4EB0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similar applications</w:t>
      </w:r>
      <w:r w:rsidR="003A4EB0" w:rsidRPr="00F10DB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5</w:t>
      </w:r>
      <w:r w:rsidR="00677D22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336CB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77D22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A7C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investigated </w:t>
      </w:r>
      <w:bookmarkStart w:id="0" w:name="_GoBack"/>
      <w:bookmarkEnd w:id="0"/>
      <w:r w:rsidR="00CA5285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TWIN-P </w:t>
      </w:r>
      <w:r w:rsidR="00677D22" w:rsidRP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static</w:t>
      </w:r>
      <w:r w:rsidR="00677D22" w:rsidRPr="000F43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mixer </w:t>
      </w:r>
      <w:r w:rsidR="00F10DBE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found to ensure</w:t>
      </w:r>
      <w:r w:rsidR="00677D22" w:rsidRPr="000F43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677D22" w:rsidRPr="000F43A9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 pressure</w:t>
      </w:r>
      <w:proofErr w:type="gramEnd"/>
      <w:r w:rsidR="00677D22" w:rsidRPr="000F43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drop</w:t>
      </w:r>
      <w:r w:rsidR="000F43A9" w:rsidRPr="000F43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 and good mixing performances.</w:t>
      </w:r>
      <w:r w:rsidR="00677D22" w:rsidRPr="000F43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F43A9" w:rsidRPr="000F43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77D22" w:rsidRPr="000F43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CFD results fairly agree with the experiments. </w:t>
      </w:r>
      <w:r w:rsidR="00286FB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 result, the</w:t>
      </w:r>
      <w:r w:rsidR="00C60A9B" w:rsidRPr="00400B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fully predictive three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C60A9B" w:rsidRPr="00400B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dimensional </w:t>
      </w:r>
      <w:r w:rsidR="00C60A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CFD </w:t>
      </w:r>
      <w:r w:rsidR="00C60A9B" w:rsidRPr="00400BE5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</w:t>
      </w:r>
      <w:r w:rsidR="006A31F2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ling approach</w:t>
      </w:r>
      <w:r w:rsidR="00C60A9B" w:rsidRPr="00400B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0A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considered in this work </w:t>
      </w:r>
      <w:r w:rsidR="006A31F2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C60A9B" w:rsidRPr="00400B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A31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confirmed </w:t>
      </w:r>
      <w:r w:rsidR="00C60A9B" w:rsidRPr="00400B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industrially viable </w:t>
      </w:r>
      <w:r w:rsidR="00C60A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reliable </w:t>
      </w:r>
      <w:r w:rsidR="006A31F2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</w:t>
      </w:r>
      <w:r w:rsidR="00C60A9B" w:rsidRPr="00400B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turbulent static mixing</w:t>
      </w:r>
      <w:r w:rsidR="00C60A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 and optimization</w:t>
      </w:r>
      <w:r w:rsidR="00C60A9B" w:rsidRPr="008D0BEB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5484FC9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0CDA31D4" w14:textId="77777777" w:rsidR="007B0EFD" w:rsidRPr="007B0EFD" w:rsidRDefault="007B0EFD" w:rsidP="007B0EF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7B0EFD">
        <w:rPr>
          <w:rFonts w:asciiTheme="minorHAnsi" w:hAnsiTheme="minorHAnsi"/>
          <w:color w:val="000000"/>
        </w:rPr>
        <w:t>C.</w:t>
      </w:r>
      <w:r w:rsidR="003A4EB0">
        <w:rPr>
          <w:rFonts w:asciiTheme="minorHAnsi" w:hAnsiTheme="minorHAnsi"/>
          <w:color w:val="000000"/>
        </w:rPr>
        <w:t xml:space="preserve"> </w:t>
      </w:r>
      <w:proofErr w:type="spellStart"/>
      <w:r w:rsidRPr="007B0EFD">
        <w:rPr>
          <w:rFonts w:asciiTheme="minorHAnsi" w:hAnsiTheme="minorHAnsi"/>
          <w:color w:val="000000"/>
        </w:rPr>
        <w:t>Brechtelsbauer</w:t>
      </w:r>
      <w:proofErr w:type="spellEnd"/>
      <w:r w:rsidRPr="007B0EFD">
        <w:rPr>
          <w:rFonts w:asciiTheme="minorHAnsi" w:hAnsiTheme="minorHAnsi"/>
          <w:color w:val="000000"/>
        </w:rPr>
        <w:t>, F. Ricard</w:t>
      </w:r>
      <w:r w:rsidR="003A4EB0">
        <w:rPr>
          <w:rFonts w:asciiTheme="minorHAnsi" w:hAnsiTheme="minorHAnsi"/>
          <w:color w:val="000000"/>
        </w:rPr>
        <w:t>,</w:t>
      </w:r>
      <w:r w:rsidRPr="007B0EFD">
        <w:rPr>
          <w:rFonts w:asciiTheme="minorHAnsi" w:hAnsiTheme="minorHAnsi"/>
          <w:color w:val="000000"/>
        </w:rPr>
        <w:t xml:space="preserve"> Organic Process Research and Development 5 (2001) 646-651. </w:t>
      </w:r>
    </w:p>
    <w:p w14:paraId="29B63BC1" w14:textId="77777777" w:rsidR="007B0EFD" w:rsidRPr="007B0EFD" w:rsidRDefault="007B0EFD" w:rsidP="007B0EF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7B0EFD">
        <w:rPr>
          <w:rFonts w:asciiTheme="minorHAnsi" w:hAnsiTheme="minorHAnsi"/>
          <w:color w:val="000000"/>
        </w:rPr>
        <w:t xml:space="preserve">C.U. </w:t>
      </w:r>
      <w:proofErr w:type="spellStart"/>
      <w:r w:rsidRPr="007B0EFD">
        <w:rPr>
          <w:rFonts w:asciiTheme="minorHAnsi" w:hAnsiTheme="minorHAnsi"/>
          <w:color w:val="000000"/>
        </w:rPr>
        <w:t>Ugwu</w:t>
      </w:r>
      <w:proofErr w:type="spellEnd"/>
      <w:r w:rsidRPr="007B0EFD">
        <w:rPr>
          <w:rFonts w:asciiTheme="minorHAnsi" w:hAnsiTheme="minorHAnsi"/>
          <w:color w:val="000000"/>
        </w:rPr>
        <w:t xml:space="preserve">, J.C. </w:t>
      </w:r>
      <w:proofErr w:type="spellStart"/>
      <w:r w:rsidRPr="007B0EFD">
        <w:rPr>
          <w:rFonts w:asciiTheme="minorHAnsi" w:hAnsiTheme="minorHAnsi"/>
          <w:color w:val="000000"/>
        </w:rPr>
        <w:t>Ogbonna</w:t>
      </w:r>
      <w:proofErr w:type="spellEnd"/>
      <w:r w:rsidRPr="007B0EFD">
        <w:rPr>
          <w:rFonts w:asciiTheme="minorHAnsi" w:hAnsiTheme="minorHAnsi"/>
          <w:color w:val="000000"/>
        </w:rPr>
        <w:t xml:space="preserve">, </w:t>
      </w:r>
      <w:proofErr w:type="spellStart"/>
      <w:r w:rsidRPr="007B0EFD">
        <w:rPr>
          <w:rFonts w:asciiTheme="minorHAnsi" w:hAnsiTheme="minorHAnsi"/>
          <w:color w:val="000000"/>
        </w:rPr>
        <w:t>H.Tanaka</w:t>
      </w:r>
      <w:proofErr w:type="spellEnd"/>
      <w:r w:rsidRPr="007B0EFD">
        <w:rPr>
          <w:rFonts w:asciiTheme="minorHAnsi" w:hAnsiTheme="minorHAnsi"/>
          <w:color w:val="000000"/>
        </w:rPr>
        <w:t>, Applied Microbiology and Biotechnology 58 (2002) 600-607.</w:t>
      </w:r>
    </w:p>
    <w:p w14:paraId="4F1F1542" w14:textId="77777777" w:rsidR="007B0EFD" w:rsidRPr="007B0EFD" w:rsidRDefault="003A4EB0" w:rsidP="007B0EF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F. Theron, N.L,</w:t>
      </w:r>
      <w:r w:rsidR="007B0EFD" w:rsidRPr="007B0EFD">
        <w:rPr>
          <w:rFonts w:asciiTheme="minorHAnsi" w:hAnsiTheme="minorHAnsi"/>
          <w:color w:val="000000"/>
        </w:rPr>
        <w:t xml:space="preserve"> </w:t>
      </w:r>
      <w:proofErr w:type="spellStart"/>
      <w:r w:rsidR="007B0EFD" w:rsidRPr="007B0EFD">
        <w:rPr>
          <w:rFonts w:asciiTheme="minorHAnsi" w:hAnsiTheme="minorHAnsi"/>
          <w:color w:val="000000"/>
        </w:rPr>
        <w:t>Sauze</w:t>
      </w:r>
      <w:proofErr w:type="spellEnd"/>
      <w:r w:rsidR="007B0EFD" w:rsidRPr="007B0EFD">
        <w:rPr>
          <w:rFonts w:asciiTheme="minorHAnsi" w:hAnsiTheme="minorHAnsi"/>
          <w:color w:val="000000"/>
        </w:rPr>
        <w:t>, Int. J. Multiphase Flow 37 (2011) 488-500.</w:t>
      </w:r>
    </w:p>
    <w:p w14:paraId="767F5D04" w14:textId="77777777" w:rsidR="005346C8" w:rsidRPr="003A4EB0" w:rsidRDefault="007B0EFD" w:rsidP="007B0EF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7B0EFD">
        <w:rPr>
          <w:rFonts w:asciiTheme="minorHAnsi" w:hAnsiTheme="minorHAnsi"/>
          <w:color w:val="000000"/>
        </w:rPr>
        <w:t xml:space="preserve">R. </w:t>
      </w:r>
      <w:proofErr w:type="spellStart"/>
      <w:r w:rsidRPr="007B0EFD">
        <w:rPr>
          <w:rFonts w:asciiTheme="minorHAnsi" w:hAnsiTheme="minorHAnsi"/>
          <w:color w:val="000000"/>
        </w:rPr>
        <w:t>Rakoczy</w:t>
      </w:r>
      <w:proofErr w:type="spellEnd"/>
      <w:r w:rsidRPr="007B0EFD">
        <w:rPr>
          <w:rFonts w:asciiTheme="minorHAnsi" w:hAnsiTheme="minorHAnsi"/>
          <w:color w:val="000000"/>
        </w:rPr>
        <w:t xml:space="preserve">, S. </w:t>
      </w:r>
      <w:proofErr w:type="spellStart"/>
      <w:r w:rsidRPr="007B0EFD">
        <w:rPr>
          <w:rFonts w:asciiTheme="minorHAnsi" w:hAnsiTheme="minorHAnsi"/>
          <w:color w:val="000000"/>
        </w:rPr>
        <w:t>Masiuk</w:t>
      </w:r>
      <w:proofErr w:type="spellEnd"/>
      <w:r w:rsidRPr="007B0EFD">
        <w:rPr>
          <w:rFonts w:asciiTheme="minorHAnsi" w:hAnsiTheme="minorHAnsi"/>
          <w:color w:val="000000"/>
        </w:rPr>
        <w:t xml:space="preserve">, M. </w:t>
      </w:r>
      <w:proofErr w:type="spellStart"/>
      <w:r w:rsidRPr="007B0EFD">
        <w:rPr>
          <w:rFonts w:asciiTheme="minorHAnsi" w:hAnsiTheme="minorHAnsi"/>
          <w:color w:val="000000"/>
        </w:rPr>
        <w:t>Kordas</w:t>
      </w:r>
      <w:proofErr w:type="spellEnd"/>
      <w:r w:rsidRPr="007B0EFD">
        <w:rPr>
          <w:rFonts w:asciiTheme="minorHAnsi" w:hAnsiTheme="minorHAnsi"/>
          <w:color w:val="000000"/>
        </w:rPr>
        <w:t xml:space="preserve">, P. </w:t>
      </w:r>
      <w:proofErr w:type="spellStart"/>
      <w:r w:rsidRPr="007B0EFD">
        <w:rPr>
          <w:rFonts w:asciiTheme="minorHAnsi" w:hAnsiTheme="minorHAnsi"/>
          <w:color w:val="000000"/>
        </w:rPr>
        <w:t>Gradzik</w:t>
      </w:r>
      <w:proofErr w:type="spellEnd"/>
      <w:r w:rsidRPr="007B0EFD">
        <w:rPr>
          <w:rFonts w:asciiTheme="minorHAnsi" w:hAnsiTheme="minorHAnsi"/>
          <w:color w:val="000000"/>
        </w:rPr>
        <w:t xml:space="preserve">, Chem. </w:t>
      </w:r>
      <w:r w:rsidR="003A4EB0">
        <w:rPr>
          <w:rFonts w:asciiTheme="minorHAnsi" w:hAnsiTheme="minorHAnsi"/>
          <w:color w:val="000000"/>
        </w:rPr>
        <w:t>Eng. Proc. Proc. Int. 50 (2011)</w:t>
      </w:r>
      <w:r w:rsidRPr="007B0EFD">
        <w:rPr>
          <w:rFonts w:asciiTheme="minorHAnsi" w:hAnsiTheme="minorHAnsi"/>
          <w:color w:val="000000"/>
        </w:rPr>
        <w:t xml:space="preserve"> 959-969.</w:t>
      </w:r>
    </w:p>
    <w:p w14:paraId="0F204CB4" w14:textId="77777777" w:rsidR="003A4EB0" w:rsidRPr="003A4EB0" w:rsidRDefault="003A4EB0" w:rsidP="007B0EF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  <w:r w:rsidRPr="003A4EB0">
        <w:rPr>
          <w:rFonts w:asciiTheme="minorHAnsi" w:hAnsiTheme="minorHAnsi"/>
          <w:color w:val="000000"/>
          <w:lang w:val="it-IT"/>
        </w:rPr>
        <w:t xml:space="preserve">S.M. Hosseini, K. Razzaghi, F. </w:t>
      </w:r>
      <w:r>
        <w:rPr>
          <w:rFonts w:asciiTheme="minorHAnsi" w:hAnsiTheme="minorHAnsi"/>
          <w:color w:val="000000"/>
          <w:lang w:val="it-IT"/>
        </w:rPr>
        <w:t>Shahraki, AIChE J. 65 (2019) 1126-1133.</w:t>
      </w:r>
    </w:p>
    <w:sectPr w:rsidR="003A4EB0" w:rsidRPr="003A4EB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A62D3" w14:textId="77777777" w:rsidR="00BB2FC5" w:rsidRDefault="00BB2FC5" w:rsidP="004F5E36">
      <w:r>
        <w:separator/>
      </w:r>
    </w:p>
  </w:endnote>
  <w:endnote w:type="continuationSeparator" w:id="0">
    <w:p w14:paraId="46131B31" w14:textId="77777777" w:rsidR="00BB2FC5" w:rsidRDefault="00BB2FC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DA206" w14:textId="77777777" w:rsidR="00BB2FC5" w:rsidRDefault="00BB2FC5" w:rsidP="004F5E36">
      <w:r>
        <w:separator/>
      </w:r>
    </w:p>
  </w:footnote>
  <w:footnote w:type="continuationSeparator" w:id="0">
    <w:p w14:paraId="4641B237" w14:textId="77777777" w:rsidR="00BB2FC5" w:rsidRDefault="00BB2FC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1FF80" w14:textId="77777777" w:rsidR="004D1162" w:rsidRDefault="00594E9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C66F03" wp14:editId="6B9D7DC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3EE7A1C" wp14:editId="3ECF36C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1D3D4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E742E88" wp14:editId="3A29D586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AF83DD6" w14:textId="77777777" w:rsidR="00704BDF" w:rsidRDefault="00704BDF">
    <w:pPr>
      <w:pStyle w:val="Intestazione"/>
    </w:pPr>
  </w:p>
  <w:p w14:paraId="30692212" w14:textId="77777777" w:rsidR="00704BDF" w:rsidRDefault="00704BD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13F68" wp14:editId="4F1A6EC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1211"/>
    <w:rsid w:val="000027C0"/>
    <w:rsid w:val="000117CB"/>
    <w:rsid w:val="000163B7"/>
    <w:rsid w:val="000206A6"/>
    <w:rsid w:val="00030789"/>
    <w:rsid w:val="0003148D"/>
    <w:rsid w:val="00062A9A"/>
    <w:rsid w:val="000962E9"/>
    <w:rsid w:val="000A03B2"/>
    <w:rsid w:val="000D34BE"/>
    <w:rsid w:val="000E36F1"/>
    <w:rsid w:val="000E3A73"/>
    <w:rsid w:val="000E414A"/>
    <w:rsid w:val="000F43A9"/>
    <w:rsid w:val="0013121F"/>
    <w:rsid w:val="00134DE4"/>
    <w:rsid w:val="00150E59"/>
    <w:rsid w:val="00184AD6"/>
    <w:rsid w:val="001A02F7"/>
    <w:rsid w:val="001B0BD2"/>
    <w:rsid w:val="001B65C1"/>
    <w:rsid w:val="001C684B"/>
    <w:rsid w:val="001D53FC"/>
    <w:rsid w:val="001F2EC7"/>
    <w:rsid w:val="002065DB"/>
    <w:rsid w:val="002447EF"/>
    <w:rsid w:val="00251550"/>
    <w:rsid w:val="0027221A"/>
    <w:rsid w:val="0027319C"/>
    <w:rsid w:val="00275B61"/>
    <w:rsid w:val="00286FB6"/>
    <w:rsid w:val="002A7C5A"/>
    <w:rsid w:val="002D1F12"/>
    <w:rsid w:val="003009B7"/>
    <w:rsid w:val="0030469C"/>
    <w:rsid w:val="003336CB"/>
    <w:rsid w:val="003512D5"/>
    <w:rsid w:val="00365CAD"/>
    <w:rsid w:val="003723D4"/>
    <w:rsid w:val="003A3524"/>
    <w:rsid w:val="003A4EB0"/>
    <w:rsid w:val="003A7D1C"/>
    <w:rsid w:val="003F5835"/>
    <w:rsid w:val="00400BE5"/>
    <w:rsid w:val="0046164A"/>
    <w:rsid w:val="00462DCD"/>
    <w:rsid w:val="004C3890"/>
    <w:rsid w:val="004C581E"/>
    <w:rsid w:val="004D1162"/>
    <w:rsid w:val="004E4DD6"/>
    <w:rsid w:val="004F5E36"/>
    <w:rsid w:val="005119A5"/>
    <w:rsid w:val="005278B7"/>
    <w:rsid w:val="005346C8"/>
    <w:rsid w:val="005508D1"/>
    <w:rsid w:val="005563B6"/>
    <w:rsid w:val="00584E8B"/>
    <w:rsid w:val="00594E9F"/>
    <w:rsid w:val="005B5F84"/>
    <w:rsid w:val="005B61E6"/>
    <w:rsid w:val="005C77E1"/>
    <w:rsid w:val="005D6A2F"/>
    <w:rsid w:val="005E1A82"/>
    <w:rsid w:val="005F0A28"/>
    <w:rsid w:val="005F0E5E"/>
    <w:rsid w:val="005F4B83"/>
    <w:rsid w:val="00620DEE"/>
    <w:rsid w:val="00625639"/>
    <w:rsid w:val="0064184D"/>
    <w:rsid w:val="00660E3E"/>
    <w:rsid w:val="00662E74"/>
    <w:rsid w:val="00677D22"/>
    <w:rsid w:val="006A31F2"/>
    <w:rsid w:val="006A58D2"/>
    <w:rsid w:val="006C5579"/>
    <w:rsid w:val="006F009F"/>
    <w:rsid w:val="00704BDF"/>
    <w:rsid w:val="007239DE"/>
    <w:rsid w:val="00736B13"/>
    <w:rsid w:val="007447F3"/>
    <w:rsid w:val="00747708"/>
    <w:rsid w:val="007661C8"/>
    <w:rsid w:val="00783177"/>
    <w:rsid w:val="007A116D"/>
    <w:rsid w:val="007B0EFD"/>
    <w:rsid w:val="007D52CD"/>
    <w:rsid w:val="00813288"/>
    <w:rsid w:val="008168FC"/>
    <w:rsid w:val="00822357"/>
    <w:rsid w:val="008479A2"/>
    <w:rsid w:val="00856174"/>
    <w:rsid w:val="00862A17"/>
    <w:rsid w:val="00865447"/>
    <w:rsid w:val="0087637F"/>
    <w:rsid w:val="008902E3"/>
    <w:rsid w:val="008A1512"/>
    <w:rsid w:val="008D07CC"/>
    <w:rsid w:val="008D0BEB"/>
    <w:rsid w:val="008D5B2D"/>
    <w:rsid w:val="008E566E"/>
    <w:rsid w:val="00901EB6"/>
    <w:rsid w:val="009450CE"/>
    <w:rsid w:val="0095164B"/>
    <w:rsid w:val="00963C70"/>
    <w:rsid w:val="00996483"/>
    <w:rsid w:val="009A160B"/>
    <w:rsid w:val="009C5042"/>
    <w:rsid w:val="009E788A"/>
    <w:rsid w:val="00A0324D"/>
    <w:rsid w:val="00A1763D"/>
    <w:rsid w:val="00A17CEC"/>
    <w:rsid w:val="00A27EF0"/>
    <w:rsid w:val="00A4167A"/>
    <w:rsid w:val="00A76EFC"/>
    <w:rsid w:val="00A95E3E"/>
    <w:rsid w:val="00A9626B"/>
    <w:rsid w:val="00A97F29"/>
    <w:rsid w:val="00AA3C8B"/>
    <w:rsid w:val="00AB0964"/>
    <w:rsid w:val="00AE377D"/>
    <w:rsid w:val="00B055CD"/>
    <w:rsid w:val="00B5118B"/>
    <w:rsid w:val="00B61DBF"/>
    <w:rsid w:val="00BA7A49"/>
    <w:rsid w:val="00BB2FC5"/>
    <w:rsid w:val="00BC30C9"/>
    <w:rsid w:val="00BC55E2"/>
    <w:rsid w:val="00BE3E58"/>
    <w:rsid w:val="00C01616"/>
    <w:rsid w:val="00C0162B"/>
    <w:rsid w:val="00C32456"/>
    <w:rsid w:val="00C345B1"/>
    <w:rsid w:val="00C40142"/>
    <w:rsid w:val="00C57182"/>
    <w:rsid w:val="00C60A9B"/>
    <w:rsid w:val="00C655FD"/>
    <w:rsid w:val="00C664BE"/>
    <w:rsid w:val="00C867B1"/>
    <w:rsid w:val="00C94434"/>
    <w:rsid w:val="00CA1C95"/>
    <w:rsid w:val="00CA5285"/>
    <w:rsid w:val="00CA5A9C"/>
    <w:rsid w:val="00CC4E72"/>
    <w:rsid w:val="00CD093F"/>
    <w:rsid w:val="00CD5FE2"/>
    <w:rsid w:val="00CE369D"/>
    <w:rsid w:val="00D02B4C"/>
    <w:rsid w:val="00D573E3"/>
    <w:rsid w:val="00D84576"/>
    <w:rsid w:val="00D94C20"/>
    <w:rsid w:val="00DB3E20"/>
    <w:rsid w:val="00DC235D"/>
    <w:rsid w:val="00DE0019"/>
    <w:rsid w:val="00DE264A"/>
    <w:rsid w:val="00E041E7"/>
    <w:rsid w:val="00E23CA1"/>
    <w:rsid w:val="00E409A8"/>
    <w:rsid w:val="00E42325"/>
    <w:rsid w:val="00E46FCC"/>
    <w:rsid w:val="00E54D65"/>
    <w:rsid w:val="00E55C5D"/>
    <w:rsid w:val="00E65302"/>
    <w:rsid w:val="00E7209D"/>
    <w:rsid w:val="00EA50E1"/>
    <w:rsid w:val="00ED0CFC"/>
    <w:rsid w:val="00EE0131"/>
    <w:rsid w:val="00F10DBE"/>
    <w:rsid w:val="00F30C64"/>
    <w:rsid w:val="00F5395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E357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A95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FB50-EF39-4F7D-A27C-C1316DE8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Giuseppina Montante</cp:lastModifiedBy>
  <cp:revision>5</cp:revision>
  <cp:lastPrinted>2019-06-03T14:35:00Z</cp:lastPrinted>
  <dcterms:created xsi:type="dcterms:W3CDTF">2019-06-04T08:10:00Z</dcterms:created>
  <dcterms:modified xsi:type="dcterms:W3CDTF">2019-06-04T09:14:00Z</dcterms:modified>
</cp:coreProperties>
</file>