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C92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BCFC908" w14:textId="40A4B8C0" w:rsidR="00704BDF" w:rsidRPr="00DE0019" w:rsidRDefault="00DF040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F040D">
        <w:rPr>
          <w:rFonts w:asciiTheme="minorHAnsi" w:eastAsia="MS PGothic" w:hAnsiTheme="minorHAnsi"/>
          <w:b/>
          <w:bCs/>
          <w:sz w:val="28"/>
          <w:szCs w:val="28"/>
          <w:lang w:val="en-US"/>
        </w:rPr>
        <w:t>Fluorescent Nanomaterials for Optical Bioimaging and Beyond</w:t>
      </w:r>
      <w:r w:rsidR="00EC4FBF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6D603423" w14:textId="77777777" w:rsidR="00DE0019" w:rsidRPr="00FB182A" w:rsidRDefault="00FB182A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</w:pPr>
      <w:r w:rsidRPr="00FB182A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 xml:space="preserve">Dan </w:t>
      </w:r>
      <w:r w:rsidR="00DF040D" w:rsidRPr="00FB182A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>Wang</w:t>
      </w:r>
      <w:r w:rsidR="00704BDF" w:rsidRPr="00FB182A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 w:cstheme="minorHAnsi" w:hint="eastAsia"/>
          <w:color w:val="000000"/>
          <w:sz w:val="24"/>
          <w:szCs w:val="24"/>
          <w:u w:val="single"/>
          <w:vertAlign w:val="superscript"/>
          <w:lang w:val="en-US" w:eastAsia="zh-CN"/>
        </w:rPr>
        <w:t>,2,*</w:t>
      </w:r>
      <w:r w:rsidR="00736B13" w:rsidRPr="00FB182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r w:rsidRPr="00FB182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Yuan Pu</w:t>
      </w:r>
      <w:r w:rsidRPr="00FB182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FB182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FB182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Jie</w:t>
      </w:r>
      <w:proofErr w:type="spellEnd"/>
      <w:r w:rsidRPr="00FB182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-Xin Wang</w:t>
      </w:r>
      <w:r w:rsidRPr="00FB182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1,2</w:t>
      </w:r>
      <w:r w:rsidRPr="00FB182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 Jian-Feng Chen</w:t>
      </w:r>
      <w:r w:rsidRPr="00FB182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1,</w:t>
      </w:r>
      <w:r w:rsidR="00704BDF" w:rsidRPr="00FB182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DE0019" w:rsidRPr="00FB182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</w:p>
    <w:p w14:paraId="1EBD02DA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B182A" w:rsidRPr="00FB182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Research Center of the Ministry of Education for High Gravity Engineering and Technology, Beijing University of Chemical Technology, Beijing 100029, China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200EBD" w:rsidRPr="00200EB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Beijing Advanced Innovation Center for Soft Matter Science and Engineering, State Key Laboratory of Organic-Inorganic Composites, Beijing University of Chemical Technology, Beijing 100029, China</w:t>
      </w:r>
    </w:p>
    <w:p w14:paraId="54231A78" w14:textId="77777777" w:rsidR="00704BDF" w:rsidRPr="00FB182A" w:rsidRDefault="00704BDF" w:rsidP="00704BDF">
      <w:pPr>
        <w:snapToGrid w:val="0"/>
        <w:jc w:val="center"/>
        <w:rPr>
          <w:rFonts w:asciiTheme="minorHAnsi" w:eastAsiaTheme="minorEastAsia" w:hAnsiTheme="minorHAnsi"/>
          <w:bCs/>
          <w:i/>
          <w:iCs/>
          <w:sz w:val="20"/>
          <w:lang w:val="en-US" w:eastAsia="zh-CN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B182A">
        <w:rPr>
          <w:rFonts w:asciiTheme="minorHAnsi" w:eastAsiaTheme="minorEastAsia" w:hAnsiTheme="minorHAnsi" w:hint="eastAsia"/>
          <w:bCs/>
          <w:i/>
          <w:iCs/>
          <w:sz w:val="20"/>
          <w:lang w:val="en-US" w:eastAsia="zh-CN"/>
        </w:rPr>
        <w:t>wangdan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FB182A">
        <w:rPr>
          <w:rFonts w:asciiTheme="minorHAnsi" w:eastAsiaTheme="minorEastAsia" w:hAnsiTheme="minorHAnsi" w:hint="eastAsia"/>
          <w:bCs/>
          <w:i/>
          <w:iCs/>
          <w:sz w:val="20"/>
          <w:lang w:val="en-US" w:eastAsia="zh-CN"/>
        </w:rPr>
        <w:t>mail.buct.edu.cn</w:t>
      </w:r>
    </w:p>
    <w:p w14:paraId="61BB4D0D" w14:textId="77777777" w:rsidR="00FB182A" w:rsidRPr="00FB182A" w:rsidRDefault="00FB182A" w:rsidP="00FB182A">
      <w:pPr>
        <w:snapToGrid w:val="0"/>
        <w:spacing w:before="240" w:line="300" w:lineRule="auto"/>
        <w:ind w:firstLineChars="100" w:firstLine="220"/>
        <w:rPr>
          <w:rFonts w:asciiTheme="minorHAnsi" w:eastAsiaTheme="minorEastAsia" w:hAnsiTheme="minorHAnsi"/>
          <w:bCs/>
          <w:color w:val="000000"/>
          <w:sz w:val="22"/>
          <w:szCs w:val="22"/>
          <w:lang w:val="en-US" w:eastAsia="zh-CN"/>
        </w:rPr>
      </w:pPr>
      <w:r w:rsidRPr="00FB182A">
        <w:rPr>
          <w:rFonts w:asciiTheme="minorHAnsi" w:eastAsiaTheme="minorEastAsia" w:hAnsiTheme="minorHAnsi"/>
          <w:bCs/>
          <w:color w:val="000000"/>
          <w:sz w:val="22"/>
          <w:szCs w:val="22"/>
          <w:lang w:val="en-US" w:eastAsia="zh-CN"/>
        </w:rPr>
        <w:t>Fluorescent nanoparticles have received intense scientific attention and offer promising applications in many fields from optoelectronic devices to cancer treatment</w:t>
      </w:r>
      <w:r w:rsidRPr="00FB182A">
        <w:rPr>
          <w:rFonts w:asciiTheme="minorHAnsi" w:eastAsiaTheme="minorEastAsia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1</w:t>
      </w:r>
      <w:r w:rsidRPr="00FB182A">
        <w:rPr>
          <w:rFonts w:asciiTheme="minorHAnsi" w:eastAsiaTheme="minorEastAsia" w:hAnsiTheme="minorHAnsi"/>
          <w:bCs/>
          <w:color w:val="000000"/>
          <w:sz w:val="22"/>
          <w:szCs w:val="22"/>
          <w:lang w:val="en-US" w:eastAsia="zh-CN"/>
        </w:rPr>
        <w:t>. The development of robust mass-scale nanoparticle synthesis methods is one of key materials challenges in moving towards fluorescent nanoparticles for commercialization and advanced applications.</w:t>
      </w:r>
      <w:r w:rsidRPr="00FB182A">
        <w:rPr>
          <w:rFonts w:asciiTheme="minorHAnsi" w:eastAsiaTheme="minorEastAsia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2</w:t>
      </w:r>
      <w:r w:rsidRPr="00FB182A">
        <w:rPr>
          <w:rFonts w:asciiTheme="minorHAnsi" w:eastAsiaTheme="minorEastAsia" w:hAnsiTheme="minorHAnsi"/>
          <w:bCs/>
          <w:color w:val="000000"/>
          <w:sz w:val="22"/>
          <w:szCs w:val="22"/>
          <w:lang w:val="en-US" w:eastAsia="zh-CN"/>
        </w:rPr>
        <w:t xml:space="preserve"> In this talk, I will summarize our work on green and scalable synthesis of fluorescent nanoparticles, including biomass-derived carbon dots</w:t>
      </w:r>
      <w:r w:rsidRPr="00FB182A">
        <w:rPr>
          <w:rFonts w:asciiTheme="minorHAnsi" w:eastAsiaTheme="minorEastAsia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3</w:t>
      </w:r>
      <w:r w:rsidRPr="00FB182A">
        <w:rPr>
          <w:rFonts w:asciiTheme="minorHAnsi" w:eastAsiaTheme="minorEastAsia" w:hAnsiTheme="minorHAnsi"/>
          <w:bCs/>
          <w:color w:val="000000"/>
          <w:sz w:val="22"/>
          <w:szCs w:val="22"/>
          <w:lang w:val="en-US" w:eastAsia="zh-CN"/>
        </w:rPr>
        <w:t xml:space="preserve">, subcritical water technology for </w:t>
      </w:r>
      <w:proofErr w:type="spellStart"/>
      <w:r w:rsidRPr="00FB182A">
        <w:rPr>
          <w:rFonts w:asciiTheme="minorHAnsi" w:eastAsiaTheme="minorEastAsia" w:hAnsiTheme="minorHAnsi"/>
          <w:bCs/>
          <w:color w:val="000000"/>
          <w:sz w:val="22"/>
          <w:szCs w:val="22"/>
          <w:lang w:val="en-US" w:eastAsia="zh-CN"/>
        </w:rPr>
        <w:t>nanonization</w:t>
      </w:r>
      <w:proofErr w:type="spellEnd"/>
      <w:r w:rsidRPr="00FB182A">
        <w:rPr>
          <w:rFonts w:asciiTheme="minorHAnsi" w:eastAsiaTheme="minorEastAsia" w:hAnsiTheme="minorHAnsi"/>
          <w:bCs/>
          <w:color w:val="000000"/>
          <w:sz w:val="22"/>
          <w:szCs w:val="22"/>
          <w:lang w:val="en-US" w:eastAsia="zh-CN"/>
        </w:rPr>
        <w:t xml:space="preserve"> of organic compounds</w:t>
      </w:r>
      <w:r w:rsidRPr="00FB182A">
        <w:rPr>
          <w:rFonts w:asciiTheme="minorHAnsi" w:eastAsiaTheme="minorEastAsia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4</w:t>
      </w:r>
      <w:r w:rsidRPr="00FB182A">
        <w:rPr>
          <w:rFonts w:asciiTheme="minorHAnsi" w:eastAsiaTheme="minorEastAsia" w:hAnsiTheme="minorHAnsi"/>
          <w:bCs/>
          <w:color w:val="000000"/>
          <w:sz w:val="22"/>
          <w:szCs w:val="22"/>
          <w:lang w:val="en-US" w:eastAsia="zh-CN"/>
        </w:rPr>
        <w:t xml:space="preserve"> and preparation of inorganic nanoparticles by high-gravity process intensification technology</w:t>
      </w:r>
      <w:r w:rsidRPr="00FB182A">
        <w:rPr>
          <w:rFonts w:asciiTheme="minorHAnsi" w:eastAsiaTheme="minorEastAsia" w:hAnsiTheme="minorHAnsi" w:hint="eastAsia"/>
          <w:bCs/>
          <w:color w:val="000000"/>
          <w:sz w:val="22"/>
          <w:szCs w:val="22"/>
          <w:vertAlign w:val="superscript"/>
          <w:lang w:val="en-US" w:eastAsia="zh-CN"/>
        </w:rPr>
        <w:t>5</w:t>
      </w:r>
      <w:r w:rsidRPr="00FB182A">
        <w:rPr>
          <w:rFonts w:asciiTheme="minorHAnsi" w:eastAsiaTheme="minorEastAsia" w:hAnsiTheme="minorHAnsi"/>
          <w:bCs/>
          <w:color w:val="000000"/>
          <w:sz w:val="22"/>
          <w:szCs w:val="22"/>
          <w:lang w:val="en-US" w:eastAsia="zh-CN"/>
        </w:rPr>
        <w:t>. The applications of related fluorescent nanoparticles in biomedical imaging and therapy from cells to animals will be introduced. A brief overview of this exciting field, along with some challenges and opportunities, will also be presented.</w:t>
      </w:r>
    </w:p>
    <w:p w14:paraId="6987D54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1B0E9BD4" w14:textId="77777777" w:rsidR="00FB182A" w:rsidRPr="00200EBD" w:rsidRDefault="00FB182A" w:rsidP="00FB182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00EBD">
        <w:rPr>
          <w:rFonts w:asciiTheme="minorHAnsi" w:hAnsiTheme="minorHAnsi"/>
          <w:color w:val="000000"/>
        </w:rPr>
        <w:t xml:space="preserve">D. Wang, L. Zhu, J.-F. Chen, L. Dai, </w:t>
      </w:r>
      <w:proofErr w:type="spellStart"/>
      <w:r w:rsidRPr="00200EBD">
        <w:rPr>
          <w:rFonts w:asciiTheme="minorHAnsi" w:hAnsiTheme="minorHAnsi"/>
          <w:color w:val="000000"/>
        </w:rPr>
        <w:t>Angew</w:t>
      </w:r>
      <w:proofErr w:type="spellEnd"/>
      <w:r w:rsidRPr="00200EBD">
        <w:rPr>
          <w:rFonts w:asciiTheme="minorHAnsi" w:hAnsiTheme="minorHAnsi"/>
          <w:color w:val="000000"/>
        </w:rPr>
        <w:t>. Chem. Int. Ed., 2016, 55, 10795</w:t>
      </w:r>
      <w:r w:rsidRPr="00200EBD">
        <w:rPr>
          <w:rFonts w:asciiTheme="minorHAnsi" w:eastAsiaTheme="minorEastAsia" w:hAnsiTheme="minorHAnsi" w:hint="eastAsia"/>
          <w:color w:val="000000"/>
          <w:lang w:eastAsia="zh-CN"/>
        </w:rPr>
        <w:t>-10799</w:t>
      </w:r>
      <w:r w:rsidRPr="00200EBD">
        <w:rPr>
          <w:rFonts w:asciiTheme="minorHAnsi" w:hAnsiTheme="minorHAnsi"/>
          <w:color w:val="000000"/>
        </w:rPr>
        <w:t>.</w:t>
      </w:r>
    </w:p>
    <w:p w14:paraId="1A7CD7FA" w14:textId="77777777" w:rsidR="00704BDF" w:rsidRPr="00200EBD" w:rsidRDefault="00FB182A" w:rsidP="00FB182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00EBD">
        <w:rPr>
          <w:rFonts w:asciiTheme="minorHAnsi" w:hAnsiTheme="minorHAnsi"/>
          <w:color w:val="000000"/>
        </w:rPr>
        <w:t>Y. Pu, F. Cai, D. Wang, J.-X. Wang, J.-F. Chen, Ind. Eng. Chem. Res., 2018, 57, 1790</w:t>
      </w:r>
      <w:r w:rsidRPr="00200EBD">
        <w:rPr>
          <w:rFonts w:asciiTheme="minorHAnsi" w:eastAsiaTheme="minorEastAsia" w:hAnsiTheme="minorHAnsi" w:hint="eastAsia"/>
          <w:color w:val="000000"/>
          <w:lang w:eastAsia="zh-CN"/>
        </w:rPr>
        <w:t>-1802</w:t>
      </w:r>
      <w:r w:rsidRPr="00200EBD">
        <w:rPr>
          <w:rFonts w:asciiTheme="minorHAnsi" w:hAnsiTheme="minorHAnsi"/>
          <w:color w:val="000000"/>
        </w:rPr>
        <w:t>.</w:t>
      </w:r>
      <w:r w:rsidR="00704BDF" w:rsidRPr="00200EBD">
        <w:rPr>
          <w:rFonts w:asciiTheme="minorHAnsi" w:hAnsiTheme="minorHAnsi"/>
          <w:color w:val="000000"/>
        </w:rPr>
        <w:t xml:space="preserve"> </w:t>
      </w:r>
    </w:p>
    <w:p w14:paraId="427661FE" w14:textId="77777777" w:rsidR="005346C8" w:rsidRPr="00200EBD" w:rsidRDefault="00FB182A" w:rsidP="00FB182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200EBD">
        <w:rPr>
          <w:rFonts w:asciiTheme="minorHAnsi" w:eastAsiaTheme="minorEastAsia" w:hAnsiTheme="minorHAnsi" w:hint="eastAsia"/>
          <w:color w:val="000000"/>
          <w:lang w:eastAsia="zh-CN"/>
        </w:rPr>
        <w:t xml:space="preserve">D. </w:t>
      </w:r>
      <w:r w:rsidRPr="00200EBD">
        <w:rPr>
          <w:rFonts w:asciiTheme="minorHAnsi" w:hAnsiTheme="minorHAnsi"/>
          <w:color w:val="000000"/>
        </w:rPr>
        <w:t>Wang,</w:t>
      </w:r>
      <w:r w:rsidRPr="00200EBD">
        <w:rPr>
          <w:rFonts w:asciiTheme="minorHAnsi" w:eastAsiaTheme="minorEastAsia" w:hAnsiTheme="minorHAnsi" w:hint="eastAsia"/>
          <w:color w:val="000000"/>
          <w:lang w:eastAsia="zh-CN"/>
        </w:rPr>
        <w:t xml:space="preserve"> Z. </w:t>
      </w:r>
      <w:r w:rsidRPr="00200EBD">
        <w:rPr>
          <w:rFonts w:asciiTheme="minorHAnsi" w:hAnsiTheme="minorHAnsi"/>
          <w:color w:val="000000"/>
        </w:rPr>
        <w:t xml:space="preserve">Wang, </w:t>
      </w:r>
      <w:r w:rsidRPr="00200EBD">
        <w:rPr>
          <w:rFonts w:asciiTheme="minorHAnsi" w:eastAsiaTheme="minorEastAsia" w:hAnsiTheme="minorHAnsi" w:hint="eastAsia"/>
          <w:color w:val="000000"/>
          <w:lang w:eastAsia="zh-CN"/>
        </w:rPr>
        <w:t xml:space="preserve">Q. </w:t>
      </w:r>
      <w:r w:rsidRPr="00200EBD">
        <w:rPr>
          <w:rFonts w:asciiTheme="minorHAnsi" w:hAnsiTheme="minorHAnsi"/>
          <w:color w:val="000000"/>
        </w:rPr>
        <w:t xml:space="preserve">Zhan, </w:t>
      </w:r>
      <w:r w:rsidRPr="00200EBD">
        <w:rPr>
          <w:rFonts w:asciiTheme="minorHAnsi" w:eastAsiaTheme="minorEastAsia" w:hAnsiTheme="minorHAnsi" w:hint="eastAsia"/>
          <w:color w:val="000000"/>
          <w:lang w:eastAsia="zh-CN"/>
        </w:rPr>
        <w:t xml:space="preserve">Y. </w:t>
      </w:r>
      <w:r w:rsidRPr="00200EBD">
        <w:rPr>
          <w:rFonts w:asciiTheme="minorHAnsi" w:hAnsiTheme="minorHAnsi"/>
          <w:color w:val="000000"/>
        </w:rPr>
        <w:t>Pu,</w:t>
      </w:r>
      <w:r w:rsidRPr="00200EBD">
        <w:rPr>
          <w:rFonts w:asciiTheme="minorHAnsi" w:eastAsiaTheme="minorEastAsia" w:hAnsiTheme="minorHAnsi" w:hint="eastAsia"/>
          <w:color w:val="000000"/>
          <w:lang w:eastAsia="zh-CN"/>
        </w:rPr>
        <w:t xml:space="preserve"> J.-X. </w:t>
      </w:r>
      <w:r w:rsidRPr="00200EBD">
        <w:rPr>
          <w:rFonts w:asciiTheme="minorHAnsi" w:hAnsiTheme="minorHAnsi"/>
          <w:color w:val="000000"/>
        </w:rPr>
        <w:t>Wang,</w:t>
      </w:r>
      <w:r w:rsidRPr="00200EBD">
        <w:rPr>
          <w:rFonts w:asciiTheme="minorHAnsi" w:eastAsiaTheme="minorEastAsia" w:hAnsiTheme="minorHAnsi" w:hint="eastAsia"/>
          <w:color w:val="000000"/>
          <w:lang w:eastAsia="zh-CN"/>
        </w:rPr>
        <w:t xml:space="preserve"> N. R. </w:t>
      </w:r>
      <w:r w:rsidRPr="00200EBD">
        <w:rPr>
          <w:rFonts w:asciiTheme="minorHAnsi" w:hAnsiTheme="minorHAnsi"/>
          <w:color w:val="000000"/>
        </w:rPr>
        <w:t>Foster,</w:t>
      </w:r>
      <w:r w:rsidRPr="00200EBD">
        <w:rPr>
          <w:rFonts w:asciiTheme="minorHAnsi" w:eastAsiaTheme="minorEastAsia" w:hAnsiTheme="minorHAnsi" w:hint="eastAsia"/>
          <w:color w:val="000000"/>
          <w:lang w:eastAsia="zh-CN"/>
        </w:rPr>
        <w:t xml:space="preserve"> L. </w:t>
      </w:r>
      <w:r w:rsidRPr="00200EBD">
        <w:rPr>
          <w:rFonts w:asciiTheme="minorHAnsi" w:hAnsiTheme="minorHAnsi"/>
          <w:color w:val="000000"/>
        </w:rPr>
        <w:t>Dai, Engineering, 2017, 3, 402-408.</w:t>
      </w:r>
    </w:p>
    <w:p w14:paraId="529A34C0" w14:textId="77777777" w:rsidR="00FB182A" w:rsidRPr="00200EBD" w:rsidRDefault="00FB182A" w:rsidP="00FB182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200EBD">
        <w:rPr>
          <w:rFonts w:asciiTheme="minorHAnsi" w:eastAsia="SimSun" w:hAnsiTheme="minorHAnsi" w:hint="eastAsia"/>
          <w:lang w:eastAsia="zh-CN"/>
        </w:rPr>
        <w:t>Y. Pu, Y. Li</w:t>
      </w:r>
      <w:r w:rsidR="00200EBD" w:rsidRPr="00200EBD">
        <w:rPr>
          <w:rFonts w:asciiTheme="minorHAnsi" w:eastAsia="SimSun" w:hAnsiTheme="minorHAnsi" w:hint="eastAsia"/>
          <w:lang w:eastAsia="zh-CN"/>
        </w:rPr>
        <w:t>, D. Wang, N. R. Foster, J.-X. Wang, J.-F. Chen,</w:t>
      </w:r>
      <w:r w:rsidRPr="00200EBD">
        <w:rPr>
          <w:rFonts w:asciiTheme="minorHAnsi" w:eastAsia="SimSun" w:hAnsiTheme="minorHAnsi"/>
          <w:lang w:eastAsia="zh-CN"/>
        </w:rPr>
        <w:t xml:space="preserve"> Powder Technol., 2017, 308, 200-205.</w:t>
      </w:r>
    </w:p>
    <w:p w14:paraId="00E67DAD" w14:textId="77777777" w:rsidR="00704BDF" w:rsidRPr="00200EBD" w:rsidRDefault="00200EBD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00EBD">
        <w:rPr>
          <w:rFonts w:asciiTheme="minorHAnsi" w:eastAsia="SimSun" w:hAnsiTheme="minorHAnsi" w:hint="eastAsia"/>
          <w:lang w:eastAsia="zh-CN"/>
        </w:rPr>
        <w:t xml:space="preserve">X. </w:t>
      </w:r>
      <w:r w:rsidRPr="00200EBD">
        <w:rPr>
          <w:rFonts w:asciiTheme="minorHAnsi" w:eastAsia="SimSun" w:hAnsiTheme="minorHAnsi"/>
          <w:lang w:eastAsia="zh-CN"/>
        </w:rPr>
        <w:t>He,</w:t>
      </w:r>
      <w:r w:rsidRPr="00200EBD">
        <w:rPr>
          <w:rFonts w:asciiTheme="minorHAnsi" w:eastAsia="SimSun" w:hAnsiTheme="minorHAnsi" w:hint="eastAsia"/>
          <w:lang w:eastAsia="zh-CN"/>
        </w:rPr>
        <w:t xml:space="preserve"> Z. </w:t>
      </w:r>
      <w:r w:rsidRPr="00200EBD">
        <w:rPr>
          <w:rFonts w:asciiTheme="minorHAnsi" w:eastAsia="SimSun" w:hAnsiTheme="minorHAnsi"/>
          <w:lang w:eastAsia="zh-CN"/>
        </w:rPr>
        <w:t xml:space="preserve">Wang, </w:t>
      </w:r>
      <w:r w:rsidRPr="00200EBD">
        <w:rPr>
          <w:rFonts w:asciiTheme="minorHAnsi" w:eastAsia="SimSun" w:hAnsiTheme="minorHAnsi" w:hint="eastAsia"/>
          <w:lang w:eastAsia="zh-CN"/>
        </w:rPr>
        <w:t xml:space="preserve">Y. </w:t>
      </w:r>
      <w:r w:rsidRPr="00200EBD">
        <w:rPr>
          <w:rFonts w:asciiTheme="minorHAnsi" w:eastAsia="SimSun" w:hAnsiTheme="minorHAnsi"/>
          <w:lang w:eastAsia="zh-CN"/>
        </w:rPr>
        <w:t xml:space="preserve">Pu, </w:t>
      </w:r>
      <w:r w:rsidRPr="00200EBD">
        <w:rPr>
          <w:rFonts w:asciiTheme="minorHAnsi" w:eastAsia="SimSun" w:hAnsiTheme="minorHAnsi" w:hint="eastAsia"/>
          <w:lang w:eastAsia="zh-CN"/>
        </w:rPr>
        <w:t xml:space="preserve">D. </w:t>
      </w:r>
      <w:r w:rsidRPr="00200EBD">
        <w:rPr>
          <w:rFonts w:asciiTheme="minorHAnsi" w:eastAsia="SimSun" w:hAnsiTheme="minorHAnsi"/>
          <w:lang w:eastAsia="zh-CN"/>
        </w:rPr>
        <w:t xml:space="preserve">Wang, </w:t>
      </w:r>
      <w:r w:rsidRPr="00200EBD">
        <w:rPr>
          <w:rFonts w:asciiTheme="minorHAnsi" w:eastAsia="SimSun" w:hAnsiTheme="minorHAnsi" w:hint="eastAsia"/>
          <w:lang w:eastAsia="zh-CN"/>
        </w:rPr>
        <w:t xml:space="preserve">R. </w:t>
      </w:r>
      <w:r w:rsidRPr="00200EBD">
        <w:rPr>
          <w:rFonts w:asciiTheme="minorHAnsi" w:eastAsia="SimSun" w:hAnsiTheme="minorHAnsi"/>
          <w:lang w:eastAsia="zh-CN"/>
        </w:rPr>
        <w:t xml:space="preserve">Tang, </w:t>
      </w:r>
      <w:r w:rsidRPr="00200EBD">
        <w:rPr>
          <w:rFonts w:asciiTheme="minorHAnsi" w:eastAsia="SimSun" w:hAnsiTheme="minorHAnsi" w:hint="eastAsia"/>
          <w:lang w:eastAsia="zh-CN"/>
        </w:rPr>
        <w:t xml:space="preserve">S. </w:t>
      </w:r>
      <w:r w:rsidRPr="00200EBD">
        <w:rPr>
          <w:rFonts w:asciiTheme="minorHAnsi" w:eastAsia="SimSun" w:hAnsiTheme="minorHAnsi"/>
          <w:lang w:eastAsia="zh-CN"/>
        </w:rPr>
        <w:t>Cui,</w:t>
      </w:r>
      <w:r w:rsidRPr="00200EBD">
        <w:rPr>
          <w:rFonts w:asciiTheme="minorHAnsi" w:eastAsia="SimSun" w:hAnsiTheme="minorHAnsi" w:hint="eastAsia"/>
          <w:lang w:eastAsia="zh-CN"/>
        </w:rPr>
        <w:t xml:space="preserve"> J.-X. </w:t>
      </w:r>
      <w:r w:rsidRPr="00200EBD">
        <w:rPr>
          <w:rFonts w:asciiTheme="minorHAnsi" w:eastAsia="SimSun" w:hAnsiTheme="minorHAnsi"/>
          <w:lang w:eastAsia="zh-CN"/>
        </w:rPr>
        <w:t xml:space="preserve">Wang, </w:t>
      </w:r>
      <w:r w:rsidRPr="00200EBD">
        <w:rPr>
          <w:rFonts w:asciiTheme="minorHAnsi" w:eastAsia="SimSun" w:hAnsiTheme="minorHAnsi" w:hint="eastAsia"/>
          <w:lang w:eastAsia="zh-CN"/>
        </w:rPr>
        <w:t>J.-F.</w:t>
      </w:r>
      <w:r w:rsidRPr="00200EBD">
        <w:rPr>
          <w:rFonts w:asciiTheme="minorHAnsi" w:eastAsia="SimSun" w:hAnsiTheme="minorHAnsi"/>
          <w:lang w:eastAsia="zh-CN"/>
        </w:rPr>
        <w:t xml:space="preserve"> Chen, Chem. Eng. Sci., 2019, 195, 1-10.</w:t>
      </w:r>
    </w:p>
    <w:sectPr w:rsidR="00704BDF" w:rsidRPr="00200EB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415A8" w14:textId="77777777" w:rsidR="007625CA" w:rsidRDefault="007625CA" w:rsidP="004F5E36">
      <w:r>
        <w:separator/>
      </w:r>
    </w:p>
  </w:endnote>
  <w:endnote w:type="continuationSeparator" w:id="0">
    <w:p w14:paraId="4217162F" w14:textId="77777777" w:rsidR="007625CA" w:rsidRDefault="007625C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DFC1B" w14:textId="77777777" w:rsidR="007625CA" w:rsidRDefault="007625CA" w:rsidP="004F5E36">
      <w:r>
        <w:separator/>
      </w:r>
    </w:p>
  </w:footnote>
  <w:footnote w:type="continuationSeparator" w:id="0">
    <w:p w14:paraId="486A41C5" w14:textId="77777777" w:rsidR="007625CA" w:rsidRDefault="007625C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CD36" w14:textId="77777777" w:rsidR="004D1162" w:rsidRDefault="00594E9F">
    <w:pPr>
      <w:pStyle w:val="Intestazion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CC9B53" wp14:editId="026F9F2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8DF3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0F38CF58" wp14:editId="11771D5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A873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1AD7031" wp14:editId="15B5DC9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4C8F801" w14:textId="77777777" w:rsidR="00704BDF" w:rsidRDefault="00704BDF">
    <w:pPr>
      <w:pStyle w:val="Intestazione"/>
    </w:pPr>
  </w:p>
  <w:p w14:paraId="7CDF08FD" w14:textId="77777777" w:rsidR="00704BDF" w:rsidRDefault="00704BDF">
    <w:pPr>
      <w:pStyle w:val="Intestazion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D8AE9" wp14:editId="5A2713F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F8A5E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67033"/>
    <w:rsid w:val="00184AD6"/>
    <w:rsid w:val="001B65C1"/>
    <w:rsid w:val="001C684B"/>
    <w:rsid w:val="001D53FC"/>
    <w:rsid w:val="001F2EC7"/>
    <w:rsid w:val="00200EBD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90143"/>
    <w:rsid w:val="006A58D2"/>
    <w:rsid w:val="006C5579"/>
    <w:rsid w:val="00704BDF"/>
    <w:rsid w:val="00736B13"/>
    <w:rsid w:val="007447F3"/>
    <w:rsid w:val="007625CA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DF040D"/>
    <w:rsid w:val="00E041E7"/>
    <w:rsid w:val="00E23CA1"/>
    <w:rsid w:val="00E409A8"/>
    <w:rsid w:val="00E7209D"/>
    <w:rsid w:val="00EA50E1"/>
    <w:rsid w:val="00EC4FBF"/>
    <w:rsid w:val="00EE0131"/>
    <w:rsid w:val="00F30C64"/>
    <w:rsid w:val="00FB182A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7E39C"/>
  <w15:docId w15:val="{C674CFF3-1946-49F0-A00C-6895D97F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EC7B-6C98-4506-BBF5-24142E63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Sauro Pierucci</cp:lastModifiedBy>
  <cp:revision>7</cp:revision>
  <cp:lastPrinted>2015-05-12T18:31:00Z</cp:lastPrinted>
  <dcterms:created xsi:type="dcterms:W3CDTF">2018-05-26T08:49:00Z</dcterms:created>
  <dcterms:modified xsi:type="dcterms:W3CDTF">2019-08-21T08:43:00Z</dcterms:modified>
</cp:coreProperties>
</file>