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50AC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5AAD8DF" w14:textId="77777777" w:rsidR="007266B9" w:rsidRPr="007266B9" w:rsidRDefault="007266B9" w:rsidP="007266B9">
      <w:pPr>
        <w:pStyle w:val="Heading2"/>
        <w:spacing w:line="360" w:lineRule="auto"/>
        <w:jc w:val="center"/>
        <w:rPr>
          <w:rFonts w:asciiTheme="minorHAnsi" w:hAnsiTheme="minorHAnsi"/>
          <w:color w:val="auto"/>
          <w:sz w:val="28"/>
        </w:rPr>
      </w:pPr>
      <w:r w:rsidRPr="007266B9">
        <w:rPr>
          <w:rFonts w:asciiTheme="minorHAnsi" w:hAnsiTheme="minorHAnsi"/>
          <w:color w:val="auto"/>
          <w:sz w:val="28"/>
        </w:rPr>
        <w:t>Ultrafiltration System Optimisation for Nuclear Decommissioning</w:t>
      </w:r>
    </w:p>
    <w:p w14:paraId="764EAA6A" w14:textId="77777777" w:rsidR="007266B9" w:rsidRPr="007266B9" w:rsidRDefault="006351FB" w:rsidP="007266B9">
      <w:pPr>
        <w:spacing w:line="360" w:lineRule="auto"/>
        <w:rPr>
          <w:rFonts w:asciiTheme="minorHAnsi" w:hAnsiTheme="minorHAnsi" w:cstheme="minorHAnsi"/>
          <w:sz w:val="24"/>
          <w:szCs w:val="24"/>
        </w:rPr>
      </w:pPr>
      <w:r>
        <w:rPr>
          <w:rFonts w:asciiTheme="minorHAnsi" w:hAnsiTheme="minorHAnsi" w:cstheme="minorHAnsi"/>
          <w:sz w:val="24"/>
          <w:szCs w:val="24"/>
          <w:u w:val="single"/>
        </w:rPr>
        <w:t>Kyriacos Hadjidemetriou</w:t>
      </w:r>
      <w:r w:rsidR="007266B9">
        <w:rPr>
          <w:rFonts w:asciiTheme="minorHAnsi" w:hAnsiTheme="minorHAnsi" w:cstheme="minorHAnsi"/>
          <w:sz w:val="24"/>
          <w:szCs w:val="24"/>
          <w:u w:val="single"/>
          <w:vertAlign w:val="superscript"/>
        </w:rPr>
        <w:t>1</w:t>
      </w:r>
      <w:proofErr w:type="gramStart"/>
      <w:r w:rsidR="007266B9">
        <w:rPr>
          <w:rFonts w:asciiTheme="minorHAnsi" w:hAnsiTheme="minorHAnsi" w:cstheme="minorHAnsi"/>
          <w:sz w:val="24"/>
          <w:szCs w:val="24"/>
          <w:u w:val="single"/>
          <w:vertAlign w:val="superscript"/>
        </w:rPr>
        <w:t>,2</w:t>
      </w:r>
      <w:proofErr w:type="gramEnd"/>
      <w:r w:rsidR="007266B9" w:rsidRPr="007266B9">
        <w:rPr>
          <w:rFonts w:asciiTheme="minorHAnsi" w:hAnsiTheme="minorHAnsi" w:cstheme="minorHAnsi"/>
          <w:b/>
          <w:sz w:val="24"/>
          <w:szCs w:val="24"/>
        </w:rPr>
        <w:t>,</w:t>
      </w:r>
      <w:r w:rsidR="007266B9" w:rsidRPr="007266B9">
        <w:rPr>
          <w:rFonts w:asciiTheme="minorHAnsi" w:hAnsiTheme="minorHAnsi" w:cstheme="minorHAnsi"/>
          <w:sz w:val="24"/>
          <w:szCs w:val="24"/>
        </w:rPr>
        <w:t xml:space="preserve"> Jay </w:t>
      </w:r>
      <w:r w:rsidR="006C6E56">
        <w:rPr>
          <w:rFonts w:asciiTheme="minorHAnsi" w:hAnsiTheme="minorHAnsi" w:cstheme="minorHAnsi"/>
          <w:sz w:val="24"/>
          <w:szCs w:val="24"/>
        </w:rPr>
        <w:t xml:space="preserve">J. </w:t>
      </w:r>
      <w:r w:rsidR="007266B9" w:rsidRPr="007266B9">
        <w:rPr>
          <w:rFonts w:asciiTheme="minorHAnsi" w:hAnsiTheme="minorHAnsi" w:cstheme="minorHAnsi"/>
          <w:sz w:val="24"/>
          <w:szCs w:val="24"/>
        </w:rPr>
        <w:t>Dunsford</w:t>
      </w:r>
      <w:r w:rsidR="007266B9">
        <w:rPr>
          <w:rFonts w:asciiTheme="minorHAnsi" w:hAnsiTheme="minorHAnsi" w:cstheme="minorHAnsi"/>
          <w:sz w:val="24"/>
          <w:szCs w:val="24"/>
          <w:vertAlign w:val="superscript"/>
        </w:rPr>
        <w:t>2</w:t>
      </w:r>
      <w:r w:rsidR="007266B9" w:rsidRPr="007266B9">
        <w:rPr>
          <w:rFonts w:asciiTheme="minorHAnsi" w:hAnsiTheme="minorHAnsi" w:cstheme="minorHAnsi"/>
          <w:sz w:val="24"/>
          <w:szCs w:val="24"/>
        </w:rPr>
        <w:t>, Genevieve Boshoff</w:t>
      </w:r>
      <w:r w:rsidR="007266B9" w:rsidRPr="00372D3D">
        <w:rPr>
          <w:rFonts w:asciiTheme="minorHAnsi" w:hAnsiTheme="minorHAnsi" w:cstheme="minorHAnsi"/>
          <w:noProof/>
          <w:sz w:val="24"/>
          <w:szCs w:val="24"/>
          <w:vertAlign w:val="superscript"/>
        </w:rPr>
        <w:t>2</w:t>
      </w:r>
      <w:r w:rsidR="00372D3D" w:rsidRPr="00372D3D">
        <w:rPr>
          <w:rFonts w:asciiTheme="minorHAnsi" w:hAnsiTheme="minorHAnsi" w:cstheme="minorHAnsi"/>
          <w:noProof/>
          <w:sz w:val="24"/>
          <w:szCs w:val="24"/>
        </w:rPr>
        <w:t xml:space="preserve">, </w:t>
      </w:r>
      <w:r w:rsidR="007266B9" w:rsidRPr="00372D3D">
        <w:rPr>
          <w:rFonts w:asciiTheme="minorHAnsi" w:hAnsiTheme="minorHAnsi" w:cstheme="minorHAnsi"/>
          <w:noProof/>
          <w:sz w:val="24"/>
          <w:szCs w:val="24"/>
        </w:rPr>
        <w:t>Claudio</w:t>
      </w:r>
      <w:r w:rsidR="007266B9" w:rsidRPr="007266B9">
        <w:rPr>
          <w:rFonts w:asciiTheme="minorHAnsi" w:hAnsiTheme="minorHAnsi" w:cstheme="minorHAnsi"/>
          <w:sz w:val="24"/>
          <w:szCs w:val="24"/>
        </w:rPr>
        <w:t xml:space="preserve"> </w:t>
      </w:r>
      <w:r w:rsidR="006C6E56">
        <w:rPr>
          <w:rFonts w:asciiTheme="minorHAnsi" w:hAnsiTheme="minorHAnsi" w:cstheme="minorHAnsi"/>
          <w:sz w:val="24"/>
          <w:szCs w:val="24"/>
        </w:rPr>
        <w:t>P.</w:t>
      </w:r>
      <w:r w:rsidR="007266B9" w:rsidRPr="007266B9">
        <w:rPr>
          <w:rFonts w:asciiTheme="minorHAnsi" w:hAnsiTheme="minorHAnsi" w:cstheme="minorHAnsi"/>
          <w:sz w:val="24"/>
          <w:szCs w:val="24"/>
        </w:rPr>
        <w:t xml:space="preserve"> </w:t>
      </w:r>
      <w:r>
        <w:rPr>
          <w:rFonts w:asciiTheme="minorHAnsi" w:hAnsiTheme="minorHAnsi" w:cstheme="minorHAnsi"/>
          <w:noProof/>
          <w:sz w:val="24"/>
          <w:szCs w:val="24"/>
        </w:rPr>
        <w:t>Fonte</w:t>
      </w:r>
      <w:r w:rsidR="007266B9">
        <w:rPr>
          <w:rFonts w:asciiTheme="minorHAnsi" w:hAnsiTheme="minorHAnsi" w:cstheme="minorHAnsi"/>
          <w:noProof/>
          <w:sz w:val="24"/>
          <w:szCs w:val="24"/>
          <w:vertAlign w:val="superscript"/>
        </w:rPr>
        <w:t>1</w:t>
      </w:r>
      <w:r w:rsidR="007266B9" w:rsidRPr="007266B9">
        <w:rPr>
          <w:rFonts w:asciiTheme="minorHAnsi" w:hAnsiTheme="minorHAnsi" w:cstheme="minorHAnsi"/>
          <w:noProof/>
          <w:sz w:val="24"/>
          <w:szCs w:val="24"/>
        </w:rPr>
        <w:t>,</w:t>
      </w:r>
      <w:r w:rsidR="007266B9" w:rsidRPr="007266B9">
        <w:rPr>
          <w:rFonts w:asciiTheme="minorHAnsi" w:hAnsiTheme="minorHAnsi" w:cstheme="minorHAnsi"/>
          <w:sz w:val="24"/>
          <w:szCs w:val="24"/>
        </w:rPr>
        <w:t xml:space="preserve"> Thomas</w:t>
      </w:r>
      <w:r w:rsidR="006C6E56">
        <w:rPr>
          <w:rFonts w:asciiTheme="minorHAnsi" w:hAnsiTheme="minorHAnsi" w:cstheme="minorHAnsi"/>
          <w:sz w:val="24"/>
          <w:szCs w:val="24"/>
        </w:rPr>
        <w:t xml:space="preserve"> L.</w:t>
      </w:r>
      <w:r w:rsidR="007266B9" w:rsidRPr="007266B9">
        <w:rPr>
          <w:rFonts w:asciiTheme="minorHAnsi" w:hAnsiTheme="minorHAnsi" w:cstheme="minorHAnsi"/>
          <w:sz w:val="24"/>
          <w:szCs w:val="24"/>
        </w:rPr>
        <w:t xml:space="preserve"> Rodgers</w:t>
      </w:r>
      <w:r w:rsidR="007266B9">
        <w:rPr>
          <w:rFonts w:asciiTheme="minorHAnsi" w:hAnsiTheme="minorHAnsi" w:cstheme="minorHAnsi"/>
          <w:noProof/>
          <w:sz w:val="24"/>
          <w:szCs w:val="24"/>
          <w:vertAlign w:val="superscript"/>
        </w:rPr>
        <w:t>1</w:t>
      </w:r>
      <w:r w:rsidR="007266B9" w:rsidRPr="007266B9">
        <w:rPr>
          <w:rFonts w:asciiTheme="minorHAnsi" w:hAnsiTheme="minorHAnsi" w:cstheme="minorHAnsi"/>
          <w:noProof/>
          <w:sz w:val="24"/>
          <w:szCs w:val="24"/>
        </w:rPr>
        <w:t>.</w:t>
      </w:r>
    </w:p>
    <w:p w14:paraId="42ECA8AE" w14:textId="77777777" w:rsidR="007266B9" w:rsidRPr="007266B9" w:rsidRDefault="007266B9" w:rsidP="006351FB">
      <w:pPr>
        <w:spacing w:line="360" w:lineRule="auto"/>
        <w:jc w:val="center"/>
        <w:rPr>
          <w:rFonts w:asciiTheme="minorHAnsi" w:hAnsiTheme="minorHAnsi" w:cstheme="minorHAnsi"/>
          <w:sz w:val="20"/>
        </w:rPr>
      </w:pPr>
      <w:r>
        <w:rPr>
          <w:rFonts w:asciiTheme="minorHAnsi" w:hAnsiTheme="minorHAnsi" w:cstheme="minorHAnsi"/>
          <w:sz w:val="20"/>
        </w:rPr>
        <w:t>1</w:t>
      </w:r>
      <w:r w:rsidR="006351FB">
        <w:rPr>
          <w:rFonts w:asciiTheme="minorHAnsi" w:hAnsiTheme="minorHAnsi" w:cstheme="minorHAnsi"/>
          <w:sz w:val="20"/>
        </w:rPr>
        <w:t xml:space="preserve"> </w:t>
      </w:r>
      <w:r w:rsidRPr="007266B9">
        <w:rPr>
          <w:rFonts w:asciiTheme="minorHAnsi" w:hAnsiTheme="minorHAnsi" w:cstheme="minorHAnsi"/>
          <w:sz w:val="20"/>
        </w:rPr>
        <w:t xml:space="preserve">School of Chemical Engineering and Analytical Science, </w:t>
      </w:r>
      <w:proofErr w:type="gramStart"/>
      <w:r w:rsidRPr="007266B9">
        <w:rPr>
          <w:rFonts w:asciiTheme="minorHAnsi" w:hAnsiTheme="minorHAnsi" w:cstheme="minorHAnsi"/>
          <w:sz w:val="20"/>
        </w:rPr>
        <w:t>The</w:t>
      </w:r>
      <w:proofErr w:type="gramEnd"/>
      <w:r w:rsidRPr="007266B9">
        <w:rPr>
          <w:rFonts w:asciiTheme="minorHAnsi" w:hAnsiTheme="minorHAnsi" w:cstheme="minorHAnsi"/>
          <w:sz w:val="20"/>
        </w:rPr>
        <w:t xml:space="preserve"> University of Manchester, </w:t>
      </w:r>
      <w:r w:rsidR="006351FB">
        <w:rPr>
          <w:rFonts w:asciiTheme="minorHAnsi" w:hAnsiTheme="minorHAnsi" w:cstheme="minorHAnsi"/>
          <w:sz w:val="20"/>
        </w:rPr>
        <w:t>UK</w:t>
      </w:r>
      <w:r>
        <w:rPr>
          <w:rFonts w:asciiTheme="minorHAnsi" w:hAnsiTheme="minorHAnsi" w:cstheme="minorHAnsi"/>
          <w:sz w:val="20"/>
        </w:rPr>
        <w:t xml:space="preserve">.  </w:t>
      </w:r>
      <w:r w:rsidR="006351FB">
        <w:rPr>
          <w:rFonts w:asciiTheme="minorHAnsi" w:hAnsiTheme="minorHAnsi" w:cstheme="minorHAnsi"/>
          <w:sz w:val="20"/>
        </w:rPr>
        <w:br/>
      </w:r>
      <w:r>
        <w:rPr>
          <w:rFonts w:asciiTheme="minorHAnsi" w:hAnsiTheme="minorHAnsi" w:cstheme="minorHAnsi"/>
          <w:sz w:val="20"/>
        </w:rPr>
        <w:t xml:space="preserve">2 </w:t>
      </w:r>
      <w:r w:rsidRPr="007266B9">
        <w:rPr>
          <w:rFonts w:asciiTheme="minorHAnsi" w:hAnsiTheme="minorHAnsi" w:cstheme="minorHAnsi"/>
          <w:sz w:val="20"/>
        </w:rPr>
        <w:t>National Nuclear Laboratory, Workington</w:t>
      </w:r>
      <w:r w:rsidR="006351FB">
        <w:rPr>
          <w:rFonts w:asciiTheme="minorHAnsi" w:hAnsiTheme="minorHAnsi" w:cstheme="minorHAnsi"/>
          <w:sz w:val="20"/>
        </w:rPr>
        <w:t>,</w:t>
      </w:r>
      <w:r>
        <w:rPr>
          <w:rFonts w:asciiTheme="minorHAnsi" w:hAnsiTheme="minorHAnsi" w:cstheme="minorHAnsi"/>
          <w:sz w:val="20"/>
        </w:rPr>
        <w:t xml:space="preserve"> </w:t>
      </w:r>
      <w:r w:rsidR="006351FB">
        <w:rPr>
          <w:rFonts w:asciiTheme="minorHAnsi" w:hAnsiTheme="minorHAnsi" w:cstheme="minorHAnsi"/>
          <w:sz w:val="20"/>
        </w:rPr>
        <w:t>UK.</w:t>
      </w:r>
    </w:p>
    <w:p w14:paraId="0C1004F0" w14:textId="77777777" w:rsidR="007266B9" w:rsidRPr="007266B9" w:rsidRDefault="00704BDF" w:rsidP="007266B9">
      <w:pPr>
        <w:spacing w:line="360" w:lineRule="auto"/>
        <w:jc w:val="center"/>
        <w:rPr>
          <w:rFonts w:asciiTheme="minorHAnsi" w:hAnsiTheme="minorHAnsi" w:cstheme="minorHAnsi"/>
          <w:sz w:val="20"/>
        </w:rPr>
      </w:pPr>
      <w:r w:rsidRPr="007266B9">
        <w:rPr>
          <w:rFonts w:asciiTheme="minorHAnsi" w:eastAsia="MS PGothic" w:hAnsiTheme="minorHAnsi" w:cstheme="minorHAnsi"/>
          <w:bCs/>
          <w:i/>
          <w:iCs/>
          <w:color w:val="000000"/>
          <w:sz w:val="20"/>
          <w:lang w:val="en-US"/>
        </w:rPr>
        <w:t>Corresponding author</w:t>
      </w:r>
      <w:r w:rsidRPr="007266B9">
        <w:rPr>
          <w:rFonts w:asciiTheme="minorHAnsi" w:eastAsia="MS PGothic" w:hAnsiTheme="minorHAnsi" w:cstheme="minorHAnsi"/>
          <w:bCs/>
          <w:i/>
          <w:iCs/>
          <w:sz w:val="20"/>
          <w:lang w:val="en-US" w:eastAsia="ko-KR"/>
        </w:rPr>
        <w:t>:</w:t>
      </w:r>
      <w:r w:rsidRPr="007266B9">
        <w:rPr>
          <w:rFonts w:asciiTheme="minorHAnsi" w:eastAsia="MS PGothic" w:hAnsiTheme="minorHAnsi" w:cstheme="minorHAnsi"/>
          <w:bCs/>
          <w:i/>
          <w:iCs/>
          <w:sz w:val="20"/>
          <w:lang w:val="en-US"/>
        </w:rPr>
        <w:t xml:space="preserve"> </w:t>
      </w:r>
      <w:hyperlink r:id="rId10" w:history="1">
        <w:r w:rsidR="007266B9" w:rsidRPr="007266B9">
          <w:rPr>
            <w:rStyle w:val="Hyperlink"/>
            <w:rFonts w:asciiTheme="minorHAnsi" w:hAnsiTheme="minorHAnsi" w:cstheme="minorHAnsi"/>
            <w:sz w:val="20"/>
          </w:rPr>
          <w:t>kyriacos.hadjidemetriou@postgrad.manchester.ac.uk</w:t>
        </w:r>
      </w:hyperlink>
      <w:r w:rsidR="007266B9" w:rsidRPr="007266B9">
        <w:rPr>
          <w:rFonts w:asciiTheme="minorHAnsi" w:hAnsiTheme="minorHAnsi" w:cstheme="minorHAnsi"/>
          <w:sz w:val="20"/>
        </w:rPr>
        <w:t xml:space="preserve"> </w:t>
      </w:r>
    </w:p>
    <w:p w14:paraId="5D9A29FA" w14:textId="77777777" w:rsidR="00704BDF" w:rsidRPr="00431BA9" w:rsidRDefault="00704BDF" w:rsidP="00704BDF">
      <w:pPr>
        <w:pStyle w:val="AbstractHeading"/>
        <w:tabs>
          <w:tab w:val="left" w:pos="3547"/>
          <w:tab w:val="center" w:pos="4694"/>
        </w:tabs>
        <w:spacing w:before="240" w:after="0"/>
        <w:ind w:firstLine="357"/>
        <w:rPr>
          <w:rFonts w:asciiTheme="minorHAnsi" w:hAnsiTheme="minorHAnsi"/>
          <w:b/>
        </w:rPr>
      </w:pPr>
      <w:r w:rsidRPr="00431BA9">
        <w:rPr>
          <w:rFonts w:asciiTheme="minorHAnsi" w:hAnsiTheme="minorHAnsi"/>
          <w:b/>
        </w:rPr>
        <w:t>Highlights</w:t>
      </w:r>
    </w:p>
    <w:p w14:paraId="7E493DE6" w14:textId="77777777" w:rsidR="00704BDF" w:rsidRPr="00EE32C8" w:rsidRDefault="00F24D39" w:rsidP="00EE32C8">
      <w:pPr>
        <w:pStyle w:val="AbstractBody"/>
        <w:numPr>
          <w:ilvl w:val="0"/>
          <w:numId w:val="16"/>
        </w:numPr>
        <w:rPr>
          <w:rFonts w:asciiTheme="minorHAnsi" w:hAnsiTheme="minorHAnsi"/>
        </w:rPr>
      </w:pPr>
      <w:r>
        <w:rPr>
          <w:rFonts w:asciiTheme="minorHAnsi" w:hAnsiTheme="minorHAnsi"/>
        </w:rPr>
        <w:t>Ultrafiltration</w:t>
      </w:r>
      <w:r w:rsidR="00E7483F">
        <w:rPr>
          <w:rFonts w:asciiTheme="minorHAnsi" w:hAnsiTheme="minorHAnsi"/>
        </w:rPr>
        <w:t xml:space="preserve"> </w:t>
      </w:r>
      <w:proofErr w:type="spellStart"/>
      <w:r w:rsidR="00E7483F">
        <w:rPr>
          <w:rFonts w:asciiTheme="minorHAnsi" w:hAnsiTheme="minorHAnsi"/>
        </w:rPr>
        <w:t>optimis</w:t>
      </w:r>
      <w:r w:rsidR="00431BA9" w:rsidRPr="00431BA9">
        <w:rPr>
          <w:rFonts w:asciiTheme="minorHAnsi" w:hAnsiTheme="minorHAnsi"/>
        </w:rPr>
        <w:t>ation</w:t>
      </w:r>
      <w:proofErr w:type="spellEnd"/>
      <w:r w:rsidR="00431BA9" w:rsidRPr="00431BA9">
        <w:rPr>
          <w:rFonts w:asciiTheme="minorHAnsi" w:hAnsiTheme="minorHAnsi"/>
        </w:rPr>
        <w:t xml:space="preserve"> using </w:t>
      </w:r>
      <w:r w:rsidR="00EE32C8">
        <w:rPr>
          <w:rFonts w:asciiTheme="minorHAnsi" w:hAnsiTheme="minorHAnsi"/>
        </w:rPr>
        <w:t xml:space="preserve">modelling </w:t>
      </w:r>
      <w:r>
        <w:rPr>
          <w:rFonts w:asciiTheme="minorHAnsi" w:hAnsiTheme="minorHAnsi"/>
        </w:rPr>
        <w:t>and experimental work.</w:t>
      </w:r>
    </w:p>
    <w:p w14:paraId="5AD897D7" w14:textId="77777777" w:rsidR="00704BDF" w:rsidRPr="00431BA9" w:rsidRDefault="00431BA9" w:rsidP="00704BDF">
      <w:pPr>
        <w:pStyle w:val="AbstractBody"/>
        <w:numPr>
          <w:ilvl w:val="0"/>
          <w:numId w:val="16"/>
        </w:numPr>
        <w:rPr>
          <w:rFonts w:asciiTheme="minorHAnsi" w:hAnsiTheme="minorHAnsi"/>
        </w:rPr>
      </w:pPr>
      <w:r w:rsidRPr="00431BA9">
        <w:rPr>
          <w:rFonts w:asciiTheme="minorHAnsi" w:hAnsiTheme="minorHAnsi"/>
        </w:rPr>
        <w:t xml:space="preserve">Ferric </w:t>
      </w:r>
      <w:r w:rsidR="00EE32C8">
        <w:rPr>
          <w:rFonts w:asciiTheme="minorHAnsi" w:hAnsiTheme="minorHAnsi"/>
        </w:rPr>
        <w:t>f</w:t>
      </w:r>
      <w:r w:rsidRPr="00431BA9">
        <w:rPr>
          <w:rFonts w:asciiTheme="minorHAnsi" w:hAnsiTheme="minorHAnsi"/>
        </w:rPr>
        <w:t xml:space="preserve">loc filtration properties in </w:t>
      </w:r>
      <w:r w:rsidR="00EE32C8">
        <w:rPr>
          <w:rFonts w:asciiTheme="minorHAnsi" w:hAnsiTheme="minorHAnsi"/>
        </w:rPr>
        <w:t>the</w:t>
      </w:r>
      <w:r w:rsidR="00E7483F">
        <w:rPr>
          <w:rFonts w:asciiTheme="minorHAnsi" w:hAnsiTheme="minorHAnsi"/>
        </w:rPr>
        <w:t xml:space="preserve"> u</w:t>
      </w:r>
      <w:r w:rsidRPr="00431BA9">
        <w:rPr>
          <w:rFonts w:asciiTheme="minorHAnsi" w:hAnsiTheme="minorHAnsi"/>
        </w:rPr>
        <w:t>ltrafiltration process</w:t>
      </w:r>
      <w:r w:rsidR="00EE32C8">
        <w:rPr>
          <w:rFonts w:asciiTheme="minorHAnsi" w:hAnsiTheme="minorHAnsi"/>
        </w:rPr>
        <w:t>.</w:t>
      </w:r>
    </w:p>
    <w:p w14:paraId="4245F38A" w14:textId="77777777" w:rsidR="00704BDF" w:rsidRPr="00431BA9" w:rsidRDefault="00431BA9" w:rsidP="00704BDF">
      <w:pPr>
        <w:pStyle w:val="AbstractBody"/>
        <w:numPr>
          <w:ilvl w:val="0"/>
          <w:numId w:val="16"/>
        </w:numPr>
        <w:rPr>
          <w:rFonts w:asciiTheme="minorHAnsi" w:hAnsiTheme="minorHAnsi"/>
        </w:rPr>
      </w:pPr>
      <w:r w:rsidRPr="00431BA9">
        <w:rPr>
          <w:rFonts w:asciiTheme="minorHAnsi" w:hAnsiTheme="minorHAnsi"/>
        </w:rPr>
        <w:t>Effluent treatment in nuclear decommissioning</w:t>
      </w:r>
      <w:r w:rsidR="00EE32C8">
        <w:rPr>
          <w:rFonts w:asciiTheme="minorHAnsi" w:hAnsiTheme="minorHAnsi"/>
        </w:rPr>
        <w:t>.</w:t>
      </w:r>
    </w:p>
    <w:p w14:paraId="109CC635" w14:textId="77777777" w:rsidR="00704BDF" w:rsidRPr="00431BA9" w:rsidRDefault="00431BA9" w:rsidP="00704BDF">
      <w:pPr>
        <w:pStyle w:val="AbstractBody"/>
        <w:numPr>
          <w:ilvl w:val="0"/>
          <w:numId w:val="16"/>
        </w:numPr>
        <w:rPr>
          <w:rFonts w:asciiTheme="minorHAnsi" w:hAnsiTheme="minorHAnsi"/>
        </w:rPr>
      </w:pPr>
      <w:r w:rsidRPr="00431BA9">
        <w:rPr>
          <w:rFonts w:asciiTheme="minorHAnsi" w:hAnsiTheme="minorHAnsi"/>
        </w:rPr>
        <w:t xml:space="preserve">Fouling control and </w:t>
      </w:r>
      <w:r w:rsidR="00EE32C8">
        <w:rPr>
          <w:rFonts w:asciiTheme="minorHAnsi" w:hAnsiTheme="minorHAnsi"/>
        </w:rPr>
        <w:t>c</w:t>
      </w:r>
      <w:r w:rsidRPr="00431BA9">
        <w:rPr>
          <w:rFonts w:asciiTheme="minorHAnsi" w:hAnsiTheme="minorHAnsi"/>
        </w:rPr>
        <w:t>leaning methods for UF tubular membranes</w:t>
      </w:r>
      <w:r w:rsidR="00EE32C8">
        <w:rPr>
          <w:rFonts w:asciiTheme="minorHAnsi" w:hAnsiTheme="minorHAnsi"/>
        </w:rPr>
        <w:t>.</w:t>
      </w:r>
    </w:p>
    <w:p w14:paraId="696CA742" w14:textId="77777777" w:rsidR="00704BDF" w:rsidRPr="006C6E56" w:rsidRDefault="00704BDF" w:rsidP="008E2FBD">
      <w:pPr>
        <w:snapToGrid w:val="0"/>
        <w:spacing w:after="120"/>
        <w:rPr>
          <w:rFonts w:asciiTheme="minorHAnsi" w:eastAsia="MS PGothic" w:hAnsiTheme="minorHAnsi" w:cstheme="minorHAnsi"/>
          <w:b/>
          <w:bCs/>
          <w:color w:val="000000"/>
          <w:sz w:val="22"/>
          <w:szCs w:val="22"/>
          <w:lang w:val="en-US" w:eastAsia="ko-KR"/>
        </w:rPr>
      </w:pPr>
      <w:r w:rsidRPr="006C6E56">
        <w:rPr>
          <w:rFonts w:asciiTheme="minorHAnsi" w:eastAsia="MS PGothic" w:hAnsiTheme="minorHAnsi" w:cstheme="minorHAnsi"/>
          <w:b/>
          <w:bCs/>
          <w:color w:val="000000"/>
          <w:sz w:val="22"/>
          <w:szCs w:val="22"/>
          <w:lang w:val="en-US"/>
        </w:rPr>
        <w:t>1. Introduction</w:t>
      </w:r>
    </w:p>
    <w:p w14:paraId="08597E2D" w14:textId="53E832A9" w:rsidR="00933294" w:rsidRDefault="00D17677" w:rsidP="00933294">
      <w:pPr>
        <w:autoSpaceDE w:val="0"/>
        <w:autoSpaceDN w:val="0"/>
        <w:adjustRightInd w:val="0"/>
        <w:spacing w:after="120"/>
        <w:rPr>
          <w:rFonts w:asciiTheme="minorHAnsi" w:hAnsiTheme="minorHAnsi" w:cstheme="minorHAnsi"/>
          <w:sz w:val="22"/>
          <w:szCs w:val="22"/>
        </w:rPr>
      </w:pPr>
      <w:r w:rsidRPr="006C6E56">
        <w:rPr>
          <w:rFonts w:asciiTheme="minorHAnsi" w:hAnsiTheme="minorHAnsi" w:cstheme="minorHAnsi"/>
          <w:sz w:val="22"/>
          <w:szCs w:val="22"/>
        </w:rPr>
        <w:t xml:space="preserve">The decontamination process of waste radioactive effluent in the Enhanced Actinide Removal Plant (EARP) at the Sellafield Site (UK) has been operating for more than 20 years. The plant has successfully generated and separated ferric flocs with incorporated radioactive components produced from acidic feeds arising from upstream spent nuclear fuel reprocessing plants. </w:t>
      </w:r>
      <w:r w:rsidRPr="006C6E56">
        <w:rPr>
          <w:rFonts w:asciiTheme="minorHAnsi" w:hAnsiTheme="minorHAnsi" w:cstheme="minorHAnsi"/>
          <w:noProof/>
          <w:sz w:val="22"/>
          <w:szCs w:val="22"/>
        </w:rPr>
        <w:t>The</w:t>
      </w:r>
      <w:r w:rsidRPr="006C6E56">
        <w:rPr>
          <w:rFonts w:asciiTheme="minorHAnsi" w:hAnsiTheme="minorHAnsi" w:cstheme="minorHAnsi"/>
          <w:sz w:val="22"/>
          <w:szCs w:val="22"/>
        </w:rPr>
        <w:t xml:space="preserve"> EARP treatment process focuses on the chemical precipitation (CP) of ferric floc and </w:t>
      </w:r>
      <w:r w:rsidRPr="00372D3D">
        <w:rPr>
          <w:rFonts w:asciiTheme="minorHAnsi" w:hAnsiTheme="minorHAnsi" w:cstheme="minorHAnsi"/>
          <w:noProof/>
          <w:sz w:val="22"/>
          <w:szCs w:val="22"/>
        </w:rPr>
        <w:t>an ultrafiltration</w:t>
      </w:r>
      <w:r w:rsidRPr="006C6E56">
        <w:rPr>
          <w:rFonts w:asciiTheme="minorHAnsi" w:hAnsiTheme="minorHAnsi" w:cstheme="minorHAnsi"/>
          <w:sz w:val="22"/>
          <w:szCs w:val="22"/>
        </w:rPr>
        <w:t xml:space="preserve"> (UF) process, in which separation of ferric floc is achieved in a two dewatering stage process</w:t>
      </w:r>
      <w:r w:rsidR="000D76A7">
        <w:rPr>
          <w:rFonts w:asciiTheme="minorHAnsi" w:hAnsiTheme="minorHAnsi" w:cstheme="minorHAnsi"/>
          <w:sz w:val="22"/>
          <w:szCs w:val="22"/>
        </w:rPr>
        <w:t xml:space="preserve"> </w:t>
      </w:r>
      <w:r w:rsidR="000D76A7" w:rsidRPr="00CB16BF">
        <w:rPr>
          <w:rFonts w:asciiTheme="minorHAnsi" w:hAnsiTheme="minorHAnsi" w:cstheme="minorHAnsi"/>
          <w:sz w:val="22"/>
          <w:szCs w:val="22"/>
          <w:vertAlign w:val="superscript"/>
        </w:rPr>
        <w:fldChar w:fldCharType="begin"/>
      </w:r>
      <w:r w:rsidR="000D76A7" w:rsidRPr="00CB16BF">
        <w:rPr>
          <w:rFonts w:asciiTheme="minorHAnsi" w:hAnsiTheme="minorHAnsi" w:cstheme="minorHAnsi"/>
          <w:sz w:val="22"/>
          <w:szCs w:val="22"/>
          <w:vertAlign w:val="superscript"/>
        </w:rPr>
        <w:instrText xml:space="preserve"> ADDIN EN.CITE &lt;EndNote&gt;&lt;Cite&gt;&lt;Author&gt;Weatherill&lt;/Author&gt;&lt;Year&gt;2016&lt;/Year&gt;&lt;RecNum&gt;402&lt;/RecNum&gt;&lt;DisplayText&gt;[1]&lt;/DisplayText&gt;&lt;record&gt;&lt;rec-number&gt;402&lt;/rec-number&gt;&lt;foreign-keys&gt;&lt;key app="EN" db-id="d5ztpp5e5tv2sie29atpwpw4dw5xreva2dfa" timestamp="0"&gt;402&lt;/key&gt;&lt;/foreign-keys&gt;&lt;ref-type name="Journal Article"&gt;17&lt;/ref-type&gt;&lt;contributors&gt;&lt;authors&gt;&lt;author&gt;Weatherill, Joshua S.&lt;/author&gt;&lt;author&gt;Morris, Katherine&lt;/author&gt;&lt;author&gt;Bots, Pieter&lt;/author&gt;&lt;author&gt;Stawski, Tomasz M.&lt;/author&gt;&lt;author&gt;Janssen, Arne&lt;/author&gt;&lt;author&gt;Abrahamsen, Liam&lt;/author&gt;&lt;author&gt;Blackham, Richard&lt;/author&gt;&lt;author&gt;Shaw, Samuel&lt;/author&gt;&lt;/authors&gt;&lt;/contributors&gt;&lt;titles&gt;&lt;title&gt;Ferrihydrite Formation: The Role of Fe13 Keggin Clusters&lt;/title&gt;&lt;secondary-title&gt;Environmental Science &amp;amp; Technology&lt;/secondary-title&gt;&lt;/titles&gt;&lt;pages&gt;9333-9342&lt;/pages&gt;&lt;volume&gt;50&lt;/volume&gt;&lt;number&gt;17&lt;/number&gt;&lt;dates&gt;&lt;year&gt;2016&lt;/year&gt;&lt;pub-dates&gt;&lt;date&gt;2016/09/06&lt;/date&gt;&lt;/pub-dates&gt;&lt;/dates&gt;&lt;publisher&gt;American Chemical Society&lt;/publisher&gt;&lt;isbn&gt;0013-936X&lt;/isbn&gt;&lt;urls&gt;&lt;related-urls&gt;&lt;url&gt;http://dx.doi.org/10.1021/acs.est.6b02481&lt;/url&gt;&lt;/related-urls&gt;&lt;/urls&gt;&lt;electronic-resource-num&gt;10.1021/acs.est.6b02481&lt;/electronic-resource-num&gt;&lt;/record&gt;&lt;/Cite&gt;&lt;/EndNote&gt;</w:instrText>
      </w:r>
      <w:r w:rsidR="000D76A7" w:rsidRPr="00CB16BF">
        <w:rPr>
          <w:rFonts w:asciiTheme="minorHAnsi" w:hAnsiTheme="minorHAnsi" w:cstheme="minorHAnsi"/>
          <w:sz w:val="22"/>
          <w:szCs w:val="22"/>
          <w:vertAlign w:val="superscript"/>
        </w:rPr>
        <w:fldChar w:fldCharType="separate"/>
      </w:r>
      <w:r w:rsidR="000D76A7" w:rsidRPr="00CB16BF">
        <w:rPr>
          <w:rFonts w:asciiTheme="minorHAnsi" w:hAnsiTheme="minorHAnsi" w:cstheme="minorHAnsi"/>
          <w:noProof/>
          <w:sz w:val="22"/>
          <w:szCs w:val="22"/>
          <w:vertAlign w:val="superscript"/>
        </w:rPr>
        <w:t>[1]</w:t>
      </w:r>
      <w:r w:rsidR="000D76A7" w:rsidRPr="00CB16BF">
        <w:rPr>
          <w:rFonts w:asciiTheme="minorHAnsi" w:hAnsiTheme="minorHAnsi" w:cstheme="minorHAnsi"/>
          <w:sz w:val="22"/>
          <w:szCs w:val="22"/>
          <w:vertAlign w:val="superscript"/>
        </w:rPr>
        <w:fldChar w:fldCharType="end"/>
      </w:r>
      <w:r w:rsidRPr="006C6E56">
        <w:rPr>
          <w:rFonts w:asciiTheme="minorHAnsi" w:hAnsiTheme="minorHAnsi" w:cstheme="minorHAnsi"/>
          <w:sz w:val="22"/>
          <w:szCs w:val="22"/>
        </w:rPr>
        <w:t xml:space="preserve">. </w:t>
      </w:r>
      <w:r w:rsidR="00933294">
        <w:rPr>
          <w:rFonts w:asciiTheme="minorHAnsi" w:hAnsiTheme="minorHAnsi" w:cstheme="minorHAnsi"/>
          <w:sz w:val="22"/>
          <w:szCs w:val="22"/>
        </w:rPr>
        <w:t xml:space="preserve"> </w:t>
      </w:r>
    </w:p>
    <w:p w14:paraId="6C4A26BD" w14:textId="50A4437C" w:rsidR="005B5B8C" w:rsidRPr="00CB16BF" w:rsidRDefault="00D17677" w:rsidP="00933294">
      <w:pPr>
        <w:autoSpaceDE w:val="0"/>
        <w:autoSpaceDN w:val="0"/>
        <w:adjustRightInd w:val="0"/>
        <w:spacing w:after="120"/>
        <w:rPr>
          <w:rFonts w:asciiTheme="minorHAnsi" w:hAnsiTheme="minorHAnsi" w:cstheme="minorHAnsi"/>
          <w:sz w:val="22"/>
          <w:szCs w:val="22"/>
        </w:rPr>
      </w:pPr>
      <w:r w:rsidRPr="006C6E56">
        <w:rPr>
          <w:rFonts w:asciiTheme="minorHAnsi" w:hAnsiTheme="minorHAnsi" w:cstheme="minorHAnsi"/>
          <w:sz w:val="22"/>
          <w:szCs w:val="22"/>
        </w:rPr>
        <w:t>UF technology performance and longevity are affected by the fouling deposition on the surface and inside the pores of the membrane</w:t>
      </w:r>
      <w:r w:rsidRPr="006C6E56">
        <w:rPr>
          <w:rFonts w:asciiTheme="minorHAnsi" w:hAnsiTheme="minorHAnsi" w:cstheme="minorHAnsi"/>
          <w:sz w:val="22"/>
          <w:szCs w:val="22"/>
        </w:rPr>
        <w:fldChar w:fldCharType="begin"/>
      </w:r>
      <w:r w:rsidR="001D1614">
        <w:rPr>
          <w:rFonts w:asciiTheme="minorHAnsi" w:hAnsiTheme="minorHAnsi" w:cstheme="minorHAnsi"/>
          <w:sz w:val="22"/>
          <w:szCs w:val="22"/>
        </w:rPr>
        <w:instrText xml:space="preserve"> ADDIN EN.CITE &lt;EndNote&gt;&lt;Cite&gt;&lt;Author&gt;Shi&lt;/Author&gt;&lt;Year&gt;2014&lt;/Year&gt;&lt;RecNum&gt;383&lt;/RecNum&gt;&lt;DisplayText&gt;[2]&lt;/DisplayText&gt;&lt;record&gt;&lt;rec-number&gt;383&lt;/rec-number&gt;&lt;foreign-keys&gt;&lt;key app="EN" db-id="d5ztpp5e5tv2sie29atpwpw4dw5xreva2dfa" timestamp="0"&gt;383&lt;/key&gt;&lt;/foreign-keys&gt;&lt;ref-type name="Journal Article"&gt;17&lt;/ref-type&gt;&lt;contributors&gt;&lt;authors&gt;&lt;author&gt;Shi, Xiafu&lt;/author&gt;&lt;author&gt;Tal, Galit&lt;/author&gt;&lt;author&gt;Hankins, Nicholas P.&lt;/author&gt;&lt;author&gt;Gitis, Vitaly&lt;/author&gt;&lt;/authors&gt;&lt;/contributors&gt;&lt;titles&gt;&lt;title&gt;Fouling and cleaning of ultrafiltration membranes: A review&lt;/title&gt;&lt;secondary-title&gt;Journal of Water Process Engineering&lt;/secondary-title&gt;&lt;/titles&gt;&lt;pages&gt;121-138&lt;/pages&gt;&lt;volume&gt;1&lt;/volume&gt;&lt;number&gt;Supplement C&lt;/number&gt;&lt;keywords&gt;&lt;keyword&gt;Membrane fouling&lt;/keyword&gt;&lt;keyword&gt;Membrane cleaning&lt;/keyword&gt;&lt;keyword&gt;Physical cleaning&lt;/keyword&gt;&lt;keyword&gt;Chemical cleaning&lt;/keyword&gt;&lt;keyword&gt;Membrane integrity&lt;/keyword&gt;&lt;keyword&gt;Membrane degradation&lt;/keyword&gt;&lt;/keywords&gt;&lt;dates&gt;&lt;year&gt;2014&lt;/year&gt;&lt;pub-dates&gt;&lt;date&gt;2014/04/01/&lt;/date&gt;&lt;/pub-dates&gt;&lt;/dates&gt;&lt;isbn&gt;2214-7144&lt;/isbn&gt;&lt;urls&gt;&lt;related-urls&gt;&lt;url&gt;http://www.sciencedirect.com/science/article/pii/S2214714414000191&lt;/url&gt;&lt;/related-urls&gt;&lt;/urls&gt;&lt;electronic-resource-num&gt;https://doi.org/10.1016/j.jwpe.2014.04.003&lt;/electronic-resource-num&gt;&lt;/record&gt;&lt;/Cite&gt;&lt;/EndNote&gt;</w:instrText>
      </w:r>
      <w:r w:rsidRPr="006C6E56">
        <w:rPr>
          <w:rFonts w:asciiTheme="minorHAnsi" w:hAnsiTheme="minorHAnsi" w:cstheme="minorHAnsi"/>
          <w:sz w:val="22"/>
          <w:szCs w:val="22"/>
        </w:rPr>
        <w:fldChar w:fldCharType="end"/>
      </w:r>
      <w:r w:rsidRPr="006C6E56">
        <w:rPr>
          <w:rFonts w:asciiTheme="minorHAnsi" w:hAnsiTheme="minorHAnsi" w:cstheme="minorHAnsi"/>
          <w:noProof/>
          <w:sz w:val="22"/>
          <w:szCs w:val="22"/>
        </w:rPr>
        <w:t xml:space="preserve">. </w:t>
      </w:r>
      <w:r w:rsidR="008F03A7">
        <w:rPr>
          <w:rFonts w:asciiTheme="minorHAnsi" w:hAnsiTheme="minorHAnsi" w:cstheme="minorHAnsi"/>
          <w:sz w:val="22"/>
          <w:szCs w:val="22"/>
        </w:rPr>
        <w:t>The</w:t>
      </w:r>
      <w:r w:rsidR="00287C5D" w:rsidRPr="00287C5D">
        <w:rPr>
          <w:rFonts w:asciiTheme="minorHAnsi" w:hAnsiTheme="minorHAnsi" w:cstheme="minorHAnsi"/>
          <w:sz w:val="22"/>
          <w:szCs w:val="22"/>
        </w:rPr>
        <w:t xml:space="preserve"> development of a UF rig </w:t>
      </w:r>
      <w:r w:rsidR="008F03A7">
        <w:rPr>
          <w:rFonts w:asciiTheme="minorHAnsi" w:hAnsiTheme="minorHAnsi" w:cstheme="minorHAnsi"/>
          <w:sz w:val="22"/>
          <w:szCs w:val="22"/>
        </w:rPr>
        <w:t xml:space="preserve">will be used for experimental work on the separation </w:t>
      </w:r>
      <w:r w:rsidR="00BE14FF">
        <w:rPr>
          <w:rFonts w:asciiTheme="minorHAnsi" w:hAnsiTheme="minorHAnsi" w:cstheme="minorHAnsi"/>
          <w:sz w:val="22"/>
          <w:szCs w:val="22"/>
        </w:rPr>
        <w:t xml:space="preserve">of flocs and </w:t>
      </w:r>
      <w:r w:rsidR="00E7483F">
        <w:rPr>
          <w:rFonts w:asciiTheme="minorHAnsi" w:hAnsiTheme="minorHAnsi" w:cstheme="minorHAnsi"/>
          <w:sz w:val="22"/>
          <w:szCs w:val="22"/>
        </w:rPr>
        <w:t>the validation of</w:t>
      </w:r>
      <w:r w:rsidR="00BE14FF">
        <w:rPr>
          <w:rFonts w:asciiTheme="minorHAnsi" w:hAnsiTheme="minorHAnsi" w:cstheme="minorHAnsi"/>
          <w:sz w:val="22"/>
          <w:szCs w:val="22"/>
        </w:rPr>
        <w:t xml:space="preserve"> the co</w:t>
      </w:r>
      <w:r w:rsidR="00B545D8">
        <w:rPr>
          <w:rFonts w:asciiTheme="minorHAnsi" w:hAnsiTheme="minorHAnsi" w:cstheme="minorHAnsi"/>
          <w:sz w:val="22"/>
          <w:szCs w:val="22"/>
        </w:rPr>
        <w:t xml:space="preserve">mputational </w:t>
      </w:r>
      <w:r w:rsidR="00BE14FF">
        <w:rPr>
          <w:rFonts w:asciiTheme="minorHAnsi" w:hAnsiTheme="minorHAnsi" w:cstheme="minorHAnsi"/>
          <w:sz w:val="22"/>
          <w:szCs w:val="22"/>
        </w:rPr>
        <w:t>models</w:t>
      </w:r>
      <w:r w:rsidR="00205271">
        <w:rPr>
          <w:rFonts w:asciiTheme="minorHAnsi" w:hAnsiTheme="minorHAnsi" w:cstheme="minorHAnsi"/>
          <w:sz w:val="22"/>
          <w:szCs w:val="22"/>
        </w:rPr>
        <w:t xml:space="preserve"> </w:t>
      </w:r>
      <w:r w:rsidR="00205271" w:rsidRPr="00CB16BF">
        <w:rPr>
          <w:rFonts w:asciiTheme="minorHAnsi" w:hAnsiTheme="minorHAnsi" w:cstheme="minorHAnsi"/>
          <w:sz w:val="22"/>
          <w:szCs w:val="22"/>
          <w:vertAlign w:val="superscript"/>
        </w:rPr>
        <w:t>[2]</w:t>
      </w:r>
      <w:r w:rsidR="00CB16BF">
        <w:rPr>
          <w:rFonts w:asciiTheme="minorHAnsi" w:hAnsiTheme="minorHAnsi" w:cstheme="minorHAnsi"/>
          <w:sz w:val="22"/>
          <w:szCs w:val="22"/>
        </w:rPr>
        <w:t>.</w:t>
      </w:r>
    </w:p>
    <w:p w14:paraId="73BD08CF" w14:textId="77777777" w:rsidR="00704BDF" w:rsidRPr="008D0BEB" w:rsidRDefault="00704BDF" w:rsidP="008E2FBD">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607D99F" w14:textId="6F17EC02" w:rsidR="001B6472" w:rsidRDefault="00B545D8" w:rsidP="008E2FBD">
      <w:pPr>
        <w:spacing w:after="120"/>
        <w:rPr>
          <w:rFonts w:asciiTheme="minorHAnsi" w:hAnsiTheme="minorHAnsi" w:cstheme="minorHAnsi"/>
          <w:sz w:val="22"/>
          <w:szCs w:val="22"/>
        </w:rPr>
      </w:pPr>
      <w:r>
        <w:rPr>
          <w:rFonts w:asciiTheme="minorHAnsi" w:hAnsiTheme="minorHAnsi" w:cstheme="minorHAnsi"/>
          <w:sz w:val="22"/>
          <w:szCs w:val="22"/>
        </w:rPr>
        <w:t>Computation</w:t>
      </w:r>
      <w:r w:rsidR="004C5672">
        <w:rPr>
          <w:rFonts w:asciiTheme="minorHAnsi" w:hAnsiTheme="minorHAnsi" w:cstheme="minorHAnsi"/>
          <w:sz w:val="22"/>
          <w:szCs w:val="22"/>
        </w:rPr>
        <w:t>al</w:t>
      </w:r>
      <w:r>
        <w:rPr>
          <w:rFonts w:asciiTheme="minorHAnsi" w:hAnsiTheme="minorHAnsi" w:cstheme="minorHAnsi"/>
          <w:sz w:val="22"/>
          <w:szCs w:val="22"/>
        </w:rPr>
        <w:t xml:space="preserve"> </w:t>
      </w:r>
      <w:r w:rsidR="00E7483F">
        <w:rPr>
          <w:rFonts w:asciiTheme="minorHAnsi" w:hAnsiTheme="minorHAnsi" w:cstheme="minorHAnsi"/>
          <w:sz w:val="22"/>
          <w:szCs w:val="22"/>
        </w:rPr>
        <w:t>m</w:t>
      </w:r>
      <w:r w:rsidR="006C6E56" w:rsidRPr="00287C5D">
        <w:rPr>
          <w:rFonts w:asciiTheme="minorHAnsi" w:hAnsiTheme="minorHAnsi" w:cstheme="minorHAnsi"/>
          <w:sz w:val="22"/>
          <w:szCs w:val="22"/>
        </w:rPr>
        <w:t xml:space="preserve">odelling work </w:t>
      </w:r>
      <w:r>
        <w:rPr>
          <w:rFonts w:asciiTheme="minorHAnsi" w:hAnsiTheme="minorHAnsi" w:cstheme="minorHAnsi"/>
          <w:sz w:val="22"/>
          <w:szCs w:val="22"/>
        </w:rPr>
        <w:t xml:space="preserve">to build the 1D and CFD </w:t>
      </w:r>
      <w:r w:rsidR="008F03A7">
        <w:rPr>
          <w:rFonts w:asciiTheme="minorHAnsi" w:hAnsiTheme="minorHAnsi" w:cstheme="minorHAnsi"/>
          <w:sz w:val="22"/>
          <w:szCs w:val="22"/>
        </w:rPr>
        <w:t xml:space="preserve">models </w:t>
      </w:r>
      <w:r w:rsidR="006C6E56" w:rsidRPr="00287C5D">
        <w:rPr>
          <w:rFonts w:asciiTheme="minorHAnsi" w:hAnsiTheme="minorHAnsi" w:cstheme="minorHAnsi"/>
          <w:noProof/>
          <w:sz w:val="22"/>
          <w:szCs w:val="22"/>
        </w:rPr>
        <w:t>has</w:t>
      </w:r>
      <w:r w:rsidR="006C6E56" w:rsidRPr="00287C5D">
        <w:rPr>
          <w:rFonts w:asciiTheme="minorHAnsi" w:hAnsiTheme="minorHAnsi" w:cstheme="minorHAnsi"/>
          <w:sz w:val="22"/>
          <w:szCs w:val="22"/>
        </w:rPr>
        <w:t xml:space="preserve"> been </w:t>
      </w:r>
      <w:r w:rsidR="008F03A7">
        <w:rPr>
          <w:rFonts w:asciiTheme="minorHAnsi" w:hAnsiTheme="minorHAnsi" w:cstheme="minorHAnsi"/>
          <w:sz w:val="22"/>
          <w:szCs w:val="22"/>
        </w:rPr>
        <w:t>utilised</w:t>
      </w:r>
      <w:r w:rsidR="006C6E56" w:rsidRPr="00287C5D">
        <w:rPr>
          <w:rFonts w:asciiTheme="minorHAnsi" w:hAnsiTheme="minorHAnsi" w:cstheme="minorHAnsi"/>
          <w:sz w:val="22"/>
          <w:szCs w:val="22"/>
        </w:rPr>
        <w:t xml:space="preserve"> </w:t>
      </w:r>
      <w:r w:rsidR="008F03A7">
        <w:rPr>
          <w:rFonts w:asciiTheme="minorHAnsi" w:hAnsiTheme="minorHAnsi" w:cstheme="minorHAnsi"/>
          <w:sz w:val="22"/>
          <w:szCs w:val="22"/>
        </w:rPr>
        <w:t>to</w:t>
      </w:r>
      <w:r w:rsidR="006C6E56" w:rsidRPr="00287C5D">
        <w:rPr>
          <w:rFonts w:asciiTheme="minorHAnsi" w:hAnsiTheme="minorHAnsi" w:cstheme="minorHAnsi"/>
          <w:sz w:val="22"/>
          <w:szCs w:val="22"/>
        </w:rPr>
        <w:t xml:space="preserve"> predict the UF rig system performance under various operating conditions</w:t>
      </w:r>
      <w:r w:rsidR="004C5672">
        <w:rPr>
          <w:rFonts w:asciiTheme="minorHAnsi" w:hAnsiTheme="minorHAnsi" w:cstheme="minorHAnsi"/>
          <w:sz w:val="22"/>
          <w:szCs w:val="22"/>
        </w:rPr>
        <w:t>.</w:t>
      </w:r>
      <w:r w:rsidR="006C6E56" w:rsidRPr="00287C5D">
        <w:rPr>
          <w:rFonts w:asciiTheme="minorHAnsi" w:hAnsiTheme="minorHAnsi" w:cstheme="minorHAnsi"/>
          <w:sz w:val="22"/>
          <w:szCs w:val="22"/>
        </w:rPr>
        <w:t xml:space="preserve"> The Darcy’s law and the </w:t>
      </w:r>
      <w:proofErr w:type="spellStart"/>
      <w:r w:rsidR="006C6E56" w:rsidRPr="00287C5D">
        <w:rPr>
          <w:rFonts w:asciiTheme="minorHAnsi" w:hAnsiTheme="minorHAnsi" w:cstheme="minorHAnsi"/>
          <w:sz w:val="22"/>
          <w:szCs w:val="22"/>
        </w:rPr>
        <w:t>Poiseuille</w:t>
      </w:r>
      <w:proofErr w:type="spellEnd"/>
      <w:r w:rsidR="006C6E56" w:rsidRPr="00287C5D">
        <w:rPr>
          <w:rFonts w:asciiTheme="minorHAnsi" w:hAnsiTheme="minorHAnsi" w:cstheme="minorHAnsi"/>
          <w:sz w:val="22"/>
          <w:szCs w:val="22"/>
        </w:rPr>
        <w:t xml:space="preserve"> model for calculating the permeability coefficient were incorporated in the equations to build the 1D model across a tubular m</w:t>
      </w:r>
      <w:r w:rsidR="005273B9">
        <w:rPr>
          <w:rFonts w:asciiTheme="minorHAnsi" w:hAnsiTheme="minorHAnsi" w:cstheme="minorHAnsi"/>
          <w:sz w:val="22"/>
          <w:szCs w:val="22"/>
        </w:rPr>
        <w:t>etallic membrane, as well as the friction factor for the loss of pressure through the membrane</w:t>
      </w:r>
      <w:r w:rsidR="00205271">
        <w:rPr>
          <w:rFonts w:asciiTheme="minorHAnsi" w:hAnsiTheme="minorHAnsi" w:cstheme="minorHAnsi"/>
          <w:sz w:val="22"/>
          <w:szCs w:val="22"/>
        </w:rPr>
        <w:t xml:space="preserve"> </w:t>
      </w:r>
      <w:r w:rsidR="00205271" w:rsidRPr="00CB16BF">
        <w:rPr>
          <w:rFonts w:asciiTheme="minorHAnsi" w:hAnsiTheme="minorHAnsi" w:cstheme="minorHAnsi"/>
          <w:sz w:val="22"/>
          <w:szCs w:val="22"/>
          <w:vertAlign w:val="superscript"/>
        </w:rPr>
        <w:t>[3]</w:t>
      </w:r>
      <w:r w:rsidR="005273B9">
        <w:rPr>
          <w:rFonts w:asciiTheme="minorHAnsi" w:hAnsiTheme="minorHAnsi" w:cstheme="minorHAnsi"/>
          <w:sz w:val="22"/>
          <w:szCs w:val="22"/>
        </w:rPr>
        <w:t>.</w:t>
      </w:r>
    </w:p>
    <w:tbl>
      <w:tblPr>
        <w:tblStyle w:val="TableGrid"/>
        <w:tblpPr w:leftFromText="180" w:rightFromText="180" w:vertAnchor="text" w:horzAnchor="margin" w:tblpXSpec="center" w:tblpY="55"/>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
        <w:gridCol w:w="3544"/>
        <w:gridCol w:w="709"/>
      </w:tblGrid>
      <w:tr w:rsidR="008E2FBD" w14:paraId="1538396F" w14:textId="77777777" w:rsidTr="00303514">
        <w:tc>
          <w:tcPr>
            <w:tcW w:w="3936" w:type="dxa"/>
            <w:vAlign w:val="center"/>
          </w:tcPr>
          <w:p w14:paraId="66347C4E" w14:textId="77777777" w:rsidR="00303514" w:rsidRDefault="00C43D1E" w:rsidP="008E2FBD">
            <w:pPr>
              <w:spacing w:after="120"/>
              <w:jc w:val="center"/>
              <w:rPr>
                <w:rFonts w:asciiTheme="minorHAnsi" w:hAnsiTheme="minorHAnsi" w:cstheme="minorHAnsi"/>
                <w:sz w:val="22"/>
                <w:szCs w:val="22"/>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J</m:t>
                    </m:r>
                  </m:e>
                  <m:sub>
                    <m:r>
                      <w:rPr>
                        <w:rFonts w:ascii="Cambria Math" w:hAnsi="Cambria Math" w:cstheme="minorHAnsi"/>
                        <w:sz w:val="22"/>
                        <w:szCs w:val="22"/>
                      </w:rPr>
                      <m:t>M</m:t>
                    </m:r>
                  </m:sub>
                </m:sSub>
                <m:r>
                  <w:rPr>
                    <w:rFonts w:ascii="Cambria Math" w:hAnsi="Cambria Math" w:cstheme="minorHAnsi"/>
                    <w:sz w:val="22"/>
                    <w:szCs w:val="22"/>
                  </w:rPr>
                  <m:t>=</m:t>
                </m:r>
                <m:f>
                  <m:fPr>
                    <m:ctrlPr>
                      <w:rPr>
                        <w:rFonts w:ascii="Cambria Math" w:hAnsi="Cambria Math" w:cstheme="minorHAnsi"/>
                        <w:i/>
                        <w:iCs/>
                        <w:sz w:val="22"/>
                        <w:szCs w:val="22"/>
                      </w:rPr>
                    </m:ctrlPr>
                  </m:fPr>
                  <m:num>
                    <m:r>
                      <w:rPr>
                        <w:rFonts w:ascii="Cambria Math" w:hAnsi="Cambria Math" w:cstheme="minorHAnsi"/>
                        <w:sz w:val="22"/>
                        <w:szCs w:val="22"/>
                      </w:rPr>
                      <m:t>K∆</m:t>
                    </m:r>
                    <m:sSub>
                      <m:sSubPr>
                        <m:ctrlPr>
                          <w:rPr>
                            <w:rFonts w:ascii="Cambria Math" w:hAnsi="Cambria Math" w:cstheme="minorHAnsi"/>
                            <w:i/>
                            <w:iCs/>
                            <w:sz w:val="22"/>
                            <w:szCs w:val="22"/>
                          </w:rPr>
                        </m:ctrlPr>
                      </m:sSubPr>
                      <m:e>
                        <m:r>
                          <w:rPr>
                            <w:rFonts w:ascii="Cambria Math" w:hAnsi="Cambria Math" w:cstheme="minorHAnsi"/>
                            <w:sz w:val="22"/>
                            <w:szCs w:val="22"/>
                          </w:rPr>
                          <m:t>P</m:t>
                        </m:r>
                      </m:e>
                      <m:sub>
                        <m:r>
                          <w:rPr>
                            <w:rFonts w:ascii="Cambria Math" w:hAnsi="Cambria Math" w:cstheme="minorHAnsi"/>
                            <w:sz w:val="22"/>
                            <w:szCs w:val="22"/>
                          </w:rPr>
                          <m:t>TM</m:t>
                        </m:r>
                      </m:sub>
                    </m:sSub>
                  </m:num>
                  <m:den>
                    <m:r>
                      <w:rPr>
                        <w:rFonts w:ascii="Cambria Math" w:hAnsi="Cambria Math" w:cstheme="minorHAnsi"/>
                        <w:sz w:val="22"/>
                        <w:szCs w:val="22"/>
                      </w:rPr>
                      <m:t>μδ</m:t>
                    </m:r>
                  </m:den>
                </m:f>
              </m:oMath>
            </m:oMathPara>
          </w:p>
        </w:tc>
        <w:tc>
          <w:tcPr>
            <w:tcW w:w="708" w:type="dxa"/>
            <w:vAlign w:val="center"/>
          </w:tcPr>
          <w:p w14:paraId="0691AA7C" w14:textId="77777777" w:rsidR="00303514" w:rsidRDefault="00303514" w:rsidP="008E2FBD">
            <w:pPr>
              <w:spacing w:after="120"/>
              <w:jc w:val="center"/>
              <w:rPr>
                <w:rFonts w:asciiTheme="minorHAnsi" w:hAnsiTheme="minorHAnsi" w:cstheme="minorHAnsi"/>
                <w:sz w:val="22"/>
                <w:szCs w:val="22"/>
              </w:rPr>
            </w:pPr>
            <w:r>
              <w:rPr>
                <w:rFonts w:asciiTheme="minorHAnsi" w:hAnsiTheme="minorHAnsi" w:cstheme="minorHAnsi"/>
                <w:sz w:val="22"/>
                <w:szCs w:val="22"/>
              </w:rPr>
              <w:t>(1)</w:t>
            </w:r>
          </w:p>
        </w:tc>
        <w:tc>
          <w:tcPr>
            <w:tcW w:w="3544" w:type="dxa"/>
            <w:vAlign w:val="center"/>
          </w:tcPr>
          <w:p w14:paraId="1D460AFA" w14:textId="77777777" w:rsidR="00303514" w:rsidRDefault="00303514" w:rsidP="00933294">
            <w:pPr>
              <w:spacing w:after="120"/>
              <w:jc w:val="center"/>
              <w:rPr>
                <w:rFonts w:asciiTheme="minorHAnsi" w:hAnsiTheme="minorHAnsi" w:cstheme="minorHAnsi"/>
                <w:sz w:val="22"/>
                <w:szCs w:val="22"/>
              </w:rPr>
            </w:pPr>
            <m:oMathPara>
              <m:oMath>
                <m:r>
                  <w:rPr>
                    <w:rFonts w:ascii="Cambria Math" w:hAnsi="Cambria Math" w:cstheme="minorHAnsi"/>
                    <w:sz w:val="22"/>
                    <w:szCs w:val="22"/>
                  </w:rPr>
                  <m:t>K=</m:t>
                </m:r>
                <m:f>
                  <m:fPr>
                    <m:ctrlPr>
                      <w:rPr>
                        <w:rFonts w:ascii="Cambria Math" w:hAnsi="Cambria Math" w:cstheme="minorHAnsi"/>
                        <w:i/>
                        <w:iCs/>
                        <w:sz w:val="22"/>
                        <w:szCs w:val="22"/>
                      </w:rPr>
                    </m:ctrlPr>
                  </m:fPr>
                  <m:num>
                    <m:sSubSup>
                      <m:sSubSupPr>
                        <m:ctrlPr>
                          <w:rPr>
                            <w:rFonts w:ascii="Cambria Math" w:hAnsi="Cambria Math" w:cstheme="minorHAnsi"/>
                            <w:i/>
                            <w:iCs/>
                            <w:sz w:val="22"/>
                            <w:szCs w:val="22"/>
                          </w:rPr>
                        </m:ctrlPr>
                      </m:sSubSupPr>
                      <m:e>
                        <m:r>
                          <w:rPr>
                            <w:rFonts w:ascii="Cambria Math" w:hAnsi="Cambria Math" w:cstheme="minorHAnsi"/>
                            <w:sz w:val="22"/>
                            <w:szCs w:val="22"/>
                          </w:rPr>
                          <m:t>d</m:t>
                        </m:r>
                      </m:e>
                      <m:sub>
                        <m:r>
                          <w:rPr>
                            <w:rFonts w:ascii="Cambria Math" w:hAnsi="Cambria Math" w:cstheme="minorHAnsi"/>
                            <w:sz w:val="22"/>
                            <w:szCs w:val="22"/>
                          </w:rPr>
                          <m:t>0</m:t>
                        </m:r>
                      </m:sub>
                      <m:sup>
                        <m:r>
                          <w:rPr>
                            <w:rFonts w:ascii="Cambria Math" w:hAnsi="Cambria Math" w:cstheme="minorHAnsi"/>
                            <w:sz w:val="22"/>
                            <w:szCs w:val="22"/>
                          </w:rPr>
                          <m:t>2</m:t>
                        </m:r>
                      </m:sup>
                    </m:sSubSup>
                    <m:r>
                      <w:rPr>
                        <w:rFonts w:ascii="Cambria Math" w:hAnsi="Cambria Math" w:cstheme="minorHAnsi"/>
                        <w:sz w:val="22"/>
                        <w:szCs w:val="22"/>
                      </w:rPr>
                      <m:t>ε</m:t>
                    </m:r>
                  </m:num>
                  <m:den>
                    <m:r>
                      <w:rPr>
                        <w:rFonts w:ascii="Cambria Math" w:hAnsi="Cambria Math" w:cstheme="minorHAnsi"/>
                        <w:sz w:val="22"/>
                        <w:szCs w:val="22"/>
                      </w:rPr>
                      <m:t>32</m:t>
                    </m:r>
                  </m:den>
                </m:f>
              </m:oMath>
            </m:oMathPara>
          </w:p>
        </w:tc>
        <w:tc>
          <w:tcPr>
            <w:tcW w:w="709" w:type="dxa"/>
            <w:vAlign w:val="center"/>
          </w:tcPr>
          <w:p w14:paraId="231FC794" w14:textId="77777777" w:rsidR="00303514" w:rsidRDefault="00303514" w:rsidP="008E2FBD">
            <w:pPr>
              <w:spacing w:after="120"/>
              <w:jc w:val="center"/>
              <w:rPr>
                <w:rFonts w:asciiTheme="minorHAnsi" w:hAnsiTheme="minorHAnsi" w:cstheme="minorHAnsi"/>
                <w:sz w:val="22"/>
                <w:szCs w:val="22"/>
              </w:rPr>
            </w:pPr>
            <w:r>
              <w:rPr>
                <w:rFonts w:asciiTheme="minorHAnsi" w:hAnsiTheme="minorHAnsi" w:cstheme="minorHAnsi"/>
                <w:sz w:val="22"/>
                <w:szCs w:val="22"/>
              </w:rPr>
              <w:t>(2)</w:t>
            </w:r>
          </w:p>
        </w:tc>
      </w:tr>
    </w:tbl>
    <w:p w14:paraId="29000170" w14:textId="6F2FCE4F" w:rsidR="00303514" w:rsidRDefault="00303514" w:rsidP="008E2FBD">
      <w:pPr>
        <w:spacing w:after="120"/>
        <w:rPr>
          <w:rFonts w:asciiTheme="minorHAnsi" w:hAnsiTheme="minorHAnsi" w:cstheme="minorHAnsi"/>
          <w:sz w:val="22"/>
          <w:szCs w:val="22"/>
        </w:rPr>
      </w:pPr>
      <w:r w:rsidRPr="00287C5D">
        <w:rPr>
          <w:rFonts w:asciiTheme="minorHAnsi" w:hAnsiTheme="minorHAnsi" w:cstheme="minorHAnsi"/>
          <w:sz w:val="22"/>
          <w:szCs w:val="22"/>
        </w:rPr>
        <w:t>The laminar interface</w:t>
      </w:r>
      <w:r w:rsidR="005040BC">
        <w:rPr>
          <w:rFonts w:asciiTheme="minorHAnsi" w:hAnsiTheme="minorHAnsi" w:cstheme="minorHAnsi"/>
          <w:sz w:val="22"/>
          <w:szCs w:val="22"/>
        </w:rPr>
        <w:t xml:space="preserve"> for the laminar flow</w:t>
      </w:r>
      <w:r w:rsidRPr="00287C5D">
        <w:rPr>
          <w:rFonts w:asciiTheme="minorHAnsi" w:hAnsiTheme="minorHAnsi" w:cstheme="minorHAnsi"/>
          <w:sz w:val="22"/>
          <w:szCs w:val="22"/>
        </w:rPr>
        <w:t xml:space="preserve"> and the k-epsilon model for the turbulent flow were </w:t>
      </w:r>
      <w:r>
        <w:rPr>
          <w:rFonts w:asciiTheme="minorHAnsi" w:hAnsiTheme="minorHAnsi" w:cstheme="minorHAnsi"/>
          <w:sz w:val="22"/>
          <w:szCs w:val="22"/>
        </w:rPr>
        <w:t>used</w:t>
      </w:r>
      <w:r w:rsidRPr="00287C5D">
        <w:rPr>
          <w:rFonts w:asciiTheme="minorHAnsi" w:hAnsiTheme="minorHAnsi" w:cstheme="minorHAnsi"/>
          <w:sz w:val="22"/>
          <w:szCs w:val="22"/>
        </w:rPr>
        <w:t xml:space="preserve"> on building the 2D CFD model of the membrane. </w:t>
      </w:r>
      <w:r w:rsidRPr="00D31164">
        <w:rPr>
          <w:rFonts w:asciiTheme="minorHAnsi" w:hAnsiTheme="minorHAnsi" w:cstheme="minorHAnsi"/>
          <w:sz w:val="22"/>
          <w:szCs w:val="22"/>
        </w:rPr>
        <w:t>The experimental data from the developed UF system will be used to validate and improve the 1D and CFD model and the fouling resistance effects.</w:t>
      </w:r>
      <w:r w:rsidR="006351FB" w:rsidRPr="00D31164">
        <w:rPr>
          <w:rFonts w:asciiTheme="minorHAnsi" w:hAnsiTheme="minorHAnsi" w:cstheme="minorHAnsi"/>
          <w:sz w:val="22"/>
          <w:szCs w:val="22"/>
        </w:rPr>
        <w:t xml:space="preserve"> The aver</w:t>
      </w:r>
      <w:r w:rsidR="005C70AD">
        <w:rPr>
          <w:rFonts w:asciiTheme="minorHAnsi" w:hAnsiTheme="minorHAnsi" w:cstheme="minorHAnsi"/>
          <w:sz w:val="22"/>
          <w:szCs w:val="22"/>
        </w:rPr>
        <w:t>age pore diameter</w:t>
      </w:r>
      <w:proofErr w:type="gramStart"/>
      <w:r w:rsidR="00933294" w:rsidRPr="00D31164">
        <w:rPr>
          <w:rFonts w:asciiTheme="minorHAnsi" w:hAnsiTheme="minorHAnsi" w:cstheme="minorHAnsi"/>
          <w:sz w:val="22"/>
          <w:szCs w:val="22"/>
        </w:rPr>
        <w:t>,</w:t>
      </w:r>
      <w:r w:rsidR="006351FB" w:rsidRPr="00D31164">
        <w:rPr>
          <w:rFonts w:asciiTheme="minorHAnsi" w:hAnsiTheme="minorHAnsi" w:cstheme="minorHAnsi"/>
          <w:sz w:val="22"/>
          <w:szCs w:val="22"/>
        </w:rPr>
        <w:t xml:space="preserve"> </w:t>
      </w:r>
      <w:proofErr w:type="gramEnd"/>
      <m:oMath>
        <m:sSub>
          <m:sSubPr>
            <m:ctrlPr>
              <w:rPr>
                <w:rFonts w:ascii="Cambria Math" w:hAnsi="Cambria Math" w:cstheme="minorHAnsi"/>
                <w:i/>
                <w:iCs/>
                <w:sz w:val="22"/>
                <w:szCs w:val="22"/>
              </w:rPr>
            </m:ctrlPr>
          </m:sSubPr>
          <m:e>
            <m:r>
              <w:rPr>
                <w:rFonts w:ascii="Cambria Math" w:hAnsi="Cambria Math" w:cstheme="minorHAnsi"/>
                <w:sz w:val="22"/>
                <w:szCs w:val="22"/>
              </w:rPr>
              <m:t>d</m:t>
            </m:r>
          </m:e>
          <m:sub>
            <m:r>
              <w:rPr>
                <w:rFonts w:ascii="Cambria Math" w:hAnsi="Cambria Math" w:cstheme="minorHAnsi"/>
                <w:sz w:val="22"/>
                <w:szCs w:val="22"/>
              </w:rPr>
              <m:t>0</m:t>
            </m:r>
          </m:sub>
        </m:sSub>
      </m:oMath>
      <w:r w:rsidR="00933294" w:rsidRPr="00D31164">
        <w:rPr>
          <w:rFonts w:asciiTheme="minorHAnsi" w:hAnsiTheme="minorHAnsi" w:cstheme="minorHAnsi"/>
          <w:iCs/>
          <w:sz w:val="22"/>
          <w:szCs w:val="22"/>
        </w:rPr>
        <w:t xml:space="preserve">, </w:t>
      </w:r>
      <w:r w:rsidR="00D31164" w:rsidRPr="00D31164">
        <w:rPr>
          <w:rFonts w:asciiTheme="minorHAnsi" w:hAnsiTheme="minorHAnsi" w:cstheme="minorHAnsi"/>
          <w:sz w:val="22"/>
          <w:szCs w:val="22"/>
        </w:rPr>
        <w:t xml:space="preserve">and the porosity of the membrane, </w:t>
      </w:r>
      <m:oMath>
        <m:r>
          <w:rPr>
            <w:rFonts w:ascii="Cambria Math" w:hAnsi="Cambria Math" w:cstheme="minorHAnsi"/>
            <w:sz w:val="22"/>
            <w:szCs w:val="22"/>
          </w:rPr>
          <m:t>ε</m:t>
        </m:r>
      </m:oMath>
      <w:r w:rsidR="00D31164" w:rsidRPr="00D31164">
        <w:rPr>
          <w:rFonts w:asciiTheme="minorHAnsi" w:hAnsiTheme="minorHAnsi" w:cstheme="minorHAnsi"/>
          <w:sz w:val="22"/>
          <w:szCs w:val="22"/>
        </w:rPr>
        <w:t xml:space="preserve">, </w:t>
      </w:r>
      <w:r w:rsidR="005C70AD">
        <w:rPr>
          <w:rFonts w:asciiTheme="minorHAnsi" w:hAnsiTheme="minorHAnsi" w:cstheme="minorHAnsi"/>
          <w:sz w:val="22"/>
          <w:szCs w:val="22"/>
        </w:rPr>
        <w:t>were</w:t>
      </w:r>
      <w:r w:rsidR="006351FB" w:rsidRPr="00D31164">
        <w:rPr>
          <w:rFonts w:asciiTheme="minorHAnsi" w:hAnsiTheme="minorHAnsi" w:cstheme="minorHAnsi"/>
          <w:sz w:val="22"/>
          <w:szCs w:val="22"/>
        </w:rPr>
        <w:t xml:space="preserve"> measured by </w:t>
      </w:r>
      <w:r w:rsidR="00D31164" w:rsidRPr="00D31164">
        <w:rPr>
          <w:rFonts w:asciiTheme="minorHAnsi" w:hAnsiTheme="minorHAnsi" w:cstheme="minorHAnsi"/>
          <w:sz w:val="22"/>
          <w:szCs w:val="22"/>
        </w:rPr>
        <w:t xml:space="preserve">using </w:t>
      </w:r>
      <w:r w:rsidR="00A93443">
        <w:rPr>
          <w:rFonts w:asciiTheme="minorHAnsi" w:hAnsiTheme="minorHAnsi" w:cstheme="minorHAnsi"/>
          <w:sz w:val="22"/>
          <w:szCs w:val="22"/>
        </w:rPr>
        <w:t>E</w:t>
      </w:r>
      <w:r w:rsidR="00D31164" w:rsidRPr="00D31164">
        <w:rPr>
          <w:rFonts w:asciiTheme="minorHAnsi" w:hAnsiTheme="minorHAnsi" w:cstheme="minorHAnsi"/>
          <w:sz w:val="22"/>
          <w:szCs w:val="22"/>
        </w:rPr>
        <w:t>SEM</w:t>
      </w:r>
      <w:r w:rsidR="00A93443">
        <w:rPr>
          <w:rFonts w:asciiTheme="minorHAnsi" w:hAnsiTheme="minorHAnsi" w:cstheme="minorHAnsi"/>
          <w:sz w:val="22"/>
          <w:szCs w:val="22"/>
        </w:rPr>
        <w:t xml:space="preserve"> </w:t>
      </w:r>
      <w:r w:rsidR="00D31164" w:rsidRPr="00D31164">
        <w:rPr>
          <w:rFonts w:asciiTheme="minorHAnsi" w:hAnsiTheme="minorHAnsi" w:cstheme="minorHAnsi"/>
          <w:sz w:val="22"/>
          <w:szCs w:val="22"/>
        </w:rPr>
        <w:t xml:space="preserve">and </w:t>
      </w:r>
      <w:proofErr w:type="spellStart"/>
      <w:r w:rsidR="00F24D39" w:rsidRPr="00D31164">
        <w:rPr>
          <w:rFonts w:asciiTheme="minorHAnsi" w:hAnsiTheme="minorHAnsi" w:cstheme="minorHAnsi"/>
          <w:sz w:val="22"/>
          <w:szCs w:val="22"/>
        </w:rPr>
        <w:t>porosimetry</w:t>
      </w:r>
      <w:proofErr w:type="spellEnd"/>
      <w:r w:rsidR="00F24D39" w:rsidRPr="00D31164">
        <w:rPr>
          <w:rFonts w:asciiTheme="minorHAnsi" w:hAnsiTheme="minorHAnsi" w:cstheme="minorHAnsi"/>
          <w:sz w:val="22"/>
          <w:szCs w:val="22"/>
        </w:rPr>
        <w:t xml:space="preserve"> analysis</w:t>
      </w:r>
      <w:r w:rsidR="00602A97">
        <w:rPr>
          <w:rFonts w:asciiTheme="minorHAnsi" w:hAnsiTheme="minorHAnsi" w:cstheme="minorHAnsi"/>
          <w:sz w:val="22"/>
          <w:szCs w:val="22"/>
        </w:rPr>
        <w:t xml:space="preserve">- </w:t>
      </w:r>
      <w:proofErr w:type="spellStart"/>
      <w:r w:rsidR="00602A97">
        <w:rPr>
          <w:rFonts w:asciiTheme="minorHAnsi" w:hAnsiTheme="minorHAnsi" w:cstheme="minorHAnsi"/>
          <w:sz w:val="22"/>
          <w:szCs w:val="22"/>
        </w:rPr>
        <w:t>Porolux</w:t>
      </w:r>
      <w:proofErr w:type="spellEnd"/>
      <w:r w:rsidR="00602A97">
        <w:rPr>
          <w:rFonts w:asciiTheme="minorHAnsi" w:hAnsiTheme="minorHAnsi" w:cstheme="minorHAnsi"/>
          <w:sz w:val="22"/>
          <w:szCs w:val="22"/>
        </w:rPr>
        <w:t xml:space="preserve"> 1000</w:t>
      </w:r>
      <w:r w:rsidR="00D31164" w:rsidRPr="00D31164">
        <w:rPr>
          <w:rFonts w:asciiTheme="minorHAnsi" w:hAnsiTheme="minorHAnsi" w:cstheme="minorHAnsi"/>
          <w:sz w:val="22"/>
          <w:szCs w:val="22"/>
        </w:rPr>
        <w:t>.</w:t>
      </w:r>
    </w:p>
    <w:p w14:paraId="0043DC50" w14:textId="77777777" w:rsidR="009A0796" w:rsidRPr="002E0813" w:rsidRDefault="009A0796" w:rsidP="008E2FBD">
      <w:pPr>
        <w:spacing w:after="120"/>
        <w:rPr>
          <w:rFonts w:asciiTheme="minorHAnsi" w:hAnsiTheme="minorHAnsi" w:cstheme="minorHAnsi"/>
          <w:b/>
          <w:sz w:val="22"/>
        </w:rPr>
      </w:pPr>
      <w:r w:rsidRPr="002E0813">
        <w:rPr>
          <w:rFonts w:asciiTheme="minorHAnsi" w:hAnsiTheme="minorHAnsi" w:cstheme="minorHAnsi"/>
          <w:b/>
          <w:sz w:val="22"/>
        </w:rPr>
        <w:t>3. Results and Discussions</w:t>
      </w:r>
    </w:p>
    <w:p w14:paraId="4667AC7F" w14:textId="21DFB381" w:rsidR="009A0796" w:rsidRPr="00286720" w:rsidRDefault="00A27599" w:rsidP="008E2FBD">
      <w:pPr>
        <w:spacing w:after="120"/>
        <w:rPr>
          <w:rFonts w:asciiTheme="minorHAnsi" w:hAnsiTheme="minorHAnsi" w:cstheme="minorHAnsi"/>
          <w:sz w:val="22"/>
          <w:szCs w:val="22"/>
        </w:rPr>
      </w:pPr>
      <w:r w:rsidRPr="00286720">
        <w:rPr>
          <w:rFonts w:asciiTheme="minorHAnsi" w:hAnsiTheme="minorHAnsi" w:cstheme="minorHAnsi"/>
          <w:noProof/>
          <w:sz w:val="22"/>
          <w:szCs w:val="22"/>
          <w:lang w:eastAsia="en-GB"/>
        </w:rPr>
        <w:lastRenderedPageBreak/>
        <w:t xml:space="preserve">The CFD results show the fluid behaviour inside the membrane </w:t>
      </w:r>
      <w:r w:rsidR="00CB3301" w:rsidRPr="00286720">
        <w:rPr>
          <w:rFonts w:asciiTheme="minorHAnsi" w:hAnsiTheme="minorHAnsi" w:cstheme="minorHAnsi"/>
          <w:noProof/>
          <w:sz w:val="22"/>
          <w:szCs w:val="22"/>
          <w:lang w:eastAsia="en-GB"/>
        </w:rPr>
        <w:t>and the f</w:t>
      </w:r>
      <w:r w:rsidRPr="00286720">
        <w:rPr>
          <w:rFonts w:asciiTheme="minorHAnsi" w:hAnsiTheme="minorHAnsi" w:cstheme="minorHAnsi"/>
          <w:noProof/>
          <w:sz w:val="22"/>
          <w:szCs w:val="22"/>
          <w:lang w:eastAsia="en-GB"/>
        </w:rPr>
        <w:t xml:space="preserve">luid pulsations happening at the inlet of the membrane due to the pipe - membrane different diameter and the extra shear stresses being caused at the inlet of the membrane and the high fluid velocity, Figure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3989"/>
      </w:tblGrid>
      <w:tr w:rsidR="009A0796" w14:paraId="66E3BCA7" w14:textId="77777777" w:rsidTr="00A27599">
        <w:tc>
          <w:tcPr>
            <w:tcW w:w="4558" w:type="dxa"/>
            <w:vAlign w:val="center"/>
          </w:tcPr>
          <w:p w14:paraId="12517043" w14:textId="0F1F82E2" w:rsidR="009A0796" w:rsidRDefault="003208A1" w:rsidP="008E2FBD">
            <w:pPr>
              <w:spacing w:after="120"/>
              <w:ind w:left="-142"/>
              <w:jc w:val="center"/>
              <w:rPr>
                <w:rFonts w:asciiTheme="minorHAnsi" w:hAnsiTheme="minorHAnsi" w:cstheme="minorHAnsi"/>
                <w:sz w:val="22"/>
                <w:szCs w:val="22"/>
                <w:highlight w:val="green"/>
              </w:rPr>
            </w:pPr>
            <w:r>
              <w:rPr>
                <w:noProof/>
                <w:lang w:eastAsia="en-GB"/>
              </w:rPr>
              <w:drawing>
                <wp:anchor distT="0" distB="0" distL="114300" distR="114300" simplePos="0" relativeHeight="251658240" behindDoc="1" locked="0" layoutInCell="1" allowOverlap="1" wp14:anchorId="256452FA" wp14:editId="45C1BC4C">
                  <wp:simplePos x="0" y="0"/>
                  <wp:positionH relativeFrom="column">
                    <wp:posOffset>-70485</wp:posOffset>
                  </wp:positionH>
                  <wp:positionV relativeFrom="paragraph">
                    <wp:posOffset>-1475740</wp:posOffset>
                  </wp:positionV>
                  <wp:extent cx="3058160" cy="1685925"/>
                  <wp:effectExtent l="0" t="0" r="8890" b="9525"/>
                  <wp:wrapTight wrapText="bothSides">
                    <wp:wrapPolygon edited="0">
                      <wp:start x="0" y="0"/>
                      <wp:lineTo x="0" y="21478"/>
                      <wp:lineTo x="21528" y="21478"/>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58160" cy="1685925"/>
                          </a:xfrm>
                          <a:prstGeom prst="rect">
                            <a:avLst/>
                          </a:prstGeom>
                        </pic:spPr>
                      </pic:pic>
                    </a:graphicData>
                  </a:graphic>
                  <wp14:sizeRelH relativeFrom="page">
                    <wp14:pctWidth>0</wp14:pctWidth>
                  </wp14:sizeRelH>
                  <wp14:sizeRelV relativeFrom="page">
                    <wp14:pctHeight>0</wp14:pctHeight>
                  </wp14:sizeRelV>
                </wp:anchor>
              </w:drawing>
            </w:r>
            <w:r>
              <w:rPr>
                <w:rStyle w:val="CommentReference"/>
              </w:rPr>
              <w:t xml:space="preserve"> </w:t>
            </w:r>
          </w:p>
        </w:tc>
        <w:tc>
          <w:tcPr>
            <w:tcW w:w="4445" w:type="dxa"/>
            <w:vAlign w:val="center"/>
          </w:tcPr>
          <w:p w14:paraId="594C8052" w14:textId="77777777" w:rsidR="009A0796" w:rsidRDefault="009E602F" w:rsidP="008E2FBD">
            <w:pPr>
              <w:spacing w:after="120"/>
              <w:ind w:left="-163" w:right="-2"/>
              <w:jc w:val="center"/>
              <w:rPr>
                <w:rFonts w:asciiTheme="minorHAnsi" w:hAnsiTheme="minorHAnsi" w:cstheme="minorHAnsi"/>
                <w:sz w:val="22"/>
                <w:szCs w:val="22"/>
                <w:highlight w:val="green"/>
              </w:rPr>
            </w:pPr>
            <w:r>
              <w:rPr>
                <w:rFonts w:asciiTheme="minorHAnsi" w:hAnsiTheme="minorHAnsi" w:cstheme="minorHAnsi"/>
                <w:noProof/>
                <w:sz w:val="22"/>
                <w:szCs w:val="22"/>
                <w:lang w:eastAsia="en-GB"/>
              </w:rPr>
              <w:drawing>
                <wp:inline distT="0" distB="0" distL="0" distR="0" wp14:anchorId="4C929864" wp14:editId="2EED2360">
                  <wp:extent cx="2628900" cy="152628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7857" cy="1525684"/>
                          </a:xfrm>
                          <a:prstGeom prst="rect">
                            <a:avLst/>
                          </a:prstGeom>
                          <a:noFill/>
                        </pic:spPr>
                      </pic:pic>
                    </a:graphicData>
                  </a:graphic>
                </wp:inline>
              </w:drawing>
            </w:r>
          </w:p>
        </w:tc>
      </w:tr>
      <w:tr w:rsidR="009A0796" w14:paraId="67B8D977" w14:textId="77777777" w:rsidTr="00A27599">
        <w:tc>
          <w:tcPr>
            <w:tcW w:w="4558" w:type="dxa"/>
          </w:tcPr>
          <w:p w14:paraId="49C93DF7" w14:textId="1D4D2DAB" w:rsidR="009A0796" w:rsidRPr="009A0796" w:rsidRDefault="009A0796" w:rsidP="008E2FBD">
            <w:pPr>
              <w:spacing w:after="120"/>
              <w:ind w:left="-142"/>
              <w:jc w:val="center"/>
              <w:rPr>
                <w:rFonts w:asciiTheme="minorHAnsi" w:hAnsiTheme="minorHAnsi" w:cstheme="minorHAnsi"/>
              </w:rPr>
            </w:pPr>
            <w:r w:rsidRPr="00EE32C8">
              <w:rPr>
                <w:rFonts w:asciiTheme="minorHAnsi" w:hAnsiTheme="minorHAnsi" w:cstheme="minorHAnsi"/>
              </w:rPr>
              <w:t xml:space="preserve">Figure 1: </w:t>
            </w:r>
            <w:r w:rsidRPr="00EE32C8">
              <w:rPr>
                <w:rFonts w:asciiTheme="minorHAnsi" w:hAnsiTheme="minorHAnsi" w:cstheme="minorHAnsi"/>
                <w:bCs/>
              </w:rPr>
              <w:t>Velocity results of the fluid behaviour in the UF membrane</w:t>
            </w:r>
            <w:r w:rsidR="005040BC">
              <w:rPr>
                <w:rFonts w:asciiTheme="minorHAnsi" w:hAnsiTheme="minorHAnsi" w:cstheme="minorHAnsi"/>
                <w:bCs/>
              </w:rPr>
              <w:t>.</w:t>
            </w:r>
            <w:bookmarkStart w:id="0" w:name="_GoBack"/>
            <w:bookmarkEnd w:id="0"/>
          </w:p>
        </w:tc>
        <w:tc>
          <w:tcPr>
            <w:tcW w:w="4445" w:type="dxa"/>
          </w:tcPr>
          <w:p w14:paraId="485B0AC4" w14:textId="34618C39" w:rsidR="009A0796" w:rsidRPr="009A0796" w:rsidRDefault="005040BC" w:rsidP="008E2FBD">
            <w:pPr>
              <w:spacing w:after="120"/>
              <w:ind w:left="-163" w:right="-2"/>
              <w:jc w:val="center"/>
              <w:rPr>
                <w:rFonts w:asciiTheme="minorHAnsi" w:hAnsiTheme="minorHAnsi" w:cstheme="minorHAnsi"/>
              </w:rPr>
            </w:pPr>
            <w:r>
              <w:rPr>
                <w:rFonts w:asciiTheme="minorHAnsi" w:hAnsiTheme="minorHAnsi" w:cstheme="minorHAnsi"/>
              </w:rPr>
              <w:t xml:space="preserve"> </w:t>
            </w:r>
            <w:r w:rsidR="009A0796">
              <w:rPr>
                <w:rFonts w:asciiTheme="minorHAnsi" w:hAnsiTheme="minorHAnsi" w:cstheme="minorHAnsi"/>
              </w:rPr>
              <w:t>Figure 2</w:t>
            </w:r>
            <w:r w:rsidR="009A0796" w:rsidRPr="00D471E8">
              <w:rPr>
                <w:rFonts w:asciiTheme="minorHAnsi" w:hAnsiTheme="minorHAnsi" w:cstheme="minorHAnsi"/>
              </w:rPr>
              <w:t xml:space="preserve">: </w:t>
            </w:r>
            <w:r w:rsidR="009A0796">
              <w:rPr>
                <w:rFonts w:asciiTheme="minorHAnsi" w:hAnsiTheme="minorHAnsi" w:cstheme="minorHAnsi"/>
              </w:rPr>
              <w:t xml:space="preserve">Volumetric flowrate </w:t>
            </w:r>
            <w:r w:rsidR="00C12F00">
              <w:rPr>
                <w:rFonts w:asciiTheme="minorHAnsi" w:hAnsiTheme="minorHAnsi" w:cstheme="minorHAnsi"/>
              </w:rPr>
              <w:t xml:space="preserve">and pressure </w:t>
            </w:r>
            <w:r w:rsidR="009A0796">
              <w:rPr>
                <w:rFonts w:asciiTheme="minorHAnsi" w:hAnsiTheme="minorHAnsi" w:cstheme="minorHAnsi"/>
              </w:rPr>
              <w:t>across the membrane.</w:t>
            </w:r>
          </w:p>
        </w:tc>
      </w:tr>
    </w:tbl>
    <w:p w14:paraId="397BA962" w14:textId="77777777" w:rsidR="006B4AE8" w:rsidRDefault="00C12F00" w:rsidP="008E2FBD">
      <w:pPr>
        <w:snapToGrid w:val="0"/>
        <w:spacing w:after="120"/>
        <w:rPr>
          <w:rFonts w:asciiTheme="minorHAnsi" w:eastAsia="MS PGothic" w:hAnsiTheme="minorHAnsi"/>
          <w:color w:val="000000"/>
          <w:sz w:val="22"/>
          <w:szCs w:val="18"/>
          <w:lang w:val="en-US"/>
        </w:rPr>
      </w:pPr>
      <w:r>
        <w:rPr>
          <w:rFonts w:asciiTheme="minorHAnsi" w:eastAsia="MS PGothic" w:hAnsiTheme="minorHAnsi"/>
          <w:color w:val="000000"/>
          <w:sz w:val="22"/>
          <w:szCs w:val="18"/>
          <w:lang w:val="en-US"/>
        </w:rPr>
        <w:t>A 1D model is gener</w:t>
      </w:r>
      <w:r w:rsidR="0037022A">
        <w:rPr>
          <w:rFonts w:asciiTheme="minorHAnsi" w:eastAsia="MS PGothic" w:hAnsiTheme="minorHAnsi"/>
          <w:color w:val="000000"/>
          <w:sz w:val="22"/>
          <w:szCs w:val="18"/>
          <w:lang w:val="en-US"/>
        </w:rPr>
        <w:t>ated based on</w:t>
      </w:r>
      <w:r w:rsidR="00654A76">
        <w:rPr>
          <w:rFonts w:asciiTheme="minorHAnsi" w:eastAsia="MS PGothic" w:hAnsiTheme="minorHAnsi"/>
          <w:color w:val="000000"/>
          <w:sz w:val="22"/>
          <w:szCs w:val="18"/>
          <w:lang w:val="en-US"/>
        </w:rPr>
        <w:t xml:space="preserve"> equation 1 and 2 using the experimental measurements of pore size and porosity </w:t>
      </w:r>
      <w:r>
        <w:rPr>
          <w:rFonts w:asciiTheme="minorHAnsi" w:eastAsia="MS PGothic" w:hAnsiTheme="minorHAnsi"/>
          <w:color w:val="000000"/>
          <w:sz w:val="22"/>
          <w:szCs w:val="18"/>
          <w:lang w:val="en-US"/>
        </w:rPr>
        <w:t xml:space="preserve">and checked with the CFD model. </w:t>
      </w:r>
      <w:r w:rsidR="006B4AE8" w:rsidRPr="00926563">
        <w:rPr>
          <w:rFonts w:asciiTheme="minorHAnsi" w:eastAsia="MS PGothic" w:hAnsiTheme="minorHAnsi"/>
          <w:color w:val="000000"/>
          <w:sz w:val="22"/>
          <w:szCs w:val="18"/>
          <w:lang w:val="en-US"/>
        </w:rPr>
        <w:t xml:space="preserve">Figure </w:t>
      </w:r>
      <w:r w:rsidR="006B4AE8">
        <w:rPr>
          <w:rFonts w:asciiTheme="minorHAnsi" w:eastAsia="MS PGothic" w:hAnsiTheme="minorHAnsi"/>
          <w:color w:val="000000"/>
          <w:sz w:val="22"/>
          <w:szCs w:val="18"/>
          <w:lang w:val="en-US"/>
        </w:rPr>
        <w:t>2</w:t>
      </w:r>
      <w:r w:rsidR="006B4AE8" w:rsidRPr="00926563">
        <w:rPr>
          <w:rFonts w:asciiTheme="minorHAnsi" w:eastAsia="MS PGothic" w:hAnsiTheme="minorHAnsi"/>
          <w:color w:val="000000"/>
          <w:sz w:val="22"/>
          <w:szCs w:val="18"/>
          <w:lang w:val="en-US"/>
        </w:rPr>
        <w:t xml:space="preserve"> shows the </w:t>
      </w:r>
      <w:r w:rsidR="006B4AE8">
        <w:rPr>
          <w:rFonts w:asciiTheme="minorHAnsi" w:eastAsia="MS PGothic" w:hAnsiTheme="minorHAnsi"/>
          <w:color w:val="000000"/>
          <w:sz w:val="22"/>
          <w:szCs w:val="18"/>
          <w:lang w:val="en-US"/>
        </w:rPr>
        <w:t xml:space="preserve">volumetric </w:t>
      </w:r>
      <w:r w:rsidR="006B4AE8" w:rsidRPr="00926563">
        <w:rPr>
          <w:rFonts w:asciiTheme="minorHAnsi" w:eastAsia="MS PGothic" w:hAnsiTheme="minorHAnsi"/>
          <w:color w:val="000000"/>
          <w:sz w:val="22"/>
          <w:szCs w:val="18"/>
          <w:lang w:val="en-US"/>
        </w:rPr>
        <w:t xml:space="preserve">flowrate </w:t>
      </w:r>
      <w:r w:rsidR="006B4AE8">
        <w:rPr>
          <w:rFonts w:asciiTheme="minorHAnsi" w:eastAsia="MS PGothic" w:hAnsiTheme="minorHAnsi"/>
          <w:color w:val="000000"/>
          <w:sz w:val="22"/>
          <w:szCs w:val="18"/>
          <w:lang w:val="en-US"/>
        </w:rPr>
        <w:t>reduction</w:t>
      </w:r>
      <w:r>
        <w:rPr>
          <w:rFonts w:asciiTheme="minorHAnsi" w:eastAsia="MS PGothic" w:hAnsiTheme="minorHAnsi"/>
          <w:color w:val="000000"/>
          <w:sz w:val="22"/>
          <w:szCs w:val="18"/>
          <w:lang w:val="en-US"/>
        </w:rPr>
        <w:t xml:space="preserve"> along</w:t>
      </w:r>
      <w:r w:rsidR="006B4AE8" w:rsidRPr="00926563">
        <w:rPr>
          <w:rFonts w:asciiTheme="minorHAnsi" w:eastAsia="MS PGothic" w:hAnsiTheme="minorHAnsi"/>
          <w:color w:val="000000"/>
          <w:sz w:val="22"/>
          <w:szCs w:val="18"/>
          <w:lang w:val="en-US"/>
        </w:rPr>
        <w:t xml:space="preserve"> the membrane as permeate is generated</w:t>
      </w:r>
      <w:r>
        <w:rPr>
          <w:rFonts w:asciiTheme="minorHAnsi" w:eastAsia="MS PGothic" w:hAnsiTheme="minorHAnsi"/>
          <w:color w:val="000000"/>
          <w:sz w:val="22"/>
          <w:szCs w:val="18"/>
          <w:lang w:val="en-US"/>
        </w:rPr>
        <w:t xml:space="preserve"> and the pressure drop along the membrane</w:t>
      </w:r>
      <w:r w:rsidR="006B4AE8">
        <w:rPr>
          <w:rFonts w:asciiTheme="minorHAnsi" w:eastAsia="MS PGothic" w:hAnsiTheme="minorHAnsi"/>
          <w:color w:val="000000"/>
          <w:sz w:val="22"/>
          <w:szCs w:val="18"/>
          <w:lang w:val="en-US"/>
        </w:rPr>
        <w:t xml:space="preserve">. </w:t>
      </w:r>
      <w:r w:rsidR="006B4AE8" w:rsidRPr="00926563">
        <w:rPr>
          <w:rFonts w:asciiTheme="minorHAnsi" w:eastAsia="MS PGothic" w:hAnsiTheme="minorHAnsi"/>
          <w:color w:val="000000"/>
          <w:sz w:val="22"/>
          <w:szCs w:val="18"/>
          <w:lang w:val="en-US"/>
        </w:rPr>
        <w:t xml:space="preserve">Table 1 </w:t>
      </w:r>
      <w:r w:rsidR="006B4AE8">
        <w:rPr>
          <w:rFonts w:asciiTheme="minorHAnsi" w:eastAsia="MS PGothic" w:hAnsiTheme="minorHAnsi"/>
          <w:color w:val="000000"/>
          <w:sz w:val="22"/>
          <w:szCs w:val="18"/>
          <w:lang w:val="en-US"/>
        </w:rPr>
        <w:t xml:space="preserve">compares the </w:t>
      </w:r>
      <w:r>
        <w:rPr>
          <w:rFonts w:asciiTheme="minorHAnsi" w:eastAsia="MS PGothic" w:hAnsiTheme="minorHAnsi"/>
          <w:color w:val="000000"/>
          <w:sz w:val="22"/>
          <w:szCs w:val="18"/>
          <w:lang w:val="en-US"/>
        </w:rPr>
        <w:t>predictions of this</w:t>
      </w:r>
      <w:r w:rsidR="006B4AE8" w:rsidRPr="00926563">
        <w:rPr>
          <w:rFonts w:asciiTheme="minorHAnsi" w:eastAsia="MS PGothic" w:hAnsiTheme="minorHAnsi"/>
          <w:color w:val="000000"/>
          <w:sz w:val="22"/>
          <w:szCs w:val="18"/>
          <w:lang w:val="en-US"/>
        </w:rPr>
        <w:t xml:space="preserve"> 1D model </w:t>
      </w:r>
      <w:r w:rsidR="006B4AE8">
        <w:rPr>
          <w:rFonts w:asciiTheme="minorHAnsi" w:eastAsia="MS PGothic" w:hAnsiTheme="minorHAnsi"/>
          <w:color w:val="000000"/>
          <w:sz w:val="22"/>
          <w:szCs w:val="18"/>
          <w:lang w:val="en-US"/>
        </w:rPr>
        <w:t>with</w:t>
      </w:r>
      <w:r w:rsidR="006B4AE8" w:rsidRPr="00926563">
        <w:rPr>
          <w:rFonts w:asciiTheme="minorHAnsi" w:eastAsia="MS PGothic" w:hAnsiTheme="minorHAnsi"/>
          <w:color w:val="000000"/>
          <w:sz w:val="22"/>
          <w:szCs w:val="18"/>
          <w:lang w:val="en-US"/>
        </w:rPr>
        <w:t xml:space="preserve"> </w:t>
      </w:r>
      <w:r w:rsidR="006B4AE8">
        <w:rPr>
          <w:rFonts w:asciiTheme="minorHAnsi" w:eastAsia="MS PGothic" w:hAnsiTheme="minorHAnsi"/>
          <w:color w:val="000000"/>
          <w:sz w:val="22"/>
          <w:szCs w:val="18"/>
          <w:lang w:val="en-US"/>
        </w:rPr>
        <w:t>the obtained experimental data for the</w:t>
      </w:r>
      <w:r w:rsidR="006B4AE8" w:rsidRPr="00926563">
        <w:rPr>
          <w:rFonts w:asciiTheme="minorHAnsi" w:eastAsia="MS PGothic" w:hAnsiTheme="minorHAnsi"/>
          <w:color w:val="000000"/>
          <w:sz w:val="22"/>
          <w:szCs w:val="18"/>
          <w:lang w:val="en-US"/>
        </w:rPr>
        <w:t xml:space="preserve"> pressure</w:t>
      </w:r>
      <w:r w:rsidR="006B4AE8">
        <w:rPr>
          <w:rFonts w:asciiTheme="minorHAnsi" w:eastAsia="MS PGothic" w:hAnsiTheme="minorHAnsi"/>
          <w:color w:val="000000"/>
          <w:sz w:val="22"/>
          <w:szCs w:val="18"/>
          <w:lang w:val="en-US"/>
        </w:rPr>
        <w:t xml:space="preserve"> </w:t>
      </w:r>
      <w:r>
        <w:rPr>
          <w:rFonts w:asciiTheme="minorHAnsi" w:eastAsia="MS PGothic" w:hAnsiTheme="minorHAnsi"/>
          <w:color w:val="000000"/>
          <w:sz w:val="22"/>
          <w:szCs w:val="18"/>
          <w:lang w:val="en-US"/>
        </w:rPr>
        <w:t xml:space="preserve">drop </w:t>
      </w:r>
      <w:r w:rsidR="006B4AE8" w:rsidRPr="00926563">
        <w:rPr>
          <w:rFonts w:asciiTheme="minorHAnsi" w:eastAsia="MS PGothic" w:hAnsiTheme="minorHAnsi"/>
          <w:color w:val="000000"/>
          <w:sz w:val="22"/>
          <w:szCs w:val="18"/>
          <w:lang w:val="en-US"/>
        </w:rPr>
        <w:t xml:space="preserve">and </w:t>
      </w:r>
      <w:r w:rsidR="006B4AE8">
        <w:rPr>
          <w:rFonts w:asciiTheme="minorHAnsi" w:eastAsia="MS PGothic" w:hAnsiTheme="minorHAnsi"/>
          <w:color w:val="000000"/>
          <w:sz w:val="22"/>
          <w:szCs w:val="18"/>
          <w:lang w:val="en-US"/>
        </w:rPr>
        <w:t xml:space="preserve">the </w:t>
      </w:r>
      <w:r w:rsidR="006B4AE8" w:rsidRPr="00926563">
        <w:rPr>
          <w:rFonts w:asciiTheme="minorHAnsi" w:eastAsia="MS PGothic" w:hAnsiTheme="minorHAnsi"/>
          <w:color w:val="000000"/>
          <w:sz w:val="22"/>
          <w:szCs w:val="18"/>
          <w:lang w:val="en-US"/>
        </w:rPr>
        <w:t xml:space="preserve">total percentage </w:t>
      </w:r>
      <w:r w:rsidR="007D6389">
        <w:rPr>
          <w:rFonts w:asciiTheme="minorHAnsi" w:eastAsia="MS PGothic" w:hAnsiTheme="minorHAnsi"/>
          <w:color w:val="000000"/>
          <w:sz w:val="22"/>
          <w:szCs w:val="18"/>
          <w:lang w:val="en-US"/>
        </w:rPr>
        <w:t xml:space="preserve">of the inlet flow </w:t>
      </w:r>
      <w:r w:rsidR="006B4AE8" w:rsidRPr="00926563">
        <w:rPr>
          <w:rFonts w:asciiTheme="minorHAnsi" w:eastAsia="MS PGothic" w:hAnsiTheme="minorHAnsi"/>
          <w:color w:val="000000"/>
          <w:sz w:val="22"/>
          <w:szCs w:val="18"/>
          <w:lang w:val="en-US"/>
        </w:rPr>
        <w:t>as permeate generation</w:t>
      </w:r>
      <w:r w:rsidR="006B4AE8">
        <w:rPr>
          <w:rFonts w:asciiTheme="minorHAnsi" w:eastAsia="MS PGothic" w:hAnsiTheme="minorHAnsi"/>
          <w:color w:val="000000"/>
          <w:sz w:val="22"/>
          <w:szCs w:val="18"/>
          <w:lang w:val="en-US"/>
        </w:rPr>
        <w:t xml:space="preserve"> across the membrane.</w:t>
      </w:r>
    </w:p>
    <w:p w14:paraId="581DF7CE" w14:textId="77777777" w:rsidR="009A0796" w:rsidRPr="00223126" w:rsidRDefault="009A0796" w:rsidP="006B4AE8">
      <w:pPr>
        <w:snapToGrid w:val="0"/>
        <w:spacing w:after="120"/>
        <w:jc w:val="center"/>
        <w:rPr>
          <w:rFonts w:asciiTheme="minorHAnsi" w:hAnsiTheme="minorHAnsi" w:cstheme="minorHAnsi"/>
          <w:noProof/>
          <w:szCs w:val="18"/>
          <w:lang w:eastAsia="en-GB"/>
        </w:rPr>
      </w:pPr>
      <w:r w:rsidRPr="00223126">
        <w:rPr>
          <w:rFonts w:asciiTheme="minorHAnsi" w:hAnsiTheme="minorHAnsi" w:cstheme="minorHAnsi"/>
          <w:noProof/>
          <w:szCs w:val="18"/>
          <w:lang w:eastAsia="en-GB"/>
        </w:rPr>
        <w:t xml:space="preserve">Table 1: </w:t>
      </w:r>
      <w:r w:rsidR="008E2FBD">
        <w:rPr>
          <w:rFonts w:asciiTheme="minorHAnsi" w:hAnsiTheme="minorHAnsi" w:cstheme="minorHAnsi"/>
          <w:noProof/>
          <w:szCs w:val="18"/>
          <w:lang w:eastAsia="en-GB"/>
        </w:rPr>
        <w:t>Pressure loss through membrane</w:t>
      </w:r>
      <w:r w:rsidRPr="00223126">
        <w:rPr>
          <w:rFonts w:asciiTheme="minorHAnsi" w:hAnsiTheme="minorHAnsi" w:cstheme="minorHAnsi"/>
          <w:noProof/>
          <w:szCs w:val="18"/>
          <w:lang w:eastAsia="en-GB"/>
        </w:rPr>
        <w:t xml:space="preserve"> and permeate generation comparison of </w:t>
      </w:r>
      <w:r w:rsidR="008E2FBD">
        <w:rPr>
          <w:rFonts w:asciiTheme="minorHAnsi" w:hAnsiTheme="minorHAnsi" w:cstheme="minorHAnsi"/>
          <w:noProof/>
          <w:szCs w:val="18"/>
          <w:lang w:eastAsia="en-GB"/>
        </w:rPr>
        <w:t xml:space="preserve">the </w:t>
      </w:r>
      <w:r w:rsidRPr="00223126">
        <w:rPr>
          <w:rFonts w:asciiTheme="minorHAnsi" w:hAnsiTheme="minorHAnsi" w:cstheme="minorHAnsi"/>
          <w:noProof/>
          <w:szCs w:val="18"/>
          <w:lang w:eastAsia="en-GB"/>
        </w:rPr>
        <w:t>1D model and experimental data.</w:t>
      </w:r>
    </w:p>
    <w:tbl>
      <w:tblPr>
        <w:tblStyle w:val="TableGrid"/>
        <w:tblW w:w="0" w:type="auto"/>
        <w:jc w:val="center"/>
        <w:tblLook w:val="04A0" w:firstRow="1" w:lastRow="0" w:firstColumn="1" w:lastColumn="0" w:noHBand="0" w:noVBand="1"/>
      </w:tblPr>
      <w:tblGrid>
        <w:gridCol w:w="3548"/>
        <w:gridCol w:w="1269"/>
        <w:gridCol w:w="1269"/>
      </w:tblGrid>
      <w:tr w:rsidR="008E2FBD" w:rsidRPr="00EF6D96" w14:paraId="76DC9913" w14:textId="77777777" w:rsidTr="009A0796">
        <w:trPr>
          <w:trHeight w:val="366"/>
          <w:jc w:val="center"/>
        </w:trPr>
        <w:tc>
          <w:tcPr>
            <w:tcW w:w="3548" w:type="dxa"/>
            <w:shd w:val="clear" w:color="auto" w:fill="BFBFBF" w:themeFill="background1" w:themeFillShade="BF"/>
            <w:vAlign w:val="center"/>
          </w:tcPr>
          <w:p w14:paraId="10B8868F" w14:textId="77777777" w:rsidR="008E2FBD" w:rsidRPr="00EF6D96" w:rsidRDefault="008E2FBD" w:rsidP="008E2FBD">
            <w:pPr>
              <w:spacing w:after="120"/>
              <w:jc w:val="center"/>
              <w:rPr>
                <w:rFonts w:asciiTheme="minorHAnsi" w:hAnsiTheme="minorHAnsi" w:cstheme="minorHAnsi"/>
                <w:szCs w:val="18"/>
              </w:rPr>
            </w:pPr>
          </w:p>
        </w:tc>
        <w:tc>
          <w:tcPr>
            <w:tcW w:w="1269" w:type="dxa"/>
            <w:shd w:val="clear" w:color="auto" w:fill="BFBFBF" w:themeFill="background1" w:themeFillShade="BF"/>
            <w:vAlign w:val="center"/>
          </w:tcPr>
          <w:p w14:paraId="120EE4EF" w14:textId="77777777" w:rsidR="008E2FBD" w:rsidRPr="00EF6D96" w:rsidRDefault="008E2FBD" w:rsidP="008E2FBD">
            <w:pPr>
              <w:spacing w:after="120"/>
              <w:jc w:val="center"/>
              <w:rPr>
                <w:rFonts w:asciiTheme="minorHAnsi" w:hAnsiTheme="minorHAnsi" w:cstheme="minorHAnsi"/>
                <w:b/>
                <w:szCs w:val="18"/>
              </w:rPr>
            </w:pPr>
            <w:r w:rsidRPr="00EF6D96">
              <w:rPr>
                <w:rFonts w:asciiTheme="minorHAnsi" w:hAnsiTheme="minorHAnsi" w:cstheme="minorHAnsi"/>
                <w:b/>
                <w:szCs w:val="18"/>
              </w:rPr>
              <w:t>1D Model</w:t>
            </w:r>
          </w:p>
        </w:tc>
        <w:tc>
          <w:tcPr>
            <w:tcW w:w="1269" w:type="dxa"/>
            <w:shd w:val="clear" w:color="auto" w:fill="BFBFBF" w:themeFill="background1" w:themeFillShade="BF"/>
            <w:vAlign w:val="center"/>
          </w:tcPr>
          <w:p w14:paraId="60715527" w14:textId="77777777" w:rsidR="008E2FBD" w:rsidRPr="00EF6D96" w:rsidRDefault="008E2FBD" w:rsidP="008E2FBD">
            <w:pPr>
              <w:spacing w:after="120"/>
              <w:jc w:val="center"/>
              <w:rPr>
                <w:rFonts w:asciiTheme="minorHAnsi" w:hAnsiTheme="minorHAnsi" w:cstheme="minorHAnsi"/>
                <w:b/>
                <w:szCs w:val="18"/>
              </w:rPr>
            </w:pPr>
            <w:r w:rsidRPr="00EF6D96">
              <w:rPr>
                <w:rFonts w:asciiTheme="minorHAnsi" w:hAnsiTheme="minorHAnsi" w:cstheme="minorHAnsi"/>
                <w:b/>
                <w:szCs w:val="18"/>
              </w:rPr>
              <w:t>Experiment</w:t>
            </w:r>
          </w:p>
        </w:tc>
      </w:tr>
      <w:tr w:rsidR="008E2FBD" w:rsidRPr="00EF6D96" w14:paraId="01F8B01D" w14:textId="77777777" w:rsidTr="009A0796">
        <w:trPr>
          <w:trHeight w:val="417"/>
          <w:jc w:val="center"/>
        </w:trPr>
        <w:tc>
          <w:tcPr>
            <w:tcW w:w="3548" w:type="dxa"/>
            <w:shd w:val="clear" w:color="auto" w:fill="BFBFBF" w:themeFill="background1" w:themeFillShade="BF"/>
            <w:vAlign w:val="center"/>
          </w:tcPr>
          <w:p w14:paraId="07E95AED" w14:textId="77777777" w:rsidR="008E2FBD" w:rsidRPr="00EF6D96" w:rsidRDefault="008E2FBD" w:rsidP="008E2FBD">
            <w:pPr>
              <w:spacing w:after="120"/>
              <w:jc w:val="center"/>
              <w:rPr>
                <w:rFonts w:asciiTheme="minorHAnsi" w:hAnsiTheme="minorHAnsi" w:cstheme="minorHAnsi"/>
                <w:b/>
                <w:szCs w:val="18"/>
              </w:rPr>
            </w:pPr>
            <w:r w:rsidRPr="00EF6D96">
              <w:rPr>
                <w:rFonts w:asciiTheme="minorHAnsi" w:hAnsiTheme="minorHAnsi" w:cstheme="minorHAnsi"/>
                <w:b/>
                <w:szCs w:val="18"/>
              </w:rPr>
              <w:t xml:space="preserve">Pressure </w:t>
            </w:r>
            <w:r>
              <w:rPr>
                <w:rFonts w:asciiTheme="minorHAnsi" w:hAnsiTheme="minorHAnsi" w:cstheme="minorHAnsi"/>
                <w:b/>
                <w:szCs w:val="18"/>
              </w:rPr>
              <w:t>Loss:</w:t>
            </w:r>
          </w:p>
        </w:tc>
        <w:tc>
          <w:tcPr>
            <w:tcW w:w="1269" w:type="dxa"/>
            <w:vAlign w:val="center"/>
          </w:tcPr>
          <w:p w14:paraId="1E51F4AA" w14:textId="77777777" w:rsidR="008E2FBD" w:rsidRPr="00EF6D96" w:rsidRDefault="0037022A" w:rsidP="008E2FBD">
            <w:pPr>
              <w:spacing w:after="120"/>
              <w:jc w:val="center"/>
              <w:rPr>
                <w:rFonts w:asciiTheme="minorHAnsi" w:hAnsiTheme="minorHAnsi" w:cstheme="minorHAnsi"/>
                <w:szCs w:val="18"/>
              </w:rPr>
            </w:pPr>
            <w:r>
              <w:rPr>
                <w:rFonts w:asciiTheme="minorHAnsi" w:hAnsiTheme="minorHAnsi" w:cstheme="minorHAnsi"/>
                <w:szCs w:val="18"/>
              </w:rPr>
              <w:t>0.26</w:t>
            </w:r>
            <w:r w:rsidR="008E2FBD" w:rsidRPr="00EF6D96">
              <w:rPr>
                <w:rFonts w:asciiTheme="minorHAnsi" w:hAnsiTheme="minorHAnsi" w:cstheme="minorHAnsi"/>
                <w:szCs w:val="18"/>
              </w:rPr>
              <w:t xml:space="preserve"> bar</w:t>
            </w:r>
          </w:p>
        </w:tc>
        <w:tc>
          <w:tcPr>
            <w:tcW w:w="1269" w:type="dxa"/>
            <w:vAlign w:val="center"/>
          </w:tcPr>
          <w:p w14:paraId="4923EAEF" w14:textId="77777777" w:rsidR="008E2FBD" w:rsidRPr="00EF6D96" w:rsidRDefault="0037022A" w:rsidP="008E2FBD">
            <w:pPr>
              <w:spacing w:after="120"/>
              <w:jc w:val="center"/>
              <w:rPr>
                <w:rFonts w:asciiTheme="minorHAnsi" w:hAnsiTheme="minorHAnsi" w:cstheme="minorHAnsi"/>
                <w:szCs w:val="18"/>
              </w:rPr>
            </w:pPr>
            <w:r>
              <w:rPr>
                <w:rFonts w:asciiTheme="minorHAnsi" w:hAnsiTheme="minorHAnsi" w:cstheme="minorHAnsi"/>
                <w:szCs w:val="18"/>
              </w:rPr>
              <w:t>0.26</w:t>
            </w:r>
            <w:r w:rsidR="008E2FBD" w:rsidRPr="00EF6D96">
              <w:rPr>
                <w:rFonts w:asciiTheme="minorHAnsi" w:hAnsiTheme="minorHAnsi" w:cstheme="minorHAnsi"/>
                <w:szCs w:val="18"/>
              </w:rPr>
              <w:t xml:space="preserve"> bar</w:t>
            </w:r>
          </w:p>
        </w:tc>
      </w:tr>
      <w:tr w:rsidR="008E2FBD" w:rsidRPr="00EF6D96" w14:paraId="586AD6D5" w14:textId="77777777" w:rsidTr="009A0796">
        <w:trPr>
          <w:trHeight w:val="328"/>
          <w:jc w:val="center"/>
        </w:trPr>
        <w:tc>
          <w:tcPr>
            <w:tcW w:w="3548" w:type="dxa"/>
            <w:shd w:val="clear" w:color="auto" w:fill="BFBFBF" w:themeFill="background1" w:themeFillShade="BF"/>
            <w:vAlign w:val="center"/>
          </w:tcPr>
          <w:p w14:paraId="3C89017B" w14:textId="77777777" w:rsidR="008E2FBD" w:rsidRPr="00EF6D96" w:rsidRDefault="008E2FBD" w:rsidP="008E2FBD">
            <w:pPr>
              <w:spacing w:after="120"/>
              <w:jc w:val="center"/>
              <w:rPr>
                <w:rFonts w:asciiTheme="minorHAnsi" w:hAnsiTheme="minorHAnsi" w:cstheme="minorHAnsi"/>
                <w:b/>
                <w:szCs w:val="18"/>
              </w:rPr>
            </w:pPr>
            <w:r w:rsidRPr="00EF6D96">
              <w:rPr>
                <w:rFonts w:asciiTheme="minorHAnsi" w:hAnsiTheme="minorHAnsi" w:cstheme="minorHAnsi"/>
                <w:b/>
                <w:szCs w:val="18"/>
              </w:rPr>
              <w:t>Total % as permeate generation</w:t>
            </w:r>
            <w:r>
              <w:rPr>
                <w:rFonts w:asciiTheme="minorHAnsi" w:hAnsiTheme="minorHAnsi" w:cstheme="minorHAnsi"/>
                <w:b/>
                <w:szCs w:val="18"/>
              </w:rPr>
              <w:t>:</w:t>
            </w:r>
          </w:p>
        </w:tc>
        <w:tc>
          <w:tcPr>
            <w:tcW w:w="1269" w:type="dxa"/>
            <w:vAlign w:val="center"/>
          </w:tcPr>
          <w:p w14:paraId="6F0AA752" w14:textId="77777777" w:rsidR="008E2FBD" w:rsidRPr="00EF6D96" w:rsidRDefault="008E2FBD" w:rsidP="008E2FBD">
            <w:pPr>
              <w:spacing w:after="120"/>
              <w:jc w:val="center"/>
              <w:rPr>
                <w:rFonts w:asciiTheme="minorHAnsi" w:hAnsiTheme="minorHAnsi" w:cstheme="minorHAnsi"/>
                <w:szCs w:val="18"/>
              </w:rPr>
            </w:pPr>
            <w:r w:rsidRPr="00EF6D96">
              <w:rPr>
                <w:rFonts w:asciiTheme="minorHAnsi" w:hAnsiTheme="minorHAnsi" w:cstheme="minorHAnsi"/>
                <w:szCs w:val="18"/>
              </w:rPr>
              <w:t>0</w:t>
            </w:r>
            <w:r w:rsidR="0037022A">
              <w:rPr>
                <w:rFonts w:asciiTheme="minorHAnsi" w:hAnsiTheme="minorHAnsi" w:cstheme="minorHAnsi"/>
                <w:szCs w:val="18"/>
              </w:rPr>
              <w:t>.56</w:t>
            </w:r>
            <w:r w:rsidRPr="00EF6D96">
              <w:rPr>
                <w:rFonts w:asciiTheme="minorHAnsi" w:hAnsiTheme="minorHAnsi" w:cstheme="minorHAnsi"/>
                <w:szCs w:val="18"/>
              </w:rPr>
              <w:t>%</w:t>
            </w:r>
          </w:p>
        </w:tc>
        <w:tc>
          <w:tcPr>
            <w:tcW w:w="1269" w:type="dxa"/>
            <w:vAlign w:val="center"/>
          </w:tcPr>
          <w:p w14:paraId="06C1EB41" w14:textId="77777777" w:rsidR="008E2FBD" w:rsidRPr="00EF6D96" w:rsidRDefault="008E2FBD" w:rsidP="008E2FBD">
            <w:pPr>
              <w:spacing w:after="120"/>
              <w:jc w:val="center"/>
              <w:rPr>
                <w:rFonts w:asciiTheme="minorHAnsi" w:hAnsiTheme="minorHAnsi" w:cstheme="minorHAnsi"/>
                <w:szCs w:val="18"/>
              </w:rPr>
            </w:pPr>
            <w:r w:rsidRPr="00EF6D96">
              <w:rPr>
                <w:rFonts w:asciiTheme="minorHAnsi" w:hAnsiTheme="minorHAnsi" w:cstheme="minorHAnsi"/>
                <w:szCs w:val="18"/>
              </w:rPr>
              <w:t>0.5</w:t>
            </w:r>
            <w:r w:rsidR="0037022A">
              <w:rPr>
                <w:rFonts w:asciiTheme="minorHAnsi" w:hAnsiTheme="minorHAnsi" w:cstheme="minorHAnsi"/>
                <w:szCs w:val="18"/>
              </w:rPr>
              <w:t>0</w:t>
            </w:r>
            <w:r w:rsidRPr="00EF6D96">
              <w:rPr>
                <w:rFonts w:asciiTheme="minorHAnsi" w:hAnsiTheme="minorHAnsi" w:cstheme="minorHAnsi"/>
                <w:szCs w:val="18"/>
              </w:rPr>
              <w:t>%</w:t>
            </w:r>
          </w:p>
        </w:tc>
      </w:tr>
    </w:tbl>
    <w:p w14:paraId="39245881" w14:textId="77777777" w:rsidR="00286720" w:rsidRDefault="00286720" w:rsidP="008E2FBD">
      <w:pPr>
        <w:snapToGrid w:val="0"/>
        <w:spacing w:after="120"/>
        <w:rPr>
          <w:rFonts w:asciiTheme="minorHAnsi" w:eastAsia="MS PGothic" w:hAnsiTheme="minorHAnsi"/>
          <w:b/>
          <w:bCs/>
          <w:color w:val="000000"/>
          <w:sz w:val="22"/>
          <w:szCs w:val="22"/>
          <w:lang w:val="en-US"/>
        </w:rPr>
      </w:pPr>
    </w:p>
    <w:p w14:paraId="163D2418" w14:textId="590BEA32" w:rsidR="00704BDF" w:rsidRPr="008D0BEB" w:rsidRDefault="00704BDF" w:rsidP="008E2FBD">
      <w:pPr>
        <w:snapToGrid w:val="0"/>
        <w:spacing w:after="12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29E764C" w14:textId="1BC23B3E" w:rsidR="00704BDF" w:rsidRDefault="00C23BE8" w:rsidP="008E2FB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Initial 1D and CFD models </w:t>
      </w:r>
      <w:r w:rsidR="00005994">
        <w:rPr>
          <w:rFonts w:asciiTheme="minorHAnsi" w:eastAsia="MS PGothic" w:hAnsiTheme="minorHAnsi"/>
          <w:color w:val="000000"/>
          <w:sz w:val="22"/>
          <w:szCs w:val="22"/>
          <w:lang w:val="en-US"/>
        </w:rPr>
        <w:t>share similar resu</w:t>
      </w:r>
      <w:r w:rsidR="00125A1C">
        <w:rPr>
          <w:rFonts w:asciiTheme="minorHAnsi" w:eastAsia="MS PGothic" w:hAnsiTheme="minorHAnsi"/>
          <w:color w:val="000000"/>
          <w:sz w:val="22"/>
          <w:szCs w:val="22"/>
          <w:lang w:val="en-US"/>
        </w:rPr>
        <w:t xml:space="preserve">lts with </w:t>
      </w:r>
      <w:r w:rsidR="00005994">
        <w:rPr>
          <w:rFonts w:asciiTheme="minorHAnsi" w:eastAsia="MS PGothic" w:hAnsiTheme="minorHAnsi"/>
          <w:color w:val="000000"/>
          <w:sz w:val="22"/>
          <w:szCs w:val="22"/>
          <w:lang w:val="en-US"/>
        </w:rPr>
        <w:t>the</w:t>
      </w:r>
      <w:r>
        <w:rPr>
          <w:rFonts w:asciiTheme="minorHAnsi" w:eastAsia="MS PGothic" w:hAnsiTheme="minorHAnsi"/>
          <w:color w:val="000000"/>
          <w:sz w:val="22"/>
          <w:szCs w:val="22"/>
          <w:lang w:val="en-US"/>
        </w:rPr>
        <w:t xml:space="preserve"> experimental data obtained from the UF system. </w:t>
      </w:r>
      <w:r w:rsidR="00056B3D">
        <w:rPr>
          <w:rFonts w:asciiTheme="minorHAnsi" w:eastAsia="MS PGothic" w:hAnsiTheme="minorHAnsi"/>
          <w:color w:val="000000"/>
          <w:sz w:val="22"/>
          <w:szCs w:val="22"/>
          <w:lang w:val="en-US"/>
        </w:rPr>
        <w:t xml:space="preserve">The two models can predict the flux generation across the membrane, the volumetric </w:t>
      </w:r>
      <w:r w:rsidR="00056B3D" w:rsidRPr="00372D3D">
        <w:rPr>
          <w:rFonts w:asciiTheme="minorHAnsi" w:eastAsia="MS PGothic" w:hAnsiTheme="minorHAnsi"/>
          <w:noProof/>
          <w:color w:val="000000"/>
          <w:sz w:val="22"/>
          <w:szCs w:val="22"/>
          <w:lang w:val="en-US"/>
        </w:rPr>
        <w:t>flowrate</w:t>
      </w:r>
      <w:r w:rsidR="00056B3D">
        <w:rPr>
          <w:rFonts w:asciiTheme="minorHAnsi" w:eastAsia="MS PGothic" w:hAnsiTheme="minorHAnsi"/>
          <w:color w:val="000000"/>
          <w:sz w:val="22"/>
          <w:szCs w:val="22"/>
          <w:lang w:val="en-US"/>
        </w:rPr>
        <w:t xml:space="preserve"> and the pressure differences in the presence of membrane </w:t>
      </w:r>
      <w:r w:rsidR="00056B3D" w:rsidRPr="00372D3D">
        <w:rPr>
          <w:rFonts w:asciiTheme="minorHAnsi" w:eastAsia="MS PGothic" w:hAnsiTheme="minorHAnsi"/>
          <w:noProof/>
          <w:color w:val="000000"/>
          <w:sz w:val="22"/>
          <w:szCs w:val="22"/>
          <w:lang w:val="en-US"/>
        </w:rPr>
        <w:t>resistances</w:t>
      </w:r>
      <w:r w:rsidR="00056B3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Further experimental </w:t>
      </w:r>
      <w:r w:rsidR="00056B3D">
        <w:rPr>
          <w:rFonts w:asciiTheme="minorHAnsi" w:eastAsia="MS PGothic" w:hAnsiTheme="minorHAnsi"/>
          <w:color w:val="000000"/>
          <w:sz w:val="22"/>
          <w:szCs w:val="22"/>
          <w:lang w:val="en-US"/>
        </w:rPr>
        <w:t>work</w:t>
      </w:r>
      <w:r>
        <w:rPr>
          <w:rFonts w:asciiTheme="minorHAnsi" w:eastAsia="MS PGothic" w:hAnsiTheme="minorHAnsi"/>
          <w:color w:val="000000"/>
          <w:sz w:val="22"/>
          <w:szCs w:val="22"/>
          <w:lang w:val="en-US"/>
        </w:rPr>
        <w:t xml:space="preserve"> on the UF rig </w:t>
      </w:r>
      <w:r w:rsidR="00056B3D">
        <w:rPr>
          <w:rFonts w:asciiTheme="minorHAnsi" w:eastAsia="MS PGothic" w:hAnsiTheme="minorHAnsi"/>
          <w:color w:val="000000"/>
          <w:sz w:val="22"/>
          <w:szCs w:val="22"/>
          <w:lang w:val="en-US"/>
        </w:rPr>
        <w:t>can potentially</w:t>
      </w:r>
      <w:r>
        <w:rPr>
          <w:rFonts w:asciiTheme="minorHAnsi" w:eastAsia="MS PGothic" w:hAnsiTheme="minorHAnsi"/>
          <w:color w:val="000000"/>
          <w:sz w:val="22"/>
          <w:szCs w:val="22"/>
          <w:lang w:val="en-US"/>
        </w:rPr>
        <w:t xml:space="preserve"> prepare </w:t>
      </w:r>
      <w:r w:rsidRPr="00372D3D">
        <w:rPr>
          <w:rFonts w:asciiTheme="minorHAnsi" w:eastAsia="MS PGothic" w:hAnsiTheme="minorHAnsi"/>
          <w:noProof/>
          <w:color w:val="000000"/>
          <w:sz w:val="22"/>
          <w:szCs w:val="22"/>
          <w:lang w:val="en-US"/>
        </w:rPr>
        <w:t>fouling</w:t>
      </w:r>
      <w:r>
        <w:rPr>
          <w:rFonts w:asciiTheme="minorHAnsi" w:eastAsia="MS PGothic" w:hAnsiTheme="minorHAnsi"/>
          <w:color w:val="000000"/>
          <w:sz w:val="22"/>
          <w:szCs w:val="22"/>
          <w:lang w:val="en-US"/>
        </w:rPr>
        <w:t xml:space="preserve"> control and cleaning methods to </w:t>
      </w:r>
      <w:r w:rsidR="00926563">
        <w:rPr>
          <w:rFonts w:asciiTheme="minorHAnsi" w:eastAsia="MS PGothic" w:hAnsiTheme="minorHAnsi"/>
          <w:color w:val="000000"/>
          <w:sz w:val="22"/>
          <w:szCs w:val="22"/>
          <w:lang w:val="en-US"/>
        </w:rPr>
        <w:t>reduce the fouling build-up in the system and improve the membrane longevity.</w:t>
      </w:r>
    </w:p>
    <w:p w14:paraId="221A6D07" w14:textId="79EB4D71" w:rsidR="000D76A7" w:rsidRPr="00286720" w:rsidRDefault="000D76A7" w:rsidP="008E2FBD">
      <w:pPr>
        <w:snapToGrid w:val="0"/>
        <w:spacing w:after="120"/>
        <w:rPr>
          <w:rFonts w:asciiTheme="minorHAnsi" w:eastAsia="MS PGothic" w:hAnsiTheme="minorHAnsi"/>
          <w:b/>
          <w:color w:val="000000"/>
          <w:sz w:val="22"/>
          <w:szCs w:val="22"/>
          <w:lang w:val="en-US"/>
        </w:rPr>
      </w:pPr>
      <w:r w:rsidRPr="00286720">
        <w:rPr>
          <w:rFonts w:asciiTheme="minorHAnsi" w:eastAsia="MS PGothic" w:hAnsiTheme="minorHAnsi"/>
          <w:b/>
          <w:color w:val="000000"/>
          <w:sz w:val="22"/>
          <w:szCs w:val="22"/>
          <w:lang w:val="en-US"/>
        </w:rPr>
        <w:t>References</w:t>
      </w:r>
    </w:p>
    <w:p w14:paraId="791CEF8E" w14:textId="7DB332ED" w:rsidR="001D1614" w:rsidRPr="008D75FB" w:rsidRDefault="000D76A7" w:rsidP="001D1614">
      <w:pPr>
        <w:pStyle w:val="EndNoteBibliography"/>
        <w:ind w:left="720" w:hanging="720"/>
        <w:rPr>
          <w:rFonts w:asciiTheme="minorHAnsi" w:hAnsiTheme="minorHAnsi" w:cstheme="minorHAnsi"/>
          <w:szCs w:val="18"/>
        </w:rPr>
      </w:pPr>
      <w:r w:rsidRPr="008D75FB">
        <w:rPr>
          <w:rFonts w:asciiTheme="minorHAnsi" w:eastAsia="MS PGothic" w:hAnsiTheme="minorHAnsi" w:cstheme="minorHAnsi"/>
          <w:color w:val="000000"/>
          <w:szCs w:val="18"/>
        </w:rPr>
        <w:fldChar w:fldCharType="begin"/>
      </w:r>
      <w:r w:rsidRPr="008D75FB">
        <w:rPr>
          <w:rFonts w:asciiTheme="minorHAnsi" w:eastAsia="MS PGothic" w:hAnsiTheme="minorHAnsi" w:cstheme="minorHAnsi"/>
          <w:color w:val="000000"/>
          <w:szCs w:val="18"/>
        </w:rPr>
        <w:instrText xml:space="preserve"> ADDIN EN.REFLIST </w:instrText>
      </w:r>
      <w:r w:rsidRPr="008D75FB">
        <w:rPr>
          <w:rFonts w:asciiTheme="minorHAnsi" w:eastAsia="MS PGothic" w:hAnsiTheme="minorHAnsi" w:cstheme="minorHAnsi"/>
          <w:color w:val="000000"/>
          <w:szCs w:val="18"/>
        </w:rPr>
        <w:fldChar w:fldCharType="separate"/>
      </w:r>
      <w:r w:rsidR="001D1614" w:rsidRPr="008D75FB">
        <w:rPr>
          <w:rFonts w:asciiTheme="minorHAnsi" w:hAnsiTheme="minorHAnsi" w:cstheme="minorHAnsi"/>
          <w:szCs w:val="18"/>
        </w:rPr>
        <w:t>1.</w:t>
      </w:r>
      <w:r w:rsidR="001D1614" w:rsidRPr="008D75FB">
        <w:rPr>
          <w:rFonts w:asciiTheme="minorHAnsi" w:hAnsiTheme="minorHAnsi" w:cstheme="minorHAnsi"/>
          <w:szCs w:val="18"/>
        </w:rPr>
        <w:tab/>
      </w:r>
      <w:r w:rsidR="003C175F" w:rsidRPr="003C175F">
        <w:rPr>
          <w:rFonts w:asciiTheme="minorHAnsi" w:hAnsiTheme="minorHAnsi" w:cstheme="minorHAnsi"/>
        </w:rPr>
        <w:t>Weatherill, J., Iron Oxyhydroxide Formation in the Enhanced Actinide Removal Plant. 2018, The University of Manchester p. 245.</w:t>
      </w:r>
    </w:p>
    <w:p w14:paraId="5F9F75CD" w14:textId="548F6047" w:rsidR="001D1614" w:rsidRPr="008D75FB" w:rsidRDefault="00205271" w:rsidP="001D1614">
      <w:pPr>
        <w:pStyle w:val="EndNoteBibliography"/>
        <w:ind w:left="720" w:hanging="720"/>
        <w:rPr>
          <w:rFonts w:asciiTheme="minorHAnsi" w:hAnsiTheme="minorHAnsi" w:cstheme="minorHAnsi"/>
          <w:szCs w:val="18"/>
        </w:rPr>
      </w:pPr>
      <w:r w:rsidRPr="008D75FB">
        <w:rPr>
          <w:rFonts w:asciiTheme="minorHAnsi" w:hAnsiTheme="minorHAnsi" w:cstheme="minorHAnsi"/>
          <w:szCs w:val="18"/>
        </w:rPr>
        <w:t>2</w:t>
      </w:r>
      <w:r w:rsidR="001D1614" w:rsidRPr="008D75FB">
        <w:rPr>
          <w:rFonts w:asciiTheme="minorHAnsi" w:hAnsiTheme="minorHAnsi" w:cstheme="minorHAnsi"/>
          <w:szCs w:val="18"/>
        </w:rPr>
        <w:t>.</w:t>
      </w:r>
      <w:r w:rsidR="001D1614" w:rsidRPr="008D75FB">
        <w:rPr>
          <w:rFonts w:asciiTheme="minorHAnsi" w:hAnsiTheme="minorHAnsi" w:cstheme="minorHAnsi"/>
          <w:szCs w:val="18"/>
        </w:rPr>
        <w:tab/>
        <w:t>K. Wang, L., et al., Membrane and Desalination Technologies. 2011.</w:t>
      </w:r>
    </w:p>
    <w:p w14:paraId="03C623C2" w14:textId="5F3BC370" w:rsidR="001D1614" w:rsidRPr="008D75FB" w:rsidRDefault="00205271" w:rsidP="001D1614">
      <w:pPr>
        <w:pStyle w:val="EndNoteBibliography"/>
        <w:ind w:left="720" w:hanging="720"/>
        <w:rPr>
          <w:rFonts w:asciiTheme="minorHAnsi" w:hAnsiTheme="minorHAnsi" w:cstheme="minorHAnsi"/>
          <w:szCs w:val="18"/>
        </w:rPr>
      </w:pPr>
      <w:r w:rsidRPr="008D75FB">
        <w:rPr>
          <w:rFonts w:asciiTheme="minorHAnsi" w:hAnsiTheme="minorHAnsi" w:cstheme="minorHAnsi"/>
          <w:szCs w:val="18"/>
        </w:rPr>
        <w:t>3</w:t>
      </w:r>
      <w:r w:rsidR="001D1614" w:rsidRPr="008D75FB">
        <w:rPr>
          <w:rFonts w:asciiTheme="minorHAnsi" w:hAnsiTheme="minorHAnsi" w:cstheme="minorHAnsi"/>
          <w:szCs w:val="18"/>
        </w:rPr>
        <w:t>.</w:t>
      </w:r>
      <w:r w:rsidR="001D1614" w:rsidRPr="008D75FB">
        <w:rPr>
          <w:rFonts w:asciiTheme="minorHAnsi" w:hAnsiTheme="minorHAnsi" w:cstheme="minorHAnsi"/>
          <w:szCs w:val="18"/>
        </w:rPr>
        <w:tab/>
        <w:t>Nagy, E., 7 - Transport of Fluid Phase in a Capillary Membrane, in Basic Equations of the Mass Transport through a Membrane Layer, E. Nagy, Editor. 2012, Elsevier: Oxford. p. 177-192.</w:t>
      </w:r>
    </w:p>
    <w:p w14:paraId="6A01506F" w14:textId="4FD6D2EA" w:rsidR="000D76A7" w:rsidRPr="000D76A7" w:rsidRDefault="000D76A7" w:rsidP="008E2FBD">
      <w:pPr>
        <w:snapToGrid w:val="0"/>
        <w:spacing w:after="120"/>
        <w:rPr>
          <w:rFonts w:asciiTheme="minorHAnsi" w:eastAsia="MS PGothic" w:hAnsiTheme="minorHAnsi"/>
          <w:b/>
          <w:color w:val="000000"/>
          <w:sz w:val="20"/>
          <w:szCs w:val="22"/>
          <w:lang w:val="en-US"/>
        </w:rPr>
      </w:pPr>
      <w:r w:rsidRPr="008D75FB">
        <w:rPr>
          <w:rFonts w:asciiTheme="minorHAnsi" w:eastAsia="MS PGothic" w:hAnsiTheme="minorHAnsi" w:cstheme="minorHAnsi"/>
          <w:color w:val="000000"/>
          <w:szCs w:val="18"/>
          <w:lang w:val="en-US"/>
        </w:rPr>
        <w:fldChar w:fldCharType="end"/>
      </w:r>
    </w:p>
    <w:sectPr w:rsidR="000D76A7" w:rsidRPr="000D76A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7F5F" w14:textId="77777777" w:rsidR="00C43D1E" w:rsidRDefault="00C43D1E" w:rsidP="004F5E36">
      <w:r>
        <w:separator/>
      </w:r>
    </w:p>
  </w:endnote>
  <w:endnote w:type="continuationSeparator" w:id="0">
    <w:p w14:paraId="59768508" w14:textId="77777777" w:rsidR="00C43D1E" w:rsidRDefault="00C43D1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7444" w14:textId="77777777" w:rsidR="00C43D1E" w:rsidRDefault="00C43D1E" w:rsidP="004F5E36">
      <w:r>
        <w:separator/>
      </w:r>
    </w:p>
  </w:footnote>
  <w:footnote w:type="continuationSeparator" w:id="0">
    <w:p w14:paraId="69D0B13B" w14:textId="77777777" w:rsidR="00C43D1E" w:rsidRDefault="00C43D1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A27D" w14:textId="77777777" w:rsidR="00050F52" w:rsidRDefault="00050F52">
    <w:pPr>
      <w:pStyle w:val="Header"/>
    </w:pPr>
    <w:r>
      <w:rPr>
        <w:noProof/>
        <w:lang w:eastAsia="en-GB"/>
      </w:rPr>
      <mc:AlternateContent>
        <mc:Choice Requires="wps">
          <w:drawing>
            <wp:anchor distT="0" distB="0" distL="114300" distR="114300" simplePos="0" relativeHeight="251666432" behindDoc="0" locked="0" layoutInCell="1" allowOverlap="1" wp14:anchorId="1A1E7E9D" wp14:editId="1EEC023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139A182"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eastAsia="en-GB"/>
      </w:rPr>
      <w:drawing>
        <wp:anchor distT="0" distB="0" distL="114300" distR="114300" simplePos="0" relativeHeight="251662336" behindDoc="0" locked="0" layoutInCell="1" allowOverlap="1" wp14:anchorId="5F1E9049" wp14:editId="32922E3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4E07" w14:textId="77777777" w:rsidR="00050F52" w:rsidRPr="00DE0019" w:rsidRDefault="00050F52"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D03CAD3" wp14:editId="0588C82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6A003D94" w14:textId="77777777" w:rsidR="00050F52" w:rsidRDefault="00050F52">
    <w:pPr>
      <w:pStyle w:val="Header"/>
    </w:pPr>
  </w:p>
  <w:p w14:paraId="26474B35" w14:textId="77777777" w:rsidR="00050F52" w:rsidRDefault="00050F52">
    <w:pPr>
      <w:pStyle w:val="Header"/>
    </w:pPr>
    <w:r>
      <w:rPr>
        <w:noProof/>
        <w:lang w:eastAsia="en-GB"/>
      </w:rPr>
      <mc:AlternateContent>
        <mc:Choice Requires="wps">
          <w:drawing>
            <wp:anchor distT="0" distB="0" distL="114300" distR="114300" simplePos="0" relativeHeight="251660288" behindDoc="0" locked="0" layoutInCell="1" allowOverlap="1" wp14:anchorId="6B72A521" wp14:editId="2835C89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E22713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3MDAyNTSyNDY2MzFV0lEKTi0uzszPAykwNKgFAA8gN8A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ztpp5e5tv2sie29atpwpw4dw5xreva2dfa&quot;&gt;Kyriacos_PhD material&lt;record-ids&gt;&lt;item&gt;318&lt;/item&gt;&lt;item&gt;383&lt;/item&gt;&lt;item&gt;402&lt;/item&gt;&lt;item&gt;421&lt;/item&gt;&lt;/record-ids&gt;&lt;/item&gt;&lt;/Libraries&gt;"/>
  </w:docVars>
  <w:rsids>
    <w:rsidRoot w:val="000E414A"/>
    <w:rsid w:val="000027C0"/>
    <w:rsid w:val="00005994"/>
    <w:rsid w:val="00006B11"/>
    <w:rsid w:val="000117CB"/>
    <w:rsid w:val="0003148D"/>
    <w:rsid w:val="00050F52"/>
    <w:rsid w:val="00056B3D"/>
    <w:rsid w:val="00062A9A"/>
    <w:rsid w:val="000A03B2"/>
    <w:rsid w:val="000D34BE"/>
    <w:rsid w:val="000D76A7"/>
    <w:rsid w:val="000E14F8"/>
    <w:rsid w:val="000E36F1"/>
    <w:rsid w:val="000E3A73"/>
    <w:rsid w:val="000E414A"/>
    <w:rsid w:val="00125A1C"/>
    <w:rsid w:val="0013121F"/>
    <w:rsid w:val="00134DE4"/>
    <w:rsid w:val="00150E59"/>
    <w:rsid w:val="00174920"/>
    <w:rsid w:val="00184AD6"/>
    <w:rsid w:val="001B6472"/>
    <w:rsid w:val="001B65C1"/>
    <w:rsid w:val="001C684B"/>
    <w:rsid w:val="001D1614"/>
    <w:rsid w:val="001D53FC"/>
    <w:rsid w:val="001D70FA"/>
    <w:rsid w:val="001F2EC7"/>
    <w:rsid w:val="00205271"/>
    <w:rsid w:val="002065DB"/>
    <w:rsid w:val="00223126"/>
    <w:rsid w:val="002326D6"/>
    <w:rsid w:val="002447EF"/>
    <w:rsid w:val="00251550"/>
    <w:rsid w:val="0027221A"/>
    <w:rsid w:val="002727EF"/>
    <w:rsid w:val="00275B61"/>
    <w:rsid w:val="00286720"/>
    <w:rsid w:val="00287C5D"/>
    <w:rsid w:val="00297A60"/>
    <w:rsid w:val="002D1F12"/>
    <w:rsid w:val="002E0813"/>
    <w:rsid w:val="003009B7"/>
    <w:rsid w:val="00303514"/>
    <w:rsid w:val="0030469C"/>
    <w:rsid w:val="003208A1"/>
    <w:rsid w:val="0037022A"/>
    <w:rsid w:val="003723D4"/>
    <w:rsid w:val="00372D3D"/>
    <w:rsid w:val="003A09DF"/>
    <w:rsid w:val="003A7D1C"/>
    <w:rsid w:val="003C175F"/>
    <w:rsid w:val="00403CEE"/>
    <w:rsid w:val="00431BA9"/>
    <w:rsid w:val="004569C7"/>
    <w:rsid w:val="0046164A"/>
    <w:rsid w:val="00462DCD"/>
    <w:rsid w:val="00462EC8"/>
    <w:rsid w:val="004C5672"/>
    <w:rsid w:val="004D1162"/>
    <w:rsid w:val="004E2BAE"/>
    <w:rsid w:val="004E4DD6"/>
    <w:rsid w:val="004F5E36"/>
    <w:rsid w:val="005040BC"/>
    <w:rsid w:val="0050662B"/>
    <w:rsid w:val="005119A5"/>
    <w:rsid w:val="005273B9"/>
    <w:rsid w:val="005278B7"/>
    <w:rsid w:val="005346C8"/>
    <w:rsid w:val="00594E9F"/>
    <w:rsid w:val="005B5B8C"/>
    <w:rsid w:val="005B61E6"/>
    <w:rsid w:val="005C70AD"/>
    <w:rsid w:val="005C77E1"/>
    <w:rsid w:val="005D6A2F"/>
    <w:rsid w:val="005E1A82"/>
    <w:rsid w:val="005F0A28"/>
    <w:rsid w:val="005F0E5E"/>
    <w:rsid w:val="00602A97"/>
    <w:rsid w:val="00620DEE"/>
    <w:rsid w:val="00625639"/>
    <w:rsid w:val="006351FB"/>
    <w:rsid w:val="0064184D"/>
    <w:rsid w:val="00654A76"/>
    <w:rsid w:val="00660E3E"/>
    <w:rsid w:val="00662E74"/>
    <w:rsid w:val="006A58D2"/>
    <w:rsid w:val="006B1991"/>
    <w:rsid w:val="006B4AE8"/>
    <w:rsid w:val="006C5579"/>
    <w:rsid w:val="006C6E56"/>
    <w:rsid w:val="006F4E44"/>
    <w:rsid w:val="00704BDF"/>
    <w:rsid w:val="007266B9"/>
    <w:rsid w:val="00736B13"/>
    <w:rsid w:val="007447F3"/>
    <w:rsid w:val="007661C8"/>
    <w:rsid w:val="007B0C40"/>
    <w:rsid w:val="007C3029"/>
    <w:rsid w:val="007D323B"/>
    <w:rsid w:val="007D52CD"/>
    <w:rsid w:val="007D6389"/>
    <w:rsid w:val="007E2D91"/>
    <w:rsid w:val="00813288"/>
    <w:rsid w:val="008168FC"/>
    <w:rsid w:val="008479A2"/>
    <w:rsid w:val="0087637F"/>
    <w:rsid w:val="008962DE"/>
    <w:rsid w:val="008A1512"/>
    <w:rsid w:val="008B4B18"/>
    <w:rsid w:val="008D0BEB"/>
    <w:rsid w:val="008D5538"/>
    <w:rsid w:val="008D75FB"/>
    <w:rsid w:val="008E2FBD"/>
    <w:rsid w:val="008E566E"/>
    <w:rsid w:val="008F03A7"/>
    <w:rsid w:val="00900AF9"/>
    <w:rsid w:val="00901EB6"/>
    <w:rsid w:val="00913FF5"/>
    <w:rsid w:val="00926563"/>
    <w:rsid w:val="00933294"/>
    <w:rsid w:val="009450CE"/>
    <w:rsid w:val="0095164B"/>
    <w:rsid w:val="0097607F"/>
    <w:rsid w:val="00996483"/>
    <w:rsid w:val="00996B4D"/>
    <w:rsid w:val="009A0796"/>
    <w:rsid w:val="009E602F"/>
    <w:rsid w:val="009E788A"/>
    <w:rsid w:val="00A1763D"/>
    <w:rsid w:val="00A17CEC"/>
    <w:rsid w:val="00A27599"/>
    <w:rsid w:val="00A27EF0"/>
    <w:rsid w:val="00A76EFC"/>
    <w:rsid w:val="00A93443"/>
    <w:rsid w:val="00A9626B"/>
    <w:rsid w:val="00A979B4"/>
    <w:rsid w:val="00A97F29"/>
    <w:rsid w:val="00AB0964"/>
    <w:rsid w:val="00AC5DD6"/>
    <w:rsid w:val="00AE377D"/>
    <w:rsid w:val="00AE5207"/>
    <w:rsid w:val="00AF170A"/>
    <w:rsid w:val="00B006F2"/>
    <w:rsid w:val="00B545D8"/>
    <w:rsid w:val="00B61DBF"/>
    <w:rsid w:val="00BC30C9"/>
    <w:rsid w:val="00BE14FF"/>
    <w:rsid w:val="00BE3E58"/>
    <w:rsid w:val="00C01616"/>
    <w:rsid w:val="00C0162B"/>
    <w:rsid w:val="00C12F00"/>
    <w:rsid w:val="00C23BE8"/>
    <w:rsid w:val="00C345B1"/>
    <w:rsid w:val="00C40142"/>
    <w:rsid w:val="00C43D1E"/>
    <w:rsid w:val="00C56432"/>
    <w:rsid w:val="00C57182"/>
    <w:rsid w:val="00C655FD"/>
    <w:rsid w:val="00C76463"/>
    <w:rsid w:val="00C867B1"/>
    <w:rsid w:val="00C9432B"/>
    <w:rsid w:val="00C94434"/>
    <w:rsid w:val="00CA1C95"/>
    <w:rsid w:val="00CA5A9C"/>
    <w:rsid w:val="00CB16BF"/>
    <w:rsid w:val="00CB3301"/>
    <w:rsid w:val="00CC717D"/>
    <w:rsid w:val="00CD5FE2"/>
    <w:rsid w:val="00CE4820"/>
    <w:rsid w:val="00D02B4C"/>
    <w:rsid w:val="00D17677"/>
    <w:rsid w:val="00D31164"/>
    <w:rsid w:val="00D471E8"/>
    <w:rsid w:val="00D84576"/>
    <w:rsid w:val="00DB3C50"/>
    <w:rsid w:val="00DE0019"/>
    <w:rsid w:val="00DE264A"/>
    <w:rsid w:val="00E041E7"/>
    <w:rsid w:val="00E1457C"/>
    <w:rsid w:val="00E16D84"/>
    <w:rsid w:val="00E23CA1"/>
    <w:rsid w:val="00E409A8"/>
    <w:rsid w:val="00E7209D"/>
    <w:rsid w:val="00E7483F"/>
    <w:rsid w:val="00E92C5B"/>
    <w:rsid w:val="00EA50E1"/>
    <w:rsid w:val="00ED0B07"/>
    <w:rsid w:val="00EE0131"/>
    <w:rsid w:val="00EE32C8"/>
    <w:rsid w:val="00EF6D96"/>
    <w:rsid w:val="00F06144"/>
    <w:rsid w:val="00F16DDD"/>
    <w:rsid w:val="00F24D39"/>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7D95"/>
  <w15:docId w15:val="{0BC2F9EB-2DA1-4C19-BEE0-5FA8EEA5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semiHidden/>
    <w:unhideWhenUsed/>
    <w:locked/>
    <w:rsid w:val="007266B9"/>
    <w:rPr>
      <w:color w:val="0000FF" w:themeColor="hyperlink"/>
      <w:u w:val="single"/>
    </w:rPr>
  </w:style>
  <w:style w:type="paragraph" w:styleId="ListParagraph">
    <w:name w:val="List Paragraph"/>
    <w:basedOn w:val="Normal"/>
    <w:uiPriority w:val="34"/>
    <w:qFormat/>
    <w:locked/>
    <w:rsid w:val="008F03A7"/>
    <w:pPr>
      <w:ind w:left="720"/>
      <w:contextualSpacing/>
    </w:pPr>
  </w:style>
  <w:style w:type="character" w:styleId="CommentReference">
    <w:name w:val="annotation reference"/>
    <w:basedOn w:val="DefaultParagraphFont"/>
    <w:uiPriority w:val="99"/>
    <w:semiHidden/>
    <w:unhideWhenUsed/>
    <w:locked/>
    <w:rsid w:val="00303514"/>
    <w:rPr>
      <w:sz w:val="16"/>
      <w:szCs w:val="16"/>
    </w:rPr>
  </w:style>
  <w:style w:type="character" w:styleId="PlaceholderText">
    <w:name w:val="Placeholder Text"/>
    <w:basedOn w:val="DefaultParagraphFont"/>
    <w:uiPriority w:val="99"/>
    <w:semiHidden/>
    <w:locked/>
    <w:rsid w:val="00933294"/>
    <w:rPr>
      <w:color w:val="808080"/>
    </w:rPr>
  </w:style>
  <w:style w:type="paragraph" w:customStyle="1" w:styleId="EndNoteBibliographyTitle">
    <w:name w:val="EndNote Bibliography Title"/>
    <w:basedOn w:val="Normal"/>
    <w:link w:val="EndNoteBibliographyTitleChar"/>
    <w:rsid w:val="000D76A7"/>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0D76A7"/>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0D76A7"/>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0D76A7"/>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442">
      <w:bodyDiv w:val="1"/>
      <w:marLeft w:val="0"/>
      <w:marRight w:val="0"/>
      <w:marTop w:val="0"/>
      <w:marBottom w:val="0"/>
      <w:divBdr>
        <w:top w:val="none" w:sz="0" w:space="0" w:color="auto"/>
        <w:left w:val="none" w:sz="0" w:space="0" w:color="auto"/>
        <w:bottom w:val="none" w:sz="0" w:space="0" w:color="auto"/>
        <w:right w:val="none" w:sz="0" w:space="0" w:color="auto"/>
      </w:divBdr>
    </w:div>
    <w:div w:id="89858430">
      <w:bodyDiv w:val="1"/>
      <w:marLeft w:val="0"/>
      <w:marRight w:val="0"/>
      <w:marTop w:val="0"/>
      <w:marBottom w:val="0"/>
      <w:divBdr>
        <w:top w:val="none" w:sz="0" w:space="0" w:color="auto"/>
        <w:left w:val="none" w:sz="0" w:space="0" w:color="auto"/>
        <w:bottom w:val="none" w:sz="0" w:space="0" w:color="auto"/>
        <w:right w:val="none" w:sz="0" w:space="0" w:color="auto"/>
      </w:divBdr>
    </w:div>
    <w:div w:id="147669901">
      <w:bodyDiv w:val="1"/>
      <w:marLeft w:val="0"/>
      <w:marRight w:val="0"/>
      <w:marTop w:val="0"/>
      <w:marBottom w:val="0"/>
      <w:divBdr>
        <w:top w:val="none" w:sz="0" w:space="0" w:color="auto"/>
        <w:left w:val="none" w:sz="0" w:space="0" w:color="auto"/>
        <w:bottom w:val="none" w:sz="0" w:space="0" w:color="auto"/>
        <w:right w:val="none" w:sz="0" w:space="0" w:color="auto"/>
      </w:divBdr>
    </w:div>
    <w:div w:id="210382995">
      <w:bodyDiv w:val="1"/>
      <w:marLeft w:val="0"/>
      <w:marRight w:val="0"/>
      <w:marTop w:val="0"/>
      <w:marBottom w:val="0"/>
      <w:divBdr>
        <w:top w:val="none" w:sz="0" w:space="0" w:color="auto"/>
        <w:left w:val="none" w:sz="0" w:space="0" w:color="auto"/>
        <w:bottom w:val="none" w:sz="0" w:space="0" w:color="auto"/>
        <w:right w:val="none" w:sz="0" w:space="0" w:color="auto"/>
      </w:divBdr>
    </w:div>
    <w:div w:id="552082076">
      <w:bodyDiv w:val="1"/>
      <w:marLeft w:val="0"/>
      <w:marRight w:val="0"/>
      <w:marTop w:val="0"/>
      <w:marBottom w:val="0"/>
      <w:divBdr>
        <w:top w:val="none" w:sz="0" w:space="0" w:color="auto"/>
        <w:left w:val="none" w:sz="0" w:space="0" w:color="auto"/>
        <w:bottom w:val="none" w:sz="0" w:space="0" w:color="auto"/>
        <w:right w:val="none" w:sz="0" w:space="0" w:color="auto"/>
      </w:divBdr>
    </w:div>
    <w:div w:id="660621067">
      <w:bodyDiv w:val="1"/>
      <w:marLeft w:val="0"/>
      <w:marRight w:val="0"/>
      <w:marTop w:val="0"/>
      <w:marBottom w:val="0"/>
      <w:divBdr>
        <w:top w:val="none" w:sz="0" w:space="0" w:color="auto"/>
        <w:left w:val="none" w:sz="0" w:space="0" w:color="auto"/>
        <w:bottom w:val="none" w:sz="0" w:space="0" w:color="auto"/>
        <w:right w:val="none" w:sz="0" w:space="0" w:color="auto"/>
      </w:divBdr>
    </w:div>
    <w:div w:id="824128470">
      <w:bodyDiv w:val="1"/>
      <w:marLeft w:val="0"/>
      <w:marRight w:val="0"/>
      <w:marTop w:val="0"/>
      <w:marBottom w:val="0"/>
      <w:divBdr>
        <w:top w:val="none" w:sz="0" w:space="0" w:color="auto"/>
        <w:left w:val="none" w:sz="0" w:space="0" w:color="auto"/>
        <w:bottom w:val="none" w:sz="0" w:space="0" w:color="auto"/>
        <w:right w:val="none" w:sz="0" w:space="0" w:color="auto"/>
      </w:divBdr>
    </w:div>
    <w:div w:id="882450049">
      <w:bodyDiv w:val="1"/>
      <w:marLeft w:val="0"/>
      <w:marRight w:val="0"/>
      <w:marTop w:val="0"/>
      <w:marBottom w:val="0"/>
      <w:divBdr>
        <w:top w:val="none" w:sz="0" w:space="0" w:color="auto"/>
        <w:left w:val="none" w:sz="0" w:space="0" w:color="auto"/>
        <w:bottom w:val="none" w:sz="0" w:space="0" w:color="auto"/>
        <w:right w:val="none" w:sz="0" w:space="0" w:color="auto"/>
      </w:divBdr>
    </w:div>
    <w:div w:id="937905877">
      <w:bodyDiv w:val="1"/>
      <w:marLeft w:val="0"/>
      <w:marRight w:val="0"/>
      <w:marTop w:val="0"/>
      <w:marBottom w:val="0"/>
      <w:divBdr>
        <w:top w:val="none" w:sz="0" w:space="0" w:color="auto"/>
        <w:left w:val="none" w:sz="0" w:space="0" w:color="auto"/>
        <w:bottom w:val="none" w:sz="0" w:space="0" w:color="auto"/>
        <w:right w:val="none" w:sz="0" w:space="0" w:color="auto"/>
      </w:divBdr>
    </w:div>
    <w:div w:id="1016931368">
      <w:bodyDiv w:val="1"/>
      <w:marLeft w:val="0"/>
      <w:marRight w:val="0"/>
      <w:marTop w:val="0"/>
      <w:marBottom w:val="0"/>
      <w:divBdr>
        <w:top w:val="none" w:sz="0" w:space="0" w:color="auto"/>
        <w:left w:val="none" w:sz="0" w:space="0" w:color="auto"/>
        <w:bottom w:val="none" w:sz="0" w:space="0" w:color="auto"/>
        <w:right w:val="none" w:sz="0" w:space="0" w:color="auto"/>
      </w:divBdr>
    </w:div>
    <w:div w:id="1347169786">
      <w:bodyDiv w:val="1"/>
      <w:marLeft w:val="0"/>
      <w:marRight w:val="0"/>
      <w:marTop w:val="0"/>
      <w:marBottom w:val="0"/>
      <w:divBdr>
        <w:top w:val="none" w:sz="0" w:space="0" w:color="auto"/>
        <w:left w:val="none" w:sz="0" w:space="0" w:color="auto"/>
        <w:bottom w:val="none" w:sz="0" w:space="0" w:color="auto"/>
        <w:right w:val="none" w:sz="0" w:space="0" w:color="auto"/>
      </w:divBdr>
    </w:div>
    <w:div w:id="1501577550">
      <w:bodyDiv w:val="1"/>
      <w:marLeft w:val="0"/>
      <w:marRight w:val="0"/>
      <w:marTop w:val="0"/>
      <w:marBottom w:val="0"/>
      <w:divBdr>
        <w:top w:val="none" w:sz="0" w:space="0" w:color="auto"/>
        <w:left w:val="none" w:sz="0" w:space="0" w:color="auto"/>
        <w:bottom w:val="none" w:sz="0" w:space="0" w:color="auto"/>
        <w:right w:val="none" w:sz="0" w:space="0" w:color="auto"/>
      </w:divBdr>
    </w:div>
    <w:div w:id="1549992155">
      <w:bodyDiv w:val="1"/>
      <w:marLeft w:val="0"/>
      <w:marRight w:val="0"/>
      <w:marTop w:val="0"/>
      <w:marBottom w:val="0"/>
      <w:divBdr>
        <w:top w:val="none" w:sz="0" w:space="0" w:color="auto"/>
        <w:left w:val="none" w:sz="0" w:space="0" w:color="auto"/>
        <w:bottom w:val="none" w:sz="0" w:space="0" w:color="auto"/>
        <w:right w:val="none" w:sz="0" w:space="0" w:color="auto"/>
      </w:divBdr>
    </w:div>
    <w:div w:id="2109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kyriacos.hadjidemetriou@postgrad.manchester.ac.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7CA0-5206-4094-84ED-F7509B9F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1045</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Kyriacos Hadjidemetriou</cp:lastModifiedBy>
  <cp:revision>3</cp:revision>
  <cp:lastPrinted>2015-05-12T18:31:00Z</cp:lastPrinted>
  <dcterms:created xsi:type="dcterms:W3CDTF">2019-01-15T19:25:00Z</dcterms:created>
  <dcterms:modified xsi:type="dcterms:W3CDTF">2019-01-15T19:29:00Z</dcterms:modified>
</cp:coreProperties>
</file>