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9B5211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Biosurfactant production </w:t>
      </w:r>
      <w:r w:rsidR="00A223F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by </w:t>
      </w:r>
      <w:r w:rsidR="00A223F4" w:rsidRPr="00A223F4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Piper </w:t>
      </w:r>
      <w:proofErr w:type="spellStart"/>
      <w:r w:rsidR="00A223F4" w:rsidRPr="00A223F4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hispidum</w:t>
      </w:r>
      <w:proofErr w:type="spellEnd"/>
      <w:r w:rsidR="00A223F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endophytic fungi using cooking oil residue as substrate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A223F4" w:rsidRDefault="00A223F4" w:rsidP="00704BDF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proofErr w:type="spellStart"/>
      <w:r w:rsidRPr="00A223F4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Segio</w:t>
      </w:r>
      <w:proofErr w:type="spellEnd"/>
      <w:r w:rsidRPr="00A223F4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 </w:t>
      </w:r>
      <w:proofErr w:type="spellStart"/>
      <w:r w:rsidRPr="00A223F4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Duvosin</w:t>
      </w:r>
      <w:proofErr w:type="spellEnd"/>
      <w:r w:rsidRPr="00A223F4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 Jr</w:t>
      </w:r>
      <w:r w:rsidR="00DA6C28" w:rsidRPr="00A223F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*</w:t>
      </w:r>
      <w:r w:rsidR="00736B13" w:rsidRPr="00A223F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, </w:t>
      </w:r>
      <w:r w:rsidRPr="00A223F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Messe da Silva</w:t>
      </w:r>
      <w:r w:rsidR="00DA6C28" w:rsidRPr="00A223F4">
        <w:rPr>
          <w:rFonts w:eastAsia="SimSun"/>
          <w:color w:val="000000"/>
          <w:lang w:val="pt-BR" w:eastAsia="zh-CN"/>
        </w:rPr>
        <w:t xml:space="preserve">, </w:t>
      </w:r>
      <w:proofErr w:type="spellStart"/>
      <w:r w:rsidRPr="00A223F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Patricia</w:t>
      </w:r>
      <w:proofErr w:type="spellEnd"/>
      <w:r w:rsidRPr="00A223F4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Albuquerque</w:t>
      </w:r>
    </w:p>
    <w:p w:rsidR="00704BDF" w:rsidRPr="00DE0019" w:rsidRDefault="00DA6C28" w:rsidP="00DA6C28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Amazonas State University,</w:t>
      </w:r>
      <w:proofErr w:type="gram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Laboratory of Chemistry Applied to Technology, 1200 Darcy Vargas Ave., Manaus, Amazonas, Brazil, 69050-020</w:t>
      </w:r>
      <w:r w:rsidR="00D9633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223F4">
        <w:rPr>
          <w:rFonts w:asciiTheme="minorHAnsi" w:eastAsia="MS PGothic" w:hAnsiTheme="minorHAnsi"/>
          <w:bCs/>
          <w:i/>
          <w:iCs/>
          <w:sz w:val="20"/>
          <w:lang w:val="en-US"/>
        </w:rPr>
        <w:t>sjunior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DA6C28">
        <w:rPr>
          <w:rFonts w:asciiTheme="minorHAnsi" w:eastAsia="MS PGothic" w:hAnsiTheme="minorHAnsi"/>
          <w:bCs/>
          <w:i/>
          <w:iCs/>
          <w:sz w:val="20"/>
          <w:lang w:val="en-US"/>
        </w:rPr>
        <w:t>uea.edu.br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A223F4" w:rsidRDefault="00A223F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223F4">
        <w:rPr>
          <w:rFonts w:asciiTheme="minorHAnsi" w:hAnsiTheme="minorHAnsi"/>
          <w:i/>
        </w:rPr>
        <w:t xml:space="preserve">Piper </w:t>
      </w:r>
      <w:proofErr w:type="spellStart"/>
      <w:r w:rsidRPr="00A223F4">
        <w:rPr>
          <w:rFonts w:asciiTheme="minorHAnsi" w:hAnsiTheme="minorHAnsi"/>
          <w:i/>
        </w:rPr>
        <w:t>hispidum</w:t>
      </w:r>
      <w:proofErr w:type="spellEnd"/>
      <w:r w:rsidRPr="00A223F4">
        <w:rPr>
          <w:rFonts w:asciiTheme="minorHAnsi" w:hAnsiTheme="minorHAnsi"/>
        </w:rPr>
        <w:t xml:space="preserve"> endophytic fungi are able to produce tensoactive molecules</w:t>
      </w:r>
      <w:r w:rsidR="00704BDF" w:rsidRPr="00A223F4">
        <w:rPr>
          <w:rFonts w:asciiTheme="minorHAnsi" w:hAnsiTheme="minorHAnsi"/>
        </w:rPr>
        <w:t>.</w:t>
      </w:r>
    </w:p>
    <w:p w:rsidR="00704BDF" w:rsidRPr="00A223F4" w:rsidRDefault="00A223F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223F4">
        <w:rPr>
          <w:rFonts w:asciiTheme="minorHAnsi" w:hAnsiTheme="minorHAnsi"/>
        </w:rPr>
        <w:t>The fungi were able to use the cooking oil residue as substrate</w:t>
      </w:r>
      <w:r w:rsidR="00704BDF" w:rsidRPr="00A223F4">
        <w:rPr>
          <w:rFonts w:asciiTheme="minorHAnsi" w:hAnsiTheme="minorHAnsi"/>
        </w:rPr>
        <w:t xml:space="preserve">. </w:t>
      </w:r>
    </w:p>
    <w:p w:rsidR="00704BDF" w:rsidRPr="005D6443" w:rsidRDefault="005D644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D6443">
        <w:rPr>
          <w:rFonts w:asciiTheme="minorHAnsi" w:hAnsiTheme="minorHAnsi"/>
        </w:rPr>
        <w:t xml:space="preserve">The reduction of superficial tension of the cultivation broths was around 40%.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AF5FD5" w:rsidRPr="002D67E2" w:rsidRDefault="00A223F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Fungi found in plant species, called endophytic fungi, present a great potential for the production of new bioactive substances</w:t>
      </w:r>
      <w:r w:rsidR="003B4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Among substances of commercial interest are the biosurfactants,</w:t>
      </w:r>
      <w:r w:rsidRPr="00A223F4">
        <w:rPr>
          <w:rFonts w:asciiTheme="minorHAnsi" w:eastAsia="MS PGothic" w:hAnsiTheme="minorHAnsi"/>
          <w:sz w:val="22"/>
          <w:szCs w:val="22"/>
        </w:rPr>
        <w:t> 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amphipathic compounds that present tensoactive properties and are produced by microorganisms</w:t>
      </w:r>
      <w:r w:rsidR="003B4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Biosurfactants comprise a wide variety of industrial applications, which include bioremediation, biodegradation, cleaning of oil containers, and have been employed at the food, pharmaceutical, and cosmetic industries.</w:t>
      </w:r>
      <w:r w:rsidR="003B4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40B7" w:rsidRPr="003B4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 w:rsidRPr="003B4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40B7" w:rsidRPr="003B4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Recently, the use of residues for the pro</w:t>
      </w:r>
      <w:r w:rsidR="003B4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3B40B7" w:rsidRPr="003B4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u</w:t>
      </w:r>
      <w:r w:rsidR="003B4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3B40B7" w:rsidRPr="003B4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tion of biosurfactants has</w:t>
      </w:r>
      <w:r w:rsidR="003B4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gained attention, since it implies in cost reduction [4]. </w:t>
      </w:r>
      <w:r w:rsidR="00306D28"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Therefore, this work has evaluated the biosurfactant production on metabolic broths of endophytic fungi isolated from the Amazon species</w:t>
      </w:r>
      <w:r w:rsidR="00306D28" w:rsidRPr="00A223F4">
        <w:rPr>
          <w:rFonts w:asciiTheme="minorHAnsi" w:eastAsia="MS PGothic" w:hAnsiTheme="minorHAnsi"/>
          <w:sz w:val="22"/>
          <w:szCs w:val="22"/>
        </w:rPr>
        <w:t> </w:t>
      </w:r>
      <w:r w:rsidR="00306D28">
        <w:rPr>
          <w:rFonts w:asciiTheme="minorHAnsi" w:eastAsia="MS PGothic" w:hAnsiTheme="minorHAnsi"/>
          <w:i/>
          <w:iCs/>
          <w:sz w:val="22"/>
          <w:szCs w:val="22"/>
        </w:rPr>
        <w:t xml:space="preserve">Piper </w:t>
      </w:r>
      <w:proofErr w:type="spellStart"/>
      <w:r w:rsidR="00306D28">
        <w:rPr>
          <w:rFonts w:asciiTheme="minorHAnsi" w:eastAsia="MS PGothic" w:hAnsiTheme="minorHAnsi"/>
          <w:i/>
          <w:iCs/>
          <w:sz w:val="22"/>
          <w:szCs w:val="22"/>
        </w:rPr>
        <w:t>hispidum</w:t>
      </w:r>
      <w:proofErr w:type="spellEnd"/>
      <w:r w:rsidR="00306D28" w:rsidRPr="00A223F4">
        <w:rPr>
          <w:rFonts w:asciiTheme="minorHAnsi" w:eastAsia="MS PGothic" w:hAnsiTheme="minorHAnsi"/>
          <w:sz w:val="22"/>
          <w:szCs w:val="22"/>
        </w:rPr>
        <w:t> </w:t>
      </w:r>
      <w:r w:rsidR="00306D28"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>Piperac</w:t>
      </w:r>
      <w:r w:rsidR="00306D28"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eae</w:t>
      </w:r>
      <w:proofErr w:type="spellEnd"/>
      <w:r w:rsidR="00306D28"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cooking oil residue as substrate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AF5FD5" w:rsidRPr="008D0BEB" w:rsidRDefault="00AF5FD5" w:rsidP="00AF5FD5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19698C" w:rsidRPr="0019698C" w:rsidRDefault="00A223F4" w:rsidP="00761A3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endophytes were isolated previously and maintained on BDA tubes, being activated on this media at 28</w:t>
      </w:r>
      <w:r w:rsidRPr="00A223F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C during 5 to 10 days. It was produced a spore suspension (1,0 x 10</w:t>
      </w:r>
      <w:r w:rsidRPr="00A223F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8</w:t>
      </w:r>
      <w:r w:rsidRPr="00A223F4">
        <w:rPr>
          <w:rFonts w:asciiTheme="minorHAnsi" w:eastAsia="MS PGothic" w:hAnsiTheme="minorHAnsi"/>
          <w:sz w:val="22"/>
          <w:szCs w:val="22"/>
        </w:rPr>
        <w:t> 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spores/mL), which was inoculated in 125 mL Erlenmeyer flasks containing the liquid media - MgSO</w:t>
      </w:r>
      <w:r w:rsidRPr="00A223F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A223F4">
        <w:rPr>
          <w:rFonts w:asciiTheme="minorHAnsi" w:eastAsia="MS PGothic" w:hAnsiTheme="minorHAnsi"/>
          <w:sz w:val="22"/>
          <w:szCs w:val="22"/>
        </w:rPr>
        <w:t> 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(0.5 g/L), Na</w:t>
      </w:r>
      <w:r w:rsidRPr="00A223F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HPO</w:t>
      </w:r>
      <w:r w:rsidRPr="00A223F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A223F4">
        <w:rPr>
          <w:rFonts w:asciiTheme="minorHAnsi" w:eastAsia="MS PGothic" w:hAnsiTheme="minorHAnsi"/>
          <w:sz w:val="22"/>
          <w:szCs w:val="22"/>
        </w:rPr>
        <w:t> 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(3.0 g/L), KH</w:t>
      </w:r>
      <w:r w:rsidRPr="00A223F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PO</w:t>
      </w:r>
      <w:r w:rsidRPr="00A223F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A223F4">
        <w:rPr>
          <w:rFonts w:asciiTheme="minorHAnsi" w:eastAsia="MS PGothic" w:hAnsiTheme="minorHAnsi"/>
          <w:sz w:val="22"/>
          <w:szCs w:val="22"/>
        </w:rPr>
        <w:t> 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(1.0 g/L) and yeast extract (1.3 g/L)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[5]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After autoclaving the media, it was added 0.5 g/L of 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filtered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cooking 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oil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residue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induce the biosurfactant production. The fungi were cultivated in 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>tripli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cate during 7 days in a shaker at 28</w:t>
      </w:r>
      <w:r w:rsidRPr="00306D2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and 170 rpm. After the experiment, the cultivated media was </w:t>
      </w:r>
      <w:proofErr w:type="gramStart"/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filtered</w:t>
      </w:r>
      <w:proofErr w:type="gramEnd"/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supernatant was used to evaluate the biosurfactant production. In order to access the biosurfactant production it was 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determined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emulsification index (E</w:t>
      </w:r>
      <w:r w:rsidRPr="00306D2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24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[6]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lowering of superficial tension (ST) w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>verified with the of a tensiometer [7]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verify 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efficiency</w:t>
      </w:r>
      <w:r w:rsid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biosurfactant</w:t>
      </w:r>
      <w:r w:rsidRPr="00A223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C0AE2" w:rsidRPr="00DC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19698C" w:rsidRPr="008D0BEB" w:rsidRDefault="0019698C" w:rsidP="0019698C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0C1A23" w:rsidRDefault="005D644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306D28" w:rsidRP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endophytic fungi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able to produce </w:t>
      </w:r>
      <w:r w:rsidR="00306D28" w:rsidRP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>tensoactive molecules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the cooking oil residue, since it was observed a lowering of the superficial tension (ST) of the cultivation broths, and the emulsion formation in the presence of kerosene (Table 1).</w:t>
      </w:r>
      <w:r w:rsidR="00306D28" w:rsidRP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D6443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fungi PH 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19F, isolated from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leaf, the ST went from 67.5 to 35.9 Mn/M (46.8% reduction), within 12 days of cultivation in the presence of the residue. </w:t>
      </w:r>
      <w:r w:rsidRPr="005D644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emulsification index (E</w:t>
      </w:r>
      <w:r w:rsidRPr="005D644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24</w:t>
      </w:r>
      <w:r w:rsidRPr="005D64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was 30%. For the fungi PH I 12F, also from the </w:t>
      </w:r>
      <w:r w:rsidRPr="005D644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P.  </w:t>
      </w:r>
      <w:proofErr w:type="spellStart"/>
      <w:r w:rsidRPr="005D644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hispidum</w:t>
      </w:r>
      <w:proofErr w:type="spellEnd"/>
      <w:r w:rsidRPr="005D64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leaf), the TS reduced fr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5D64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 67.5 to 32.9 </w:t>
      </w:r>
      <w:proofErr w:type="spellStart"/>
      <w:r w:rsidRPr="005D6443">
        <w:rPr>
          <w:rFonts w:asciiTheme="minorHAnsi" w:eastAsia="MS PGothic" w:hAnsiTheme="minorHAnsi"/>
          <w:color w:val="000000"/>
          <w:sz w:val="22"/>
          <w:szCs w:val="22"/>
          <w:lang w:val="en-US"/>
        </w:rPr>
        <w:t>mN</w:t>
      </w:r>
      <w:proofErr w:type="spellEnd"/>
      <w:r w:rsidRPr="005D6443">
        <w:rPr>
          <w:rFonts w:asciiTheme="minorHAnsi" w:eastAsia="MS PGothic" w:hAnsiTheme="minorHAnsi"/>
          <w:color w:val="000000"/>
          <w:sz w:val="22"/>
          <w:szCs w:val="22"/>
          <w:lang w:val="en-US"/>
        </w:rPr>
        <w:t>/m (51.3% reduction)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eitihn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8 days, and the E</w:t>
      </w:r>
      <w:r w:rsidRPr="005D644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28%.</w:t>
      </w:r>
    </w:p>
    <w:p w:rsidR="005D6443" w:rsidRDefault="005D644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0C1A23" w:rsidRPr="000C1A23" w:rsidRDefault="000C1A23" w:rsidP="000C1A23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Table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Emulsification index (E</w:t>
      </w:r>
      <w:r w:rsidRPr="000C1A23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24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)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and superficial tension (ST) of </w:t>
      </w:r>
      <w:r w:rsidRPr="000C1A23">
        <w:rPr>
          <w:rFonts w:asciiTheme="minorHAnsi" w:eastAsia="MS PGothic" w:hAnsiTheme="minorHAnsi"/>
          <w:i/>
          <w:color w:val="000000"/>
          <w:szCs w:val="18"/>
          <w:lang w:val="en-US"/>
        </w:rPr>
        <w:t xml:space="preserve">Piper </w:t>
      </w:r>
      <w:proofErr w:type="spellStart"/>
      <w:r w:rsidRPr="000C1A23">
        <w:rPr>
          <w:rFonts w:asciiTheme="minorHAnsi" w:eastAsia="MS PGothic" w:hAnsiTheme="minorHAnsi"/>
          <w:i/>
          <w:color w:val="000000"/>
          <w:szCs w:val="18"/>
          <w:lang w:val="en-US"/>
        </w:rPr>
        <w:t>hispidum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endophytic fungi cultivation broths containing the </w:t>
      </w:r>
      <w:r w:rsidR="005D6443">
        <w:rPr>
          <w:rFonts w:asciiTheme="minorHAnsi" w:eastAsia="MS PGothic" w:hAnsiTheme="minorHAnsi"/>
          <w:color w:val="000000"/>
          <w:szCs w:val="18"/>
          <w:lang w:val="en-US"/>
        </w:rPr>
        <w:t>cooking oil residue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tbl>
      <w:tblPr>
        <w:tblStyle w:val="Tabelacomgrade"/>
        <w:tblW w:w="6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867"/>
        <w:gridCol w:w="967"/>
        <w:gridCol w:w="1658"/>
        <w:gridCol w:w="693"/>
        <w:gridCol w:w="867"/>
      </w:tblGrid>
      <w:tr w:rsidR="000C1A23" w:rsidRPr="000C1A23" w:rsidTr="000C1A23">
        <w:trPr>
          <w:trHeight w:val="289"/>
          <w:jc w:val="center"/>
        </w:trPr>
        <w:tc>
          <w:tcPr>
            <w:tcW w:w="3445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C1A23">
              <w:rPr>
                <w:rFonts w:asciiTheme="minorHAnsi" w:hAnsiTheme="minorHAnsi"/>
                <w:b/>
                <w:sz w:val="20"/>
              </w:rPr>
              <w:t>PH I 12F</w:t>
            </w:r>
          </w:p>
        </w:tc>
        <w:tc>
          <w:tcPr>
            <w:tcW w:w="321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C1A23">
              <w:rPr>
                <w:rFonts w:asciiTheme="minorHAnsi" w:hAnsiTheme="minorHAnsi"/>
                <w:b/>
                <w:sz w:val="20"/>
              </w:rPr>
              <w:t>PH I 19F</w:t>
            </w:r>
          </w:p>
        </w:tc>
      </w:tr>
      <w:tr w:rsidR="000C1A23" w:rsidRPr="000C1A23" w:rsidTr="000C1A23">
        <w:trPr>
          <w:jc w:val="center"/>
        </w:trPr>
        <w:tc>
          <w:tcPr>
            <w:tcW w:w="161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Cultivation </w:t>
            </w:r>
            <w:r w:rsidRPr="000C1A23">
              <w:rPr>
                <w:rFonts w:asciiTheme="minorHAnsi" w:hAnsiTheme="minorHAnsi"/>
                <w:sz w:val="20"/>
              </w:rPr>
              <w:t>T</w:t>
            </w:r>
            <w:r>
              <w:rPr>
                <w:rFonts w:asciiTheme="minorHAnsi" w:hAnsiTheme="minorHAnsi"/>
                <w:sz w:val="20"/>
              </w:rPr>
              <w:t>ime</w:t>
            </w:r>
          </w:p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(d</w:t>
            </w:r>
            <w:r w:rsidR="005D6443">
              <w:rPr>
                <w:rFonts w:asciiTheme="minorHAnsi" w:hAnsiTheme="minorHAnsi"/>
                <w:sz w:val="20"/>
              </w:rPr>
              <w:t>ays</w:t>
            </w:r>
            <w:r w:rsidRPr="000C1A23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86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  <w:vertAlign w:val="subscript"/>
              </w:rPr>
            </w:pPr>
            <w:r w:rsidRPr="000C1A23">
              <w:rPr>
                <w:rFonts w:asciiTheme="minorHAnsi" w:hAnsiTheme="minorHAnsi"/>
                <w:sz w:val="20"/>
              </w:rPr>
              <w:t>E</w:t>
            </w:r>
            <w:r w:rsidRPr="000C1A23">
              <w:rPr>
                <w:rFonts w:asciiTheme="minorHAnsi" w:hAnsiTheme="minorHAnsi"/>
                <w:sz w:val="20"/>
                <w:vertAlign w:val="subscript"/>
              </w:rPr>
              <w:t>24</w:t>
            </w:r>
          </w:p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(%)</w:t>
            </w:r>
          </w:p>
        </w:tc>
        <w:tc>
          <w:tcPr>
            <w:tcW w:w="9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S</w:t>
            </w:r>
            <w:r>
              <w:rPr>
                <w:rFonts w:asciiTheme="minorHAnsi" w:hAnsiTheme="minorHAnsi"/>
                <w:sz w:val="20"/>
              </w:rPr>
              <w:t>T</w:t>
            </w:r>
            <w:r w:rsidRPr="000C1A23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 w:rsidRPr="000C1A23">
              <w:rPr>
                <w:rFonts w:asciiTheme="minorHAnsi" w:hAnsiTheme="minorHAnsi"/>
                <w:sz w:val="20"/>
              </w:rPr>
              <w:t>mN</w:t>
            </w:r>
            <w:proofErr w:type="spellEnd"/>
            <w:r w:rsidRPr="000C1A23">
              <w:rPr>
                <w:rFonts w:asciiTheme="minorHAnsi" w:hAnsiTheme="minorHAnsi"/>
                <w:sz w:val="20"/>
              </w:rPr>
              <w:t>/m)</w:t>
            </w:r>
          </w:p>
        </w:tc>
        <w:tc>
          <w:tcPr>
            <w:tcW w:w="1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Cultivation </w:t>
            </w:r>
            <w:r w:rsidRPr="000C1A23">
              <w:rPr>
                <w:rFonts w:asciiTheme="minorHAnsi" w:hAnsiTheme="minorHAnsi"/>
                <w:sz w:val="20"/>
              </w:rPr>
              <w:t>T</w:t>
            </w:r>
            <w:r>
              <w:rPr>
                <w:rFonts w:asciiTheme="minorHAnsi" w:hAnsiTheme="minorHAnsi"/>
                <w:sz w:val="20"/>
              </w:rPr>
              <w:t>ime</w:t>
            </w:r>
            <w:r w:rsidRPr="000C1A23">
              <w:rPr>
                <w:rFonts w:asciiTheme="minorHAnsi" w:hAnsiTheme="minorHAnsi"/>
                <w:sz w:val="20"/>
              </w:rPr>
              <w:t xml:space="preserve"> </w:t>
            </w:r>
            <w:r w:rsidRPr="000C1A23">
              <w:rPr>
                <w:rFonts w:asciiTheme="minorHAnsi" w:hAnsiTheme="minorHAnsi"/>
                <w:sz w:val="20"/>
              </w:rPr>
              <w:t>(d</w:t>
            </w:r>
            <w:r w:rsidR="005D6443">
              <w:rPr>
                <w:rFonts w:asciiTheme="minorHAnsi" w:hAnsiTheme="minorHAnsi"/>
                <w:sz w:val="20"/>
              </w:rPr>
              <w:t>ays)</w:t>
            </w:r>
          </w:p>
        </w:tc>
        <w:tc>
          <w:tcPr>
            <w:tcW w:w="69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  <w:vertAlign w:val="subscript"/>
              </w:rPr>
            </w:pPr>
            <w:r w:rsidRPr="000C1A23">
              <w:rPr>
                <w:rFonts w:asciiTheme="minorHAnsi" w:hAnsiTheme="minorHAnsi"/>
                <w:sz w:val="20"/>
              </w:rPr>
              <w:t>E</w:t>
            </w:r>
            <w:r w:rsidRPr="000C1A23">
              <w:rPr>
                <w:rFonts w:asciiTheme="minorHAnsi" w:hAnsiTheme="minorHAnsi"/>
                <w:sz w:val="20"/>
                <w:vertAlign w:val="subscript"/>
              </w:rPr>
              <w:t>24</w:t>
            </w:r>
          </w:p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(%)</w:t>
            </w:r>
          </w:p>
        </w:tc>
        <w:tc>
          <w:tcPr>
            <w:tcW w:w="86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proofErr w:type="gramStart"/>
            <w:r>
              <w:rPr>
                <w:rFonts w:asciiTheme="minorHAnsi" w:hAnsiTheme="minorHAnsi"/>
                <w:sz w:val="20"/>
              </w:rPr>
              <w:t xml:space="preserve">ST </w:t>
            </w:r>
            <w:r w:rsidRPr="000C1A23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proofErr w:type="gramEnd"/>
            <w:r w:rsidRPr="000C1A23">
              <w:rPr>
                <w:rFonts w:asciiTheme="minorHAnsi" w:hAnsiTheme="minorHAnsi"/>
                <w:sz w:val="20"/>
              </w:rPr>
              <w:t>mN</w:t>
            </w:r>
            <w:proofErr w:type="spellEnd"/>
            <w:r w:rsidRPr="000C1A23">
              <w:rPr>
                <w:rFonts w:asciiTheme="minorHAnsi" w:hAnsiTheme="minorHAnsi"/>
                <w:sz w:val="20"/>
              </w:rPr>
              <w:t>/m)</w:t>
            </w:r>
          </w:p>
        </w:tc>
      </w:tr>
      <w:tr w:rsidR="000C1A23" w:rsidRPr="000C1A23" w:rsidTr="000C1A23">
        <w:trPr>
          <w:jc w:val="center"/>
        </w:trPr>
        <w:tc>
          <w:tcPr>
            <w:tcW w:w="1611" w:type="dxa"/>
            <w:tcBorders>
              <w:top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67</w:t>
            </w:r>
            <w:r w:rsidR="005D6443">
              <w:rPr>
                <w:rFonts w:asciiTheme="minorHAnsi" w:hAnsiTheme="minorHAnsi"/>
                <w:sz w:val="20"/>
              </w:rPr>
              <w:t>.</w:t>
            </w:r>
            <w:r w:rsidRPr="000C1A23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67</w:t>
            </w:r>
            <w:r w:rsidR="005D6443">
              <w:rPr>
                <w:rFonts w:asciiTheme="minorHAnsi" w:hAnsiTheme="minorHAnsi"/>
                <w:sz w:val="20"/>
              </w:rPr>
              <w:t>.</w:t>
            </w:r>
            <w:r w:rsidRPr="000C1A23">
              <w:rPr>
                <w:rFonts w:asciiTheme="minorHAnsi" w:hAnsiTheme="minorHAnsi"/>
                <w:sz w:val="20"/>
              </w:rPr>
              <w:t>5</w:t>
            </w:r>
          </w:p>
        </w:tc>
      </w:tr>
      <w:tr w:rsidR="000C1A23" w:rsidRPr="000C1A23" w:rsidTr="000C1A23">
        <w:trPr>
          <w:jc w:val="center"/>
        </w:trPr>
        <w:tc>
          <w:tcPr>
            <w:tcW w:w="1611" w:type="dxa"/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867" w:type="dxa"/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967" w:type="dxa"/>
            <w:tcBorders>
              <w:right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38</w:t>
            </w:r>
            <w:r w:rsidR="005D6443">
              <w:rPr>
                <w:rFonts w:asciiTheme="minorHAnsi" w:hAnsiTheme="minorHAnsi"/>
                <w:sz w:val="20"/>
              </w:rPr>
              <w:t>.</w:t>
            </w:r>
            <w:r w:rsidRPr="000C1A23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1658" w:type="dxa"/>
            <w:tcBorders>
              <w:left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693" w:type="dxa"/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867" w:type="dxa"/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34</w:t>
            </w:r>
            <w:r w:rsidR="005D6443">
              <w:rPr>
                <w:rFonts w:asciiTheme="minorHAnsi" w:hAnsiTheme="minorHAnsi"/>
                <w:sz w:val="20"/>
              </w:rPr>
              <w:t>.</w:t>
            </w:r>
            <w:r w:rsidRPr="000C1A23">
              <w:rPr>
                <w:rFonts w:asciiTheme="minorHAnsi" w:hAnsiTheme="minorHAnsi"/>
                <w:sz w:val="20"/>
              </w:rPr>
              <w:t>3</w:t>
            </w:r>
          </w:p>
        </w:tc>
      </w:tr>
      <w:tr w:rsidR="000C1A23" w:rsidRPr="000C1A23" w:rsidTr="000C1A23">
        <w:trPr>
          <w:jc w:val="center"/>
        </w:trPr>
        <w:tc>
          <w:tcPr>
            <w:tcW w:w="1611" w:type="dxa"/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867" w:type="dxa"/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967" w:type="dxa"/>
            <w:tcBorders>
              <w:right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36</w:t>
            </w:r>
            <w:r w:rsidR="005D6443">
              <w:rPr>
                <w:rFonts w:asciiTheme="minorHAnsi" w:hAnsiTheme="minorHAnsi"/>
                <w:sz w:val="20"/>
              </w:rPr>
              <w:t>.</w:t>
            </w:r>
            <w:r w:rsidRPr="000C1A23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1658" w:type="dxa"/>
            <w:tcBorders>
              <w:left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693" w:type="dxa"/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867" w:type="dxa"/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32</w:t>
            </w:r>
            <w:r w:rsidR="005D6443">
              <w:rPr>
                <w:rFonts w:asciiTheme="minorHAnsi" w:hAnsiTheme="minorHAnsi"/>
                <w:sz w:val="20"/>
              </w:rPr>
              <w:t>.</w:t>
            </w:r>
            <w:r w:rsidRPr="000C1A23">
              <w:rPr>
                <w:rFonts w:asciiTheme="minorHAnsi" w:hAnsiTheme="minorHAnsi"/>
                <w:sz w:val="20"/>
              </w:rPr>
              <w:t>9</w:t>
            </w:r>
          </w:p>
        </w:tc>
      </w:tr>
      <w:tr w:rsidR="000C1A23" w:rsidRPr="000C1A23" w:rsidTr="000C1A23">
        <w:trPr>
          <w:jc w:val="center"/>
        </w:trPr>
        <w:tc>
          <w:tcPr>
            <w:tcW w:w="1611" w:type="dxa"/>
            <w:tcBorders>
              <w:bottom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867" w:type="dxa"/>
            <w:tcBorders>
              <w:bottom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967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35</w:t>
            </w:r>
            <w:r w:rsidR="005D6443">
              <w:rPr>
                <w:rFonts w:asciiTheme="minorHAnsi" w:hAnsiTheme="minorHAnsi"/>
                <w:sz w:val="20"/>
              </w:rPr>
              <w:t>.</w:t>
            </w:r>
            <w:r w:rsidRPr="000C1A23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1658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693" w:type="dxa"/>
            <w:tcBorders>
              <w:bottom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867" w:type="dxa"/>
            <w:tcBorders>
              <w:bottom w:val="single" w:sz="6" w:space="0" w:color="000000" w:themeColor="text1"/>
            </w:tcBorders>
          </w:tcPr>
          <w:p w:rsidR="000C1A23" w:rsidRPr="000C1A23" w:rsidRDefault="000C1A23" w:rsidP="00AE6A90">
            <w:pPr>
              <w:jc w:val="center"/>
              <w:rPr>
                <w:rFonts w:asciiTheme="minorHAnsi" w:hAnsiTheme="minorHAnsi"/>
                <w:sz w:val="20"/>
              </w:rPr>
            </w:pPr>
            <w:r w:rsidRPr="000C1A23">
              <w:rPr>
                <w:rFonts w:asciiTheme="minorHAnsi" w:hAnsiTheme="minorHAnsi"/>
                <w:sz w:val="20"/>
              </w:rPr>
              <w:t>35</w:t>
            </w:r>
            <w:r w:rsidR="005D6443">
              <w:rPr>
                <w:rFonts w:asciiTheme="minorHAnsi" w:hAnsiTheme="minorHAnsi"/>
                <w:sz w:val="20"/>
              </w:rPr>
              <w:t>.</w:t>
            </w:r>
            <w:r w:rsidRPr="000C1A23">
              <w:rPr>
                <w:rFonts w:asciiTheme="minorHAnsi" w:hAnsiTheme="minorHAnsi"/>
                <w:sz w:val="20"/>
              </w:rPr>
              <w:t>2</w:t>
            </w:r>
          </w:p>
        </w:tc>
      </w:tr>
    </w:tbl>
    <w:p w:rsidR="000C1A23" w:rsidRDefault="000C1A23" w:rsidP="00051917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pt-BR"/>
        </w:rPr>
      </w:pPr>
    </w:p>
    <w:p w:rsidR="00ED4564" w:rsidRPr="00535B35" w:rsidRDefault="00ED4564" w:rsidP="00535B3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According to same authors, biosurfactant</w:t>
      </w:r>
      <w:r w:rsidR="00535B3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present low molecular weight ha</w:t>
      </w:r>
      <w:r w:rsidR="00535B35">
        <w:rPr>
          <w:rFonts w:asciiTheme="minorHAnsi" w:eastAsia="MS PGothic" w:hAnsiTheme="minorHAnsi"/>
          <w:color w:val="000000"/>
          <w:sz w:val="22"/>
          <w:szCs w:val="22"/>
          <w:lang w:val="en-US"/>
        </w:rPr>
        <w:t>ve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ability to reduce the superficial tension, and those that have higher molecular weight</w:t>
      </w:r>
      <w:r w:rsidR="00535B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are more likely to promote stable emulsions, acting as a </w:t>
      </w:r>
      <w:proofErr w:type="spellStart"/>
      <w:r w:rsidR="00535B35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bioemulsifier</w:t>
      </w:r>
      <w:proofErr w:type="spellEnd"/>
      <w:r w:rsidR="00535B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[8]. </w:t>
      </w:r>
      <w:proofErr w:type="spellStart"/>
      <w:r w:rsidR="00535B35">
        <w:rPr>
          <w:rFonts w:asciiTheme="minorHAnsi" w:eastAsia="MS PGothic" w:hAnsiTheme="minorHAnsi"/>
          <w:color w:val="000000"/>
          <w:sz w:val="22"/>
          <w:szCs w:val="22"/>
          <w:lang w:val="en-US"/>
        </w:rPr>
        <w:t>Haba</w:t>
      </w:r>
      <w:proofErr w:type="spellEnd"/>
      <w:r w:rsidR="00535B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 al [9] affirmed that microorganisms that are considered the best biosurfactant producers are capable to reduce the superficial tension to values below 40 </w:t>
      </w:r>
      <w:proofErr w:type="spellStart"/>
      <w:r w:rsidR="00535B35">
        <w:rPr>
          <w:rFonts w:asciiTheme="minorHAnsi" w:eastAsia="MS PGothic" w:hAnsiTheme="minorHAnsi"/>
          <w:color w:val="000000"/>
          <w:sz w:val="22"/>
          <w:szCs w:val="22"/>
          <w:lang w:val="en-US"/>
        </w:rPr>
        <w:t>mN</w:t>
      </w:r>
      <w:proofErr w:type="spellEnd"/>
      <w:r w:rsidR="00535B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/m. Therefore, the </w:t>
      </w:r>
      <w:r w:rsidR="00535B35" w:rsidRPr="00535B3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P. </w:t>
      </w:r>
      <w:proofErr w:type="spellStart"/>
      <w:r w:rsidR="00535B35" w:rsidRPr="00535B3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hispidum</w:t>
      </w:r>
      <w:proofErr w:type="spellEnd"/>
      <w:r w:rsidR="00535B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endophytic fungi may be considered as promising biosurfactant producers.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19698C" w:rsidRPr="008D0BEB" w:rsidRDefault="0005191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P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possible to access</w:t>
      </w:r>
      <w:r w:rsidRPr="00306D28">
        <w:rPr>
          <w:rFonts w:asciiTheme="minorHAnsi" w:eastAsia="MS PGothic" w:hAnsiTheme="minorHAnsi"/>
          <w:sz w:val="22"/>
          <w:szCs w:val="22"/>
        </w:rPr>
        <w:t> </w:t>
      </w:r>
      <w:r>
        <w:rPr>
          <w:rFonts w:asciiTheme="minorHAnsi" w:eastAsia="MS PGothic" w:hAnsiTheme="minorHAnsi"/>
          <w:i/>
          <w:iCs/>
          <w:sz w:val="22"/>
          <w:szCs w:val="22"/>
        </w:rPr>
        <w:t>P</w:t>
      </w:r>
      <w:r w:rsidRPr="00306D28">
        <w:rPr>
          <w:rFonts w:asciiTheme="minorHAnsi" w:eastAsia="MS PGothic" w:hAnsiTheme="minorHAnsi"/>
          <w:i/>
          <w:iCs/>
          <w:sz w:val="22"/>
          <w:szCs w:val="22"/>
        </w:rPr>
        <w:t xml:space="preserve">. </w:t>
      </w:r>
      <w:proofErr w:type="spellStart"/>
      <w:r>
        <w:rPr>
          <w:rFonts w:asciiTheme="minorHAnsi" w:eastAsia="MS PGothic" w:hAnsiTheme="minorHAnsi"/>
          <w:i/>
          <w:iCs/>
          <w:sz w:val="22"/>
          <w:szCs w:val="22"/>
        </w:rPr>
        <w:t>hispidum</w:t>
      </w:r>
      <w:proofErr w:type="spellEnd"/>
      <w:r w:rsidRPr="00306D28">
        <w:rPr>
          <w:rFonts w:asciiTheme="minorHAnsi" w:eastAsia="MS PGothic" w:hAnsiTheme="minorHAnsi"/>
          <w:sz w:val="22"/>
          <w:szCs w:val="22"/>
        </w:rPr>
        <w:t> </w:t>
      </w:r>
      <w:r w:rsidRPr="00306D28">
        <w:rPr>
          <w:rFonts w:asciiTheme="minorHAnsi" w:eastAsia="MS PGothic" w:hAnsiTheme="minorHAnsi"/>
          <w:color w:val="000000"/>
          <w:sz w:val="22"/>
          <w:szCs w:val="22"/>
          <w:lang w:val="en-US"/>
        </w:rPr>
        <w:t>endophytic fungi that produce biosurfactants which presented promising physical-chemical properties for being used in different industrial areas.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cooking oil residue showed to be a promising substrate for the production of fungi biosurfactant.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306D28" w:rsidRPr="00051917" w:rsidRDefault="00306D28" w:rsidP="00306D28">
      <w:pPr>
        <w:pStyle w:val="PargrafodaLista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0"/>
          <w:lang w:val="pt-BR"/>
        </w:rPr>
      </w:pPr>
      <w:r w:rsidRPr="00051917">
        <w:rPr>
          <w:rFonts w:asciiTheme="minorHAnsi" w:hAnsiTheme="minorHAnsi"/>
          <w:color w:val="000000"/>
          <w:sz w:val="20"/>
          <w:lang w:val="pt-BR"/>
        </w:rPr>
        <w:t xml:space="preserve"> </w:t>
      </w:r>
      <w:r w:rsidRPr="00306D28">
        <w:rPr>
          <w:rFonts w:asciiTheme="minorHAnsi" w:hAnsiTheme="minorHAnsi"/>
          <w:color w:val="000000"/>
          <w:sz w:val="20"/>
          <w:lang w:val="pt-BR"/>
        </w:rPr>
        <w:t xml:space="preserve">V. </w:t>
      </w:r>
      <w:r w:rsidRPr="00306D28">
        <w:rPr>
          <w:rFonts w:asciiTheme="minorHAnsi" w:hAnsiTheme="minorHAnsi"/>
          <w:color w:val="000000"/>
          <w:sz w:val="20"/>
          <w:lang w:val="pt-BR"/>
        </w:rPr>
        <w:t xml:space="preserve">M. </w:t>
      </w:r>
      <w:proofErr w:type="spellStart"/>
      <w:r w:rsidRPr="00306D28">
        <w:rPr>
          <w:rFonts w:asciiTheme="minorHAnsi" w:hAnsiTheme="minorHAnsi"/>
          <w:color w:val="000000"/>
          <w:sz w:val="20"/>
          <w:lang w:val="pt-BR"/>
        </w:rPr>
        <w:t>Chapla</w:t>
      </w:r>
      <w:proofErr w:type="spellEnd"/>
      <w:r w:rsidRPr="00306D28">
        <w:rPr>
          <w:rFonts w:asciiTheme="minorHAnsi" w:hAnsiTheme="minorHAnsi"/>
          <w:color w:val="000000"/>
          <w:sz w:val="20"/>
          <w:lang w:val="pt-BR"/>
        </w:rPr>
        <w:t xml:space="preserve">, C. R. </w:t>
      </w:r>
      <w:proofErr w:type="spellStart"/>
      <w:r w:rsidRPr="00306D28">
        <w:rPr>
          <w:rFonts w:asciiTheme="minorHAnsi" w:hAnsiTheme="minorHAnsi"/>
          <w:color w:val="000000"/>
          <w:sz w:val="20"/>
          <w:lang w:val="pt-BR"/>
        </w:rPr>
        <w:t>Biasetto</w:t>
      </w:r>
      <w:proofErr w:type="spellEnd"/>
      <w:r w:rsidRPr="00306D28">
        <w:rPr>
          <w:rFonts w:asciiTheme="minorHAnsi" w:hAnsiTheme="minorHAnsi"/>
          <w:color w:val="000000"/>
          <w:sz w:val="20"/>
          <w:lang w:val="pt-BR"/>
        </w:rPr>
        <w:t xml:space="preserve">, A. R. </w:t>
      </w:r>
      <w:proofErr w:type="spellStart"/>
      <w:r w:rsidRPr="00306D28">
        <w:rPr>
          <w:rFonts w:asciiTheme="minorHAnsi" w:hAnsiTheme="minorHAnsi"/>
          <w:color w:val="000000"/>
          <w:sz w:val="20"/>
          <w:lang w:val="pt-BR"/>
        </w:rPr>
        <w:t>Araujo</w:t>
      </w:r>
      <w:proofErr w:type="spellEnd"/>
      <w:r w:rsidRPr="00306D28">
        <w:rPr>
          <w:rFonts w:asciiTheme="minorHAnsi" w:hAnsiTheme="minorHAnsi"/>
          <w:color w:val="000000"/>
          <w:sz w:val="20"/>
          <w:lang w:val="pt-BR"/>
        </w:rPr>
        <w:t>, Revista Virtual de Química, 5 (2013) 421-437.</w:t>
      </w:r>
    </w:p>
    <w:p w:rsidR="00306D28" w:rsidRPr="00051917" w:rsidRDefault="00306D28" w:rsidP="00051917">
      <w:pPr>
        <w:pStyle w:val="PargrafodaLista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0"/>
          <w:lang w:val="pt-BR"/>
        </w:rPr>
      </w:pPr>
      <w:r w:rsidRPr="00051917">
        <w:rPr>
          <w:rFonts w:asciiTheme="minorHAnsi" w:hAnsiTheme="minorHAnsi"/>
          <w:color w:val="000000"/>
          <w:sz w:val="20"/>
          <w:lang w:val="pt-BR"/>
        </w:rPr>
        <w:t xml:space="preserve">C. </w:t>
      </w:r>
      <w:r w:rsidRPr="00051917">
        <w:rPr>
          <w:rFonts w:asciiTheme="minorHAnsi" w:hAnsiTheme="minorHAnsi"/>
          <w:color w:val="000000"/>
          <w:sz w:val="20"/>
          <w:lang w:val="pt-BR"/>
        </w:rPr>
        <w:t>N. Mulligan, Environmental Pollution 133 (2005) 183-198.</w:t>
      </w:r>
    </w:p>
    <w:p w:rsidR="00306D28" w:rsidRPr="00051917" w:rsidRDefault="00306D28" w:rsidP="00051917">
      <w:pPr>
        <w:pStyle w:val="PargrafodaLista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0"/>
          <w:lang w:val="pt-BR"/>
        </w:rPr>
      </w:pPr>
      <w:r w:rsidRPr="00051917">
        <w:rPr>
          <w:rFonts w:asciiTheme="minorHAnsi" w:hAnsiTheme="minorHAnsi"/>
          <w:color w:val="000000"/>
          <w:sz w:val="20"/>
          <w:lang w:val="pt-BR"/>
        </w:rPr>
        <w:t xml:space="preserve">K. </w:t>
      </w:r>
      <w:proofErr w:type="spellStart"/>
      <w:r w:rsidRPr="00051917">
        <w:rPr>
          <w:rFonts w:asciiTheme="minorHAnsi" w:hAnsiTheme="minorHAnsi"/>
          <w:color w:val="000000"/>
          <w:sz w:val="20"/>
          <w:lang w:val="pt-BR"/>
        </w:rPr>
        <w:t>Urum</w:t>
      </w:r>
      <w:proofErr w:type="spellEnd"/>
      <w:r w:rsidRPr="00051917">
        <w:rPr>
          <w:rFonts w:asciiTheme="minorHAnsi" w:hAnsiTheme="minorHAnsi"/>
          <w:color w:val="000000"/>
          <w:sz w:val="20"/>
          <w:lang w:val="pt-BR"/>
        </w:rPr>
        <w:t xml:space="preserve">, T. </w:t>
      </w:r>
      <w:proofErr w:type="spellStart"/>
      <w:r w:rsidRPr="00051917">
        <w:rPr>
          <w:rFonts w:asciiTheme="minorHAnsi" w:hAnsiTheme="minorHAnsi"/>
          <w:color w:val="000000"/>
          <w:sz w:val="20"/>
          <w:lang w:val="pt-BR"/>
        </w:rPr>
        <w:t>Pekdemir</w:t>
      </w:r>
      <w:proofErr w:type="spellEnd"/>
      <w:r w:rsidRPr="00051917">
        <w:rPr>
          <w:rFonts w:asciiTheme="minorHAnsi" w:hAnsiTheme="minorHAnsi"/>
          <w:color w:val="000000"/>
          <w:sz w:val="20"/>
          <w:lang w:val="pt-BR"/>
        </w:rPr>
        <w:t xml:space="preserve">, </w:t>
      </w:r>
      <w:proofErr w:type="spellStart"/>
      <w:r w:rsidRPr="00051917">
        <w:rPr>
          <w:rFonts w:asciiTheme="minorHAnsi" w:hAnsiTheme="minorHAnsi"/>
          <w:color w:val="000000"/>
          <w:sz w:val="20"/>
          <w:lang w:val="pt-BR"/>
        </w:rPr>
        <w:t>Chemosphere</w:t>
      </w:r>
      <w:proofErr w:type="spellEnd"/>
      <w:r w:rsidRPr="00051917">
        <w:rPr>
          <w:rFonts w:asciiTheme="minorHAnsi" w:hAnsiTheme="minorHAnsi"/>
          <w:color w:val="000000"/>
          <w:sz w:val="20"/>
          <w:lang w:val="pt-BR"/>
        </w:rPr>
        <w:t>, 5 (2004) 1139-1150.</w:t>
      </w:r>
    </w:p>
    <w:p w:rsidR="00051917" w:rsidRPr="00051917" w:rsidRDefault="00051917" w:rsidP="00051917">
      <w:pPr>
        <w:pStyle w:val="PargrafodaLista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0"/>
          <w:lang w:val="pt-BR"/>
        </w:rPr>
      </w:pPr>
      <w:r w:rsidRPr="00051917">
        <w:rPr>
          <w:rFonts w:asciiTheme="minorHAnsi" w:hAnsiTheme="minorHAnsi"/>
          <w:color w:val="000000"/>
          <w:sz w:val="20"/>
          <w:lang w:val="pt-BR"/>
        </w:rPr>
        <w:t xml:space="preserve">J. M. Luna, R. D. Rufino, A. M. A. T. </w:t>
      </w:r>
      <w:proofErr w:type="spellStart"/>
      <w:r w:rsidRPr="00051917">
        <w:rPr>
          <w:rFonts w:asciiTheme="minorHAnsi" w:hAnsiTheme="minorHAnsi"/>
          <w:color w:val="000000"/>
          <w:sz w:val="20"/>
          <w:lang w:val="pt-BR"/>
        </w:rPr>
        <w:t>Jara</w:t>
      </w:r>
      <w:proofErr w:type="spellEnd"/>
      <w:r w:rsidRPr="00051917">
        <w:rPr>
          <w:rFonts w:asciiTheme="minorHAnsi" w:hAnsiTheme="minorHAnsi"/>
          <w:color w:val="000000"/>
          <w:sz w:val="20"/>
          <w:lang w:val="pt-BR"/>
        </w:rPr>
        <w:t xml:space="preserve">, P. P. F.  </w:t>
      </w:r>
      <w:proofErr w:type="spellStart"/>
      <w:r w:rsidRPr="00051917">
        <w:rPr>
          <w:rFonts w:asciiTheme="minorHAnsi" w:hAnsiTheme="minorHAnsi"/>
          <w:color w:val="000000"/>
          <w:sz w:val="20"/>
          <w:lang w:val="en-US"/>
        </w:rPr>
        <w:t>Brasileiro</w:t>
      </w:r>
      <w:proofErr w:type="spellEnd"/>
      <w:r w:rsidRPr="00051917">
        <w:rPr>
          <w:rFonts w:asciiTheme="minorHAnsi" w:hAnsiTheme="minorHAnsi"/>
          <w:color w:val="000000"/>
          <w:sz w:val="20"/>
          <w:lang w:val="en-US"/>
        </w:rPr>
        <w:t xml:space="preserve">, L. A. </w:t>
      </w:r>
      <w:proofErr w:type="spellStart"/>
      <w:r w:rsidRPr="00051917">
        <w:rPr>
          <w:rFonts w:asciiTheme="minorHAnsi" w:hAnsiTheme="minorHAnsi"/>
          <w:color w:val="000000"/>
          <w:sz w:val="20"/>
          <w:lang w:val="en-US"/>
        </w:rPr>
        <w:t>Sarubbo</w:t>
      </w:r>
      <w:proofErr w:type="spellEnd"/>
      <w:r w:rsidRPr="00051917">
        <w:rPr>
          <w:rFonts w:asciiTheme="minorHAnsi" w:hAnsiTheme="minorHAnsi"/>
          <w:color w:val="000000"/>
          <w:sz w:val="20"/>
          <w:lang w:val="en-US"/>
        </w:rPr>
        <w:t xml:space="preserve">, Colloids </w:t>
      </w:r>
      <w:r>
        <w:rPr>
          <w:rFonts w:asciiTheme="minorHAnsi" w:hAnsiTheme="minorHAnsi"/>
          <w:color w:val="000000"/>
          <w:sz w:val="20"/>
          <w:lang w:val="en-US"/>
        </w:rPr>
        <w:t>S</w:t>
      </w:r>
      <w:r w:rsidRPr="00051917">
        <w:rPr>
          <w:rFonts w:asciiTheme="minorHAnsi" w:hAnsiTheme="minorHAnsi"/>
          <w:color w:val="000000"/>
          <w:sz w:val="20"/>
          <w:lang w:val="en-US"/>
        </w:rPr>
        <w:t xml:space="preserve">urfaces A: </w:t>
      </w:r>
      <w:r w:rsidRPr="00051917">
        <w:rPr>
          <w:rFonts w:asciiTheme="minorHAnsi" w:hAnsiTheme="minorHAnsi"/>
          <w:color w:val="000000"/>
          <w:sz w:val="20"/>
          <w:lang w:val="pt-BR"/>
        </w:rPr>
        <w:t>Physicochemical Engineering Aspects, 480 (2015) 413-418.</w:t>
      </w:r>
    </w:p>
    <w:p w:rsidR="00051917" w:rsidRPr="00051917" w:rsidRDefault="00051917" w:rsidP="00051917">
      <w:pPr>
        <w:pStyle w:val="PargrafodaLista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0"/>
          <w:lang w:val="pt-BR"/>
        </w:rPr>
      </w:pPr>
      <w:r w:rsidRPr="00051917">
        <w:rPr>
          <w:rFonts w:asciiTheme="minorHAnsi" w:hAnsiTheme="minorHAnsi"/>
          <w:color w:val="000000"/>
          <w:sz w:val="20"/>
          <w:lang w:val="pt-BR"/>
        </w:rPr>
        <w:t xml:space="preserve">D. F. C. Estudo da influência de biossurfactantes na biorremediação de efluentes oleosos. Masters </w:t>
      </w:r>
      <w:proofErr w:type="spellStart"/>
      <w:r w:rsidRPr="00051917">
        <w:rPr>
          <w:rFonts w:asciiTheme="minorHAnsi" w:hAnsiTheme="minorHAnsi"/>
          <w:color w:val="000000"/>
          <w:sz w:val="20"/>
          <w:lang w:val="pt-BR"/>
        </w:rPr>
        <w:t>Thesis</w:t>
      </w:r>
      <w:proofErr w:type="spellEnd"/>
      <w:r w:rsidRPr="00051917">
        <w:rPr>
          <w:rFonts w:asciiTheme="minorHAnsi" w:hAnsiTheme="minorHAnsi"/>
          <w:color w:val="000000"/>
          <w:sz w:val="20"/>
          <w:lang w:val="pt-BR"/>
        </w:rPr>
        <w:t>, Universidade Estadual de Campinas, 2000.</w:t>
      </w:r>
    </w:p>
    <w:p w:rsidR="00051917" w:rsidRPr="00051917" w:rsidRDefault="00051917" w:rsidP="00051917">
      <w:pPr>
        <w:pStyle w:val="PargrafodaLista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0"/>
          <w:lang w:val="en-US"/>
        </w:rPr>
      </w:pPr>
      <w:r w:rsidRPr="00051917">
        <w:rPr>
          <w:rFonts w:asciiTheme="minorHAnsi" w:hAnsiTheme="minorHAnsi"/>
          <w:color w:val="000000"/>
          <w:sz w:val="20"/>
          <w:lang w:val="pt-BR"/>
        </w:rPr>
        <w:t xml:space="preserve">O. </w:t>
      </w:r>
      <w:proofErr w:type="spellStart"/>
      <w:r w:rsidRPr="00051917">
        <w:rPr>
          <w:rFonts w:asciiTheme="minorHAnsi" w:hAnsiTheme="minorHAnsi"/>
          <w:color w:val="000000"/>
          <w:sz w:val="20"/>
          <w:lang w:val="pt-BR"/>
        </w:rPr>
        <w:t>Pornsunthorntawee</w:t>
      </w:r>
      <w:proofErr w:type="spellEnd"/>
      <w:r w:rsidRPr="00051917">
        <w:rPr>
          <w:rFonts w:asciiTheme="minorHAnsi" w:hAnsiTheme="minorHAnsi"/>
          <w:color w:val="000000"/>
          <w:sz w:val="20"/>
          <w:lang w:val="pt-BR"/>
        </w:rPr>
        <w:t xml:space="preserve">, P. </w:t>
      </w:r>
      <w:proofErr w:type="spellStart"/>
      <w:r w:rsidRPr="00051917">
        <w:rPr>
          <w:rFonts w:asciiTheme="minorHAnsi" w:hAnsiTheme="minorHAnsi"/>
          <w:color w:val="000000"/>
          <w:sz w:val="20"/>
          <w:lang w:val="pt-BR"/>
        </w:rPr>
        <w:t>Wongpanit</w:t>
      </w:r>
      <w:proofErr w:type="spellEnd"/>
      <w:r w:rsidRPr="00051917">
        <w:rPr>
          <w:rFonts w:asciiTheme="minorHAnsi" w:hAnsiTheme="minorHAnsi"/>
          <w:color w:val="000000"/>
          <w:sz w:val="20"/>
          <w:lang w:val="pt-BR"/>
        </w:rPr>
        <w:t xml:space="preserve">, S. </w:t>
      </w:r>
      <w:proofErr w:type="spellStart"/>
      <w:r w:rsidRPr="00051917">
        <w:rPr>
          <w:rFonts w:asciiTheme="minorHAnsi" w:hAnsiTheme="minorHAnsi"/>
          <w:color w:val="000000"/>
          <w:sz w:val="20"/>
          <w:lang w:val="pt-BR"/>
        </w:rPr>
        <w:t>Chavadej</w:t>
      </w:r>
      <w:proofErr w:type="spellEnd"/>
      <w:r w:rsidRPr="00051917">
        <w:rPr>
          <w:rFonts w:asciiTheme="minorHAnsi" w:hAnsiTheme="minorHAnsi"/>
          <w:color w:val="000000"/>
          <w:sz w:val="20"/>
          <w:lang w:val="en-US"/>
        </w:rPr>
        <w:t xml:space="preserve">, M. Abe, R.  </w:t>
      </w:r>
      <w:proofErr w:type="spellStart"/>
      <w:r w:rsidRPr="00051917">
        <w:rPr>
          <w:rFonts w:asciiTheme="minorHAnsi" w:hAnsiTheme="minorHAnsi"/>
          <w:color w:val="000000"/>
          <w:sz w:val="20"/>
          <w:lang w:val="en-US"/>
        </w:rPr>
        <w:t>Rujiravanit</w:t>
      </w:r>
      <w:proofErr w:type="spellEnd"/>
      <w:r w:rsidRPr="00051917">
        <w:rPr>
          <w:rFonts w:asciiTheme="minorHAnsi" w:hAnsiTheme="minorHAnsi"/>
          <w:color w:val="000000"/>
          <w:sz w:val="20"/>
          <w:lang w:val="en-US"/>
        </w:rPr>
        <w:t>, Bioresource Technology</w:t>
      </w:r>
      <w:r>
        <w:rPr>
          <w:rFonts w:asciiTheme="minorHAnsi" w:hAnsiTheme="minorHAnsi"/>
          <w:color w:val="000000"/>
          <w:sz w:val="20"/>
          <w:lang w:val="en-US"/>
        </w:rPr>
        <w:t>,</w:t>
      </w:r>
      <w:r w:rsidRPr="00051917">
        <w:rPr>
          <w:rFonts w:asciiTheme="minorHAnsi" w:hAnsiTheme="minorHAnsi"/>
          <w:color w:val="000000"/>
          <w:sz w:val="20"/>
          <w:lang w:val="en-US"/>
        </w:rPr>
        <w:t xml:space="preserve"> 99 (2008) 1589-1595.</w:t>
      </w:r>
    </w:p>
    <w:p w:rsidR="00535B35" w:rsidRPr="00535B35" w:rsidRDefault="00535B35" w:rsidP="00535B3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J</w:t>
      </w:r>
      <w:r w:rsidR="00306D28" w:rsidRPr="00306D2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D. V. </w:t>
      </w:r>
      <w:r w:rsidRPr="00535B35">
        <w:rPr>
          <w:rFonts w:asciiTheme="minorHAnsi" w:hAnsiTheme="minorHAnsi"/>
          <w:color w:val="000000"/>
        </w:rPr>
        <w:t xml:space="preserve">HAMME, </w:t>
      </w:r>
      <w:r>
        <w:rPr>
          <w:rFonts w:asciiTheme="minorHAnsi" w:hAnsiTheme="minorHAnsi"/>
          <w:color w:val="000000"/>
        </w:rPr>
        <w:t xml:space="preserve">A. </w:t>
      </w:r>
      <w:r w:rsidRPr="00535B35">
        <w:rPr>
          <w:rFonts w:asciiTheme="minorHAnsi" w:hAnsiTheme="minorHAnsi"/>
          <w:color w:val="000000"/>
        </w:rPr>
        <w:t xml:space="preserve">SINGH, </w:t>
      </w:r>
      <w:r>
        <w:rPr>
          <w:rFonts w:asciiTheme="minorHAnsi" w:hAnsiTheme="minorHAnsi"/>
          <w:color w:val="000000"/>
        </w:rPr>
        <w:t>O. P.</w:t>
      </w:r>
      <w:r w:rsidRPr="00535B35">
        <w:rPr>
          <w:rFonts w:asciiTheme="minorHAnsi" w:hAnsiTheme="minorHAnsi"/>
          <w:color w:val="000000"/>
        </w:rPr>
        <w:t xml:space="preserve"> WARD, Biotechnology Advances, 24</w:t>
      </w:r>
      <w:r>
        <w:rPr>
          <w:rFonts w:asciiTheme="minorHAnsi" w:hAnsiTheme="minorHAnsi"/>
          <w:color w:val="000000"/>
        </w:rPr>
        <w:t xml:space="preserve"> (2006)</w:t>
      </w:r>
      <w:r w:rsidRPr="00535B35">
        <w:rPr>
          <w:rFonts w:asciiTheme="minorHAnsi" w:hAnsiTheme="minorHAnsi"/>
          <w:color w:val="000000"/>
        </w:rPr>
        <w:t xml:space="preserve"> 604-620.</w:t>
      </w:r>
    </w:p>
    <w:p w:rsidR="00535B35" w:rsidRPr="00535B35" w:rsidRDefault="00535B35" w:rsidP="00535B3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35B35">
        <w:rPr>
          <w:rFonts w:asciiTheme="minorHAnsi" w:hAnsiTheme="minorHAnsi"/>
          <w:color w:val="000000"/>
        </w:rPr>
        <w:t xml:space="preserve">E. </w:t>
      </w:r>
      <w:r w:rsidRPr="00535B35">
        <w:rPr>
          <w:rFonts w:asciiTheme="minorHAnsi" w:hAnsiTheme="minorHAnsi"/>
          <w:color w:val="000000"/>
        </w:rPr>
        <w:t xml:space="preserve">HABA, </w:t>
      </w:r>
      <w:r w:rsidRPr="00535B35">
        <w:rPr>
          <w:rFonts w:asciiTheme="minorHAnsi" w:hAnsiTheme="minorHAnsi"/>
          <w:color w:val="000000"/>
        </w:rPr>
        <w:t xml:space="preserve">M. J. </w:t>
      </w:r>
      <w:r w:rsidRPr="00535B35">
        <w:rPr>
          <w:rFonts w:asciiTheme="minorHAnsi" w:hAnsiTheme="minorHAnsi"/>
          <w:color w:val="000000"/>
        </w:rPr>
        <w:t xml:space="preserve">ESPUNY, </w:t>
      </w:r>
      <w:r w:rsidRPr="00535B35">
        <w:rPr>
          <w:rFonts w:asciiTheme="minorHAnsi" w:hAnsiTheme="minorHAnsi"/>
          <w:color w:val="000000"/>
        </w:rPr>
        <w:t>M.</w:t>
      </w:r>
      <w:r w:rsidRPr="00535B35">
        <w:rPr>
          <w:rFonts w:asciiTheme="minorHAnsi" w:hAnsiTheme="minorHAnsi"/>
          <w:color w:val="000000"/>
        </w:rPr>
        <w:t xml:space="preserve"> BUSQUETS, </w:t>
      </w:r>
      <w:r w:rsidRPr="00535B35">
        <w:rPr>
          <w:rFonts w:asciiTheme="minorHAnsi" w:hAnsiTheme="minorHAnsi"/>
          <w:color w:val="000000"/>
        </w:rPr>
        <w:t>A.</w:t>
      </w:r>
      <w:r w:rsidRPr="00535B35">
        <w:rPr>
          <w:rFonts w:asciiTheme="minorHAnsi" w:hAnsiTheme="minorHAnsi"/>
          <w:color w:val="000000"/>
        </w:rPr>
        <w:t> MANRESA, Journal of Applied Microbiology, 88</w:t>
      </w:r>
      <w:r>
        <w:rPr>
          <w:rFonts w:asciiTheme="minorHAnsi" w:hAnsiTheme="minorHAnsi"/>
          <w:color w:val="000000"/>
        </w:rPr>
        <w:t xml:space="preserve"> (2000)</w:t>
      </w:r>
      <w:r w:rsidRPr="00535B35">
        <w:rPr>
          <w:rFonts w:asciiTheme="minorHAnsi" w:hAnsiTheme="minorHAnsi"/>
          <w:color w:val="000000"/>
        </w:rPr>
        <w:t xml:space="preserve"> 379-387</w:t>
      </w:r>
      <w:r>
        <w:rPr>
          <w:rFonts w:asciiTheme="minorHAnsi" w:hAnsiTheme="minorHAnsi"/>
          <w:color w:val="000000"/>
        </w:rPr>
        <w:t>.</w:t>
      </w:r>
      <w:bookmarkStart w:id="0" w:name="_GoBack"/>
      <w:bookmarkEnd w:id="0"/>
    </w:p>
    <w:sectPr w:rsidR="00535B35" w:rsidRPr="00535B3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331" w:rsidRDefault="00531331" w:rsidP="004F5E36">
      <w:r>
        <w:separator/>
      </w:r>
    </w:p>
  </w:endnote>
  <w:endnote w:type="continuationSeparator" w:id="0">
    <w:p w:rsidR="00531331" w:rsidRDefault="0053133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331" w:rsidRDefault="00531331" w:rsidP="004F5E36">
      <w:r>
        <w:separator/>
      </w:r>
    </w:p>
  </w:footnote>
  <w:footnote w:type="continuationSeparator" w:id="0">
    <w:p w:rsidR="00531331" w:rsidRDefault="0053133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Cabealho"/>
    </w:pPr>
  </w:p>
  <w:p w:rsidR="00704BDF" w:rsidRDefault="00704BD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51917"/>
    <w:rsid w:val="00062A9A"/>
    <w:rsid w:val="000A03B2"/>
    <w:rsid w:val="000C1A23"/>
    <w:rsid w:val="000D34BE"/>
    <w:rsid w:val="000E36F1"/>
    <w:rsid w:val="000E3A73"/>
    <w:rsid w:val="000E414A"/>
    <w:rsid w:val="0013121F"/>
    <w:rsid w:val="00134DE4"/>
    <w:rsid w:val="00150E59"/>
    <w:rsid w:val="00184AD6"/>
    <w:rsid w:val="0019698C"/>
    <w:rsid w:val="00196F28"/>
    <w:rsid w:val="001A1124"/>
    <w:rsid w:val="001B65C1"/>
    <w:rsid w:val="001C566D"/>
    <w:rsid w:val="001C684B"/>
    <w:rsid w:val="001D53FC"/>
    <w:rsid w:val="001F2EC7"/>
    <w:rsid w:val="001F445A"/>
    <w:rsid w:val="002065DB"/>
    <w:rsid w:val="002447EF"/>
    <w:rsid w:val="00251550"/>
    <w:rsid w:val="0027221A"/>
    <w:rsid w:val="00275B61"/>
    <w:rsid w:val="002D1F12"/>
    <w:rsid w:val="002D67E2"/>
    <w:rsid w:val="003009B7"/>
    <w:rsid w:val="0030469C"/>
    <w:rsid w:val="00306D28"/>
    <w:rsid w:val="003723D4"/>
    <w:rsid w:val="003A7D1C"/>
    <w:rsid w:val="003B40B7"/>
    <w:rsid w:val="0040335D"/>
    <w:rsid w:val="0046164A"/>
    <w:rsid w:val="00462DCD"/>
    <w:rsid w:val="004D1162"/>
    <w:rsid w:val="004E4DD6"/>
    <w:rsid w:val="004F563B"/>
    <w:rsid w:val="004F5E36"/>
    <w:rsid w:val="005119A5"/>
    <w:rsid w:val="005278B7"/>
    <w:rsid w:val="00531331"/>
    <w:rsid w:val="005346C8"/>
    <w:rsid w:val="00535B35"/>
    <w:rsid w:val="00594E9F"/>
    <w:rsid w:val="005B61E6"/>
    <w:rsid w:val="005C77E1"/>
    <w:rsid w:val="005D6443"/>
    <w:rsid w:val="005D6A2F"/>
    <w:rsid w:val="005E1A82"/>
    <w:rsid w:val="005F0A28"/>
    <w:rsid w:val="005F0E5E"/>
    <w:rsid w:val="00620DEE"/>
    <w:rsid w:val="00625639"/>
    <w:rsid w:val="006366F8"/>
    <w:rsid w:val="006413B0"/>
    <w:rsid w:val="0064184D"/>
    <w:rsid w:val="00660E3E"/>
    <w:rsid w:val="00662E74"/>
    <w:rsid w:val="00671ED0"/>
    <w:rsid w:val="006B01AC"/>
    <w:rsid w:val="006C5579"/>
    <w:rsid w:val="00704BDF"/>
    <w:rsid w:val="00736B13"/>
    <w:rsid w:val="007447F3"/>
    <w:rsid w:val="00753E61"/>
    <w:rsid w:val="00761A37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B5211"/>
    <w:rsid w:val="009E788A"/>
    <w:rsid w:val="00A1763D"/>
    <w:rsid w:val="00A17CEC"/>
    <w:rsid w:val="00A223F4"/>
    <w:rsid w:val="00A26F4D"/>
    <w:rsid w:val="00A27EF0"/>
    <w:rsid w:val="00A76EFC"/>
    <w:rsid w:val="00A87466"/>
    <w:rsid w:val="00A97F29"/>
    <w:rsid w:val="00AB0964"/>
    <w:rsid w:val="00AE377D"/>
    <w:rsid w:val="00AF5FD5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C4E26"/>
    <w:rsid w:val="00CD5FE2"/>
    <w:rsid w:val="00D02B4C"/>
    <w:rsid w:val="00D76E2A"/>
    <w:rsid w:val="00D84576"/>
    <w:rsid w:val="00D96331"/>
    <w:rsid w:val="00DA6C28"/>
    <w:rsid w:val="00DC0AE2"/>
    <w:rsid w:val="00DE0019"/>
    <w:rsid w:val="00DE264A"/>
    <w:rsid w:val="00E041E7"/>
    <w:rsid w:val="00E23CA1"/>
    <w:rsid w:val="00E409A8"/>
    <w:rsid w:val="00E4591C"/>
    <w:rsid w:val="00E47211"/>
    <w:rsid w:val="00E7209D"/>
    <w:rsid w:val="00EA50E1"/>
    <w:rsid w:val="00ED4564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9A0EB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Reviso">
    <w:name w:val="Revision"/>
    <w:hidden/>
    <w:uiPriority w:val="99"/>
    <w:semiHidden/>
    <w:rsid w:val="00DC0AE2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hps">
    <w:name w:val="hps"/>
    <w:basedOn w:val="Fontepargpadro"/>
    <w:rsid w:val="00D76E2A"/>
  </w:style>
  <w:style w:type="paragraph" w:styleId="PargrafodaLista">
    <w:name w:val="List Paragraph"/>
    <w:basedOn w:val="Normal"/>
    <w:uiPriority w:val="34"/>
    <w:qFormat/>
    <w:locked/>
    <w:rsid w:val="006413B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locked/>
    <w:rsid w:val="0040335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223F4"/>
  </w:style>
  <w:style w:type="character" w:styleId="nfase">
    <w:name w:val="Emphasis"/>
    <w:basedOn w:val="Fontepargpadro"/>
    <w:uiPriority w:val="20"/>
    <w:qFormat/>
    <w:locked/>
    <w:rsid w:val="00A22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FEF0-A0CB-1A48-9753-B8F2F5F9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782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Patrícia Albuquerque</cp:lastModifiedBy>
  <cp:revision>7</cp:revision>
  <cp:lastPrinted>2015-05-12T18:31:00Z</cp:lastPrinted>
  <dcterms:created xsi:type="dcterms:W3CDTF">2019-01-15T18:18:00Z</dcterms:created>
  <dcterms:modified xsi:type="dcterms:W3CDTF">2019-01-15T19:14:00Z</dcterms:modified>
</cp:coreProperties>
</file>