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702DD" w:rsidRDefault="00D52F33" w:rsidP="002F0DB3">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B</w:t>
      </w:r>
      <w:r w:rsidR="00D702DD" w:rsidRPr="006366FB">
        <w:rPr>
          <w:rFonts w:asciiTheme="minorHAnsi" w:eastAsia="MS PGothic" w:hAnsiTheme="minorHAnsi"/>
          <w:b/>
          <w:bCs/>
          <w:sz w:val="28"/>
          <w:szCs w:val="28"/>
          <w:lang w:val="en-US"/>
        </w:rPr>
        <w:t>acterial alginate</w:t>
      </w:r>
      <w:r>
        <w:rPr>
          <w:rFonts w:asciiTheme="minorHAnsi" w:eastAsia="MS PGothic" w:hAnsiTheme="minorHAnsi"/>
          <w:b/>
          <w:bCs/>
          <w:sz w:val="28"/>
          <w:szCs w:val="28"/>
          <w:lang w:val="en-US"/>
        </w:rPr>
        <w:t xml:space="preserve"> production under </w:t>
      </w:r>
      <w:r w:rsidRPr="006366FB">
        <w:rPr>
          <w:rFonts w:asciiTheme="minorHAnsi" w:eastAsia="MS PGothic" w:hAnsiTheme="minorHAnsi"/>
          <w:b/>
          <w:bCs/>
          <w:sz w:val="28"/>
          <w:szCs w:val="28"/>
          <w:lang w:val="en-US"/>
        </w:rPr>
        <w:t>oxygen transfer rate control</w:t>
      </w:r>
      <w:r>
        <w:rPr>
          <w:rFonts w:asciiTheme="minorHAnsi" w:eastAsia="MS PGothic" w:hAnsiTheme="minorHAnsi"/>
          <w:b/>
          <w:bCs/>
          <w:sz w:val="28"/>
          <w:szCs w:val="28"/>
          <w:lang w:val="en-US"/>
        </w:rPr>
        <w:t>led</w:t>
      </w:r>
      <w:r w:rsidR="00F54F4A">
        <w:rPr>
          <w:rFonts w:asciiTheme="minorHAnsi" w:eastAsia="MS PGothic" w:hAnsiTheme="minorHAnsi"/>
          <w:b/>
          <w:bCs/>
          <w:sz w:val="28"/>
          <w:szCs w:val="28"/>
          <w:lang w:val="en-US"/>
        </w:rPr>
        <w:t xml:space="preserve"> conditions</w:t>
      </w:r>
    </w:p>
    <w:p w:rsidR="00DE0019" w:rsidRPr="00CF3AF0" w:rsidRDefault="006366FB" w:rsidP="00704BDF">
      <w:pPr>
        <w:snapToGrid w:val="0"/>
        <w:spacing w:after="120"/>
        <w:jc w:val="center"/>
        <w:rPr>
          <w:rFonts w:eastAsia="SimSun"/>
          <w:color w:val="000000"/>
          <w:lang w:val="es-CL" w:eastAsia="zh-CN"/>
        </w:rPr>
      </w:pPr>
      <w:r w:rsidRPr="0082486C">
        <w:rPr>
          <w:rFonts w:asciiTheme="minorHAnsi" w:eastAsia="SimSun" w:hAnsiTheme="minorHAnsi"/>
          <w:color w:val="000000"/>
          <w:sz w:val="24"/>
          <w:szCs w:val="24"/>
          <w:lang w:val="es-CL" w:eastAsia="zh-CN"/>
        </w:rPr>
        <w:t>Belén Ponce</w:t>
      </w:r>
      <w:r w:rsidR="00FF37AD" w:rsidRPr="003A17D7">
        <w:rPr>
          <w:rFonts w:asciiTheme="minorHAnsi" w:eastAsia="SimSun" w:hAnsiTheme="minorHAnsi"/>
          <w:color w:val="000000"/>
          <w:sz w:val="24"/>
          <w:szCs w:val="24"/>
          <w:lang w:val="es-CL" w:eastAsia="zh-CN"/>
        </w:rPr>
        <w:t xml:space="preserve">, </w:t>
      </w:r>
      <w:proofErr w:type="spellStart"/>
      <w:r w:rsidR="00FF37AD" w:rsidRPr="0082486C">
        <w:rPr>
          <w:rFonts w:asciiTheme="minorHAnsi" w:eastAsia="SimSun" w:hAnsiTheme="minorHAnsi"/>
          <w:color w:val="000000"/>
          <w:sz w:val="24"/>
          <w:szCs w:val="24"/>
          <w:u w:val="single"/>
          <w:lang w:val="es-CL" w:eastAsia="zh-CN"/>
        </w:rPr>
        <w:t>Alvaro</w:t>
      </w:r>
      <w:proofErr w:type="spellEnd"/>
      <w:r w:rsidR="00FF37AD" w:rsidRPr="0082486C">
        <w:rPr>
          <w:rFonts w:asciiTheme="minorHAnsi" w:eastAsia="SimSun" w:hAnsiTheme="minorHAnsi"/>
          <w:color w:val="000000"/>
          <w:sz w:val="24"/>
          <w:szCs w:val="24"/>
          <w:u w:val="single"/>
          <w:lang w:val="es-CL" w:eastAsia="zh-CN"/>
        </w:rPr>
        <w:t xml:space="preserve"> Díaz-Barrera</w:t>
      </w:r>
      <w:r w:rsidR="0082486C">
        <w:rPr>
          <w:rFonts w:asciiTheme="minorHAnsi" w:eastAsia="SimSun" w:hAnsiTheme="minorHAnsi"/>
          <w:color w:val="000000"/>
          <w:sz w:val="24"/>
          <w:szCs w:val="24"/>
          <w:u w:val="single"/>
          <w:lang w:val="es-CL" w:eastAsia="zh-CN"/>
        </w:rPr>
        <w:t>*</w:t>
      </w:r>
    </w:p>
    <w:p w:rsidR="00704BDF" w:rsidRPr="003A17D7" w:rsidRDefault="00CB36CB" w:rsidP="00CB36CB">
      <w:pPr>
        <w:snapToGrid w:val="0"/>
        <w:spacing w:after="120"/>
        <w:jc w:val="center"/>
        <w:rPr>
          <w:rFonts w:asciiTheme="minorHAnsi" w:eastAsia="MS PGothic" w:hAnsiTheme="minorHAnsi"/>
          <w:i/>
          <w:iCs/>
          <w:color w:val="000000"/>
          <w:sz w:val="20"/>
          <w:lang w:val="es-CL"/>
        </w:rPr>
      </w:pPr>
      <w:r w:rsidRPr="00CB36CB">
        <w:rPr>
          <w:rFonts w:asciiTheme="minorHAnsi" w:eastAsia="MS PGothic" w:hAnsiTheme="minorHAnsi"/>
          <w:i/>
          <w:iCs/>
          <w:color w:val="000000"/>
          <w:sz w:val="20"/>
          <w:lang w:val="es-CL"/>
        </w:rPr>
        <w:t xml:space="preserve">Escuela de Ingeniería Bioquímica, </w:t>
      </w:r>
      <w:r w:rsidRPr="00D52F33">
        <w:rPr>
          <w:rFonts w:ascii="Calibri" w:eastAsia="MS PGothic" w:hAnsi="Calibri" w:cs="Calibri"/>
          <w:i/>
          <w:iCs/>
          <w:color w:val="000000"/>
          <w:sz w:val="20"/>
          <w:lang w:val="es-CL"/>
        </w:rPr>
        <w:t>Pontificia</w:t>
      </w:r>
      <w:r w:rsidRPr="00CB36CB">
        <w:rPr>
          <w:rFonts w:asciiTheme="minorHAnsi" w:eastAsia="MS PGothic" w:hAnsiTheme="minorHAnsi"/>
          <w:i/>
          <w:iCs/>
          <w:color w:val="000000"/>
          <w:sz w:val="20"/>
          <w:lang w:val="es-CL"/>
        </w:rPr>
        <w:t xml:space="preserve"> Universidad Católica de Valparaíso, Av. Brasil 2147 Casilla 4059, Valparaíso, Chile</w:t>
      </w:r>
      <w:r w:rsidR="007739EB" w:rsidRPr="003A17D7">
        <w:rPr>
          <w:rFonts w:asciiTheme="minorHAnsi" w:eastAsia="MS PGothic" w:hAnsiTheme="minorHAnsi"/>
          <w:i/>
          <w:iCs/>
          <w:color w:val="000000"/>
          <w:sz w:val="20"/>
          <w:lang w:val="es-CL"/>
        </w:rPr>
        <w:t>.</w:t>
      </w:r>
    </w:p>
    <w:p w:rsidR="00607A97" w:rsidRPr="0082486C" w:rsidRDefault="0082486C" w:rsidP="00607A97">
      <w:pPr>
        <w:snapToGrid w:val="0"/>
        <w:jc w:val="center"/>
        <w:rPr>
          <w:rFonts w:asciiTheme="minorHAnsi" w:eastAsia="MS PGothic" w:hAnsiTheme="minorHAnsi"/>
          <w:bCs/>
          <w:i/>
          <w:iCs/>
          <w:sz w:val="20"/>
          <w:lang w:val="en-US"/>
        </w:rPr>
      </w:pPr>
      <w:hyperlink r:id="rId10" w:history="1">
        <w:r w:rsidRPr="00F43235">
          <w:rPr>
            <w:rStyle w:val="Hipervnculo"/>
            <w:rFonts w:asciiTheme="minorHAnsi" w:eastAsia="MS PGothic" w:hAnsiTheme="minorHAnsi"/>
            <w:bCs/>
            <w:i/>
            <w:iCs/>
            <w:sz w:val="20"/>
            <w:lang w:val="en-US"/>
          </w:rPr>
          <w:t>* Corresponding author: alvaro.diaz@pucv.cl</w:t>
        </w:r>
      </w:hyperlink>
    </w:p>
    <w:p w:rsidR="00704BDF" w:rsidRPr="0082486C" w:rsidRDefault="00704BDF" w:rsidP="00370394">
      <w:pPr>
        <w:snapToGrid w:val="0"/>
        <w:ind w:left="360"/>
        <w:rPr>
          <w:rFonts w:asciiTheme="minorHAnsi" w:eastAsia="MS PGothic" w:hAnsiTheme="minorHAnsi"/>
          <w:bCs/>
          <w:i/>
          <w:iCs/>
          <w:sz w:val="20"/>
          <w:lang w:val="en-US"/>
        </w:rPr>
      </w:pPr>
      <w:r w:rsidRPr="0082486C">
        <w:rPr>
          <w:rFonts w:asciiTheme="minorHAnsi" w:hAnsiTheme="minorHAnsi"/>
          <w:b/>
          <w:i/>
          <w:lang w:val="en-US"/>
        </w:rPr>
        <w:t>Highlights</w:t>
      </w:r>
    </w:p>
    <w:p w:rsidR="00370394" w:rsidRPr="00370394" w:rsidRDefault="00370394" w:rsidP="00F22808">
      <w:pPr>
        <w:pStyle w:val="Prrafodelista"/>
        <w:numPr>
          <w:ilvl w:val="0"/>
          <w:numId w:val="20"/>
        </w:numPr>
        <w:tabs>
          <w:tab w:val="clear" w:pos="7100"/>
        </w:tabs>
        <w:snapToGrid w:val="0"/>
        <w:spacing w:after="200" w:line="300" w:lineRule="auto"/>
        <w:rPr>
          <w:rFonts w:asciiTheme="minorHAnsi" w:eastAsia="MS PGothic" w:hAnsiTheme="minorHAnsi"/>
          <w:b/>
          <w:bCs/>
          <w:color w:val="000000"/>
          <w:sz w:val="22"/>
          <w:szCs w:val="22"/>
          <w:lang w:val="en-US" w:eastAsia="ko-KR"/>
        </w:rPr>
      </w:pPr>
      <w:r w:rsidRPr="00370394">
        <w:rPr>
          <w:rFonts w:asciiTheme="minorHAnsi" w:hAnsiTheme="minorHAnsi" w:cstheme="minorHAnsi"/>
          <w:sz w:val="20"/>
          <w:lang w:val="en-US"/>
        </w:rPr>
        <w:t>Control of the oxygen transfer rate based on the oxyge</w:t>
      </w:r>
      <w:bookmarkStart w:id="0" w:name="_GoBack"/>
      <w:bookmarkEnd w:id="0"/>
      <w:r w:rsidRPr="00370394">
        <w:rPr>
          <w:rFonts w:asciiTheme="minorHAnsi" w:hAnsiTheme="minorHAnsi" w:cstheme="minorHAnsi"/>
          <w:sz w:val="20"/>
          <w:lang w:val="en-US"/>
        </w:rPr>
        <w:t>n in the feed gas</w:t>
      </w:r>
    </w:p>
    <w:p w:rsidR="00370394" w:rsidRPr="000205CB" w:rsidRDefault="00370394" w:rsidP="00F22808">
      <w:pPr>
        <w:pStyle w:val="Prrafodelista"/>
        <w:numPr>
          <w:ilvl w:val="0"/>
          <w:numId w:val="20"/>
        </w:numPr>
        <w:tabs>
          <w:tab w:val="clear" w:pos="7100"/>
        </w:tabs>
        <w:snapToGrid w:val="0"/>
        <w:spacing w:after="200" w:line="300" w:lineRule="auto"/>
        <w:rPr>
          <w:rFonts w:asciiTheme="minorHAnsi" w:eastAsia="MS PGothic" w:hAnsiTheme="minorHAnsi"/>
          <w:b/>
          <w:bCs/>
          <w:color w:val="000000"/>
          <w:sz w:val="22"/>
          <w:szCs w:val="22"/>
          <w:lang w:val="en-US" w:eastAsia="ko-KR"/>
        </w:rPr>
      </w:pPr>
      <w:r w:rsidRPr="00370394">
        <w:rPr>
          <w:rFonts w:asciiTheme="minorHAnsi" w:hAnsiTheme="minorHAnsi"/>
          <w:sz w:val="20"/>
          <w:lang w:val="en-US"/>
        </w:rPr>
        <w:t xml:space="preserve">Alginate production and their molecular weight </w:t>
      </w:r>
      <w:r w:rsidR="000205CB">
        <w:rPr>
          <w:rFonts w:asciiTheme="minorHAnsi" w:hAnsiTheme="minorHAnsi"/>
          <w:sz w:val="20"/>
          <w:lang w:val="en-US"/>
        </w:rPr>
        <w:t>were</w:t>
      </w:r>
      <w:r w:rsidRPr="00370394">
        <w:rPr>
          <w:rFonts w:asciiTheme="minorHAnsi" w:hAnsiTheme="minorHAnsi"/>
          <w:sz w:val="20"/>
          <w:lang w:val="en-US"/>
        </w:rPr>
        <w:t xml:space="preserve"> affected by oxygen transfer rate control</w:t>
      </w:r>
    </w:p>
    <w:p w:rsidR="000205CB" w:rsidRPr="000205CB" w:rsidRDefault="000205CB" w:rsidP="000205CB">
      <w:pPr>
        <w:pStyle w:val="Prrafodelista"/>
        <w:numPr>
          <w:ilvl w:val="0"/>
          <w:numId w:val="20"/>
        </w:numPr>
        <w:tabs>
          <w:tab w:val="clear" w:pos="7100"/>
        </w:tabs>
        <w:snapToGrid w:val="0"/>
        <w:spacing w:after="200" w:line="300" w:lineRule="auto"/>
        <w:rPr>
          <w:rFonts w:asciiTheme="minorHAnsi" w:eastAsia="MS PGothic" w:hAnsiTheme="minorHAnsi" w:cstheme="minorHAnsi"/>
          <w:b/>
          <w:bCs/>
          <w:color w:val="000000"/>
          <w:sz w:val="20"/>
          <w:lang w:val="en-US" w:eastAsia="ko-KR"/>
        </w:rPr>
      </w:pPr>
      <w:r w:rsidRPr="000205CB">
        <w:rPr>
          <w:rFonts w:asciiTheme="minorHAnsi" w:hAnsiTheme="minorHAnsi" w:cstheme="minorHAnsi"/>
          <w:sz w:val="20"/>
          <w:lang w:val="en-US"/>
        </w:rPr>
        <w:t>Under OTR controlled, alginate molecular weight produced during the stationary phase of growth was constant</w:t>
      </w:r>
    </w:p>
    <w:p w:rsidR="00370394" w:rsidRPr="00370394" w:rsidRDefault="00704BDF" w:rsidP="00370394">
      <w:pPr>
        <w:tabs>
          <w:tab w:val="clear" w:pos="7100"/>
        </w:tabs>
        <w:snapToGrid w:val="0"/>
        <w:spacing w:after="120"/>
        <w:rPr>
          <w:rFonts w:asciiTheme="minorHAnsi" w:eastAsia="MS PGothic" w:hAnsiTheme="minorHAnsi"/>
          <w:b/>
          <w:bCs/>
          <w:color w:val="000000"/>
          <w:sz w:val="22"/>
          <w:szCs w:val="22"/>
          <w:lang w:val="en-US"/>
        </w:rPr>
      </w:pPr>
      <w:r w:rsidRPr="00370394">
        <w:rPr>
          <w:rFonts w:asciiTheme="minorHAnsi" w:eastAsia="MS PGothic" w:hAnsiTheme="minorHAnsi"/>
          <w:b/>
          <w:bCs/>
          <w:color w:val="000000"/>
          <w:sz w:val="22"/>
          <w:szCs w:val="22"/>
          <w:lang w:val="en-US"/>
        </w:rPr>
        <w:t>1. Introduction</w:t>
      </w:r>
    </w:p>
    <w:p w:rsidR="00353638" w:rsidRDefault="00332B2F" w:rsidP="00370394">
      <w:pPr>
        <w:tabs>
          <w:tab w:val="clear" w:pos="7100"/>
        </w:tabs>
        <w:snapToGrid w:val="0"/>
        <w:spacing w:after="120"/>
        <w:rPr>
          <w:rFonts w:asciiTheme="minorHAnsi" w:hAnsiTheme="minorHAnsi" w:cstheme="minorHAnsi"/>
          <w:sz w:val="22"/>
          <w:szCs w:val="22"/>
          <w:lang w:val="en-US"/>
        </w:rPr>
      </w:pPr>
      <w:r w:rsidRPr="00353638">
        <w:rPr>
          <w:rFonts w:asciiTheme="minorHAnsi" w:hAnsiTheme="minorHAnsi" w:cstheme="minorHAnsi"/>
          <w:color w:val="000000"/>
          <w:sz w:val="22"/>
          <w:szCs w:val="22"/>
          <w:lang w:val="en-US" w:eastAsia="es-CL"/>
        </w:rPr>
        <w:t>Alginates are polysaccharides composed of (1-4)-</w:t>
      </w:r>
      <w:r w:rsidRPr="00353638">
        <w:rPr>
          <w:rFonts w:ascii="Symbol" w:hAnsi="Symbol" w:cstheme="minorHAnsi"/>
          <w:color w:val="000000"/>
          <w:sz w:val="22"/>
          <w:szCs w:val="22"/>
          <w:lang w:val="en-US" w:eastAsia="es-CL"/>
        </w:rPr>
        <w:t></w:t>
      </w:r>
      <w:r w:rsidRPr="00353638">
        <w:rPr>
          <w:rFonts w:asciiTheme="minorHAnsi" w:hAnsiTheme="minorHAnsi" w:cstheme="minorHAnsi"/>
          <w:color w:val="000000"/>
          <w:sz w:val="22"/>
          <w:szCs w:val="22"/>
          <w:lang w:val="en-US" w:eastAsia="es-CL"/>
        </w:rPr>
        <w:t>-D-</w:t>
      </w:r>
      <w:proofErr w:type="spellStart"/>
      <w:r w:rsidRPr="00353638">
        <w:rPr>
          <w:rFonts w:asciiTheme="minorHAnsi" w:hAnsiTheme="minorHAnsi" w:cstheme="minorHAnsi"/>
          <w:color w:val="000000"/>
          <w:sz w:val="22"/>
          <w:szCs w:val="22"/>
          <w:lang w:val="en-US" w:eastAsia="es-CL"/>
        </w:rPr>
        <w:t>mannuronic</w:t>
      </w:r>
      <w:proofErr w:type="spellEnd"/>
      <w:r w:rsidRPr="00353638">
        <w:rPr>
          <w:rFonts w:asciiTheme="minorHAnsi" w:hAnsiTheme="minorHAnsi" w:cstheme="minorHAnsi"/>
          <w:color w:val="000000"/>
          <w:sz w:val="22"/>
          <w:szCs w:val="22"/>
          <w:lang w:val="en-US" w:eastAsia="es-CL"/>
        </w:rPr>
        <w:t xml:space="preserve"> acid and </w:t>
      </w:r>
      <w:proofErr w:type="gramStart"/>
      <w:r w:rsidRPr="00353638">
        <w:rPr>
          <w:rFonts w:asciiTheme="minorHAnsi" w:hAnsiTheme="minorHAnsi" w:cstheme="minorHAnsi"/>
          <w:color w:val="000000"/>
          <w:sz w:val="22"/>
          <w:szCs w:val="22"/>
          <w:lang w:val="en-US" w:eastAsia="es-CL"/>
        </w:rPr>
        <w:t>its</w:t>
      </w:r>
      <w:proofErr w:type="gramEnd"/>
      <w:r w:rsidRPr="00353638">
        <w:rPr>
          <w:rFonts w:asciiTheme="minorHAnsi" w:hAnsiTheme="minorHAnsi" w:cstheme="minorHAnsi"/>
          <w:color w:val="000000"/>
          <w:sz w:val="22"/>
          <w:szCs w:val="22"/>
          <w:lang w:val="en-US" w:eastAsia="es-CL"/>
        </w:rPr>
        <w:t xml:space="preserve"> C-5-epimer, </w:t>
      </w:r>
      <w:r w:rsidRPr="00353638">
        <w:rPr>
          <w:rFonts w:ascii="Symbol" w:hAnsi="Symbol" w:cstheme="minorHAnsi"/>
          <w:color w:val="000000"/>
          <w:sz w:val="22"/>
          <w:szCs w:val="22"/>
          <w:lang w:val="en-US" w:eastAsia="es-CL"/>
        </w:rPr>
        <w:t></w:t>
      </w:r>
      <w:r w:rsidRPr="00353638">
        <w:rPr>
          <w:rFonts w:asciiTheme="minorHAnsi" w:hAnsiTheme="minorHAnsi" w:cstheme="minorHAnsi"/>
          <w:color w:val="000000"/>
          <w:sz w:val="22"/>
          <w:szCs w:val="22"/>
          <w:lang w:val="en-US" w:eastAsia="es-CL"/>
        </w:rPr>
        <w:t>-L-</w:t>
      </w:r>
      <w:proofErr w:type="spellStart"/>
      <w:r w:rsidRPr="00353638">
        <w:rPr>
          <w:rFonts w:asciiTheme="minorHAnsi" w:hAnsiTheme="minorHAnsi" w:cstheme="minorHAnsi"/>
          <w:color w:val="000000"/>
          <w:sz w:val="22"/>
          <w:szCs w:val="22"/>
          <w:lang w:val="en-US" w:eastAsia="es-CL"/>
        </w:rPr>
        <w:t>guluronic</w:t>
      </w:r>
      <w:proofErr w:type="spellEnd"/>
      <w:r w:rsidRPr="00353638">
        <w:rPr>
          <w:rFonts w:asciiTheme="minorHAnsi" w:hAnsiTheme="minorHAnsi" w:cstheme="minorHAnsi"/>
          <w:color w:val="000000"/>
          <w:sz w:val="22"/>
          <w:szCs w:val="22"/>
          <w:lang w:val="en-US" w:eastAsia="es-CL"/>
        </w:rPr>
        <w:t xml:space="preserve"> acid. </w:t>
      </w:r>
      <w:r w:rsidRPr="00353638">
        <w:rPr>
          <w:rFonts w:asciiTheme="minorHAnsi" w:hAnsiTheme="minorHAnsi" w:cstheme="minorHAnsi"/>
          <w:sz w:val="22"/>
          <w:szCs w:val="22"/>
          <w:lang w:val="en-US"/>
        </w:rPr>
        <w:t xml:space="preserve">These polymers </w:t>
      </w:r>
      <w:proofErr w:type="gramStart"/>
      <w:r w:rsidRPr="00353638">
        <w:rPr>
          <w:rFonts w:asciiTheme="minorHAnsi" w:hAnsiTheme="minorHAnsi" w:cstheme="minorHAnsi"/>
          <w:color w:val="000000"/>
          <w:sz w:val="22"/>
          <w:szCs w:val="22"/>
          <w:lang w:val="en-US" w:eastAsia="es-CL"/>
        </w:rPr>
        <w:t xml:space="preserve">are </w:t>
      </w:r>
      <w:r w:rsidRPr="00353638">
        <w:rPr>
          <w:rFonts w:asciiTheme="minorHAnsi" w:hAnsiTheme="minorHAnsi" w:cstheme="minorHAnsi"/>
          <w:sz w:val="22"/>
          <w:szCs w:val="22"/>
          <w:lang w:val="en-US"/>
        </w:rPr>
        <w:t>used</w:t>
      </w:r>
      <w:proofErr w:type="gramEnd"/>
      <w:r w:rsidRPr="00353638">
        <w:rPr>
          <w:rFonts w:asciiTheme="minorHAnsi" w:hAnsiTheme="minorHAnsi" w:cstheme="minorHAnsi"/>
          <w:sz w:val="22"/>
          <w:szCs w:val="22"/>
          <w:lang w:val="en-US"/>
        </w:rPr>
        <w:t xml:space="preserve"> in the food and pharmaceutical industries as stabilizing, thickening, gel- or film-forming agents</w:t>
      </w:r>
      <w:r w:rsidR="00747DC9">
        <w:rPr>
          <w:rFonts w:asciiTheme="minorHAnsi" w:hAnsiTheme="minorHAnsi" w:cstheme="minorHAnsi"/>
          <w:sz w:val="22"/>
          <w:szCs w:val="22"/>
          <w:lang w:val="en-US"/>
        </w:rPr>
        <w:t xml:space="preserve"> [</w:t>
      </w:r>
      <w:r w:rsidR="00A41A6F">
        <w:rPr>
          <w:rFonts w:asciiTheme="minorHAnsi" w:hAnsiTheme="minorHAnsi" w:cstheme="minorHAnsi"/>
          <w:sz w:val="22"/>
          <w:szCs w:val="22"/>
          <w:lang w:val="en-US"/>
        </w:rPr>
        <w:t>1</w:t>
      </w:r>
      <w:r w:rsidR="00747DC9">
        <w:rPr>
          <w:rFonts w:asciiTheme="minorHAnsi" w:hAnsiTheme="minorHAnsi" w:cstheme="minorHAnsi"/>
          <w:sz w:val="22"/>
          <w:szCs w:val="22"/>
          <w:lang w:val="en-US"/>
        </w:rPr>
        <w:t>]</w:t>
      </w:r>
      <w:r w:rsidRPr="00353638">
        <w:rPr>
          <w:rFonts w:asciiTheme="minorHAnsi" w:hAnsiTheme="minorHAnsi" w:cstheme="minorHAnsi"/>
          <w:sz w:val="22"/>
          <w:szCs w:val="22"/>
          <w:lang w:val="en-US"/>
        </w:rPr>
        <w:t xml:space="preserve">. </w:t>
      </w:r>
      <w:r w:rsidRPr="00353638">
        <w:rPr>
          <w:rFonts w:asciiTheme="minorHAnsi" w:hAnsiTheme="minorHAnsi" w:cstheme="minorHAnsi"/>
          <w:iCs/>
          <w:sz w:val="22"/>
          <w:szCs w:val="22"/>
          <w:lang w:val="en-US"/>
        </w:rPr>
        <w:t>Alginates</w:t>
      </w:r>
      <w:r w:rsidRPr="00353638">
        <w:rPr>
          <w:rFonts w:asciiTheme="minorHAnsi" w:hAnsiTheme="minorHAnsi" w:cstheme="minorHAnsi"/>
          <w:sz w:val="22"/>
          <w:szCs w:val="22"/>
          <w:lang w:val="en-US"/>
        </w:rPr>
        <w:t xml:space="preserve"> </w:t>
      </w:r>
      <w:proofErr w:type="gramStart"/>
      <w:r w:rsidRPr="00353638">
        <w:rPr>
          <w:rFonts w:asciiTheme="minorHAnsi" w:hAnsiTheme="minorHAnsi" w:cstheme="minorHAnsi"/>
          <w:sz w:val="22"/>
          <w:szCs w:val="22"/>
          <w:lang w:val="en-US"/>
        </w:rPr>
        <w:t>are produced</w:t>
      </w:r>
      <w:proofErr w:type="gramEnd"/>
      <w:r w:rsidRPr="00353638">
        <w:rPr>
          <w:rFonts w:asciiTheme="minorHAnsi" w:hAnsiTheme="minorHAnsi" w:cstheme="minorHAnsi"/>
          <w:sz w:val="22"/>
          <w:szCs w:val="22"/>
          <w:lang w:val="en-US"/>
        </w:rPr>
        <w:t xml:space="preserve"> by brown algae, but they can also be produced by the bacterium </w:t>
      </w:r>
      <w:r w:rsidRPr="00353638">
        <w:rPr>
          <w:rFonts w:asciiTheme="minorHAnsi" w:hAnsiTheme="minorHAnsi" w:cstheme="minorHAnsi"/>
          <w:i/>
          <w:iCs/>
          <w:sz w:val="22"/>
          <w:szCs w:val="22"/>
          <w:lang w:val="en-US"/>
        </w:rPr>
        <w:t>Azotobacter vinelandii</w:t>
      </w:r>
      <w:r w:rsidRPr="00353638">
        <w:rPr>
          <w:rFonts w:asciiTheme="minorHAnsi" w:hAnsiTheme="minorHAnsi" w:cstheme="minorHAnsi"/>
          <w:iCs/>
          <w:sz w:val="22"/>
          <w:szCs w:val="22"/>
          <w:lang w:val="en-US"/>
        </w:rPr>
        <w:t>.</w:t>
      </w:r>
      <w:r w:rsidRPr="00353638">
        <w:rPr>
          <w:rFonts w:asciiTheme="minorHAnsi" w:hAnsiTheme="minorHAnsi" w:cstheme="minorHAnsi"/>
          <w:i/>
          <w:iCs/>
          <w:sz w:val="22"/>
          <w:szCs w:val="22"/>
          <w:lang w:val="en-US"/>
        </w:rPr>
        <w:t xml:space="preserve"> </w:t>
      </w:r>
      <w:r w:rsidRPr="00353638">
        <w:rPr>
          <w:rFonts w:asciiTheme="minorHAnsi" w:hAnsiTheme="minorHAnsi" w:cstheme="minorHAnsi"/>
          <w:sz w:val="22"/>
          <w:szCs w:val="22"/>
          <w:lang w:val="en-US"/>
        </w:rPr>
        <w:t xml:space="preserve">One strategy to produce alginates with defined molecular weight (MW) is through the manipulation of the culture conditions during fermentation. In our group, we </w:t>
      </w:r>
      <w:r w:rsidRPr="00353638">
        <w:rPr>
          <w:rFonts w:asciiTheme="minorHAnsi" w:eastAsiaTheme="minorHAnsi" w:hAnsiTheme="minorHAnsi" w:cstheme="minorHAnsi"/>
          <w:sz w:val="22"/>
          <w:szCs w:val="22"/>
          <w:lang w:val="en-US"/>
        </w:rPr>
        <w:t>have found evidence</w:t>
      </w:r>
      <w:r w:rsidR="00370394">
        <w:rPr>
          <w:rFonts w:asciiTheme="minorHAnsi" w:eastAsiaTheme="minorHAnsi" w:hAnsiTheme="minorHAnsi" w:cstheme="minorHAnsi"/>
          <w:sz w:val="22"/>
          <w:szCs w:val="22"/>
          <w:lang w:val="en-US"/>
        </w:rPr>
        <w:t>s</w:t>
      </w:r>
      <w:r w:rsidRPr="00353638">
        <w:rPr>
          <w:rFonts w:asciiTheme="minorHAnsi" w:eastAsiaTheme="minorHAnsi" w:hAnsiTheme="minorHAnsi" w:cstheme="minorHAnsi"/>
          <w:sz w:val="22"/>
          <w:szCs w:val="22"/>
          <w:lang w:val="en-US"/>
        </w:rPr>
        <w:t xml:space="preserve"> that the </w:t>
      </w:r>
      <w:r w:rsidRPr="00353638">
        <w:rPr>
          <w:rFonts w:asciiTheme="minorHAnsi" w:hAnsiTheme="minorHAnsi" w:cstheme="minorHAnsi"/>
          <w:sz w:val="22"/>
          <w:szCs w:val="22"/>
          <w:lang w:val="en-US"/>
        </w:rPr>
        <w:t xml:space="preserve">oxygen transfer rate (OTR) </w:t>
      </w:r>
      <w:r w:rsidRPr="00353638">
        <w:rPr>
          <w:rFonts w:asciiTheme="minorHAnsi" w:eastAsiaTheme="minorHAnsi" w:hAnsiTheme="minorHAnsi" w:cstheme="minorHAnsi"/>
          <w:sz w:val="22"/>
          <w:szCs w:val="22"/>
          <w:lang w:val="en-US"/>
        </w:rPr>
        <w:t xml:space="preserve">affects </w:t>
      </w:r>
      <w:r w:rsidR="00370394">
        <w:rPr>
          <w:rFonts w:asciiTheme="minorHAnsi" w:eastAsiaTheme="minorHAnsi" w:hAnsiTheme="minorHAnsi" w:cstheme="minorHAnsi"/>
          <w:sz w:val="22"/>
          <w:szCs w:val="22"/>
          <w:lang w:val="en-US"/>
        </w:rPr>
        <w:t xml:space="preserve">the </w:t>
      </w:r>
      <w:r w:rsidRPr="00353638">
        <w:rPr>
          <w:rFonts w:asciiTheme="minorHAnsi" w:eastAsiaTheme="minorHAnsi" w:hAnsiTheme="minorHAnsi" w:cstheme="minorHAnsi"/>
          <w:sz w:val="22"/>
          <w:szCs w:val="22"/>
          <w:lang w:val="en-US"/>
        </w:rPr>
        <w:t>molecular weight of alginate</w:t>
      </w:r>
      <w:r w:rsidR="00E853DB">
        <w:rPr>
          <w:rFonts w:asciiTheme="minorHAnsi" w:eastAsiaTheme="minorHAnsi" w:hAnsiTheme="minorHAnsi" w:cstheme="minorHAnsi"/>
          <w:sz w:val="22"/>
          <w:szCs w:val="22"/>
          <w:lang w:val="en-US"/>
        </w:rPr>
        <w:t xml:space="preserve"> [2]</w:t>
      </w:r>
      <w:r w:rsidR="00E853DB" w:rsidRPr="00353638">
        <w:rPr>
          <w:rFonts w:asciiTheme="minorHAnsi" w:eastAsiaTheme="minorHAnsi" w:hAnsiTheme="minorHAnsi" w:cstheme="minorHAnsi"/>
          <w:sz w:val="22"/>
          <w:szCs w:val="22"/>
          <w:lang w:val="en-US"/>
        </w:rPr>
        <w:t>.</w:t>
      </w:r>
      <w:r w:rsidRPr="00353638">
        <w:rPr>
          <w:rFonts w:asciiTheme="minorHAnsi" w:eastAsiaTheme="minorHAnsi" w:hAnsiTheme="minorHAnsi" w:cstheme="minorHAnsi"/>
          <w:sz w:val="22"/>
          <w:szCs w:val="22"/>
          <w:lang w:val="en-US"/>
        </w:rPr>
        <w:t xml:space="preserve"> </w:t>
      </w:r>
      <w:r w:rsidR="00B8433A" w:rsidRPr="00353638">
        <w:rPr>
          <w:rFonts w:asciiTheme="minorHAnsi" w:eastAsiaTheme="minorHAnsi" w:hAnsiTheme="minorHAnsi" w:cstheme="minorHAnsi"/>
          <w:sz w:val="22"/>
          <w:szCs w:val="22"/>
          <w:lang w:val="en-US"/>
        </w:rPr>
        <w:t xml:space="preserve">During the </w:t>
      </w:r>
      <w:r w:rsidR="00B8433A" w:rsidRPr="00353638">
        <w:rPr>
          <w:rFonts w:asciiTheme="minorHAnsi" w:hAnsiTheme="minorHAnsi" w:cstheme="minorHAnsi"/>
          <w:sz w:val="22"/>
          <w:szCs w:val="22"/>
          <w:lang w:val="en-US"/>
        </w:rPr>
        <w:t>stationary</w:t>
      </w:r>
      <w:r w:rsidR="00B8433A" w:rsidRPr="00353638">
        <w:rPr>
          <w:rFonts w:asciiTheme="minorHAnsi" w:eastAsiaTheme="minorHAnsi" w:hAnsiTheme="minorHAnsi" w:cstheme="minorHAnsi"/>
          <w:sz w:val="22"/>
          <w:szCs w:val="22"/>
          <w:lang w:val="en-US"/>
        </w:rPr>
        <w:t xml:space="preserve"> phase</w:t>
      </w:r>
      <w:r w:rsidR="00370394">
        <w:rPr>
          <w:rFonts w:asciiTheme="minorHAnsi" w:eastAsiaTheme="minorHAnsi" w:hAnsiTheme="minorHAnsi" w:cstheme="minorHAnsi"/>
          <w:sz w:val="22"/>
          <w:szCs w:val="22"/>
          <w:lang w:val="en-US"/>
        </w:rPr>
        <w:t xml:space="preserve"> of growth</w:t>
      </w:r>
      <w:r w:rsidR="00B8433A" w:rsidRPr="00353638">
        <w:rPr>
          <w:rFonts w:asciiTheme="minorHAnsi" w:eastAsiaTheme="minorHAnsi" w:hAnsiTheme="minorHAnsi" w:cstheme="minorHAnsi"/>
          <w:sz w:val="22"/>
          <w:szCs w:val="22"/>
          <w:lang w:val="en-US"/>
        </w:rPr>
        <w:t xml:space="preserve">, both the OTR and the MW alginate decrease. In order to produce alginates with an MW constant during the fermentation time, it is possible to perform cultures at constant OTR. The aim </w:t>
      </w:r>
      <w:r w:rsidR="00A37F78">
        <w:rPr>
          <w:rFonts w:asciiTheme="minorHAnsi" w:eastAsiaTheme="minorHAnsi" w:hAnsiTheme="minorHAnsi" w:cstheme="minorHAnsi"/>
          <w:sz w:val="22"/>
          <w:szCs w:val="22"/>
          <w:lang w:val="en-US"/>
        </w:rPr>
        <w:t>of this work was</w:t>
      </w:r>
      <w:r w:rsidR="00B8433A" w:rsidRPr="00353638">
        <w:rPr>
          <w:rFonts w:asciiTheme="minorHAnsi" w:hAnsiTheme="minorHAnsi" w:cstheme="minorHAnsi"/>
          <w:sz w:val="22"/>
          <w:szCs w:val="22"/>
          <w:lang w:val="en-US"/>
        </w:rPr>
        <w:t xml:space="preserve"> </w:t>
      </w:r>
      <w:r w:rsidR="00A37F78">
        <w:rPr>
          <w:rFonts w:asciiTheme="minorHAnsi" w:hAnsiTheme="minorHAnsi" w:cstheme="minorHAnsi"/>
          <w:sz w:val="22"/>
          <w:szCs w:val="22"/>
          <w:lang w:val="en-US"/>
        </w:rPr>
        <w:t xml:space="preserve">to </w:t>
      </w:r>
      <w:r w:rsidR="00A37F78" w:rsidRPr="00353638">
        <w:rPr>
          <w:rFonts w:asciiTheme="minorHAnsi" w:hAnsiTheme="minorHAnsi" w:cstheme="minorHAnsi"/>
          <w:sz w:val="22"/>
          <w:szCs w:val="22"/>
          <w:lang w:val="en-US"/>
        </w:rPr>
        <w:t>implement</w:t>
      </w:r>
      <w:r w:rsidR="00A37F78">
        <w:rPr>
          <w:rFonts w:asciiTheme="minorHAnsi" w:hAnsiTheme="minorHAnsi" w:cstheme="minorHAnsi"/>
          <w:sz w:val="22"/>
          <w:szCs w:val="22"/>
          <w:lang w:val="en-US"/>
        </w:rPr>
        <w:t xml:space="preserve"> </w:t>
      </w:r>
      <w:r w:rsidR="00B8433A" w:rsidRPr="00353638">
        <w:rPr>
          <w:rFonts w:asciiTheme="minorHAnsi" w:hAnsiTheme="minorHAnsi" w:cstheme="minorHAnsi"/>
          <w:sz w:val="22"/>
          <w:szCs w:val="22"/>
          <w:lang w:val="en-US"/>
        </w:rPr>
        <w:t xml:space="preserve">a control strategy </w:t>
      </w:r>
      <w:r w:rsidR="00370394">
        <w:rPr>
          <w:rFonts w:asciiTheme="minorHAnsi" w:hAnsiTheme="minorHAnsi" w:cstheme="minorHAnsi"/>
          <w:sz w:val="22"/>
          <w:szCs w:val="22"/>
          <w:lang w:val="en-US"/>
        </w:rPr>
        <w:t>for</w:t>
      </w:r>
      <w:r w:rsidR="00B8433A" w:rsidRPr="00353638">
        <w:rPr>
          <w:rFonts w:asciiTheme="minorHAnsi" w:hAnsiTheme="minorHAnsi" w:cstheme="minorHAnsi"/>
          <w:sz w:val="22"/>
          <w:szCs w:val="22"/>
          <w:lang w:val="en-US"/>
        </w:rPr>
        <w:t xml:space="preserve"> maintaining value of OTR</w:t>
      </w:r>
      <w:r w:rsidR="00A37F78">
        <w:rPr>
          <w:rFonts w:asciiTheme="minorHAnsi" w:hAnsiTheme="minorHAnsi" w:cstheme="minorHAnsi"/>
          <w:sz w:val="22"/>
          <w:szCs w:val="22"/>
          <w:lang w:val="en-US"/>
        </w:rPr>
        <w:t xml:space="preserve"> constant, </w:t>
      </w:r>
      <w:r w:rsidR="00B8433A" w:rsidRPr="00353638">
        <w:rPr>
          <w:rFonts w:asciiTheme="minorHAnsi" w:hAnsiTheme="minorHAnsi" w:cstheme="minorHAnsi"/>
          <w:sz w:val="22"/>
          <w:szCs w:val="22"/>
          <w:lang w:val="en-US"/>
        </w:rPr>
        <w:t xml:space="preserve">manipulating the oxygen in the feed gas. Thus, </w:t>
      </w:r>
      <w:r w:rsidR="00353638">
        <w:rPr>
          <w:rFonts w:asciiTheme="minorHAnsi" w:hAnsiTheme="minorHAnsi" w:cstheme="minorHAnsi"/>
          <w:sz w:val="22"/>
          <w:szCs w:val="22"/>
          <w:lang w:val="en-US"/>
        </w:rPr>
        <w:t xml:space="preserve">the alginate </w:t>
      </w:r>
      <w:r w:rsidR="00A37F78">
        <w:rPr>
          <w:rFonts w:asciiTheme="minorHAnsi" w:hAnsiTheme="minorHAnsi" w:cstheme="minorHAnsi"/>
          <w:sz w:val="22"/>
          <w:szCs w:val="22"/>
          <w:lang w:val="en-US"/>
        </w:rPr>
        <w:t>production</w:t>
      </w:r>
      <w:r w:rsidR="00353638">
        <w:rPr>
          <w:rFonts w:asciiTheme="minorHAnsi" w:hAnsiTheme="minorHAnsi" w:cstheme="minorHAnsi"/>
          <w:sz w:val="22"/>
          <w:szCs w:val="22"/>
          <w:lang w:val="en-US"/>
        </w:rPr>
        <w:t xml:space="preserve"> </w:t>
      </w:r>
      <w:proofErr w:type="gramStart"/>
      <w:r w:rsidR="00353638">
        <w:rPr>
          <w:rFonts w:asciiTheme="minorHAnsi" w:hAnsiTheme="minorHAnsi" w:cstheme="minorHAnsi"/>
          <w:sz w:val="22"/>
          <w:szCs w:val="22"/>
          <w:lang w:val="en-US"/>
        </w:rPr>
        <w:t>was evaluated</w:t>
      </w:r>
      <w:proofErr w:type="gramEnd"/>
      <w:r w:rsidR="00353638">
        <w:rPr>
          <w:rFonts w:asciiTheme="minorHAnsi" w:hAnsiTheme="minorHAnsi" w:cstheme="minorHAnsi"/>
          <w:sz w:val="22"/>
          <w:szCs w:val="22"/>
          <w:lang w:val="en-US"/>
        </w:rPr>
        <w:t xml:space="preserve"> </w:t>
      </w:r>
      <w:r w:rsidR="00A37F78" w:rsidRPr="00353638">
        <w:rPr>
          <w:rFonts w:asciiTheme="minorHAnsi" w:hAnsiTheme="minorHAnsi" w:cstheme="minorHAnsi"/>
          <w:sz w:val="22"/>
          <w:szCs w:val="22"/>
          <w:lang w:val="en-US"/>
        </w:rPr>
        <w:t>under OTR constant</w:t>
      </w:r>
      <w:r w:rsidR="00A37F78">
        <w:rPr>
          <w:rFonts w:asciiTheme="minorHAnsi" w:hAnsiTheme="minorHAnsi" w:cstheme="minorHAnsi"/>
          <w:sz w:val="22"/>
          <w:szCs w:val="22"/>
          <w:lang w:val="en-US"/>
        </w:rPr>
        <w:t>.</w:t>
      </w:r>
    </w:p>
    <w:p w:rsidR="00704BDF" w:rsidRDefault="00704BDF" w:rsidP="00370394">
      <w:pPr>
        <w:snapToGrid w:val="0"/>
        <w:spacing w:after="120"/>
        <w:rPr>
          <w:rFonts w:asciiTheme="minorHAnsi" w:eastAsia="MS PGothic" w:hAnsiTheme="minorHAnsi" w:cstheme="minorHAnsi"/>
          <w:b/>
          <w:bCs/>
          <w:color w:val="000000"/>
          <w:sz w:val="22"/>
          <w:szCs w:val="22"/>
          <w:lang w:val="en-US"/>
        </w:rPr>
      </w:pPr>
      <w:r w:rsidRPr="00353638">
        <w:rPr>
          <w:rFonts w:asciiTheme="minorHAnsi" w:eastAsia="MS PGothic" w:hAnsiTheme="minorHAnsi" w:cstheme="minorHAnsi"/>
          <w:b/>
          <w:bCs/>
          <w:color w:val="000000"/>
          <w:sz w:val="22"/>
          <w:szCs w:val="22"/>
          <w:lang w:val="en-US"/>
        </w:rPr>
        <w:t>2. Methods</w:t>
      </w:r>
    </w:p>
    <w:p w:rsidR="002F0DB3" w:rsidRPr="002F0DB3" w:rsidRDefault="0077414B" w:rsidP="002F0DB3">
      <w:pPr>
        <w:autoSpaceDE w:val="0"/>
        <w:autoSpaceDN w:val="0"/>
        <w:adjustRightInd w:val="0"/>
        <w:spacing w:after="120"/>
        <w:rPr>
          <w:rFonts w:asciiTheme="minorHAnsi" w:hAnsiTheme="minorHAnsi" w:cstheme="minorHAnsi"/>
          <w:sz w:val="22"/>
          <w:szCs w:val="22"/>
          <w:lang w:val="en-US"/>
        </w:rPr>
      </w:pPr>
      <w:r w:rsidRPr="002F0DB3">
        <w:rPr>
          <w:rFonts w:asciiTheme="minorHAnsi" w:eastAsiaTheme="minorHAnsi" w:hAnsiTheme="minorHAnsi" w:cstheme="minorHAnsi"/>
          <w:i/>
          <w:iCs/>
          <w:sz w:val="22"/>
          <w:szCs w:val="22"/>
          <w:lang w:val="en-US"/>
        </w:rPr>
        <w:t xml:space="preserve">A. vinelandii </w:t>
      </w:r>
      <w:r w:rsidRPr="002F0DB3">
        <w:rPr>
          <w:rFonts w:asciiTheme="minorHAnsi" w:eastAsiaTheme="minorHAnsi" w:hAnsiTheme="minorHAnsi" w:cstheme="minorHAnsi"/>
          <w:sz w:val="22"/>
          <w:szCs w:val="22"/>
          <w:lang w:val="en-US"/>
        </w:rPr>
        <w:t xml:space="preserve">ATCC 9046 </w:t>
      </w:r>
      <w:proofErr w:type="gramStart"/>
      <w:r w:rsidRPr="002F0DB3">
        <w:rPr>
          <w:rFonts w:asciiTheme="minorHAnsi" w:eastAsiaTheme="minorHAnsi" w:hAnsiTheme="minorHAnsi" w:cstheme="minorHAnsi"/>
          <w:sz w:val="22"/>
          <w:szCs w:val="22"/>
          <w:lang w:val="en-US"/>
        </w:rPr>
        <w:t>was used</w:t>
      </w:r>
      <w:proofErr w:type="gramEnd"/>
      <w:r w:rsidRPr="002F0DB3">
        <w:rPr>
          <w:rFonts w:asciiTheme="minorHAnsi" w:eastAsiaTheme="minorHAnsi" w:hAnsiTheme="minorHAnsi" w:cstheme="minorHAnsi"/>
          <w:sz w:val="22"/>
          <w:szCs w:val="22"/>
          <w:lang w:val="en-US"/>
        </w:rPr>
        <w:t xml:space="preserve">. The bacterium </w:t>
      </w:r>
      <w:proofErr w:type="gramStart"/>
      <w:r w:rsidR="00370394" w:rsidRPr="002F0DB3">
        <w:rPr>
          <w:rFonts w:asciiTheme="minorHAnsi" w:eastAsiaTheme="minorHAnsi" w:hAnsiTheme="minorHAnsi" w:cstheme="minorHAnsi"/>
          <w:sz w:val="22"/>
          <w:szCs w:val="22"/>
          <w:lang w:val="en-US"/>
        </w:rPr>
        <w:t>was grown</w:t>
      </w:r>
      <w:proofErr w:type="gramEnd"/>
      <w:r w:rsidR="00370394" w:rsidRPr="002F0DB3">
        <w:rPr>
          <w:rFonts w:asciiTheme="minorHAnsi" w:eastAsiaTheme="minorHAnsi" w:hAnsiTheme="minorHAnsi" w:cstheme="minorHAnsi"/>
          <w:sz w:val="22"/>
          <w:szCs w:val="22"/>
          <w:lang w:val="en-US"/>
        </w:rPr>
        <w:t xml:space="preserve"> under nitrogen fixation conditions, </w:t>
      </w:r>
      <w:r w:rsidRPr="002F0DB3">
        <w:rPr>
          <w:rFonts w:asciiTheme="minorHAnsi" w:eastAsiaTheme="minorHAnsi" w:hAnsiTheme="minorHAnsi" w:cstheme="minorHAnsi"/>
          <w:sz w:val="22"/>
          <w:szCs w:val="22"/>
          <w:lang w:val="en-US"/>
        </w:rPr>
        <w:t xml:space="preserve">using sucrose as carbon source. </w:t>
      </w:r>
      <w:r w:rsidR="007273CB" w:rsidRPr="002F0DB3">
        <w:rPr>
          <w:rFonts w:asciiTheme="minorHAnsi" w:eastAsiaTheme="minorHAnsi" w:hAnsiTheme="minorHAnsi" w:cstheme="minorHAnsi"/>
          <w:sz w:val="22"/>
          <w:szCs w:val="22"/>
          <w:lang w:val="en-US"/>
        </w:rPr>
        <w:t>Batch cultures were prepared in a 3-L bioreactor</w:t>
      </w:r>
      <w:r w:rsidR="00370394" w:rsidRPr="002F0DB3">
        <w:rPr>
          <w:rFonts w:asciiTheme="minorHAnsi" w:eastAsiaTheme="minorHAnsi" w:hAnsiTheme="minorHAnsi" w:cstheme="minorHAnsi"/>
          <w:sz w:val="22"/>
          <w:szCs w:val="22"/>
          <w:lang w:val="en-US"/>
        </w:rPr>
        <w:t xml:space="preserve"> (</w:t>
      </w:r>
      <w:r w:rsidR="007273CB" w:rsidRPr="002F0DB3">
        <w:rPr>
          <w:rFonts w:asciiTheme="minorHAnsi" w:eastAsiaTheme="minorHAnsi" w:hAnsiTheme="minorHAnsi" w:cstheme="minorHAnsi"/>
          <w:sz w:val="22"/>
          <w:szCs w:val="22"/>
          <w:lang w:val="en-US"/>
        </w:rPr>
        <w:t>working volume of 1.5-L</w:t>
      </w:r>
      <w:r w:rsidR="00370394" w:rsidRPr="002F0DB3">
        <w:rPr>
          <w:rFonts w:asciiTheme="minorHAnsi" w:eastAsiaTheme="minorHAnsi" w:hAnsiTheme="minorHAnsi" w:cstheme="minorHAnsi"/>
          <w:sz w:val="22"/>
          <w:szCs w:val="22"/>
          <w:lang w:val="en-US"/>
        </w:rPr>
        <w:t>)</w:t>
      </w:r>
      <w:r w:rsidR="007273CB" w:rsidRPr="002F0DB3">
        <w:rPr>
          <w:rFonts w:asciiTheme="minorHAnsi" w:eastAsiaTheme="minorHAnsi" w:hAnsiTheme="minorHAnsi" w:cstheme="minorHAnsi"/>
          <w:sz w:val="22"/>
          <w:szCs w:val="22"/>
          <w:lang w:val="en-US"/>
        </w:rPr>
        <w:t xml:space="preserve">. </w:t>
      </w:r>
      <w:r w:rsidR="00A03654" w:rsidRPr="002F0DB3">
        <w:rPr>
          <w:rFonts w:asciiTheme="minorHAnsi" w:eastAsiaTheme="minorHAnsi" w:hAnsiTheme="minorHAnsi" w:cstheme="minorHAnsi"/>
          <w:sz w:val="22"/>
          <w:szCs w:val="22"/>
          <w:lang w:val="en-US"/>
        </w:rPr>
        <w:t xml:space="preserve">The bioreactor </w:t>
      </w:r>
      <w:proofErr w:type="gramStart"/>
      <w:r w:rsidR="00A03654" w:rsidRPr="002F0DB3">
        <w:rPr>
          <w:rFonts w:asciiTheme="minorHAnsi" w:eastAsiaTheme="minorHAnsi" w:hAnsiTheme="minorHAnsi" w:cstheme="minorHAnsi"/>
          <w:sz w:val="22"/>
          <w:szCs w:val="22"/>
          <w:lang w:val="en-US"/>
        </w:rPr>
        <w:t>was operated</w:t>
      </w:r>
      <w:proofErr w:type="gramEnd"/>
      <w:r w:rsidR="00A03654" w:rsidRPr="002F0DB3">
        <w:rPr>
          <w:rFonts w:asciiTheme="minorHAnsi" w:eastAsiaTheme="minorHAnsi" w:hAnsiTheme="minorHAnsi" w:cstheme="minorHAnsi"/>
          <w:sz w:val="22"/>
          <w:szCs w:val="22"/>
          <w:lang w:val="en-US"/>
        </w:rPr>
        <w:t xml:space="preserve"> at 500 rpm and 30 °C. Mass flow meters/controllers </w:t>
      </w:r>
      <w:proofErr w:type="gramStart"/>
      <w:r w:rsidR="00A03654" w:rsidRPr="002F0DB3">
        <w:rPr>
          <w:rFonts w:asciiTheme="minorHAnsi" w:eastAsiaTheme="minorHAnsi" w:hAnsiTheme="minorHAnsi" w:cstheme="minorHAnsi"/>
          <w:sz w:val="22"/>
          <w:szCs w:val="22"/>
          <w:lang w:val="en-US"/>
        </w:rPr>
        <w:t>were used</w:t>
      </w:r>
      <w:proofErr w:type="gramEnd"/>
      <w:r w:rsidR="00A03654" w:rsidRPr="002F0DB3">
        <w:rPr>
          <w:rFonts w:asciiTheme="minorHAnsi" w:eastAsiaTheme="minorHAnsi" w:hAnsiTheme="minorHAnsi" w:cstheme="minorHAnsi"/>
          <w:sz w:val="22"/>
          <w:szCs w:val="22"/>
          <w:lang w:val="en-US"/>
        </w:rPr>
        <w:t xml:space="preserve"> to supply gases, keeping a constant value (1.5 L min</w:t>
      </w:r>
      <w:r w:rsidR="00A03654" w:rsidRPr="002F0DB3">
        <w:rPr>
          <w:rFonts w:asciiTheme="minorHAnsi" w:eastAsiaTheme="minorHAnsi" w:hAnsiTheme="minorHAnsi" w:cstheme="minorHAnsi"/>
          <w:sz w:val="22"/>
          <w:szCs w:val="22"/>
          <w:vertAlign w:val="superscript"/>
          <w:lang w:val="en-US"/>
        </w:rPr>
        <w:t>−1</w:t>
      </w:r>
      <w:r w:rsidR="00A03654" w:rsidRPr="002F0DB3">
        <w:rPr>
          <w:rFonts w:asciiTheme="minorHAnsi" w:eastAsiaTheme="minorHAnsi" w:hAnsiTheme="minorHAnsi" w:cstheme="minorHAnsi"/>
          <w:sz w:val="22"/>
          <w:szCs w:val="22"/>
          <w:lang w:val="en-US"/>
        </w:rPr>
        <w:t xml:space="preserve">) by the real-time operation computer control system. </w:t>
      </w:r>
      <w:r w:rsidR="00D20542" w:rsidRPr="002F0DB3">
        <w:rPr>
          <w:rFonts w:asciiTheme="minorHAnsi" w:eastAsiaTheme="minorHAnsi" w:hAnsiTheme="minorHAnsi" w:cstheme="minorHAnsi"/>
          <w:sz w:val="22"/>
          <w:szCs w:val="22"/>
          <w:lang w:val="en-US"/>
        </w:rPr>
        <w:t xml:space="preserve">The OTR </w:t>
      </w:r>
      <w:proofErr w:type="gramStart"/>
      <w:r w:rsidR="00D20542" w:rsidRPr="002F0DB3">
        <w:rPr>
          <w:rFonts w:asciiTheme="minorHAnsi" w:eastAsiaTheme="minorHAnsi" w:hAnsiTheme="minorHAnsi" w:cstheme="minorHAnsi"/>
          <w:sz w:val="22"/>
          <w:szCs w:val="22"/>
          <w:lang w:val="en-US"/>
        </w:rPr>
        <w:t>was estimated</w:t>
      </w:r>
      <w:proofErr w:type="gramEnd"/>
      <w:r w:rsidR="00D20542" w:rsidRPr="002F0DB3">
        <w:rPr>
          <w:rFonts w:asciiTheme="minorHAnsi" w:eastAsiaTheme="minorHAnsi" w:hAnsiTheme="minorHAnsi" w:cstheme="minorHAnsi"/>
          <w:sz w:val="22"/>
          <w:szCs w:val="22"/>
          <w:lang w:val="en-US"/>
        </w:rPr>
        <w:t xml:space="preserve"> by online measurements of the oxygen in the exit gas using a gas analyzer (Teledyne Instruments, model 7500). </w:t>
      </w:r>
      <w:r w:rsidR="00A03654" w:rsidRPr="002F0DB3">
        <w:rPr>
          <w:rFonts w:asciiTheme="minorHAnsi" w:eastAsiaTheme="minorHAnsi" w:hAnsiTheme="minorHAnsi" w:cstheme="minorHAnsi"/>
          <w:sz w:val="22"/>
          <w:szCs w:val="22"/>
          <w:lang w:val="en-US"/>
        </w:rPr>
        <w:t xml:space="preserve">The cultures </w:t>
      </w:r>
      <w:proofErr w:type="gramStart"/>
      <w:r w:rsidR="00A03654" w:rsidRPr="002F0DB3">
        <w:rPr>
          <w:rFonts w:asciiTheme="minorHAnsi" w:eastAsiaTheme="minorHAnsi" w:hAnsiTheme="minorHAnsi" w:cstheme="minorHAnsi"/>
          <w:sz w:val="22"/>
          <w:szCs w:val="22"/>
          <w:lang w:val="en-US"/>
        </w:rPr>
        <w:t xml:space="preserve">were </w:t>
      </w:r>
      <w:r w:rsidR="00D20542" w:rsidRPr="002F0DB3">
        <w:rPr>
          <w:rFonts w:asciiTheme="minorHAnsi" w:eastAsiaTheme="minorHAnsi" w:hAnsiTheme="minorHAnsi" w:cstheme="minorHAnsi"/>
          <w:sz w:val="22"/>
          <w:szCs w:val="22"/>
          <w:lang w:val="en-US"/>
        </w:rPr>
        <w:t>conducted</w:t>
      </w:r>
      <w:proofErr w:type="gramEnd"/>
      <w:r w:rsidR="00D20542" w:rsidRPr="002F0DB3">
        <w:rPr>
          <w:rFonts w:asciiTheme="minorHAnsi" w:eastAsiaTheme="minorHAnsi" w:hAnsiTheme="minorHAnsi" w:cstheme="minorHAnsi"/>
          <w:sz w:val="22"/>
          <w:szCs w:val="22"/>
          <w:lang w:val="en-US"/>
        </w:rPr>
        <w:t xml:space="preserve"> under controlled OTR or without controlling OTR. The OTR</w:t>
      </w:r>
      <w:r w:rsidR="00A03654" w:rsidRPr="002F0DB3">
        <w:rPr>
          <w:rFonts w:asciiTheme="minorHAnsi" w:eastAsiaTheme="minorHAnsi" w:hAnsiTheme="minorHAnsi" w:cstheme="minorHAnsi"/>
          <w:sz w:val="22"/>
          <w:szCs w:val="22"/>
          <w:lang w:val="en-US"/>
        </w:rPr>
        <w:t xml:space="preserve"> </w:t>
      </w:r>
      <w:proofErr w:type="gramStart"/>
      <w:r w:rsidR="00A03654" w:rsidRPr="002F0DB3">
        <w:rPr>
          <w:rFonts w:asciiTheme="minorHAnsi" w:eastAsiaTheme="minorHAnsi" w:hAnsiTheme="minorHAnsi" w:cstheme="minorHAnsi"/>
          <w:sz w:val="22"/>
          <w:szCs w:val="22"/>
          <w:lang w:val="en-US"/>
        </w:rPr>
        <w:t>was controlled</w:t>
      </w:r>
      <w:proofErr w:type="gramEnd"/>
      <w:r w:rsidR="00A03654" w:rsidRPr="002F0DB3">
        <w:rPr>
          <w:rFonts w:asciiTheme="minorHAnsi" w:eastAsiaTheme="minorHAnsi" w:hAnsiTheme="minorHAnsi" w:cstheme="minorHAnsi"/>
          <w:sz w:val="22"/>
          <w:szCs w:val="22"/>
          <w:lang w:val="en-US"/>
        </w:rPr>
        <w:t xml:space="preserve"> by gas</w:t>
      </w:r>
      <w:r w:rsidR="00D20542" w:rsidRPr="002F0DB3">
        <w:rPr>
          <w:rFonts w:asciiTheme="minorHAnsi" w:eastAsiaTheme="minorHAnsi" w:hAnsiTheme="minorHAnsi" w:cstheme="minorHAnsi"/>
          <w:sz w:val="22"/>
          <w:szCs w:val="22"/>
          <w:lang w:val="en-US"/>
        </w:rPr>
        <w:t xml:space="preserve"> </w:t>
      </w:r>
      <w:r w:rsidR="00A03654" w:rsidRPr="002F0DB3">
        <w:rPr>
          <w:rFonts w:asciiTheme="minorHAnsi" w:eastAsiaTheme="minorHAnsi" w:hAnsiTheme="minorHAnsi" w:cstheme="minorHAnsi"/>
          <w:sz w:val="22"/>
          <w:szCs w:val="22"/>
          <w:lang w:val="en-US"/>
        </w:rPr>
        <w:t>blending, using a system based on a proportional-integral control, which automatically adapted the</w:t>
      </w:r>
      <w:r w:rsidR="00D20542" w:rsidRPr="002F0DB3">
        <w:rPr>
          <w:rFonts w:asciiTheme="minorHAnsi" w:eastAsiaTheme="minorHAnsi" w:hAnsiTheme="minorHAnsi" w:cstheme="minorHAnsi"/>
          <w:sz w:val="22"/>
          <w:szCs w:val="22"/>
          <w:lang w:val="en-US"/>
        </w:rPr>
        <w:t xml:space="preserve"> </w:t>
      </w:r>
      <w:r w:rsidR="00A03654" w:rsidRPr="002F0DB3">
        <w:rPr>
          <w:rFonts w:asciiTheme="minorHAnsi" w:eastAsiaTheme="minorHAnsi" w:hAnsiTheme="minorHAnsi" w:cstheme="minorHAnsi"/>
          <w:sz w:val="22"/>
          <w:szCs w:val="22"/>
          <w:lang w:val="en-US"/>
        </w:rPr>
        <w:t>proportions of nitrogen and oxygen in the inflowing gas</w:t>
      </w:r>
      <w:r w:rsidR="00D20542" w:rsidRPr="002F0DB3">
        <w:rPr>
          <w:rFonts w:asciiTheme="minorHAnsi" w:eastAsiaTheme="minorHAnsi" w:hAnsiTheme="minorHAnsi" w:cstheme="minorHAnsi"/>
          <w:sz w:val="22"/>
          <w:szCs w:val="22"/>
          <w:lang w:val="en-US"/>
        </w:rPr>
        <w:t xml:space="preserve"> </w:t>
      </w:r>
      <w:r w:rsidR="00A03654" w:rsidRPr="002F0DB3">
        <w:rPr>
          <w:rFonts w:asciiTheme="minorHAnsi" w:eastAsiaTheme="minorHAnsi" w:hAnsiTheme="minorHAnsi" w:cstheme="minorHAnsi"/>
          <w:sz w:val="22"/>
          <w:szCs w:val="22"/>
          <w:lang w:val="en-US"/>
        </w:rPr>
        <w:t>through mass flow controllers (Brooks Instruments, model</w:t>
      </w:r>
      <w:r w:rsidR="00D20542" w:rsidRPr="002F0DB3">
        <w:rPr>
          <w:rFonts w:asciiTheme="minorHAnsi" w:eastAsiaTheme="minorHAnsi" w:hAnsiTheme="minorHAnsi" w:cstheme="minorHAnsi"/>
          <w:sz w:val="22"/>
          <w:szCs w:val="22"/>
          <w:lang w:val="en-US"/>
        </w:rPr>
        <w:t xml:space="preserve"> </w:t>
      </w:r>
      <w:r w:rsidR="00A03654" w:rsidRPr="002F0DB3">
        <w:rPr>
          <w:rFonts w:asciiTheme="minorHAnsi" w:eastAsiaTheme="minorHAnsi" w:hAnsiTheme="minorHAnsi" w:cstheme="minorHAnsi"/>
          <w:sz w:val="22"/>
          <w:szCs w:val="22"/>
          <w:lang w:val="en-US"/>
        </w:rPr>
        <w:t xml:space="preserve">SLA5800). </w:t>
      </w:r>
      <w:r w:rsidR="002F0DB3" w:rsidRPr="002F0DB3">
        <w:rPr>
          <w:rFonts w:asciiTheme="minorHAnsi" w:hAnsiTheme="minorHAnsi" w:cstheme="minorHAnsi"/>
          <w:color w:val="141314"/>
          <w:sz w:val="22"/>
          <w:szCs w:val="22"/>
          <w:lang w:val="en-US"/>
        </w:rPr>
        <w:t xml:space="preserve">Samples of cultures (20 ml) </w:t>
      </w:r>
      <w:proofErr w:type="gramStart"/>
      <w:r w:rsidR="002F0DB3" w:rsidRPr="002F0DB3">
        <w:rPr>
          <w:rFonts w:asciiTheme="minorHAnsi" w:hAnsiTheme="minorHAnsi" w:cstheme="minorHAnsi"/>
          <w:color w:val="141314"/>
          <w:sz w:val="22"/>
          <w:szCs w:val="22"/>
          <w:lang w:val="en-US"/>
        </w:rPr>
        <w:t>were withdrawn</w:t>
      </w:r>
      <w:proofErr w:type="gramEnd"/>
      <w:r w:rsidR="002F0DB3" w:rsidRPr="002F0DB3">
        <w:rPr>
          <w:rFonts w:asciiTheme="minorHAnsi" w:hAnsiTheme="minorHAnsi" w:cstheme="minorHAnsi"/>
          <w:color w:val="141314"/>
          <w:sz w:val="22"/>
          <w:szCs w:val="22"/>
          <w:lang w:val="en-US"/>
        </w:rPr>
        <w:t xml:space="preserve"> from the bioreactor for analytical measurements. All experiments </w:t>
      </w:r>
      <w:proofErr w:type="gramStart"/>
      <w:r w:rsidR="002F0DB3" w:rsidRPr="002F0DB3">
        <w:rPr>
          <w:rFonts w:asciiTheme="minorHAnsi" w:hAnsiTheme="minorHAnsi" w:cstheme="minorHAnsi"/>
          <w:color w:val="141314"/>
          <w:sz w:val="22"/>
          <w:szCs w:val="22"/>
          <w:lang w:val="en-US"/>
        </w:rPr>
        <w:t>were conducted</w:t>
      </w:r>
      <w:proofErr w:type="gramEnd"/>
      <w:r w:rsidR="002F0DB3" w:rsidRPr="002F0DB3">
        <w:rPr>
          <w:rFonts w:asciiTheme="minorHAnsi" w:hAnsiTheme="minorHAnsi" w:cstheme="minorHAnsi"/>
          <w:color w:val="141314"/>
          <w:sz w:val="22"/>
          <w:szCs w:val="22"/>
          <w:lang w:val="en-US"/>
        </w:rPr>
        <w:t xml:space="preserve"> in triplicate.</w:t>
      </w:r>
    </w:p>
    <w:p w:rsidR="007273CB" w:rsidRPr="007273CB" w:rsidRDefault="007273CB" w:rsidP="00370394">
      <w:pPr>
        <w:tabs>
          <w:tab w:val="clear" w:pos="7100"/>
        </w:tabs>
        <w:autoSpaceDE w:val="0"/>
        <w:autoSpaceDN w:val="0"/>
        <w:adjustRightInd w:val="0"/>
        <w:spacing w:after="120"/>
        <w:rPr>
          <w:rFonts w:asciiTheme="minorHAnsi" w:eastAsiaTheme="minorHAnsi" w:hAnsiTheme="minorHAnsi" w:cstheme="minorHAnsi"/>
          <w:b/>
          <w:sz w:val="22"/>
          <w:szCs w:val="22"/>
          <w:lang w:val="en-US"/>
        </w:rPr>
      </w:pPr>
    </w:p>
    <w:p w:rsidR="00704BDF" w:rsidRPr="008336C7" w:rsidRDefault="00704BDF" w:rsidP="00370394">
      <w:pPr>
        <w:snapToGrid w:val="0"/>
        <w:spacing w:after="120"/>
        <w:rPr>
          <w:rFonts w:asciiTheme="minorHAnsi" w:eastAsia="MS PGothic" w:hAnsiTheme="minorHAnsi"/>
          <w:color w:val="000000"/>
          <w:sz w:val="22"/>
          <w:szCs w:val="22"/>
          <w:lang w:val="en-US"/>
        </w:rPr>
      </w:pPr>
      <w:r w:rsidRPr="008336C7">
        <w:rPr>
          <w:rFonts w:asciiTheme="minorHAnsi" w:eastAsia="MS PGothic" w:hAnsiTheme="minorHAnsi"/>
          <w:b/>
          <w:bCs/>
          <w:color w:val="000000"/>
          <w:sz w:val="22"/>
          <w:szCs w:val="22"/>
          <w:lang w:val="en-US"/>
        </w:rPr>
        <w:lastRenderedPageBreak/>
        <w:t>3. Results and discussion</w:t>
      </w:r>
    </w:p>
    <w:p w:rsidR="00556A6F" w:rsidRDefault="003E6147" w:rsidP="00370394">
      <w:pPr>
        <w:snapToGrid w:val="0"/>
        <w:spacing w:after="120"/>
        <w:rPr>
          <w:rFonts w:asciiTheme="minorHAnsi" w:eastAsiaTheme="minorHAnsi" w:hAnsiTheme="minorHAnsi" w:cstheme="minorHAnsi"/>
          <w:sz w:val="22"/>
          <w:szCs w:val="22"/>
          <w:lang w:val="en-US"/>
        </w:rPr>
      </w:pPr>
      <w:r>
        <w:rPr>
          <w:rFonts w:asciiTheme="minorHAnsi" w:eastAsia="MS PGothic" w:hAnsiTheme="minorHAnsi"/>
          <w:color w:val="000000"/>
          <w:sz w:val="22"/>
          <w:szCs w:val="22"/>
          <w:lang w:val="en-US"/>
        </w:rPr>
        <w:t xml:space="preserve">Figure </w:t>
      </w:r>
      <w:r w:rsidR="00370394">
        <w:rPr>
          <w:rFonts w:asciiTheme="minorHAnsi" w:eastAsia="MS PGothic" w:hAnsiTheme="minorHAnsi"/>
          <w:color w:val="000000"/>
          <w:sz w:val="22"/>
          <w:szCs w:val="22"/>
          <w:lang w:val="en-US"/>
        </w:rPr>
        <w:t>1</w:t>
      </w:r>
      <w:r w:rsidR="00EE3384" w:rsidRPr="00EE3384">
        <w:rPr>
          <w:rFonts w:asciiTheme="minorHAnsi" w:eastAsia="MS PGothic" w:hAnsiTheme="minorHAnsi"/>
          <w:color w:val="000000"/>
          <w:sz w:val="22"/>
          <w:szCs w:val="22"/>
          <w:lang w:val="en-US"/>
        </w:rPr>
        <w:t xml:space="preserve"> shows the </w:t>
      </w:r>
      <w:r w:rsidR="00EE3384">
        <w:rPr>
          <w:rFonts w:asciiTheme="minorHAnsi" w:eastAsia="MS PGothic" w:hAnsiTheme="minorHAnsi"/>
          <w:color w:val="000000"/>
          <w:sz w:val="22"/>
          <w:szCs w:val="22"/>
          <w:lang w:val="en-US"/>
        </w:rPr>
        <w:t>cell</w:t>
      </w:r>
      <w:r w:rsidR="00EE3384" w:rsidRPr="00EE3384">
        <w:rPr>
          <w:rFonts w:asciiTheme="minorHAnsi" w:eastAsia="MS PGothic" w:hAnsiTheme="minorHAnsi"/>
          <w:color w:val="000000"/>
          <w:sz w:val="22"/>
          <w:szCs w:val="22"/>
          <w:lang w:val="en-US"/>
        </w:rPr>
        <w:t xml:space="preserve"> growth and OTR evolution </w:t>
      </w:r>
      <w:r w:rsidR="00EE3384" w:rsidRPr="00EE3384">
        <w:rPr>
          <w:rFonts w:asciiTheme="minorHAnsi" w:eastAsiaTheme="minorHAnsi" w:hAnsiTheme="minorHAnsi" w:cstheme="minorHAnsi"/>
          <w:sz w:val="22"/>
          <w:szCs w:val="22"/>
          <w:lang w:val="en-US"/>
        </w:rPr>
        <w:t xml:space="preserve">under controlled OTR </w:t>
      </w:r>
      <w:r w:rsidR="008336C7">
        <w:rPr>
          <w:rFonts w:asciiTheme="minorHAnsi" w:eastAsiaTheme="minorHAnsi" w:hAnsiTheme="minorHAnsi" w:cstheme="minorHAnsi"/>
          <w:sz w:val="22"/>
          <w:szCs w:val="22"/>
          <w:lang w:val="en-US"/>
        </w:rPr>
        <w:t xml:space="preserve">and </w:t>
      </w:r>
      <w:r w:rsidR="00EE3384" w:rsidRPr="00EE3384">
        <w:rPr>
          <w:rFonts w:asciiTheme="minorHAnsi" w:eastAsiaTheme="minorHAnsi" w:hAnsiTheme="minorHAnsi" w:cstheme="minorHAnsi"/>
          <w:sz w:val="22"/>
          <w:szCs w:val="22"/>
          <w:lang w:val="en-US"/>
        </w:rPr>
        <w:t>without controlling OTR.</w:t>
      </w:r>
      <w:r w:rsidR="00EE3384">
        <w:rPr>
          <w:rFonts w:asciiTheme="minorHAnsi" w:eastAsiaTheme="minorHAnsi" w:hAnsiTheme="minorHAnsi" w:cstheme="minorHAnsi"/>
          <w:sz w:val="22"/>
          <w:szCs w:val="22"/>
          <w:lang w:val="en-US"/>
        </w:rPr>
        <w:t xml:space="preserve"> In the cultures without controlling OTR, the maximum biomass (6.7 g</w:t>
      </w:r>
      <w:r w:rsidR="00BD4CFE">
        <w:rPr>
          <w:rFonts w:asciiTheme="minorHAnsi" w:eastAsiaTheme="minorHAnsi" w:hAnsiTheme="minorHAnsi" w:cstheme="minorHAnsi"/>
          <w:sz w:val="22"/>
          <w:szCs w:val="22"/>
          <w:lang w:val="en-US"/>
        </w:rPr>
        <w:t xml:space="preserve"> L</w:t>
      </w:r>
      <w:r w:rsidR="00BD4CFE" w:rsidRPr="00BD4CFE">
        <w:rPr>
          <w:rFonts w:asciiTheme="minorHAnsi" w:eastAsiaTheme="minorHAnsi" w:hAnsiTheme="minorHAnsi" w:cstheme="minorHAnsi"/>
          <w:sz w:val="22"/>
          <w:szCs w:val="22"/>
          <w:vertAlign w:val="superscript"/>
          <w:lang w:val="en-US"/>
        </w:rPr>
        <w:t>-1</w:t>
      </w:r>
      <w:r w:rsidR="00EE3384">
        <w:rPr>
          <w:rFonts w:asciiTheme="minorHAnsi" w:eastAsiaTheme="minorHAnsi" w:hAnsiTheme="minorHAnsi" w:cstheme="minorHAnsi"/>
          <w:sz w:val="22"/>
          <w:szCs w:val="22"/>
          <w:lang w:val="en-US"/>
        </w:rPr>
        <w:t xml:space="preserve">) was higher as compared to under OTR control (5.0 </w:t>
      </w:r>
      <w:r w:rsidR="00BD4CFE">
        <w:rPr>
          <w:rFonts w:asciiTheme="minorHAnsi" w:eastAsiaTheme="minorHAnsi" w:hAnsiTheme="minorHAnsi" w:cstheme="minorHAnsi"/>
          <w:sz w:val="22"/>
          <w:szCs w:val="22"/>
          <w:lang w:val="en-US"/>
        </w:rPr>
        <w:t>g L</w:t>
      </w:r>
      <w:r w:rsidR="00BD4CFE" w:rsidRPr="00BD4CFE">
        <w:rPr>
          <w:rFonts w:asciiTheme="minorHAnsi" w:eastAsiaTheme="minorHAnsi" w:hAnsiTheme="minorHAnsi" w:cstheme="minorHAnsi"/>
          <w:sz w:val="22"/>
          <w:szCs w:val="22"/>
          <w:vertAlign w:val="superscript"/>
          <w:lang w:val="en-US"/>
        </w:rPr>
        <w:t>-1</w:t>
      </w:r>
      <w:r w:rsidR="00EE3384">
        <w:rPr>
          <w:rFonts w:asciiTheme="minorHAnsi" w:eastAsiaTheme="minorHAnsi" w:hAnsiTheme="minorHAnsi" w:cstheme="minorHAnsi"/>
          <w:sz w:val="22"/>
          <w:szCs w:val="22"/>
          <w:lang w:val="en-US"/>
        </w:rPr>
        <w:t xml:space="preserve">). During the cell growth phase, the cultures </w:t>
      </w:r>
      <w:r w:rsidR="00BD4CFE">
        <w:rPr>
          <w:rFonts w:asciiTheme="minorHAnsi" w:eastAsiaTheme="minorHAnsi" w:hAnsiTheme="minorHAnsi" w:cstheme="minorHAnsi"/>
          <w:sz w:val="22"/>
          <w:szCs w:val="22"/>
          <w:lang w:val="en-US"/>
        </w:rPr>
        <w:t>performed</w:t>
      </w:r>
      <w:r w:rsidR="00EE3384">
        <w:rPr>
          <w:rFonts w:asciiTheme="minorHAnsi" w:eastAsiaTheme="minorHAnsi" w:hAnsiTheme="minorHAnsi" w:cstheme="minorHAnsi"/>
          <w:sz w:val="22"/>
          <w:szCs w:val="22"/>
          <w:lang w:val="en-US"/>
        </w:rPr>
        <w:t xml:space="preserve"> without OTR control </w:t>
      </w:r>
      <w:r w:rsidR="008336C7">
        <w:rPr>
          <w:rFonts w:asciiTheme="minorHAnsi" w:eastAsiaTheme="minorHAnsi" w:hAnsiTheme="minorHAnsi" w:cstheme="minorHAnsi"/>
          <w:sz w:val="22"/>
          <w:szCs w:val="22"/>
          <w:lang w:val="en-US"/>
        </w:rPr>
        <w:t>show</w:t>
      </w:r>
      <w:r w:rsidR="00BD4CFE">
        <w:rPr>
          <w:rFonts w:asciiTheme="minorHAnsi" w:eastAsiaTheme="minorHAnsi" w:hAnsiTheme="minorHAnsi" w:cstheme="minorHAnsi"/>
          <w:sz w:val="22"/>
          <w:szCs w:val="22"/>
          <w:lang w:val="en-US"/>
        </w:rPr>
        <w:t>n</w:t>
      </w:r>
      <w:r w:rsidR="008336C7">
        <w:rPr>
          <w:rFonts w:asciiTheme="minorHAnsi" w:eastAsiaTheme="minorHAnsi" w:hAnsiTheme="minorHAnsi" w:cstheme="minorHAnsi"/>
          <w:sz w:val="22"/>
          <w:szCs w:val="22"/>
          <w:lang w:val="en-US"/>
        </w:rPr>
        <w:t xml:space="preserve"> an</w:t>
      </w:r>
      <w:r w:rsidR="00EE3384">
        <w:rPr>
          <w:rFonts w:asciiTheme="minorHAnsi" w:eastAsiaTheme="minorHAnsi" w:hAnsiTheme="minorHAnsi" w:cstheme="minorHAnsi"/>
          <w:sz w:val="22"/>
          <w:szCs w:val="22"/>
          <w:lang w:val="en-US"/>
        </w:rPr>
        <w:t xml:space="preserve"> OTR constant, which is indicative of oxygen-limited conditions. </w:t>
      </w:r>
      <w:r w:rsidR="00CA3FD3">
        <w:rPr>
          <w:rFonts w:asciiTheme="minorHAnsi" w:eastAsiaTheme="minorHAnsi" w:hAnsiTheme="minorHAnsi" w:cstheme="minorHAnsi"/>
          <w:sz w:val="22"/>
          <w:szCs w:val="22"/>
          <w:lang w:val="en-US"/>
        </w:rPr>
        <w:t xml:space="preserve">After 40 h of </w:t>
      </w:r>
      <w:proofErr w:type="gramStart"/>
      <w:r w:rsidR="00AC5596">
        <w:rPr>
          <w:rFonts w:asciiTheme="minorHAnsi" w:eastAsiaTheme="minorHAnsi" w:hAnsiTheme="minorHAnsi" w:cstheme="minorHAnsi"/>
          <w:sz w:val="22"/>
          <w:szCs w:val="22"/>
          <w:lang w:val="en-US"/>
        </w:rPr>
        <w:t>cultivation</w:t>
      </w:r>
      <w:proofErr w:type="gramEnd"/>
      <w:r w:rsidR="00AC5596">
        <w:rPr>
          <w:rFonts w:asciiTheme="minorHAnsi" w:eastAsiaTheme="minorHAnsi" w:hAnsiTheme="minorHAnsi" w:cstheme="minorHAnsi"/>
          <w:sz w:val="22"/>
          <w:szCs w:val="22"/>
          <w:lang w:val="en-US"/>
        </w:rPr>
        <w:t xml:space="preserve"> </w:t>
      </w:r>
      <w:r w:rsidR="00BD4CFE">
        <w:rPr>
          <w:rFonts w:asciiTheme="minorHAnsi" w:eastAsiaTheme="minorHAnsi" w:hAnsiTheme="minorHAnsi" w:cstheme="minorHAnsi"/>
          <w:sz w:val="22"/>
          <w:szCs w:val="22"/>
          <w:lang w:val="en-US"/>
        </w:rPr>
        <w:t>(cells stopped the growing)</w:t>
      </w:r>
      <w:r w:rsidR="00CA3FD3">
        <w:rPr>
          <w:rFonts w:asciiTheme="minorHAnsi" w:eastAsiaTheme="minorHAnsi" w:hAnsiTheme="minorHAnsi" w:cstheme="minorHAnsi"/>
          <w:sz w:val="22"/>
          <w:szCs w:val="22"/>
          <w:lang w:val="en-US"/>
        </w:rPr>
        <w:t xml:space="preserve">, </w:t>
      </w:r>
      <w:r w:rsidR="008336C7">
        <w:rPr>
          <w:rFonts w:asciiTheme="minorHAnsi" w:eastAsiaTheme="minorHAnsi" w:hAnsiTheme="minorHAnsi" w:cstheme="minorHAnsi"/>
          <w:sz w:val="22"/>
          <w:szCs w:val="22"/>
          <w:lang w:val="en-US"/>
        </w:rPr>
        <w:t xml:space="preserve">in the cultures conducted under OTR controlled, the OTR was </w:t>
      </w:r>
      <w:r w:rsidR="00BD4CFE">
        <w:rPr>
          <w:rFonts w:asciiTheme="minorHAnsi" w:eastAsiaTheme="minorHAnsi" w:hAnsiTheme="minorHAnsi" w:cstheme="minorHAnsi"/>
          <w:sz w:val="22"/>
          <w:szCs w:val="22"/>
          <w:lang w:val="en-US"/>
        </w:rPr>
        <w:t xml:space="preserve">constant, reaching 20 </w:t>
      </w:r>
      <w:proofErr w:type="spellStart"/>
      <w:r w:rsidR="00BD4CFE">
        <w:rPr>
          <w:rFonts w:asciiTheme="minorHAnsi" w:eastAsiaTheme="minorHAnsi" w:hAnsiTheme="minorHAnsi" w:cstheme="minorHAnsi"/>
          <w:sz w:val="22"/>
          <w:szCs w:val="22"/>
          <w:lang w:val="en-US"/>
        </w:rPr>
        <w:t>mmol</w:t>
      </w:r>
      <w:proofErr w:type="spellEnd"/>
      <w:r w:rsidR="00BD4CFE">
        <w:rPr>
          <w:rFonts w:asciiTheme="minorHAnsi" w:eastAsiaTheme="minorHAnsi" w:hAnsiTheme="minorHAnsi" w:cstheme="minorHAnsi"/>
          <w:sz w:val="22"/>
          <w:szCs w:val="22"/>
          <w:lang w:val="en-US"/>
        </w:rPr>
        <w:t xml:space="preserve"> L</w:t>
      </w:r>
      <w:r w:rsidR="00BD4CFE" w:rsidRPr="00BD4CFE">
        <w:rPr>
          <w:rFonts w:asciiTheme="minorHAnsi" w:eastAsiaTheme="minorHAnsi" w:hAnsiTheme="minorHAnsi" w:cstheme="minorHAnsi"/>
          <w:sz w:val="22"/>
          <w:szCs w:val="22"/>
          <w:vertAlign w:val="superscript"/>
          <w:lang w:val="en-US"/>
        </w:rPr>
        <w:t>-1</w:t>
      </w:r>
      <w:r w:rsidR="008336C7">
        <w:rPr>
          <w:rFonts w:asciiTheme="minorHAnsi" w:eastAsiaTheme="minorHAnsi" w:hAnsiTheme="minorHAnsi" w:cstheme="minorHAnsi"/>
          <w:sz w:val="22"/>
          <w:szCs w:val="22"/>
          <w:lang w:val="en-US"/>
        </w:rPr>
        <w:t xml:space="preserve"> h</w:t>
      </w:r>
      <w:r w:rsidR="00BD4CFE" w:rsidRPr="00BD4CFE">
        <w:rPr>
          <w:rFonts w:asciiTheme="minorHAnsi" w:eastAsiaTheme="minorHAnsi" w:hAnsiTheme="minorHAnsi" w:cstheme="minorHAnsi"/>
          <w:sz w:val="22"/>
          <w:szCs w:val="22"/>
          <w:vertAlign w:val="superscript"/>
          <w:lang w:val="en-US"/>
        </w:rPr>
        <w:t>-1</w:t>
      </w:r>
      <w:r w:rsidR="008336C7">
        <w:rPr>
          <w:rFonts w:asciiTheme="minorHAnsi" w:eastAsiaTheme="minorHAnsi" w:hAnsiTheme="minorHAnsi" w:cstheme="minorHAnsi"/>
          <w:sz w:val="22"/>
          <w:szCs w:val="22"/>
          <w:lang w:val="en-U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400"/>
      </w:tblGrid>
      <w:tr w:rsidR="00470AC5" w:rsidTr="008B74EE">
        <w:trPr>
          <w:trHeight w:val="3325"/>
        </w:trPr>
        <w:tc>
          <w:tcPr>
            <w:tcW w:w="4367" w:type="dxa"/>
          </w:tcPr>
          <w:p w:rsidR="00556A6F" w:rsidRDefault="00470AC5" w:rsidP="00AB6C2C">
            <w:pPr>
              <w:snapToGrid w:val="0"/>
              <w:spacing w:after="120"/>
              <w:jc w:val="center"/>
              <w:rPr>
                <w:rFonts w:asciiTheme="minorHAnsi" w:eastAsiaTheme="minorHAnsi" w:hAnsiTheme="minorHAnsi" w:cstheme="minorHAnsi"/>
                <w:sz w:val="22"/>
                <w:szCs w:val="22"/>
                <w:lang w:val="en-US"/>
              </w:rPr>
            </w:pPr>
            <w:r>
              <w:rPr>
                <w:rFonts w:asciiTheme="minorHAnsi" w:eastAsiaTheme="minorHAnsi" w:hAnsiTheme="minorHAnsi" w:cstheme="minorHAnsi"/>
                <w:noProof/>
                <w:sz w:val="22"/>
                <w:szCs w:val="22"/>
                <w:lang w:val="es-CL" w:eastAsia="es-CL"/>
              </w:rPr>
              <w:drawing>
                <wp:inline distT="0" distB="0" distL="0" distR="0">
                  <wp:extent cx="2126341" cy="2532185"/>
                  <wp:effectExtent l="0" t="0" r="7620" b="1905"/>
                  <wp:docPr id="11" name="Imagen 11" descr="C:\Users\belen\Desktop\figura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len\Desktop\figura 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1748" cy="2621985"/>
                          </a:xfrm>
                          <a:prstGeom prst="rect">
                            <a:avLst/>
                          </a:prstGeom>
                          <a:noFill/>
                          <a:ln>
                            <a:noFill/>
                          </a:ln>
                        </pic:spPr>
                      </pic:pic>
                    </a:graphicData>
                  </a:graphic>
                </wp:inline>
              </w:drawing>
            </w:r>
          </w:p>
          <w:p w:rsidR="003E6147" w:rsidRDefault="003E6147" w:rsidP="00AB6C2C">
            <w:pPr>
              <w:snapToGrid w:val="0"/>
              <w:spacing w:after="120"/>
              <w:jc w:val="center"/>
              <w:rPr>
                <w:rFonts w:asciiTheme="minorHAnsi" w:eastAsiaTheme="minorHAnsi" w:hAnsiTheme="minorHAnsi" w:cstheme="minorHAnsi"/>
                <w:sz w:val="22"/>
                <w:szCs w:val="22"/>
                <w:lang w:val="en-US"/>
              </w:rPr>
            </w:pPr>
          </w:p>
          <w:p w:rsidR="00556A6F" w:rsidRPr="00BD4CFE" w:rsidRDefault="00556A6F" w:rsidP="00370394">
            <w:pPr>
              <w:snapToGrid w:val="0"/>
              <w:spacing w:after="120"/>
              <w:jc w:val="center"/>
              <w:rPr>
                <w:rFonts w:asciiTheme="minorHAnsi" w:eastAsiaTheme="minorHAnsi" w:hAnsiTheme="minorHAnsi" w:cstheme="minorHAnsi"/>
                <w:szCs w:val="18"/>
                <w:lang w:val="en-US"/>
              </w:rPr>
            </w:pPr>
            <w:r w:rsidRPr="00BD4CFE">
              <w:rPr>
                <w:rFonts w:asciiTheme="minorHAnsi" w:eastAsiaTheme="minorHAnsi" w:hAnsiTheme="minorHAnsi" w:cstheme="minorHAnsi"/>
                <w:b/>
                <w:szCs w:val="18"/>
                <w:lang w:val="en-US"/>
              </w:rPr>
              <w:t xml:space="preserve">Figure </w:t>
            </w:r>
            <w:r w:rsidR="00370394">
              <w:rPr>
                <w:rFonts w:asciiTheme="minorHAnsi" w:eastAsiaTheme="minorHAnsi" w:hAnsiTheme="minorHAnsi" w:cstheme="minorHAnsi"/>
                <w:b/>
                <w:szCs w:val="18"/>
                <w:lang w:val="en-US"/>
              </w:rPr>
              <w:t>1</w:t>
            </w:r>
            <w:r w:rsidRPr="00BD4CFE">
              <w:rPr>
                <w:rFonts w:asciiTheme="minorHAnsi" w:eastAsiaTheme="minorHAnsi" w:hAnsiTheme="minorHAnsi" w:cstheme="minorHAnsi"/>
                <w:b/>
                <w:szCs w:val="18"/>
                <w:lang w:val="en-US"/>
              </w:rPr>
              <w:t xml:space="preserve">. </w:t>
            </w:r>
            <w:r w:rsidRPr="00BD4CFE">
              <w:rPr>
                <w:rFonts w:asciiTheme="minorHAnsi" w:eastAsiaTheme="minorHAnsi" w:hAnsiTheme="minorHAnsi" w:cstheme="minorHAnsi"/>
                <w:szCs w:val="18"/>
                <w:lang w:val="en-US"/>
              </w:rPr>
              <w:t xml:space="preserve">Biomass and OTR evolution in </w:t>
            </w:r>
            <w:r w:rsidRPr="00BD4CFE">
              <w:rPr>
                <w:rFonts w:asciiTheme="minorHAnsi" w:eastAsiaTheme="minorHAnsi" w:hAnsiTheme="minorHAnsi" w:cstheme="minorHAnsi"/>
                <w:i/>
                <w:szCs w:val="18"/>
                <w:lang w:val="en-US"/>
              </w:rPr>
              <w:t>A. vinelandii</w:t>
            </w:r>
            <w:r w:rsidRPr="00BD4CFE">
              <w:rPr>
                <w:rFonts w:asciiTheme="minorHAnsi" w:eastAsiaTheme="minorHAnsi" w:hAnsiTheme="minorHAnsi" w:cstheme="minorHAnsi"/>
                <w:szCs w:val="18"/>
                <w:lang w:val="en-US"/>
              </w:rPr>
              <w:t xml:space="preserve"> cultures carried out in 3-L bioreactor.</w:t>
            </w:r>
          </w:p>
        </w:tc>
        <w:tc>
          <w:tcPr>
            <w:tcW w:w="4368" w:type="dxa"/>
          </w:tcPr>
          <w:p w:rsidR="00556A6F" w:rsidRDefault="007D0E56" w:rsidP="00AB6C2C">
            <w:pPr>
              <w:snapToGrid w:val="0"/>
              <w:spacing w:after="120"/>
              <w:jc w:val="center"/>
              <w:rPr>
                <w:rFonts w:asciiTheme="minorHAnsi" w:eastAsiaTheme="minorHAnsi" w:hAnsiTheme="minorHAnsi" w:cstheme="minorHAnsi"/>
                <w:sz w:val="22"/>
                <w:szCs w:val="22"/>
                <w:lang w:val="en-US"/>
              </w:rPr>
            </w:pPr>
            <w:r>
              <w:rPr>
                <w:rFonts w:asciiTheme="minorHAnsi" w:eastAsiaTheme="minorHAnsi" w:hAnsiTheme="minorHAnsi" w:cstheme="minorHAnsi"/>
                <w:noProof/>
                <w:sz w:val="22"/>
                <w:szCs w:val="22"/>
                <w:lang w:val="es-CL" w:eastAsia="es-CL"/>
              </w:rPr>
              <w:drawing>
                <wp:inline distT="0" distB="0" distL="0" distR="0">
                  <wp:extent cx="2224014" cy="1322424"/>
                  <wp:effectExtent l="0" t="0" r="5080" b="0"/>
                  <wp:docPr id="10" name="Imagen 10" descr="C:\Users\belen\Desktop\figura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len\Desktop\figura 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6526" cy="1365541"/>
                          </a:xfrm>
                          <a:prstGeom prst="rect">
                            <a:avLst/>
                          </a:prstGeom>
                          <a:noFill/>
                          <a:ln>
                            <a:noFill/>
                          </a:ln>
                        </pic:spPr>
                      </pic:pic>
                    </a:graphicData>
                  </a:graphic>
                </wp:inline>
              </w:drawing>
            </w:r>
          </w:p>
          <w:tbl>
            <w:tblPr>
              <w:tblpPr w:leftFromText="141" w:rightFromText="141" w:vertAnchor="page" w:horzAnchor="margin" w:tblpY="3698"/>
              <w:tblOverlap w:val="never"/>
              <w:tblW w:w="4174" w:type="dxa"/>
              <w:tblCellMar>
                <w:left w:w="70" w:type="dxa"/>
                <w:right w:w="70" w:type="dxa"/>
              </w:tblCellMar>
              <w:tblLook w:val="04A0" w:firstRow="1" w:lastRow="0" w:firstColumn="1" w:lastColumn="0" w:noHBand="0" w:noVBand="1"/>
            </w:tblPr>
            <w:tblGrid>
              <w:gridCol w:w="1061"/>
              <w:gridCol w:w="576"/>
              <w:gridCol w:w="590"/>
              <w:gridCol w:w="836"/>
              <w:gridCol w:w="1111"/>
            </w:tblGrid>
            <w:tr w:rsidR="00223E93" w:rsidRPr="00A82A62" w:rsidTr="00C64D71">
              <w:trPr>
                <w:trHeight w:val="191"/>
              </w:trPr>
              <w:tc>
                <w:tcPr>
                  <w:tcW w:w="0" w:type="auto"/>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23E93" w:rsidRDefault="00223E93" w:rsidP="00223E93">
                  <w:pPr>
                    <w:tabs>
                      <w:tab w:val="clear" w:pos="7100"/>
                    </w:tabs>
                    <w:spacing w:line="240" w:lineRule="auto"/>
                    <w:jc w:val="center"/>
                    <w:rPr>
                      <w:rFonts w:ascii="Calibri" w:hAnsi="Calibri" w:cs="Calibri"/>
                      <w:b/>
                      <w:color w:val="000000"/>
                      <w:szCs w:val="22"/>
                      <w:lang w:val="es-CL" w:eastAsia="es-CL"/>
                    </w:rPr>
                  </w:pPr>
                  <w:r w:rsidRPr="00A82A62">
                    <w:rPr>
                      <w:rFonts w:ascii="Calibri" w:hAnsi="Calibri" w:cs="Calibri"/>
                      <w:b/>
                      <w:color w:val="000000"/>
                      <w:szCs w:val="22"/>
                      <w:lang w:val="es-CL" w:eastAsia="es-CL"/>
                    </w:rPr>
                    <w:t xml:space="preserve">OTR </w:t>
                  </w:r>
                </w:p>
                <w:p w:rsidR="00223E93" w:rsidRPr="00A82A62" w:rsidRDefault="00223E93" w:rsidP="00223E93">
                  <w:pPr>
                    <w:tabs>
                      <w:tab w:val="clear" w:pos="7100"/>
                    </w:tabs>
                    <w:spacing w:line="240" w:lineRule="auto"/>
                    <w:jc w:val="center"/>
                    <w:rPr>
                      <w:rFonts w:ascii="Calibri" w:hAnsi="Calibri" w:cs="Calibri"/>
                      <w:b/>
                      <w:color w:val="000000"/>
                      <w:szCs w:val="22"/>
                      <w:lang w:val="es-CL" w:eastAsia="es-CL"/>
                    </w:rPr>
                  </w:pPr>
                  <w:r w:rsidRPr="00A82A62">
                    <w:rPr>
                      <w:rFonts w:ascii="Calibri" w:hAnsi="Calibri" w:cs="Calibri"/>
                      <w:b/>
                      <w:color w:val="000000"/>
                      <w:szCs w:val="22"/>
                      <w:lang w:val="es-CL" w:eastAsia="es-CL"/>
                    </w:rPr>
                    <w:t>condition</w:t>
                  </w:r>
                </w:p>
              </w:tc>
              <w:tc>
                <w:tcPr>
                  <w:tcW w:w="0" w:type="auto"/>
                  <w:tcBorders>
                    <w:top w:val="single" w:sz="4" w:space="0" w:color="auto"/>
                    <w:left w:val="nil"/>
                    <w:bottom w:val="single" w:sz="4" w:space="0" w:color="auto"/>
                    <w:right w:val="single" w:sz="4" w:space="0" w:color="auto"/>
                  </w:tcBorders>
                  <w:shd w:val="clear" w:color="auto" w:fill="EEECE1" w:themeFill="background2"/>
                  <w:noWrap/>
                  <w:vAlign w:val="bottom"/>
                  <w:hideMark/>
                </w:tcPr>
                <w:p w:rsidR="00223E93" w:rsidRDefault="00223E93" w:rsidP="00223E93">
                  <w:pPr>
                    <w:tabs>
                      <w:tab w:val="clear" w:pos="7100"/>
                    </w:tabs>
                    <w:spacing w:line="240" w:lineRule="auto"/>
                    <w:jc w:val="center"/>
                    <w:rPr>
                      <w:rFonts w:ascii="Calibri" w:hAnsi="Calibri" w:cs="Calibri"/>
                      <w:b/>
                      <w:color w:val="000000"/>
                      <w:szCs w:val="22"/>
                      <w:lang w:val="es-CL" w:eastAsia="es-CL"/>
                    </w:rPr>
                  </w:pPr>
                  <w:r w:rsidRPr="00A82A62">
                    <w:rPr>
                      <w:rFonts w:ascii="Calibri" w:hAnsi="Calibri" w:cs="Calibri"/>
                      <w:b/>
                      <w:color w:val="000000"/>
                      <w:szCs w:val="22"/>
                      <w:lang w:val="es-CL" w:eastAsia="es-CL"/>
                    </w:rPr>
                    <w:t>µ</w:t>
                  </w:r>
                </w:p>
                <w:p w:rsidR="00223E93" w:rsidRPr="00A82A62" w:rsidRDefault="00223E93" w:rsidP="00223E93">
                  <w:pPr>
                    <w:tabs>
                      <w:tab w:val="clear" w:pos="7100"/>
                    </w:tabs>
                    <w:spacing w:line="240" w:lineRule="auto"/>
                    <w:jc w:val="center"/>
                    <w:rPr>
                      <w:rFonts w:ascii="Calibri" w:hAnsi="Calibri" w:cs="Calibri"/>
                      <w:b/>
                      <w:color w:val="000000"/>
                      <w:szCs w:val="22"/>
                      <w:lang w:val="es-CL" w:eastAsia="es-CL"/>
                    </w:rPr>
                  </w:pPr>
                  <w:r w:rsidRPr="00A82A62">
                    <w:rPr>
                      <w:rFonts w:ascii="Calibri" w:hAnsi="Calibri" w:cs="Calibri"/>
                      <w:b/>
                      <w:color w:val="000000"/>
                      <w:szCs w:val="22"/>
                      <w:lang w:val="es-CL" w:eastAsia="es-CL"/>
                    </w:rPr>
                    <w:t>(h</w:t>
                  </w:r>
                  <w:r w:rsidRPr="00A82A62">
                    <w:rPr>
                      <w:rFonts w:ascii="Calibri" w:hAnsi="Calibri" w:cs="Calibri"/>
                      <w:b/>
                      <w:color w:val="000000"/>
                      <w:szCs w:val="22"/>
                      <w:vertAlign w:val="superscript"/>
                      <w:lang w:val="es-CL" w:eastAsia="es-CL"/>
                    </w:rPr>
                    <w:t xml:space="preserve">-1 </w:t>
                  </w:r>
                  <w:r w:rsidRPr="00A82A62">
                    <w:rPr>
                      <w:rFonts w:ascii="Calibri" w:hAnsi="Calibri" w:cs="Calibri"/>
                      <w:b/>
                      <w:color w:val="000000"/>
                      <w:szCs w:val="22"/>
                      <w:lang w:val="es-CL" w:eastAsia="es-CL"/>
                    </w:rPr>
                    <w:t>)</w:t>
                  </w:r>
                </w:p>
              </w:tc>
              <w:tc>
                <w:tcPr>
                  <w:tcW w:w="0" w:type="auto"/>
                  <w:tcBorders>
                    <w:top w:val="single" w:sz="4" w:space="0" w:color="auto"/>
                    <w:left w:val="nil"/>
                    <w:bottom w:val="single" w:sz="4" w:space="0" w:color="auto"/>
                    <w:right w:val="single" w:sz="4" w:space="0" w:color="auto"/>
                  </w:tcBorders>
                  <w:shd w:val="clear" w:color="auto" w:fill="EEECE1" w:themeFill="background2"/>
                  <w:noWrap/>
                  <w:vAlign w:val="bottom"/>
                  <w:hideMark/>
                </w:tcPr>
                <w:p w:rsidR="00223E93" w:rsidRDefault="00223E93" w:rsidP="00223E93">
                  <w:pPr>
                    <w:tabs>
                      <w:tab w:val="clear" w:pos="7100"/>
                    </w:tabs>
                    <w:spacing w:line="240" w:lineRule="auto"/>
                    <w:jc w:val="center"/>
                    <w:rPr>
                      <w:rFonts w:ascii="Calibri" w:hAnsi="Calibri" w:cs="Calibri"/>
                      <w:b/>
                      <w:color w:val="000000"/>
                      <w:szCs w:val="22"/>
                      <w:vertAlign w:val="subscript"/>
                      <w:lang w:val="es-CL" w:eastAsia="es-CL"/>
                    </w:rPr>
                  </w:pPr>
                  <w:r w:rsidRPr="00A82A62">
                    <w:rPr>
                      <w:rFonts w:ascii="Calibri" w:hAnsi="Calibri" w:cs="Calibri"/>
                      <w:b/>
                      <w:color w:val="000000"/>
                      <w:szCs w:val="22"/>
                      <w:lang w:val="es-CL" w:eastAsia="es-CL"/>
                    </w:rPr>
                    <w:t>Y</w:t>
                  </w:r>
                  <w:r w:rsidRPr="00A82A62">
                    <w:rPr>
                      <w:rFonts w:ascii="Calibri" w:hAnsi="Calibri" w:cs="Calibri"/>
                      <w:b/>
                      <w:color w:val="000000"/>
                      <w:szCs w:val="22"/>
                      <w:vertAlign w:val="subscript"/>
                      <w:lang w:val="es-CL" w:eastAsia="es-CL"/>
                    </w:rPr>
                    <w:t>x/s</w:t>
                  </w:r>
                </w:p>
                <w:p w:rsidR="00223E93" w:rsidRPr="00A82A62" w:rsidRDefault="00223E93" w:rsidP="00BD4CFE">
                  <w:pPr>
                    <w:tabs>
                      <w:tab w:val="clear" w:pos="7100"/>
                    </w:tabs>
                    <w:spacing w:line="240" w:lineRule="auto"/>
                    <w:jc w:val="center"/>
                    <w:rPr>
                      <w:rFonts w:ascii="Calibri" w:hAnsi="Calibri" w:cs="Calibri"/>
                      <w:b/>
                      <w:color w:val="000000"/>
                      <w:szCs w:val="22"/>
                      <w:lang w:val="es-CL" w:eastAsia="es-CL"/>
                    </w:rPr>
                  </w:pPr>
                  <w:r w:rsidRPr="00A82A62">
                    <w:rPr>
                      <w:rFonts w:ascii="Calibri" w:hAnsi="Calibri" w:cs="Calibri"/>
                      <w:b/>
                      <w:color w:val="000000"/>
                      <w:szCs w:val="22"/>
                      <w:lang w:val="es-CL" w:eastAsia="es-CL"/>
                    </w:rPr>
                    <w:t>(g</w:t>
                  </w:r>
                  <w:r w:rsidR="00BD4CFE">
                    <w:rPr>
                      <w:rFonts w:ascii="Calibri" w:hAnsi="Calibri" w:cs="Calibri"/>
                      <w:b/>
                      <w:color w:val="000000"/>
                      <w:szCs w:val="22"/>
                      <w:lang w:val="es-CL" w:eastAsia="es-CL"/>
                    </w:rPr>
                    <w:t xml:space="preserve"> g</w:t>
                  </w:r>
                  <w:r w:rsidR="00BD4CFE" w:rsidRPr="00BD4CFE">
                    <w:rPr>
                      <w:rFonts w:ascii="Calibri" w:hAnsi="Calibri" w:cs="Calibri"/>
                      <w:b/>
                      <w:color w:val="000000"/>
                      <w:szCs w:val="22"/>
                      <w:vertAlign w:val="superscript"/>
                      <w:lang w:val="es-CL" w:eastAsia="es-CL"/>
                    </w:rPr>
                    <w:t>-1</w:t>
                  </w:r>
                  <w:r w:rsidRPr="00A82A62">
                    <w:rPr>
                      <w:rFonts w:ascii="Calibri" w:hAnsi="Calibri" w:cs="Calibri"/>
                      <w:b/>
                      <w:color w:val="000000"/>
                      <w:szCs w:val="22"/>
                      <w:lang w:val="es-CL" w:eastAsia="es-CL"/>
                    </w:rPr>
                    <w:t>)</w:t>
                  </w:r>
                </w:p>
              </w:tc>
              <w:tc>
                <w:tcPr>
                  <w:tcW w:w="0" w:type="auto"/>
                  <w:tcBorders>
                    <w:top w:val="single" w:sz="4" w:space="0" w:color="auto"/>
                    <w:left w:val="nil"/>
                    <w:bottom w:val="single" w:sz="4" w:space="0" w:color="auto"/>
                    <w:right w:val="single" w:sz="4" w:space="0" w:color="auto"/>
                  </w:tcBorders>
                  <w:shd w:val="clear" w:color="auto" w:fill="EEECE1" w:themeFill="background2"/>
                  <w:noWrap/>
                  <w:vAlign w:val="bottom"/>
                  <w:hideMark/>
                </w:tcPr>
                <w:p w:rsidR="00223E93" w:rsidRDefault="00223E93" w:rsidP="00223E93">
                  <w:pPr>
                    <w:tabs>
                      <w:tab w:val="clear" w:pos="7100"/>
                    </w:tabs>
                    <w:spacing w:line="240" w:lineRule="auto"/>
                    <w:jc w:val="center"/>
                    <w:rPr>
                      <w:rFonts w:ascii="Calibri" w:hAnsi="Calibri" w:cs="Calibri"/>
                      <w:b/>
                      <w:color w:val="000000"/>
                      <w:szCs w:val="22"/>
                      <w:vertAlign w:val="subscript"/>
                      <w:lang w:val="es-CL" w:eastAsia="es-CL"/>
                    </w:rPr>
                  </w:pPr>
                  <w:r w:rsidRPr="00A82A62">
                    <w:rPr>
                      <w:rFonts w:ascii="Calibri" w:hAnsi="Calibri" w:cs="Calibri"/>
                      <w:b/>
                      <w:color w:val="000000"/>
                      <w:szCs w:val="22"/>
                      <w:lang w:val="es-CL" w:eastAsia="es-CL"/>
                    </w:rPr>
                    <w:t xml:space="preserve">Y </w:t>
                  </w:r>
                  <w:proofErr w:type="spellStart"/>
                  <w:r w:rsidRPr="00A82A62">
                    <w:rPr>
                      <w:rFonts w:ascii="Calibri" w:hAnsi="Calibri" w:cs="Calibri"/>
                      <w:b/>
                      <w:color w:val="000000"/>
                      <w:szCs w:val="22"/>
                      <w:vertAlign w:val="subscript"/>
                      <w:lang w:val="es-CL" w:eastAsia="es-CL"/>
                    </w:rPr>
                    <w:t>Alginate</w:t>
                  </w:r>
                  <w:proofErr w:type="spellEnd"/>
                  <w:r w:rsidRPr="00A82A62">
                    <w:rPr>
                      <w:rFonts w:ascii="Calibri" w:hAnsi="Calibri" w:cs="Calibri"/>
                      <w:b/>
                      <w:color w:val="000000"/>
                      <w:szCs w:val="22"/>
                      <w:vertAlign w:val="subscript"/>
                      <w:lang w:val="es-CL" w:eastAsia="es-CL"/>
                    </w:rPr>
                    <w:t>/x</w:t>
                  </w:r>
                </w:p>
                <w:p w:rsidR="00223E93" w:rsidRPr="00A82A62" w:rsidRDefault="00223E93" w:rsidP="00223E93">
                  <w:pPr>
                    <w:tabs>
                      <w:tab w:val="clear" w:pos="7100"/>
                    </w:tabs>
                    <w:spacing w:line="240" w:lineRule="auto"/>
                    <w:jc w:val="center"/>
                    <w:rPr>
                      <w:rFonts w:ascii="Calibri" w:hAnsi="Calibri" w:cs="Calibri"/>
                      <w:b/>
                      <w:color w:val="000000"/>
                      <w:szCs w:val="22"/>
                      <w:lang w:val="es-CL" w:eastAsia="es-CL"/>
                    </w:rPr>
                  </w:pPr>
                  <w:r w:rsidRPr="00A82A62">
                    <w:rPr>
                      <w:rFonts w:ascii="Calibri" w:hAnsi="Calibri" w:cs="Calibri"/>
                      <w:b/>
                      <w:color w:val="000000"/>
                      <w:szCs w:val="22"/>
                      <w:lang w:val="es-CL" w:eastAsia="es-CL"/>
                    </w:rPr>
                    <w:t>(</w:t>
                  </w:r>
                  <w:r w:rsidR="00BD4CFE" w:rsidRPr="00A82A62">
                    <w:rPr>
                      <w:rFonts w:ascii="Calibri" w:hAnsi="Calibri" w:cs="Calibri"/>
                      <w:b/>
                      <w:color w:val="000000"/>
                      <w:szCs w:val="22"/>
                      <w:lang w:val="es-CL" w:eastAsia="es-CL"/>
                    </w:rPr>
                    <w:t>g</w:t>
                  </w:r>
                  <w:r w:rsidR="00BD4CFE">
                    <w:rPr>
                      <w:rFonts w:ascii="Calibri" w:hAnsi="Calibri" w:cs="Calibri"/>
                      <w:b/>
                      <w:color w:val="000000"/>
                      <w:szCs w:val="22"/>
                      <w:lang w:val="es-CL" w:eastAsia="es-CL"/>
                    </w:rPr>
                    <w:t xml:space="preserve"> g</w:t>
                  </w:r>
                  <w:r w:rsidR="00BD4CFE" w:rsidRPr="00BD4CFE">
                    <w:rPr>
                      <w:rFonts w:ascii="Calibri" w:hAnsi="Calibri" w:cs="Calibri"/>
                      <w:b/>
                      <w:color w:val="000000"/>
                      <w:szCs w:val="22"/>
                      <w:vertAlign w:val="superscript"/>
                      <w:lang w:val="es-CL" w:eastAsia="es-CL"/>
                    </w:rPr>
                    <w:t>-1</w:t>
                  </w:r>
                  <w:r w:rsidRPr="00A82A62">
                    <w:rPr>
                      <w:rFonts w:ascii="Calibri" w:hAnsi="Calibri" w:cs="Calibri"/>
                      <w:b/>
                      <w:color w:val="000000"/>
                      <w:szCs w:val="22"/>
                      <w:lang w:val="es-CL" w:eastAsia="es-CL"/>
                    </w:rPr>
                    <w:t>)</w:t>
                  </w:r>
                </w:p>
              </w:tc>
              <w:tc>
                <w:tcPr>
                  <w:tcW w:w="0" w:type="auto"/>
                  <w:tcBorders>
                    <w:top w:val="single" w:sz="4" w:space="0" w:color="auto"/>
                    <w:left w:val="nil"/>
                    <w:bottom w:val="single" w:sz="4" w:space="0" w:color="auto"/>
                    <w:right w:val="single" w:sz="4" w:space="0" w:color="auto"/>
                  </w:tcBorders>
                  <w:shd w:val="clear" w:color="auto" w:fill="EEECE1" w:themeFill="background2"/>
                  <w:noWrap/>
                  <w:vAlign w:val="bottom"/>
                  <w:hideMark/>
                </w:tcPr>
                <w:p w:rsidR="00223E93" w:rsidRPr="004E43E3" w:rsidRDefault="00223E93" w:rsidP="00223E93">
                  <w:pPr>
                    <w:tabs>
                      <w:tab w:val="clear" w:pos="7100"/>
                    </w:tabs>
                    <w:spacing w:line="240" w:lineRule="auto"/>
                    <w:jc w:val="center"/>
                    <w:rPr>
                      <w:rFonts w:ascii="Calibri" w:hAnsi="Calibri" w:cs="Calibri"/>
                      <w:b/>
                      <w:color w:val="000000"/>
                      <w:szCs w:val="22"/>
                      <w:vertAlign w:val="subscript"/>
                      <w:lang w:val="en-US" w:eastAsia="es-CL"/>
                    </w:rPr>
                  </w:pPr>
                  <w:r w:rsidRPr="004E43E3">
                    <w:rPr>
                      <w:rFonts w:ascii="Calibri" w:hAnsi="Calibri" w:cs="Calibri"/>
                      <w:b/>
                      <w:color w:val="000000"/>
                      <w:szCs w:val="22"/>
                      <w:lang w:val="en-US" w:eastAsia="es-CL"/>
                    </w:rPr>
                    <w:t xml:space="preserve">Alginate </w:t>
                  </w:r>
                  <w:proofErr w:type="spellStart"/>
                  <w:r w:rsidRPr="004E43E3">
                    <w:rPr>
                      <w:rFonts w:ascii="Calibri" w:hAnsi="Calibri" w:cs="Calibri"/>
                      <w:b/>
                      <w:color w:val="000000"/>
                      <w:szCs w:val="22"/>
                      <w:vertAlign w:val="subscript"/>
                      <w:lang w:val="en-US" w:eastAsia="es-CL"/>
                    </w:rPr>
                    <w:t>máx</w:t>
                  </w:r>
                  <w:proofErr w:type="spellEnd"/>
                </w:p>
                <w:p w:rsidR="00223E93" w:rsidRPr="00BD4CFE" w:rsidRDefault="00223E93" w:rsidP="00223E93">
                  <w:pPr>
                    <w:tabs>
                      <w:tab w:val="clear" w:pos="7100"/>
                    </w:tabs>
                    <w:spacing w:line="240" w:lineRule="auto"/>
                    <w:jc w:val="center"/>
                    <w:rPr>
                      <w:rFonts w:ascii="Calibri" w:hAnsi="Calibri" w:cs="Calibri"/>
                      <w:b/>
                      <w:color w:val="000000"/>
                      <w:szCs w:val="18"/>
                      <w:lang w:val="en-US" w:eastAsia="es-CL"/>
                    </w:rPr>
                  </w:pPr>
                  <w:r w:rsidRPr="00BD4CFE">
                    <w:rPr>
                      <w:rFonts w:ascii="Calibri" w:hAnsi="Calibri" w:cs="Calibri"/>
                      <w:b/>
                      <w:color w:val="000000"/>
                      <w:szCs w:val="18"/>
                      <w:lang w:val="en-US" w:eastAsia="es-CL"/>
                    </w:rPr>
                    <w:t>(g</w:t>
                  </w:r>
                  <w:r w:rsidR="00BD4CFE" w:rsidRPr="00BD4CFE">
                    <w:rPr>
                      <w:rFonts w:asciiTheme="minorHAnsi" w:eastAsiaTheme="minorHAnsi" w:hAnsiTheme="minorHAnsi" w:cstheme="minorHAnsi"/>
                      <w:b/>
                      <w:szCs w:val="18"/>
                      <w:lang w:val="en-US"/>
                    </w:rPr>
                    <w:t xml:space="preserve"> L</w:t>
                  </w:r>
                  <w:r w:rsidR="00BD4CFE" w:rsidRPr="00BD4CFE">
                    <w:rPr>
                      <w:rFonts w:asciiTheme="minorHAnsi" w:eastAsiaTheme="minorHAnsi" w:hAnsiTheme="minorHAnsi" w:cstheme="minorHAnsi"/>
                      <w:b/>
                      <w:szCs w:val="18"/>
                      <w:vertAlign w:val="superscript"/>
                      <w:lang w:val="en-US"/>
                    </w:rPr>
                    <w:t>-1</w:t>
                  </w:r>
                  <w:r w:rsidRPr="00BD4CFE">
                    <w:rPr>
                      <w:rFonts w:ascii="Calibri" w:hAnsi="Calibri" w:cs="Calibri"/>
                      <w:b/>
                      <w:color w:val="000000"/>
                      <w:szCs w:val="18"/>
                      <w:lang w:val="en-US" w:eastAsia="es-CL"/>
                    </w:rPr>
                    <w:t>)</w:t>
                  </w:r>
                </w:p>
              </w:tc>
            </w:tr>
            <w:tr w:rsidR="00223E93" w:rsidRPr="005274ED" w:rsidTr="00C64D71">
              <w:trPr>
                <w:trHeight w:val="19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3E93" w:rsidRPr="004E43E3" w:rsidRDefault="00223E93" w:rsidP="00223E93">
                  <w:pPr>
                    <w:tabs>
                      <w:tab w:val="clear" w:pos="7100"/>
                    </w:tabs>
                    <w:spacing w:line="240" w:lineRule="auto"/>
                    <w:jc w:val="center"/>
                    <w:rPr>
                      <w:rFonts w:ascii="Calibri" w:hAnsi="Calibri" w:cs="Calibri"/>
                      <w:color w:val="000000"/>
                      <w:szCs w:val="22"/>
                      <w:lang w:val="en-US" w:eastAsia="es-CL"/>
                    </w:rPr>
                  </w:pPr>
                  <w:r w:rsidRPr="004E43E3">
                    <w:rPr>
                      <w:rFonts w:ascii="Calibri" w:hAnsi="Calibri" w:cs="Calibri"/>
                      <w:color w:val="000000"/>
                      <w:szCs w:val="22"/>
                      <w:lang w:val="en-US" w:eastAsia="es-CL"/>
                    </w:rPr>
                    <w:t>Without</w:t>
                  </w:r>
                </w:p>
                <w:p w:rsidR="00223E93" w:rsidRPr="004E43E3" w:rsidRDefault="00223E93" w:rsidP="00223E93">
                  <w:pPr>
                    <w:tabs>
                      <w:tab w:val="clear" w:pos="7100"/>
                    </w:tabs>
                    <w:spacing w:line="240" w:lineRule="auto"/>
                    <w:jc w:val="center"/>
                    <w:rPr>
                      <w:rFonts w:ascii="Calibri" w:hAnsi="Calibri" w:cs="Calibri"/>
                      <w:color w:val="000000"/>
                      <w:szCs w:val="22"/>
                      <w:lang w:val="en-US" w:eastAsia="es-CL"/>
                    </w:rPr>
                  </w:pPr>
                  <w:r w:rsidRPr="004E43E3">
                    <w:rPr>
                      <w:rFonts w:ascii="Calibri" w:hAnsi="Calibri" w:cs="Calibri"/>
                      <w:color w:val="000000"/>
                      <w:szCs w:val="22"/>
                      <w:lang w:val="en-US" w:eastAsia="es-CL"/>
                    </w:rPr>
                    <w:t>OTR control</w:t>
                  </w:r>
                </w:p>
              </w:tc>
              <w:tc>
                <w:tcPr>
                  <w:tcW w:w="0" w:type="auto"/>
                  <w:tcBorders>
                    <w:top w:val="nil"/>
                    <w:left w:val="nil"/>
                    <w:bottom w:val="single" w:sz="4" w:space="0" w:color="auto"/>
                    <w:right w:val="single" w:sz="4" w:space="0" w:color="auto"/>
                  </w:tcBorders>
                  <w:shd w:val="clear" w:color="auto" w:fill="auto"/>
                  <w:noWrap/>
                  <w:vAlign w:val="bottom"/>
                  <w:hideMark/>
                </w:tcPr>
                <w:p w:rsidR="00223E93" w:rsidRPr="004E43E3" w:rsidRDefault="00223E93" w:rsidP="00223E93">
                  <w:pPr>
                    <w:tabs>
                      <w:tab w:val="clear" w:pos="7100"/>
                    </w:tabs>
                    <w:spacing w:line="240" w:lineRule="auto"/>
                    <w:jc w:val="center"/>
                    <w:rPr>
                      <w:rFonts w:ascii="Calibri" w:hAnsi="Calibri" w:cs="Calibri"/>
                      <w:color w:val="000000"/>
                      <w:szCs w:val="22"/>
                      <w:lang w:val="en-US" w:eastAsia="es-CL"/>
                    </w:rPr>
                  </w:pPr>
                  <w:r w:rsidRPr="004E43E3">
                    <w:rPr>
                      <w:rFonts w:ascii="Calibri" w:hAnsi="Calibri" w:cs="Calibri"/>
                      <w:color w:val="000000"/>
                      <w:szCs w:val="22"/>
                      <w:lang w:val="en-US" w:eastAsia="es-CL"/>
                    </w:rPr>
                    <w:t>0.12</w:t>
                  </w:r>
                </w:p>
                <w:p w:rsidR="00223E93" w:rsidRPr="004E43E3" w:rsidRDefault="00223E93" w:rsidP="00223E93">
                  <w:pPr>
                    <w:tabs>
                      <w:tab w:val="clear" w:pos="7100"/>
                    </w:tabs>
                    <w:spacing w:line="240" w:lineRule="auto"/>
                    <w:jc w:val="center"/>
                    <w:rPr>
                      <w:rFonts w:ascii="Calibri" w:hAnsi="Calibri" w:cs="Calibri"/>
                      <w:color w:val="000000"/>
                      <w:szCs w:val="22"/>
                      <w:lang w:val="en-US" w:eastAsia="es-CL"/>
                    </w:rPr>
                  </w:pPr>
                  <w:r w:rsidRPr="004E43E3">
                    <w:rPr>
                      <w:rFonts w:ascii="Calibri" w:hAnsi="Calibri" w:cs="Calibri"/>
                      <w:color w:val="000000"/>
                      <w:szCs w:val="22"/>
                      <w:lang w:val="en-US" w:eastAsia="es-CL"/>
                    </w:rPr>
                    <w:t>±0.01</w:t>
                  </w:r>
                </w:p>
              </w:tc>
              <w:tc>
                <w:tcPr>
                  <w:tcW w:w="0" w:type="auto"/>
                  <w:tcBorders>
                    <w:top w:val="nil"/>
                    <w:left w:val="nil"/>
                    <w:bottom w:val="single" w:sz="4" w:space="0" w:color="auto"/>
                    <w:right w:val="single" w:sz="4" w:space="0" w:color="auto"/>
                  </w:tcBorders>
                  <w:shd w:val="clear" w:color="auto" w:fill="auto"/>
                  <w:noWrap/>
                  <w:vAlign w:val="bottom"/>
                  <w:hideMark/>
                </w:tcPr>
                <w:p w:rsidR="00223E93" w:rsidRPr="004E43E3" w:rsidRDefault="00223E93" w:rsidP="00223E93">
                  <w:pPr>
                    <w:tabs>
                      <w:tab w:val="clear" w:pos="7100"/>
                    </w:tabs>
                    <w:spacing w:line="240" w:lineRule="auto"/>
                    <w:jc w:val="center"/>
                    <w:rPr>
                      <w:rFonts w:ascii="Calibri" w:hAnsi="Calibri" w:cs="Calibri"/>
                      <w:color w:val="000000"/>
                      <w:szCs w:val="22"/>
                      <w:lang w:val="en-US" w:eastAsia="es-CL"/>
                    </w:rPr>
                  </w:pPr>
                  <w:r w:rsidRPr="004E43E3">
                    <w:rPr>
                      <w:rFonts w:ascii="Calibri" w:hAnsi="Calibri" w:cs="Calibri"/>
                      <w:color w:val="000000"/>
                      <w:szCs w:val="22"/>
                      <w:lang w:val="en-US" w:eastAsia="es-CL"/>
                    </w:rPr>
                    <w:t>0.31</w:t>
                  </w:r>
                </w:p>
                <w:p w:rsidR="00223E93" w:rsidRPr="004E43E3" w:rsidRDefault="00223E93" w:rsidP="00223E93">
                  <w:pPr>
                    <w:tabs>
                      <w:tab w:val="clear" w:pos="7100"/>
                    </w:tabs>
                    <w:spacing w:line="240" w:lineRule="auto"/>
                    <w:jc w:val="center"/>
                    <w:rPr>
                      <w:rFonts w:ascii="Calibri" w:hAnsi="Calibri" w:cs="Calibri"/>
                      <w:color w:val="000000"/>
                      <w:szCs w:val="22"/>
                      <w:lang w:val="en-US" w:eastAsia="es-CL"/>
                    </w:rPr>
                  </w:pPr>
                  <w:r w:rsidRPr="004E43E3">
                    <w:rPr>
                      <w:rFonts w:ascii="Calibri" w:hAnsi="Calibri" w:cs="Calibri"/>
                      <w:color w:val="000000"/>
                      <w:szCs w:val="22"/>
                      <w:lang w:val="en-US" w:eastAsia="es-CL"/>
                    </w:rPr>
                    <w:t>±0.03</w:t>
                  </w:r>
                </w:p>
              </w:tc>
              <w:tc>
                <w:tcPr>
                  <w:tcW w:w="0" w:type="auto"/>
                  <w:tcBorders>
                    <w:top w:val="nil"/>
                    <w:left w:val="nil"/>
                    <w:bottom w:val="single" w:sz="4" w:space="0" w:color="auto"/>
                    <w:right w:val="single" w:sz="4" w:space="0" w:color="auto"/>
                  </w:tcBorders>
                  <w:shd w:val="clear" w:color="auto" w:fill="auto"/>
                  <w:noWrap/>
                  <w:vAlign w:val="bottom"/>
                  <w:hideMark/>
                </w:tcPr>
                <w:p w:rsidR="00223E93"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0.28</w:t>
                  </w:r>
                </w:p>
                <w:p w:rsidR="00223E93" w:rsidRPr="00A82A62"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±0.03</w:t>
                  </w:r>
                </w:p>
              </w:tc>
              <w:tc>
                <w:tcPr>
                  <w:tcW w:w="0" w:type="auto"/>
                  <w:tcBorders>
                    <w:top w:val="nil"/>
                    <w:left w:val="nil"/>
                    <w:bottom w:val="single" w:sz="4" w:space="0" w:color="auto"/>
                    <w:right w:val="single" w:sz="4" w:space="0" w:color="auto"/>
                  </w:tcBorders>
                  <w:shd w:val="clear" w:color="auto" w:fill="auto"/>
                  <w:noWrap/>
                  <w:vAlign w:val="bottom"/>
                  <w:hideMark/>
                </w:tcPr>
                <w:p w:rsidR="00223E93" w:rsidRPr="005274ED" w:rsidRDefault="00223E93" w:rsidP="00223E93">
                  <w:pPr>
                    <w:tabs>
                      <w:tab w:val="clear" w:pos="7100"/>
                    </w:tabs>
                    <w:spacing w:line="240" w:lineRule="auto"/>
                    <w:jc w:val="center"/>
                    <w:rPr>
                      <w:rFonts w:ascii="Calibri" w:hAnsi="Calibri" w:cs="Calibri"/>
                      <w:color w:val="000000"/>
                      <w:szCs w:val="22"/>
                      <w:lang w:val="en-US" w:eastAsia="es-CL"/>
                    </w:rPr>
                  </w:pPr>
                  <w:r w:rsidRPr="005274ED">
                    <w:rPr>
                      <w:rFonts w:ascii="Calibri" w:hAnsi="Calibri" w:cs="Calibri"/>
                      <w:color w:val="000000"/>
                      <w:szCs w:val="22"/>
                      <w:lang w:val="en-US" w:eastAsia="es-CL"/>
                    </w:rPr>
                    <w:t>2.88</w:t>
                  </w:r>
                </w:p>
                <w:p w:rsidR="00223E93" w:rsidRPr="005274ED" w:rsidRDefault="00223E93" w:rsidP="00223E93">
                  <w:pPr>
                    <w:tabs>
                      <w:tab w:val="clear" w:pos="7100"/>
                    </w:tabs>
                    <w:spacing w:line="240" w:lineRule="auto"/>
                    <w:jc w:val="center"/>
                    <w:rPr>
                      <w:rFonts w:ascii="Calibri" w:hAnsi="Calibri" w:cs="Calibri"/>
                      <w:color w:val="000000"/>
                      <w:szCs w:val="22"/>
                      <w:lang w:val="en-US" w:eastAsia="es-CL"/>
                    </w:rPr>
                  </w:pPr>
                  <w:r w:rsidRPr="005274ED">
                    <w:rPr>
                      <w:rFonts w:ascii="Calibri" w:hAnsi="Calibri" w:cs="Calibri"/>
                      <w:color w:val="000000"/>
                      <w:szCs w:val="22"/>
                      <w:lang w:val="en-US" w:eastAsia="es-CL"/>
                    </w:rPr>
                    <w:t>±0.10 (56 h)</w:t>
                  </w:r>
                </w:p>
              </w:tc>
            </w:tr>
            <w:tr w:rsidR="00223E93" w:rsidRPr="005274ED" w:rsidTr="00C64D71">
              <w:trPr>
                <w:trHeight w:val="19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23E93"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OTR</w:t>
                  </w:r>
                </w:p>
                <w:p w:rsidR="00223E93" w:rsidRPr="00A82A62"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control</w:t>
                  </w:r>
                </w:p>
              </w:tc>
              <w:tc>
                <w:tcPr>
                  <w:tcW w:w="0" w:type="auto"/>
                  <w:tcBorders>
                    <w:top w:val="nil"/>
                    <w:left w:val="nil"/>
                    <w:bottom w:val="single" w:sz="4" w:space="0" w:color="auto"/>
                    <w:right w:val="single" w:sz="4" w:space="0" w:color="auto"/>
                  </w:tcBorders>
                  <w:shd w:val="clear" w:color="auto" w:fill="auto"/>
                  <w:noWrap/>
                  <w:vAlign w:val="bottom"/>
                  <w:hideMark/>
                </w:tcPr>
                <w:p w:rsidR="00223E93"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0.17</w:t>
                  </w:r>
                </w:p>
                <w:p w:rsidR="00223E93" w:rsidRPr="00A82A62"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±0.02</w:t>
                  </w:r>
                </w:p>
              </w:tc>
              <w:tc>
                <w:tcPr>
                  <w:tcW w:w="0" w:type="auto"/>
                  <w:tcBorders>
                    <w:top w:val="nil"/>
                    <w:left w:val="nil"/>
                    <w:bottom w:val="single" w:sz="4" w:space="0" w:color="auto"/>
                    <w:right w:val="single" w:sz="4" w:space="0" w:color="auto"/>
                  </w:tcBorders>
                  <w:shd w:val="clear" w:color="auto" w:fill="auto"/>
                  <w:noWrap/>
                  <w:vAlign w:val="bottom"/>
                  <w:hideMark/>
                </w:tcPr>
                <w:p w:rsidR="00223E93"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0.16</w:t>
                  </w:r>
                </w:p>
                <w:p w:rsidR="00223E93" w:rsidRPr="00A82A62"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±0.02</w:t>
                  </w:r>
                </w:p>
              </w:tc>
              <w:tc>
                <w:tcPr>
                  <w:tcW w:w="0" w:type="auto"/>
                  <w:tcBorders>
                    <w:top w:val="nil"/>
                    <w:left w:val="nil"/>
                    <w:bottom w:val="single" w:sz="4" w:space="0" w:color="auto"/>
                    <w:right w:val="single" w:sz="4" w:space="0" w:color="auto"/>
                  </w:tcBorders>
                  <w:shd w:val="clear" w:color="auto" w:fill="auto"/>
                  <w:noWrap/>
                  <w:vAlign w:val="bottom"/>
                  <w:hideMark/>
                </w:tcPr>
                <w:p w:rsidR="00223E93"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1.14</w:t>
                  </w:r>
                </w:p>
                <w:p w:rsidR="00223E93" w:rsidRPr="00A82A62" w:rsidRDefault="00223E93" w:rsidP="00223E93">
                  <w:pPr>
                    <w:tabs>
                      <w:tab w:val="clear" w:pos="7100"/>
                    </w:tabs>
                    <w:spacing w:line="240" w:lineRule="auto"/>
                    <w:jc w:val="center"/>
                    <w:rPr>
                      <w:rFonts w:ascii="Calibri" w:hAnsi="Calibri" w:cs="Calibri"/>
                      <w:color w:val="000000"/>
                      <w:szCs w:val="22"/>
                      <w:lang w:val="en-US" w:eastAsia="es-CL"/>
                    </w:rPr>
                  </w:pPr>
                  <w:r w:rsidRPr="00A82A62">
                    <w:rPr>
                      <w:rFonts w:ascii="Calibri" w:hAnsi="Calibri" w:cs="Calibri"/>
                      <w:color w:val="000000"/>
                      <w:szCs w:val="22"/>
                      <w:lang w:val="en-US" w:eastAsia="es-CL"/>
                    </w:rPr>
                    <w:t>±0.18</w:t>
                  </w:r>
                </w:p>
              </w:tc>
              <w:tc>
                <w:tcPr>
                  <w:tcW w:w="0" w:type="auto"/>
                  <w:tcBorders>
                    <w:top w:val="nil"/>
                    <w:left w:val="nil"/>
                    <w:bottom w:val="single" w:sz="4" w:space="0" w:color="auto"/>
                    <w:right w:val="single" w:sz="4" w:space="0" w:color="auto"/>
                  </w:tcBorders>
                  <w:shd w:val="clear" w:color="auto" w:fill="auto"/>
                  <w:noWrap/>
                  <w:vAlign w:val="bottom"/>
                  <w:hideMark/>
                </w:tcPr>
                <w:p w:rsidR="00223E93" w:rsidRPr="005274ED" w:rsidRDefault="00223E93" w:rsidP="00223E93">
                  <w:pPr>
                    <w:tabs>
                      <w:tab w:val="clear" w:pos="7100"/>
                    </w:tabs>
                    <w:spacing w:line="240" w:lineRule="auto"/>
                    <w:jc w:val="center"/>
                    <w:rPr>
                      <w:rFonts w:ascii="Calibri" w:hAnsi="Calibri" w:cs="Calibri"/>
                      <w:color w:val="000000"/>
                      <w:szCs w:val="22"/>
                      <w:lang w:val="en-US" w:eastAsia="es-CL"/>
                    </w:rPr>
                  </w:pPr>
                  <w:r w:rsidRPr="005274ED">
                    <w:rPr>
                      <w:rFonts w:ascii="Calibri" w:hAnsi="Calibri" w:cs="Calibri"/>
                      <w:color w:val="000000"/>
                      <w:szCs w:val="22"/>
                      <w:lang w:val="en-US" w:eastAsia="es-CL"/>
                    </w:rPr>
                    <w:t>5.34</w:t>
                  </w:r>
                </w:p>
                <w:p w:rsidR="00223E93" w:rsidRPr="005274ED" w:rsidRDefault="00223E93" w:rsidP="00223E93">
                  <w:pPr>
                    <w:tabs>
                      <w:tab w:val="clear" w:pos="7100"/>
                    </w:tabs>
                    <w:spacing w:line="240" w:lineRule="auto"/>
                    <w:jc w:val="center"/>
                    <w:rPr>
                      <w:rFonts w:ascii="Calibri" w:hAnsi="Calibri" w:cs="Calibri"/>
                      <w:color w:val="000000"/>
                      <w:szCs w:val="22"/>
                      <w:lang w:val="en-US" w:eastAsia="es-CL"/>
                    </w:rPr>
                  </w:pPr>
                  <w:r w:rsidRPr="005274ED">
                    <w:rPr>
                      <w:rFonts w:ascii="Calibri" w:hAnsi="Calibri" w:cs="Calibri"/>
                      <w:color w:val="000000"/>
                      <w:szCs w:val="22"/>
                      <w:lang w:val="en-US" w:eastAsia="es-CL"/>
                    </w:rPr>
                    <w:t>±0.13 (64 h )</w:t>
                  </w:r>
                </w:p>
              </w:tc>
            </w:tr>
          </w:tbl>
          <w:p w:rsidR="002B4F5A" w:rsidRPr="00BD4CFE" w:rsidRDefault="00E46D84" w:rsidP="002B4F5A">
            <w:pPr>
              <w:snapToGrid w:val="0"/>
              <w:spacing w:after="120"/>
              <w:jc w:val="center"/>
              <w:rPr>
                <w:rFonts w:asciiTheme="minorHAnsi" w:eastAsiaTheme="minorHAnsi" w:hAnsiTheme="minorHAnsi" w:cstheme="minorHAnsi"/>
                <w:szCs w:val="18"/>
                <w:lang w:val="en-US"/>
              </w:rPr>
            </w:pPr>
            <w:r w:rsidRPr="00BD4CFE">
              <w:rPr>
                <w:rFonts w:asciiTheme="minorHAnsi" w:eastAsiaTheme="minorHAnsi" w:hAnsiTheme="minorHAnsi" w:cstheme="minorHAnsi"/>
                <w:b/>
                <w:szCs w:val="18"/>
                <w:lang w:val="en-US"/>
              </w:rPr>
              <w:t xml:space="preserve">Figure </w:t>
            </w:r>
            <w:r w:rsidR="00370394">
              <w:rPr>
                <w:rFonts w:asciiTheme="minorHAnsi" w:eastAsiaTheme="minorHAnsi" w:hAnsiTheme="minorHAnsi" w:cstheme="minorHAnsi"/>
                <w:b/>
                <w:szCs w:val="18"/>
                <w:lang w:val="en-US"/>
              </w:rPr>
              <w:t>2</w:t>
            </w:r>
            <w:r w:rsidRPr="00BD4CFE">
              <w:rPr>
                <w:rFonts w:asciiTheme="minorHAnsi" w:eastAsiaTheme="minorHAnsi" w:hAnsiTheme="minorHAnsi" w:cstheme="minorHAnsi"/>
                <w:b/>
                <w:szCs w:val="18"/>
                <w:lang w:val="en-US"/>
              </w:rPr>
              <w:t xml:space="preserve">. </w:t>
            </w:r>
            <w:r w:rsidRPr="00BD4CFE">
              <w:rPr>
                <w:rFonts w:asciiTheme="minorHAnsi" w:eastAsiaTheme="minorHAnsi" w:hAnsiTheme="minorHAnsi" w:cstheme="minorHAnsi"/>
                <w:szCs w:val="18"/>
                <w:lang w:val="en-US"/>
              </w:rPr>
              <w:t xml:space="preserve">Alginate molecular weight evolution under OTR </w:t>
            </w:r>
            <w:r w:rsidR="00480338" w:rsidRPr="00BD4CFE">
              <w:rPr>
                <w:rFonts w:asciiTheme="minorHAnsi" w:eastAsiaTheme="minorHAnsi" w:hAnsiTheme="minorHAnsi" w:cstheme="minorHAnsi"/>
                <w:szCs w:val="18"/>
                <w:lang w:val="en-US"/>
              </w:rPr>
              <w:t xml:space="preserve">   </w:t>
            </w:r>
            <w:r w:rsidRPr="00BD4CFE">
              <w:rPr>
                <w:rFonts w:asciiTheme="minorHAnsi" w:eastAsiaTheme="minorHAnsi" w:hAnsiTheme="minorHAnsi" w:cstheme="minorHAnsi"/>
                <w:szCs w:val="18"/>
                <w:lang w:val="en-US"/>
              </w:rPr>
              <w:t>control and without controlling OTR in 3-L bioreactor.</w:t>
            </w:r>
          </w:p>
          <w:p w:rsidR="00D4735A" w:rsidRPr="00BD4CFE" w:rsidRDefault="00D4735A" w:rsidP="002B4F5A">
            <w:pPr>
              <w:snapToGrid w:val="0"/>
              <w:spacing w:after="120"/>
              <w:jc w:val="center"/>
              <w:rPr>
                <w:rFonts w:asciiTheme="minorHAnsi" w:eastAsiaTheme="minorHAnsi" w:hAnsiTheme="minorHAnsi" w:cstheme="minorHAnsi"/>
                <w:szCs w:val="18"/>
                <w:lang w:val="en-US"/>
              </w:rPr>
            </w:pPr>
            <w:r w:rsidRPr="00BD4CFE">
              <w:rPr>
                <w:rFonts w:asciiTheme="minorHAnsi" w:eastAsiaTheme="minorHAnsi" w:hAnsiTheme="minorHAnsi" w:cstheme="minorHAnsi"/>
                <w:b/>
                <w:szCs w:val="18"/>
                <w:lang w:val="en-US"/>
              </w:rPr>
              <w:t>Table 1.</w:t>
            </w:r>
            <w:r w:rsidRPr="00BD4CFE">
              <w:rPr>
                <w:rFonts w:asciiTheme="minorHAnsi" w:eastAsiaTheme="minorHAnsi" w:hAnsiTheme="minorHAnsi" w:cstheme="minorHAnsi"/>
                <w:szCs w:val="18"/>
                <w:lang w:val="en-US"/>
              </w:rPr>
              <w:t xml:space="preserve"> Comparison o</w:t>
            </w:r>
            <w:r w:rsidR="00D228D8" w:rsidRPr="00BD4CFE">
              <w:rPr>
                <w:rFonts w:asciiTheme="minorHAnsi" w:eastAsiaTheme="minorHAnsi" w:hAnsiTheme="minorHAnsi" w:cstheme="minorHAnsi"/>
                <w:szCs w:val="18"/>
                <w:lang w:val="en-US"/>
              </w:rPr>
              <w:t>f specific</w:t>
            </w:r>
            <w:r w:rsidR="003D0911" w:rsidRPr="00BD4CFE">
              <w:rPr>
                <w:rFonts w:asciiTheme="minorHAnsi" w:eastAsiaTheme="minorHAnsi" w:hAnsiTheme="minorHAnsi" w:cstheme="minorHAnsi"/>
                <w:szCs w:val="18"/>
                <w:lang w:val="en-US"/>
              </w:rPr>
              <w:t xml:space="preserve"> </w:t>
            </w:r>
            <w:r w:rsidR="00BD4CFE">
              <w:rPr>
                <w:rFonts w:asciiTheme="minorHAnsi" w:eastAsiaTheme="minorHAnsi" w:hAnsiTheme="minorHAnsi" w:cstheme="minorHAnsi"/>
                <w:szCs w:val="18"/>
                <w:lang w:val="en-US"/>
              </w:rPr>
              <w:t xml:space="preserve">cell </w:t>
            </w:r>
            <w:r w:rsidR="003D0911" w:rsidRPr="00BD4CFE">
              <w:rPr>
                <w:rFonts w:asciiTheme="minorHAnsi" w:eastAsiaTheme="minorHAnsi" w:hAnsiTheme="minorHAnsi" w:cstheme="minorHAnsi"/>
                <w:szCs w:val="18"/>
                <w:lang w:val="en-US"/>
              </w:rPr>
              <w:t>growth</w:t>
            </w:r>
            <w:r w:rsidRPr="00BD4CFE">
              <w:rPr>
                <w:rFonts w:asciiTheme="minorHAnsi" w:eastAsiaTheme="minorHAnsi" w:hAnsiTheme="minorHAnsi" w:cstheme="minorHAnsi"/>
                <w:szCs w:val="18"/>
                <w:lang w:val="en-US"/>
              </w:rPr>
              <w:t xml:space="preserve"> </w:t>
            </w:r>
            <w:r w:rsidR="00C64D71" w:rsidRPr="00BD4CFE">
              <w:rPr>
                <w:rFonts w:asciiTheme="minorHAnsi" w:eastAsiaTheme="minorHAnsi" w:hAnsiTheme="minorHAnsi" w:cstheme="minorHAnsi"/>
                <w:szCs w:val="18"/>
                <w:lang w:val="en-US"/>
              </w:rPr>
              <w:t>rate,</w:t>
            </w:r>
            <w:r w:rsidR="0081700A" w:rsidRPr="00BD4CFE">
              <w:rPr>
                <w:rFonts w:asciiTheme="minorHAnsi" w:eastAsiaTheme="minorHAnsi" w:hAnsiTheme="minorHAnsi" w:cstheme="minorHAnsi"/>
                <w:szCs w:val="18"/>
                <w:lang w:val="en-US"/>
              </w:rPr>
              <w:t xml:space="preserve"> biomass yield on sucrose (</w:t>
            </w:r>
            <w:proofErr w:type="spellStart"/>
            <w:r w:rsidR="0081700A" w:rsidRPr="00BD4CFE">
              <w:rPr>
                <w:rFonts w:asciiTheme="minorHAnsi" w:eastAsiaTheme="minorHAnsi" w:hAnsiTheme="minorHAnsi" w:cstheme="minorHAnsi"/>
                <w:szCs w:val="18"/>
                <w:lang w:val="en-US"/>
              </w:rPr>
              <w:t>Y</w:t>
            </w:r>
            <w:r w:rsidR="0081700A" w:rsidRPr="00BD4CFE">
              <w:rPr>
                <w:rFonts w:asciiTheme="minorHAnsi" w:eastAsiaTheme="minorHAnsi" w:hAnsiTheme="minorHAnsi" w:cstheme="minorHAnsi"/>
                <w:szCs w:val="18"/>
                <w:vertAlign w:val="subscript"/>
                <w:lang w:val="en-US"/>
              </w:rPr>
              <w:t>x</w:t>
            </w:r>
            <w:proofErr w:type="spellEnd"/>
            <w:r w:rsidR="0081700A" w:rsidRPr="00BD4CFE">
              <w:rPr>
                <w:rFonts w:asciiTheme="minorHAnsi" w:eastAsiaTheme="minorHAnsi" w:hAnsiTheme="minorHAnsi" w:cstheme="minorHAnsi"/>
                <w:szCs w:val="18"/>
                <w:vertAlign w:val="subscript"/>
                <w:lang w:val="en-US"/>
              </w:rPr>
              <w:t>/s</w:t>
            </w:r>
            <w:r w:rsidR="0081700A" w:rsidRPr="00BD4CFE">
              <w:rPr>
                <w:rFonts w:asciiTheme="minorHAnsi" w:eastAsiaTheme="minorHAnsi" w:hAnsiTheme="minorHAnsi" w:cstheme="minorHAnsi"/>
                <w:szCs w:val="18"/>
                <w:lang w:val="en-US"/>
              </w:rPr>
              <w:t>),</w:t>
            </w:r>
            <w:r w:rsidRPr="00BD4CFE">
              <w:rPr>
                <w:rFonts w:asciiTheme="minorHAnsi" w:eastAsiaTheme="minorHAnsi" w:hAnsiTheme="minorHAnsi" w:cstheme="minorHAnsi"/>
                <w:szCs w:val="18"/>
                <w:lang w:val="en-US"/>
              </w:rPr>
              <w:t xml:space="preserve"> alginate yield on biomass (Y</w:t>
            </w:r>
            <w:r w:rsidR="003D0911" w:rsidRPr="00BD4CFE">
              <w:rPr>
                <w:rFonts w:asciiTheme="minorHAnsi" w:eastAsiaTheme="minorHAnsi" w:hAnsiTheme="minorHAnsi" w:cstheme="minorHAnsi"/>
                <w:szCs w:val="18"/>
                <w:lang w:val="en-US"/>
              </w:rPr>
              <w:t xml:space="preserve"> </w:t>
            </w:r>
            <w:r w:rsidRPr="00BD4CFE">
              <w:rPr>
                <w:rFonts w:asciiTheme="minorHAnsi" w:eastAsiaTheme="minorHAnsi" w:hAnsiTheme="minorHAnsi" w:cstheme="minorHAnsi"/>
                <w:szCs w:val="18"/>
                <w:vertAlign w:val="subscript"/>
                <w:lang w:val="en-US"/>
              </w:rPr>
              <w:t>p/x</w:t>
            </w:r>
            <w:r w:rsidR="00C64D71" w:rsidRPr="00BD4CFE">
              <w:rPr>
                <w:rFonts w:asciiTheme="minorHAnsi" w:eastAsiaTheme="minorHAnsi" w:hAnsiTheme="minorHAnsi" w:cstheme="minorHAnsi"/>
                <w:szCs w:val="18"/>
                <w:lang w:val="en-US"/>
              </w:rPr>
              <w:t>)</w:t>
            </w:r>
            <w:r w:rsidR="00BD4CFE">
              <w:rPr>
                <w:rFonts w:asciiTheme="minorHAnsi" w:eastAsiaTheme="minorHAnsi" w:hAnsiTheme="minorHAnsi" w:cstheme="minorHAnsi"/>
                <w:szCs w:val="18"/>
                <w:lang w:val="en-US"/>
              </w:rPr>
              <w:t>, and</w:t>
            </w:r>
            <w:r w:rsidR="00BD4CFE" w:rsidRPr="00BD4CFE">
              <w:rPr>
                <w:rFonts w:asciiTheme="minorHAnsi" w:eastAsiaTheme="minorHAnsi" w:hAnsiTheme="minorHAnsi" w:cstheme="minorHAnsi"/>
                <w:szCs w:val="18"/>
                <w:lang w:val="en-US"/>
              </w:rPr>
              <w:t xml:space="preserve"> maximum alginate </w:t>
            </w:r>
            <w:r w:rsidR="00BD4CFE">
              <w:rPr>
                <w:rFonts w:asciiTheme="minorHAnsi" w:eastAsiaTheme="minorHAnsi" w:hAnsiTheme="minorHAnsi" w:cstheme="minorHAnsi"/>
                <w:szCs w:val="18"/>
                <w:lang w:val="en-US"/>
              </w:rPr>
              <w:t>concentration.</w:t>
            </w:r>
          </w:p>
          <w:p w:rsidR="00D4735A" w:rsidRDefault="00D4735A" w:rsidP="00C64D71">
            <w:pPr>
              <w:snapToGrid w:val="0"/>
              <w:spacing w:after="120"/>
              <w:rPr>
                <w:rFonts w:asciiTheme="minorHAnsi" w:eastAsiaTheme="minorHAnsi" w:hAnsiTheme="minorHAnsi" w:cstheme="minorHAnsi"/>
                <w:sz w:val="22"/>
                <w:szCs w:val="22"/>
                <w:lang w:val="en-US"/>
              </w:rPr>
            </w:pPr>
          </w:p>
        </w:tc>
      </w:tr>
    </w:tbl>
    <w:p w:rsidR="00737CF0" w:rsidRDefault="008B3C7E" w:rsidP="00B3157D">
      <w:pPr>
        <w:autoSpaceDE w:val="0"/>
        <w:autoSpaceDN w:val="0"/>
        <w:adjustRightInd w:val="0"/>
        <w:spacing w:after="120"/>
        <w:rPr>
          <w:rFonts w:asciiTheme="minorHAnsi" w:hAnsiTheme="minorHAnsi" w:cstheme="minorHAnsi"/>
          <w:sz w:val="22"/>
          <w:szCs w:val="22"/>
          <w:lang w:val="en-US"/>
        </w:rPr>
      </w:pPr>
      <w:r>
        <w:rPr>
          <w:rFonts w:asciiTheme="minorHAnsi" w:hAnsiTheme="minorHAnsi" w:cstheme="minorHAnsi"/>
          <w:sz w:val="22"/>
          <w:szCs w:val="24"/>
          <w:lang w:val="en-US"/>
        </w:rPr>
        <w:t xml:space="preserve">Figure </w:t>
      </w:r>
      <w:proofErr w:type="gramStart"/>
      <w:r w:rsidR="00370394">
        <w:rPr>
          <w:rFonts w:asciiTheme="minorHAnsi" w:hAnsiTheme="minorHAnsi" w:cstheme="minorHAnsi"/>
          <w:sz w:val="22"/>
          <w:szCs w:val="24"/>
          <w:lang w:val="en-US"/>
        </w:rPr>
        <w:t>2</w:t>
      </w:r>
      <w:proofErr w:type="gramEnd"/>
      <w:r w:rsidR="00854BA5">
        <w:rPr>
          <w:rFonts w:asciiTheme="minorHAnsi" w:hAnsiTheme="minorHAnsi" w:cstheme="minorHAnsi"/>
          <w:sz w:val="22"/>
          <w:szCs w:val="24"/>
          <w:lang w:val="en-US"/>
        </w:rPr>
        <w:t xml:space="preserve"> show</w:t>
      </w:r>
      <w:r w:rsidR="00AC5596">
        <w:rPr>
          <w:rFonts w:asciiTheme="minorHAnsi" w:hAnsiTheme="minorHAnsi" w:cstheme="minorHAnsi"/>
          <w:sz w:val="22"/>
          <w:szCs w:val="24"/>
          <w:lang w:val="en-US"/>
        </w:rPr>
        <w:t>s</w:t>
      </w:r>
      <w:r w:rsidR="00854BA5">
        <w:rPr>
          <w:rFonts w:asciiTheme="minorHAnsi" w:hAnsiTheme="minorHAnsi" w:cstheme="minorHAnsi"/>
          <w:sz w:val="22"/>
          <w:szCs w:val="24"/>
          <w:lang w:val="en-US"/>
        </w:rPr>
        <w:t xml:space="preserve"> t</w:t>
      </w:r>
      <w:r w:rsidR="00AC5596">
        <w:rPr>
          <w:rFonts w:asciiTheme="minorHAnsi" w:hAnsiTheme="minorHAnsi" w:cstheme="minorHAnsi"/>
          <w:sz w:val="22"/>
          <w:szCs w:val="24"/>
          <w:lang w:val="en-US"/>
        </w:rPr>
        <w:t>hat the</w:t>
      </w:r>
      <w:r w:rsidR="00702F7C" w:rsidRPr="00702F7C">
        <w:rPr>
          <w:rFonts w:asciiTheme="minorHAnsi" w:hAnsiTheme="minorHAnsi" w:cstheme="minorHAnsi"/>
          <w:sz w:val="22"/>
          <w:szCs w:val="24"/>
          <w:lang w:val="en-US"/>
        </w:rPr>
        <w:t xml:space="preserve"> OTR control affected the </w:t>
      </w:r>
      <w:r w:rsidR="00E70FB5">
        <w:rPr>
          <w:rFonts w:asciiTheme="minorHAnsi" w:hAnsiTheme="minorHAnsi" w:cstheme="minorHAnsi"/>
          <w:sz w:val="22"/>
          <w:szCs w:val="24"/>
          <w:lang w:val="en-US"/>
        </w:rPr>
        <w:t xml:space="preserve">production and the </w:t>
      </w:r>
      <w:r w:rsidR="00702F7C" w:rsidRPr="00702F7C">
        <w:rPr>
          <w:rFonts w:asciiTheme="minorHAnsi" w:hAnsiTheme="minorHAnsi" w:cstheme="minorHAnsi"/>
          <w:sz w:val="22"/>
          <w:szCs w:val="24"/>
          <w:lang w:val="en-US"/>
        </w:rPr>
        <w:t>molecular weight of alginate.</w:t>
      </w:r>
      <w:r w:rsidR="00702F7C">
        <w:rPr>
          <w:rFonts w:asciiTheme="minorHAnsi" w:hAnsiTheme="minorHAnsi" w:cstheme="minorHAnsi"/>
          <w:sz w:val="22"/>
          <w:szCs w:val="24"/>
          <w:lang w:val="en-US"/>
        </w:rPr>
        <w:t xml:space="preserve"> I</w:t>
      </w:r>
      <w:r w:rsidR="00702F7C" w:rsidRPr="00702F7C">
        <w:rPr>
          <w:rFonts w:asciiTheme="minorHAnsi" w:hAnsiTheme="minorHAnsi" w:cstheme="minorHAnsi"/>
          <w:sz w:val="22"/>
          <w:szCs w:val="24"/>
          <w:lang w:val="en-US"/>
        </w:rPr>
        <w:t xml:space="preserve">n the culture with control of the OTR, the alginate MW during </w:t>
      </w:r>
      <w:r w:rsidR="00E70FB5">
        <w:rPr>
          <w:rFonts w:asciiTheme="minorHAnsi" w:hAnsiTheme="minorHAnsi" w:cstheme="minorHAnsi"/>
          <w:sz w:val="22"/>
          <w:szCs w:val="24"/>
          <w:lang w:val="en-US"/>
        </w:rPr>
        <w:t>the</w:t>
      </w:r>
      <w:r w:rsidR="00702F7C" w:rsidRPr="00702F7C">
        <w:rPr>
          <w:rFonts w:asciiTheme="minorHAnsi" w:hAnsiTheme="minorHAnsi" w:cstheme="minorHAnsi"/>
          <w:sz w:val="22"/>
          <w:szCs w:val="24"/>
          <w:lang w:val="en-US"/>
        </w:rPr>
        <w:t xml:space="preserve"> stationary phase </w:t>
      </w:r>
      <w:r w:rsidR="00E70FB5">
        <w:rPr>
          <w:rFonts w:asciiTheme="minorHAnsi" w:hAnsiTheme="minorHAnsi" w:cstheme="minorHAnsi"/>
          <w:sz w:val="22"/>
          <w:szCs w:val="24"/>
          <w:lang w:val="en-US"/>
        </w:rPr>
        <w:t xml:space="preserve">of growth </w:t>
      </w:r>
      <w:r w:rsidR="00702F7C" w:rsidRPr="00702F7C">
        <w:rPr>
          <w:rFonts w:asciiTheme="minorHAnsi" w:hAnsiTheme="minorHAnsi" w:cstheme="minorHAnsi"/>
          <w:sz w:val="22"/>
          <w:szCs w:val="24"/>
          <w:lang w:val="en-US"/>
        </w:rPr>
        <w:t>was constant</w:t>
      </w:r>
      <w:r w:rsidR="00223E93">
        <w:rPr>
          <w:rFonts w:asciiTheme="minorHAnsi" w:hAnsiTheme="minorHAnsi" w:cstheme="minorHAnsi"/>
          <w:sz w:val="22"/>
          <w:szCs w:val="24"/>
          <w:lang w:val="en-US"/>
        </w:rPr>
        <w:t xml:space="preserve"> (300 </w:t>
      </w:r>
      <w:proofErr w:type="spellStart"/>
      <w:r w:rsidR="00223E93">
        <w:rPr>
          <w:rFonts w:asciiTheme="minorHAnsi" w:hAnsiTheme="minorHAnsi" w:cstheme="minorHAnsi"/>
          <w:sz w:val="22"/>
          <w:szCs w:val="24"/>
          <w:lang w:val="en-US"/>
        </w:rPr>
        <w:t>kDa</w:t>
      </w:r>
      <w:proofErr w:type="spellEnd"/>
      <w:r w:rsidR="00223E93">
        <w:rPr>
          <w:rFonts w:asciiTheme="minorHAnsi" w:hAnsiTheme="minorHAnsi" w:cstheme="minorHAnsi"/>
          <w:sz w:val="22"/>
          <w:szCs w:val="24"/>
          <w:lang w:val="en-US"/>
        </w:rPr>
        <w:t>).</w:t>
      </w:r>
      <w:r w:rsidR="00AC5596">
        <w:rPr>
          <w:rFonts w:asciiTheme="minorHAnsi" w:hAnsiTheme="minorHAnsi" w:cstheme="minorHAnsi"/>
          <w:sz w:val="22"/>
          <w:szCs w:val="24"/>
          <w:lang w:val="en-US"/>
        </w:rPr>
        <w:t xml:space="preserve"> </w:t>
      </w:r>
      <w:r w:rsidR="00737CF0" w:rsidRPr="00737CF0">
        <w:rPr>
          <w:rFonts w:asciiTheme="minorHAnsi" w:hAnsiTheme="minorHAnsi" w:cstheme="minorHAnsi"/>
          <w:sz w:val="22"/>
          <w:szCs w:val="22"/>
          <w:lang w:val="en-US"/>
        </w:rPr>
        <w:t xml:space="preserve">It is possible that changes in genes involved in alginate polymerization and </w:t>
      </w:r>
      <w:proofErr w:type="spellStart"/>
      <w:r w:rsidR="00737CF0" w:rsidRPr="00737CF0">
        <w:rPr>
          <w:rFonts w:asciiTheme="minorHAnsi" w:hAnsiTheme="minorHAnsi" w:cstheme="minorHAnsi"/>
          <w:sz w:val="22"/>
          <w:szCs w:val="22"/>
          <w:lang w:val="en-US"/>
        </w:rPr>
        <w:t>depolymerization</w:t>
      </w:r>
      <w:proofErr w:type="spellEnd"/>
      <w:r w:rsidR="00737CF0" w:rsidRPr="00737CF0">
        <w:rPr>
          <w:rFonts w:asciiTheme="minorHAnsi" w:hAnsiTheme="minorHAnsi" w:cstheme="minorHAnsi"/>
          <w:sz w:val="22"/>
          <w:szCs w:val="22"/>
          <w:lang w:val="en-US"/>
        </w:rPr>
        <w:t xml:space="preserve"> </w:t>
      </w:r>
      <w:proofErr w:type="gramStart"/>
      <w:r w:rsidR="00737CF0" w:rsidRPr="00737CF0">
        <w:rPr>
          <w:rFonts w:asciiTheme="minorHAnsi" w:hAnsiTheme="minorHAnsi" w:cstheme="minorHAnsi"/>
          <w:sz w:val="22"/>
          <w:szCs w:val="22"/>
          <w:lang w:val="en-US"/>
        </w:rPr>
        <w:t>could be</w:t>
      </w:r>
      <w:r w:rsidR="000205CB">
        <w:rPr>
          <w:rFonts w:asciiTheme="minorHAnsi" w:hAnsiTheme="minorHAnsi" w:cstheme="minorHAnsi"/>
          <w:sz w:val="22"/>
          <w:szCs w:val="22"/>
          <w:lang w:val="en-US"/>
        </w:rPr>
        <w:t xml:space="preserve"> </w:t>
      </w:r>
      <w:r w:rsidR="00737CF0" w:rsidRPr="00737CF0">
        <w:rPr>
          <w:rFonts w:asciiTheme="minorHAnsi" w:hAnsiTheme="minorHAnsi" w:cstheme="minorHAnsi"/>
          <w:sz w:val="22"/>
          <w:szCs w:val="22"/>
          <w:lang w:val="en-US"/>
        </w:rPr>
        <w:t>affected</w:t>
      </w:r>
      <w:proofErr w:type="gramEnd"/>
      <w:r w:rsidR="00737CF0" w:rsidRPr="00737CF0">
        <w:rPr>
          <w:rFonts w:asciiTheme="minorHAnsi" w:hAnsiTheme="minorHAnsi" w:cstheme="minorHAnsi"/>
          <w:sz w:val="22"/>
          <w:szCs w:val="22"/>
          <w:lang w:val="en-US"/>
        </w:rPr>
        <w:t xml:space="preserve"> by variation in the OTR during stationary phase.</w:t>
      </w:r>
      <w:r w:rsidR="00737CF0">
        <w:rPr>
          <w:rFonts w:asciiTheme="minorHAnsi" w:hAnsiTheme="minorHAnsi" w:cstheme="minorHAnsi"/>
          <w:sz w:val="22"/>
          <w:szCs w:val="22"/>
          <w:lang w:val="en-US"/>
        </w:rPr>
        <w:t xml:space="preserve"> A higher alginate production under OTR controlled </w:t>
      </w:r>
      <w:proofErr w:type="gramStart"/>
      <w:r w:rsidR="00737CF0">
        <w:rPr>
          <w:rFonts w:asciiTheme="minorHAnsi" w:hAnsiTheme="minorHAnsi" w:cstheme="minorHAnsi"/>
          <w:sz w:val="22"/>
          <w:szCs w:val="22"/>
          <w:lang w:val="en-US"/>
        </w:rPr>
        <w:t>was obtained</w:t>
      </w:r>
      <w:proofErr w:type="gramEnd"/>
      <w:r w:rsidR="00737CF0">
        <w:rPr>
          <w:rFonts w:asciiTheme="minorHAnsi" w:hAnsiTheme="minorHAnsi" w:cstheme="minorHAnsi"/>
          <w:sz w:val="22"/>
          <w:szCs w:val="22"/>
          <w:lang w:val="en-US"/>
        </w:rPr>
        <w:t xml:space="preserve"> (Table 1).</w:t>
      </w:r>
    </w:p>
    <w:p w:rsidR="00BB2802" w:rsidRPr="00D702DD" w:rsidRDefault="00704BDF" w:rsidP="00B3157D">
      <w:pPr>
        <w:tabs>
          <w:tab w:val="clear" w:pos="7100"/>
          <w:tab w:val="left" w:pos="3545"/>
        </w:tabs>
        <w:snapToGrid w:val="0"/>
        <w:spacing w:after="120"/>
        <w:rPr>
          <w:rFonts w:asciiTheme="minorHAnsi" w:eastAsia="MS PGothic" w:hAnsiTheme="minorHAnsi"/>
          <w:color w:val="000000"/>
          <w:sz w:val="22"/>
          <w:szCs w:val="22"/>
          <w:lang w:val="en-US" w:eastAsia="ko-KR"/>
        </w:rPr>
      </w:pPr>
      <w:r w:rsidRPr="00D702DD">
        <w:rPr>
          <w:rFonts w:asciiTheme="minorHAnsi" w:eastAsia="MS PGothic" w:hAnsiTheme="minorHAnsi"/>
          <w:b/>
          <w:bCs/>
          <w:color w:val="000000"/>
          <w:sz w:val="22"/>
          <w:szCs w:val="22"/>
          <w:lang w:val="en-US"/>
        </w:rPr>
        <w:t>4. Conclusion</w:t>
      </w:r>
      <w:r w:rsidRPr="00D702DD">
        <w:rPr>
          <w:rFonts w:asciiTheme="minorHAnsi" w:eastAsia="MS PGothic" w:hAnsiTheme="minorHAnsi"/>
          <w:b/>
          <w:bCs/>
          <w:color w:val="000000"/>
          <w:sz w:val="22"/>
          <w:szCs w:val="22"/>
          <w:lang w:val="en-US" w:eastAsia="ko-KR"/>
        </w:rPr>
        <w:t>s</w:t>
      </w:r>
    </w:p>
    <w:p w:rsidR="008B3C7E" w:rsidRDefault="00D702DD" w:rsidP="00B3157D">
      <w:pPr>
        <w:spacing w:after="120"/>
        <w:rPr>
          <w:rFonts w:asciiTheme="minorHAnsi" w:hAnsiTheme="minorHAnsi" w:cstheme="minorHAnsi"/>
          <w:sz w:val="22"/>
          <w:szCs w:val="24"/>
          <w:lang w:val="en-US"/>
        </w:rPr>
      </w:pPr>
      <w:r w:rsidRPr="00E70FB5">
        <w:rPr>
          <w:rFonts w:asciiTheme="minorHAnsi" w:hAnsiTheme="minorHAnsi" w:cstheme="minorHAnsi"/>
          <w:sz w:val="22"/>
          <w:szCs w:val="24"/>
          <w:lang w:val="en-US"/>
        </w:rPr>
        <w:t xml:space="preserve">The strategy implemented for controlling the </w:t>
      </w:r>
      <w:r w:rsidR="00061760">
        <w:rPr>
          <w:rFonts w:asciiTheme="minorHAnsi" w:hAnsiTheme="minorHAnsi" w:cstheme="minorHAnsi"/>
          <w:sz w:val="22"/>
          <w:szCs w:val="24"/>
          <w:lang w:val="en-US"/>
        </w:rPr>
        <w:t>oxygen transfer rate</w:t>
      </w:r>
      <w:r w:rsidRPr="00E70FB5">
        <w:rPr>
          <w:rFonts w:asciiTheme="minorHAnsi" w:hAnsiTheme="minorHAnsi" w:cstheme="minorHAnsi"/>
          <w:sz w:val="22"/>
          <w:szCs w:val="24"/>
          <w:lang w:val="en-US"/>
        </w:rPr>
        <w:t xml:space="preserve"> in </w:t>
      </w:r>
      <w:r w:rsidRPr="00E70FB5">
        <w:rPr>
          <w:rFonts w:asciiTheme="minorHAnsi" w:hAnsiTheme="minorHAnsi" w:cstheme="minorHAnsi"/>
          <w:i/>
          <w:sz w:val="22"/>
          <w:szCs w:val="24"/>
          <w:lang w:val="en-US"/>
        </w:rPr>
        <w:t>A</w:t>
      </w:r>
      <w:r w:rsidRPr="00E70FB5">
        <w:rPr>
          <w:rFonts w:asciiTheme="minorHAnsi" w:hAnsiTheme="minorHAnsi" w:cstheme="minorHAnsi"/>
          <w:sz w:val="22"/>
          <w:szCs w:val="24"/>
          <w:lang w:val="en-US"/>
        </w:rPr>
        <w:t xml:space="preserve">. </w:t>
      </w:r>
      <w:proofErr w:type="spellStart"/>
      <w:r w:rsidRPr="00E70FB5">
        <w:rPr>
          <w:rFonts w:asciiTheme="minorHAnsi" w:hAnsiTheme="minorHAnsi" w:cstheme="minorHAnsi"/>
          <w:i/>
          <w:sz w:val="22"/>
          <w:szCs w:val="24"/>
          <w:lang w:val="en-US"/>
        </w:rPr>
        <w:t>vinelandii</w:t>
      </w:r>
      <w:proofErr w:type="spellEnd"/>
      <w:r w:rsidRPr="00E70FB5">
        <w:rPr>
          <w:rFonts w:asciiTheme="minorHAnsi" w:hAnsiTheme="minorHAnsi" w:cstheme="minorHAnsi"/>
          <w:sz w:val="22"/>
          <w:szCs w:val="24"/>
          <w:lang w:val="en-US"/>
        </w:rPr>
        <w:t xml:space="preserve"> cultures is </w:t>
      </w:r>
      <w:r w:rsidR="000205CB">
        <w:rPr>
          <w:rFonts w:asciiTheme="minorHAnsi" w:hAnsiTheme="minorHAnsi" w:cstheme="minorHAnsi"/>
          <w:sz w:val="22"/>
          <w:szCs w:val="24"/>
          <w:lang w:val="en-US"/>
        </w:rPr>
        <w:t xml:space="preserve">useful </w:t>
      </w:r>
      <w:r w:rsidRPr="00E70FB5">
        <w:rPr>
          <w:rFonts w:asciiTheme="minorHAnsi" w:hAnsiTheme="minorHAnsi" w:cstheme="minorHAnsi"/>
          <w:sz w:val="22"/>
          <w:szCs w:val="24"/>
          <w:lang w:val="en-US"/>
        </w:rPr>
        <w:t>for maintain constant the molecular weight of alginate</w:t>
      </w:r>
      <w:r w:rsidR="00AB6C2C" w:rsidRPr="00E70FB5">
        <w:rPr>
          <w:rFonts w:asciiTheme="minorHAnsi" w:hAnsiTheme="minorHAnsi" w:cstheme="minorHAnsi"/>
          <w:sz w:val="22"/>
          <w:szCs w:val="24"/>
          <w:lang w:val="en-US"/>
        </w:rPr>
        <w:t xml:space="preserve"> during </w:t>
      </w:r>
      <w:r w:rsidR="00E70FB5" w:rsidRPr="00E70FB5">
        <w:rPr>
          <w:rFonts w:asciiTheme="minorHAnsi" w:hAnsiTheme="minorHAnsi" w:cstheme="minorHAnsi"/>
          <w:sz w:val="22"/>
          <w:szCs w:val="24"/>
          <w:lang w:val="en-US"/>
        </w:rPr>
        <w:t xml:space="preserve">the </w:t>
      </w:r>
      <w:r w:rsidR="00AB6C2C" w:rsidRPr="00E70FB5">
        <w:rPr>
          <w:rFonts w:asciiTheme="minorHAnsi" w:hAnsiTheme="minorHAnsi" w:cstheme="minorHAnsi"/>
          <w:sz w:val="22"/>
          <w:szCs w:val="24"/>
          <w:lang w:val="en-US"/>
        </w:rPr>
        <w:t>stationary phase</w:t>
      </w:r>
      <w:r w:rsidR="00E70FB5" w:rsidRPr="00E70FB5">
        <w:rPr>
          <w:rFonts w:asciiTheme="minorHAnsi" w:hAnsiTheme="minorHAnsi" w:cstheme="minorHAnsi"/>
          <w:sz w:val="22"/>
          <w:szCs w:val="24"/>
          <w:lang w:val="en-US"/>
        </w:rPr>
        <w:t xml:space="preserve"> of growth</w:t>
      </w:r>
      <w:r w:rsidRPr="00E70FB5">
        <w:rPr>
          <w:rFonts w:asciiTheme="minorHAnsi" w:hAnsiTheme="minorHAnsi" w:cstheme="minorHAnsi"/>
          <w:sz w:val="22"/>
          <w:szCs w:val="24"/>
          <w:lang w:val="en-US"/>
        </w:rPr>
        <w:t xml:space="preserve">. The OTR control </w:t>
      </w:r>
      <w:proofErr w:type="gramStart"/>
      <w:r w:rsidRPr="00E70FB5">
        <w:rPr>
          <w:rFonts w:asciiTheme="minorHAnsi" w:hAnsiTheme="minorHAnsi" w:cstheme="minorHAnsi"/>
          <w:sz w:val="22"/>
          <w:szCs w:val="24"/>
          <w:lang w:val="en-US"/>
        </w:rPr>
        <w:t>could be used</w:t>
      </w:r>
      <w:proofErr w:type="gramEnd"/>
      <w:r w:rsidRPr="00E70FB5">
        <w:rPr>
          <w:rFonts w:asciiTheme="minorHAnsi" w:hAnsiTheme="minorHAnsi" w:cstheme="minorHAnsi"/>
          <w:sz w:val="22"/>
          <w:szCs w:val="24"/>
          <w:lang w:val="en-US"/>
        </w:rPr>
        <w:t xml:space="preserve"> in order to produce alginates with particular characteristics.</w:t>
      </w:r>
    </w:p>
    <w:p w:rsidR="00370394" w:rsidRDefault="00370394" w:rsidP="00223E93">
      <w:pPr>
        <w:spacing w:line="240" w:lineRule="auto"/>
        <w:rPr>
          <w:rFonts w:asciiTheme="minorHAnsi" w:hAnsiTheme="minorHAnsi" w:cstheme="minorHAnsi"/>
          <w:sz w:val="22"/>
          <w:szCs w:val="24"/>
          <w:lang w:val="en-US"/>
        </w:rPr>
      </w:pPr>
    </w:p>
    <w:p w:rsidR="00704BDF" w:rsidRPr="00223E93" w:rsidRDefault="00704BDF" w:rsidP="00223E93">
      <w:pPr>
        <w:spacing w:line="240" w:lineRule="auto"/>
        <w:rPr>
          <w:rFonts w:asciiTheme="minorHAnsi" w:hAnsiTheme="minorHAnsi" w:cstheme="minorHAnsi"/>
          <w:sz w:val="22"/>
          <w:szCs w:val="24"/>
          <w:lang w:val="en-US"/>
        </w:rPr>
      </w:pPr>
      <w:r w:rsidRPr="008D0BEB">
        <w:rPr>
          <w:rFonts w:asciiTheme="minorHAnsi" w:eastAsia="MS PGothic" w:hAnsiTheme="minorHAnsi"/>
          <w:b/>
          <w:bCs/>
          <w:color w:val="000000"/>
          <w:sz w:val="20"/>
          <w:lang w:val="en-US"/>
        </w:rPr>
        <w:t xml:space="preserve">References </w:t>
      </w:r>
      <w:r w:rsidR="00E2091E">
        <w:rPr>
          <w:rFonts w:asciiTheme="minorHAnsi" w:eastAsia="MS PGothic" w:hAnsiTheme="minorHAnsi"/>
          <w:b/>
          <w:bCs/>
          <w:color w:val="000000"/>
          <w:sz w:val="20"/>
          <w:lang w:val="en-US"/>
        </w:rPr>
        <w:t xml:space="preserve"> </w:t>
      </w:r>
    </w:p>
    <w:p w:rsidR="00A37F78" w:rsidRPr="00A37F78" w:rsidRDefault="00A37F78" w:rsidP="00B3157D">
      <w:pPr>
        <w:pStyle w:val="Prrafodelista"/>
        <w:numPr>
          <w:ilvl w:val="0"/>
          <w:numId w:val="17"/>
        </w:numPr>
        <w:tabs>
          <w:tab w:val="clear" w:pos="7100"/>
        </w:tabs>
        <w:autoSpaceDE w:val="0"/>
        <w:autoSpaceDN w:val="0"/>
        <w:adjustRightInd w:val="0"/>
        <w:spacing w:line="240" w:lineRule="auto"/>
        <w:rPr>
          <w:rFonts w:asciiTheme="minorHAnsi" w:eastAsiaTheme="minorHAnsi" w:hAnsiTheme="minorHAnsi" w:cstheme="minorHAnsi"/>
          <w:i/>
          <w:iCs/>
          <w:sz w:val="20"/>
          <w:lang w:val="en-US"/>
        </w:rPr>
      </w:pPr>
      <w:r w:rsidRPr="00A37F78">
        <w:rPr>
          <w:rFonts w:asciiTheme="minorHAnsi" w:eastAsiaTheme="minorHAnsi" w:hAnsiTheme="minorHAnsi" w:cstheme="minorHAnsi"/>
          <w:bCs/>
          <w:sz w:val="20"/>
          <w:lang w:val="es-CL"/>
        </w:rPr>
        <w:t xml:space="preserve">Hay, I., </w:t>
      </w:r>
      <w:proofErr w:type="spellStart"/>
      <w:r w:rsidRPr="00A37F78">
        <w:rPr>
          <w:rFonts w:asciiTheme="minorHAnsi" w:eastAsiaTheme="minorHAnsi" w:hAnsiTheme="minorHAnsi" w:cstheme="minorHAnsi"/>
          <w:bCs/>
          <w:sz w:val="20"/>
          <w:lang w:val="es-CL"/>
        </w:rPr>
        <w:t>Rehman</w:t>
      </w:r>
      <w:proofErr w:type="spellEnd"/>
      <w:r w:rsidRPr="00A37F78">
        <w:rPr>
          <w:rFonts w:asciiTheme="minorHAnsi" w:eastAsiaTheme="minorHAnsi" w:hAnsiTheme="minorHAnsi" w:cstheme="minorHAnsi"/>
          <w:bCs/>
          <w:sz w:val="20"/>
          <w:lang w:val="es-CL"/>
        </w:rPr>
        <w:t xml:space="preserve">, Z., </w:t>
      </w:r>
      <w:proofErr w:type="spellStart"/>
      <w:r w:rsidRPr="00A37F78">
        <w:rPr>
          <w:rFonts w:asciiTheme="minorHAnsi" w:eastAsiaTheme="minorHAnsi" w:hAnsiTheme="minorHAnsi" w:cstheme="minorHAnsi"/>
          <w:bCs/>
          <w:sz w:val="20"/>
          <w:lang w:val="es-CL"/>
        </w:rPr>
        <w:t>Moradali</w:t>
      </w:r>
      <w:proofErr w:type="spellEnd"/>
      <w:r w:rsidRPr="00A37F78">
        <w:rPr>
          <w:rFonts w:asciiTheme="minorHAnsi" w:eastAsiaTheme="minorHAnsi" w:hAnsiTheme="minorHAnsi" w:cstheme="minorHAnsi"/>
          <w:bCs/>
          <w:sz w:val="20"/>
          <w:lang w:val="es-CL"/>
        </w:rPr>
        <w:t xml:space="preserve">, MF., Wang, Y., </w:t>
      </w:r>
      <w:proofErr w:type="spellStart"/>
      <w:r w:rsidRPr="00A37F78">
        <w:rPr>
          <w:rFonts w:asciiTheme="minorHAnsi" w:eastAsiaTheme="minorHAnsi" w:hAnsiTheme="minorHAnsi" w:cstheme="minorHAnsi"/>
          <w:bCs/>
          <w:sz w:val="20"/>
          <w:lang w:val="es-CL"/>
        </w:rPr>
        <w:t>Rehm</w:t>
      </w:r>
      <w:proofErr w:type="spellEnd"/>
      <w:r w:rsidRPr="00A37F78">
        <w:rPr>
          <w:rFonts w:asciiTheme="minorHAnsi" w:eastAsiaTheme="minorHAnsi" w:hAnsiTheme="minorHAnsi" w:cstheme="minorHAnsi"/>
          <w:bCs/>
          <w:sz w:val="20"/>
          <w:lang w:val="es-CL"/>
        </w:rPr>
        <w:t xml:space="preserve">, BHA. </w:t>
      </w:r>
      <w:r w:rsidRPr="00A37F78">
        <w:rPr>
          <w:rFonts w:asciiTheme="minorHAnsi" w:eastAsiaTheme="minorHAnsi" w:hAnsiTheme="minorHAnsi" w:cstheme="minorHAnsi"/>
          <w:bCs/>
          <w:sz w:val="20"/>
          <w:lang w:val="en-US"/>
        </w:rPr>
        <w:t xml:space="preserve">Microbial alginate production, modification and its applications. </w:t>
      </w:r>
      <w:proofErr w:type="spellStart"/>
      <w:r w:rsidR="00B3157D" w:rsidRPr="00B3157D">
        <w:rPr>
          <w:rFonts w:asciiTheme="minorHAnsi" w:eastAsiaTheme="minorHAnsi" w:hAnsiTheme="minorHAnsi" w:cstheme="minorHAnsi"/>
          <w:iCs/>
          <w:sz w:val="20"/>
          <w:lang w:val="en-US"/>
        </w:rPr>
        <w:t>Microb</w:t>
      </w:r>
      <w:proofErr w:type="spellEnd"/>
      <w:r w:rsidR="00B3157D">
        <w:rPr>
          <w:rFonts w:asciiTheme="minorHAnsi" w:eastAsiaTheme="minorHAnsi" w:hAnsiTheme="minorHAnsi" w:cstheme="minorHAnsi"/>
          <w:iCs/>
          <w:sz w:val="20"/>
          <w:lang w:val="en-US"/>
        </w:rPr>
        <w:t xml:space="preserve">. </w:t>
      </w:r>
      <w:proofErr w:type="spellStart"/>
      <w:r w:rsidR="00B3157D">
        <w:rPr>
          <w:rFonts w:asciiTheme="minorHAnsi" w:eastAsiaTheme="minorHAnsi" w:hAnsiTheme="minorHAnsi" w:cstheme="minorHAnsi"/>
          <w:iCs/>
          <w:sz w:val="20"/>
          <w:lang w:val="en-US"/>
        </w:rPr>
        <w:t>Biotechnol</w:t>
      </w:r>
      <w:proofErr w:type="spellEnd"/>
      <w:r w:rsidR="00B3157D" w:rsidRPr="00B3157D">
        <w:rPr>
          <w:rFonts w:asciiTheme="minorHAnsi" w:eastAsiaTheme="minorHAnsi" w:hAnsiTheme="minorHAnsi" w:cstheme="minorHAnsi"/>
          <w:iCs/>
          <w:sz w:val="20"/>
          <w:lang w:val="en-US"/>
        </w:rPr>
        <w:t>.</w:t>
      </w:r>
      <w:r w:rsidR="00B3157D" w:rsidRPr="00A37F78">
        <w:rPr>
          <w:rFonts w:asciiTheme="minorHAnsi" w:eastAsiaTheme="minorHAnsi" w:hAnsiTheme="minorHAnsi" w:cstheme="minorHAnsi"/>
          <w:bCs/>
          <w:sz w:val="20"/>
          <w:lang w:val="en-US"/>
        </w:rPr>
        <w:t xml:space="preserve"> </w:t>
      </w:r>
      <w:r w:rsidRPr="00A37F78">
        <w:rPr>
          <w:rFonts w:asciiTheme="minorHAnsi" w:eastAsiaTheme="minorHAnsi" w:hAnsiTheme="minorHAnsi" w:cstheme="minorHAnsi"/>
          <w:bCs/>
          <w:sz w:val="20"/>
          <w:lang w:val="en-US"/>
        </w:rPr>
        <w:t>6</w:t>
      </w:r>
      <w:r w:rsidR="00B3157D">
        <w:rPr>
          <w:rFonts w:asciiTheme="minorHAnsi" w:eastAsiaTheme="minorHAnsi" w:hAnsiTheme="minorHAnsi" w:cstheme="minorHAnsi"/>
          <w:bCs/>
          <w:sz w:val="20"/>
          <w:lang w:val="en-US"/>
        </w:rPr>
        <w:t xml:space="preserve"> </w:t>
      </w:r>
      <w:r w:rsidRPr="00A37F78">
        <w:rPr>
          <w:rFonts w:asciiTheme="minorHAnsi" w:eastAsiaTheme="minorHAnsi" w:hAnsiTheme="minorHAnsi" w:cstheme="minorHAnsi"/>
          <w:sz w:val="20"/>
          <w:lang w:val="en-US"/>
        </w:rPr>
        <w:t>(</w:t>
      </w:r>
      <w:r w:rsidR="00B3157D" w:rsidRPr="00A37F78">
        <w:rPr>
          <w:rFonts w:asciiTheme="minorHAnsi" w:eastAsiaTheme="minorHAnsi" w:hAnsiTheme="minorHAnsi" w:cstheme="minorHAnsi"/>
          <w:bCs/>
          <w:sz w:val="20"/>
          <w:lang w:val="en-US"/>
        </w:rPr>
        <w:t>2013)</w:t>
      </w:r>
      <w:r w:rsidR="00B3157D">
        <w:rPr>
          <w:rFonts w:asciiTheme="minorHAnsi" w:eastAsiaTheme="minorHAnsi" w:hAnsiTheme="minorHAnsi" w:cstheme="minorHAnsi"/>
          <w:bCs/>
          <w:sz w:val="20"/>
          <w:lang w:val="en-US"/>
        </w:rPr>
        <w:t xml:space="preserve"> </w:t>
      </w:r>
      <w:r w:rsidRPr="00A37F78">
        <w:rPr>
          <w:rFonts w:asciiTheme="minorHAnsi" w:eastAsiaTheme="minorHAnsi" w:hAnsiTheme="minorHAnsi" w:cstheme="minorHAnsi"/>
          <w:sz w:val="20"/>
          <w:lang w:val="en-US"/>
        </w:rPr>
        <w:t>637–650</w:t>
      </w:r>
      <w:r w:rsidR="00B3157D">
        <w:rPr>
          <w:rFonts w:asciiTheme="minorHAnsi" w:eastAsiaTheme="minorHAnsi" w:hAnsiTheme="minorHAnsi" w:cstheme="minorHAnsi"/>
          <w:sz w:val="20"/>
          <w:lang w:val="en-US"/>
        </w:rPr>
        <w:t xml:space="preserve">.  </w:t>
      </w:r>
    </w:p>
    <w:p w:rsidR="00B3157D" w:rsidRPr="00B3157D" w:rsidRDefault="00E2091E" w:rsidP="008B2216">
      <w:pPr>
        <w:pStyle w:val="FirstParagraph"/>
        <w:numPr>
          <w:ilvl w:val="0"/>
          <w:numId w:val="17"/>
        </w:numPr>
        <w:tabs>
          <w:tab w:val="left" w:pos="426"/>
        </w:tabs>
        <w:rPr>
          <w:rFonts w:asciiTheme="minorHAnsi" w:hAnsiTheme="minorHAnsi" w:cstheme="minorHAnsi"/>
        </w:rPr>
      </w:pPr>
      <w:proofErr w:type="spellStart"/>
      <w:r w:rsidRPr="00B3157D">
        <w:rPr>
          <w:rFonts w:asciiTheme="minorHAnsi" w:hAnsiTheme="minorHAnsi" w:cstheme="minorHAnsi"/>
          <w:color w:val="000000"/>
        </w:rPr>
        <w:t>Díaz</w:t>
      </w:r>
      <w:proofErr w:type="spellEnd"/>
      <w:r w:rsidRPr="00B3157D">
        <w:rPr>
          <w:rFonts w:asciiTheme="minorHAnsi" w:hAnsiTheme="minorHAnsi" w:cstheme="minorHAnsi"/>
          <w:color w:val="000000"/>
        </w:rPr>
        <w:t xml:space="preserve">-Barrera, A., Gutiérrez, J., </w:t>
      </w:r>
      <w:proofErr w:type="spellStart"/>
      <w:r w:rsidRPr="00B3157D">
        <w:rPr>
          <w:rFonts w:asciiTheme="minorHAnsi" w:hAnsiTheme="minorHAnsi" w:cstheme="minorHAnsi"/>
          <w:color w:val="000000"/>
        </w:rPr>
        <w:t>Martínez</w:t>
      </w:r>
      <w:proofErr w:type="spellEnd"/>
      <w:r w:rsidRPr="00B3157D">
        <w:rPr>
          <w:rFonts w:asciiTheme="minorHAnsi" w:hAnsiTheme="minorHAnsi" w:cstheme="minorHAnsi"/>
          <w:color w:val="000000"/>
        </w:rPr>
        <w:t xml:space="preserve">, F., </w:t>
      </w:r>
      <w:proofErr w:type="spellStart"/>
      <w:r w:rsidRPr="00B3157D">
        <w:rPr>
          <w:rFonts w:asciiTheme="minorHAnsi" w:hAnsiTheme="minorHAnsi" w:cstheme="minorHAnsi"/>
          <w:color w:val="000000"/>
        </w:rPr>
        <w:t>Altamirano</w:t>
      </w:r>
      <w:proofErr w:type="spellEnd"/>
      <w:r w:rsidRPr="00B3157D">
        <w:rPr>
          <w:rFonts w:asciiTheme="minorHAnsi" w:hAnsiTheme="minorHAnsi" w:cstheme="minorHAnsi"/>
          <w:color w:val="000000"/>
        </w:rPr>
        <w:t xml:space="preserve">, C. Production of alginate by </w:t>
      </w:r>
      <w:r w:rsidRPr="00B3157D">
        <w:rPr>
          <w:rFonts w:asciiTheme="minorHAnsi" w:hAnsiTheme="minorHAnsi" w:cstheme="minorHAnsi"/>
          <w:i/>
          <w:color w:val="000000"/>
        </w:rPr>
        <w:t>Azotobacter vinelandii</w:t>
      </w:r>
      <w:r w:rsidRPr="00B3157D">
        <w:rPr>
          <w:rFonts w:asciiTheme="minorHAnsi" w:hAnsiTheme="minorHAnsi" w:cstheme="minorHAnsi"/>
          <w:color w:val="000000"/>
        </w:rPr>
        <w:t xml:space="preserve"> grown at two bioreactor scales under oxygen-limited conditions. Bioprocess </w:t>
      </w:r>
      <w:proofErr w:type="spellStart"/>
      <w:r w:rsidR="00B3157D" w:rsidRPr="00B3157D">
        <w:rPr>
          <w:rFonts w:asciiTheme="minorHAnsi" w:hAnsiTheme="minorHAnsi" w:cstheme="minorHAnsi"/>
          <w:color w:val="000000"/>
        </w:rPr>
        <w:t>B</w:t>
      </w:r>
      <w:r w:rsidRPr="00B3157D">
        <w:rPr>
          <w:rFonts w:asciiTheme="minorHAnsi" w:hAnsiTheme="minorHAnsi" w:cstheme="minorHAnsi"/>
          <w:color w:val="000000"/>
        </w:rPr>
        <w:t>iosyst</w:t>
      </w:r>
      <w:proofErr w:type="spellEnd"/>
      <w:r w:rsidR="00B3157D" w:rsidRPr="00B3157D">
        <w:rPr>
          <w:rFonts w:asciiTheme="minorHAnsi" w:hAnsiTheme="minorHAnsi" w:cstheme="minorHAnsi"/>
          <w:color w:val="000000"/>
        </w:rPr>
        <w:t>.</w:t>
      </w:r>
      <w:r w:rsidRPr="00B3157D">
        <w:rPr>
          <w:rFonts w:asciiTheme="minorHAnsi" w:hAnsiTheme="minorHAnsi" w:cstheme="minorHAnsi"/>
          <w:color w:val="000000"/>
        </w:rPr>
        <w:t xml:space="preserve"> Eng</w:t>
      </w:r>
      <w:r w:rsidR="00B3157D" w:rsidRPr="00B3157D">
        <w:rPr>
          <w:rFonts w:asciiTheme="minorHAnsi" w:hAnsiTheme="minorHAnsi" w:cstheme="minorHAnsi"/>
          <w:color w:val="000000"/>
        </w:rPr>
        <w:t>.</w:t>
      </w:r>
      <w:r w:rsidRPr="00B3157D">
        <w:rPr>
          <w:rFonts w:asciiTheme="minorHAnsi" w:hAnsiTheme="minorHAnsi" w:cstheme="minorHAnsi"/>
          <w:color w:val="000000"/>
        </w:rPr>
        <w:t xml:space="preserve"> 37</w:t>
      </w:r>
      <w:r w:rsidR="00B3157D" w:rsidRPr="00B3157D">
        <w:rPr>
          <w:rFonts w:asciiTheme="minorHAnsi" w:hAnsiTheme="minorHAnsi" w:cstheme="minorHAnsi"/>
          <w:color w:val="000000"/>
        </w:rPr>
        <w:t xml:space="preserve"> (2014) </w:t>
      </w:r>
      <w:r w:rsidRPr="00B3157D">
        <w:rPr>
          <w:rFonts w:asciiTheme="minorHAnsi" w:hAnsiTheme="minorHAnsi" w:cstheme="minorHAnsi"/>
          <w:color w:val="000000"/>
        </w:rPr>
        <w:t>1133–1140</w:t>
      </w:r>
      <w:r w:rsidR="00B3157D" w:rsidRPr="00B3157D">
        <w:rPr>
          <w:rFonts w:asciiTheme="minorHAnsi" w:hAnsiTheme="minorHAnsi" w:cstheme="minorHAnsi"/>
          <w:color w:val="000000"/>
        </w:rPr>
        <w:t xml:space="preserve">.   </w:t>
      </w:r>
    </w:p>
    <w:p w:rsidR="00B3157D" w:rsidRPr="00B3157D" w:rsidRDefault="00B3157D">
      <w:pPr>
        <w:pStyle w:val="FirstParagraph"/>
        <w:tabs>
          <w:tab w:val="left" w:pos="426"/>
        </w:tabs>
        <w:rPr>
          <w:rFonts w:asciiTheme="minorHAnsi" w:eastAsiaTheme="minorHAnsi" w:hAnsiTheme="minorHAnsi" w:cstheme="minorHAnsi"/>
          <w:iCs/>
        </w:rPr>
      </w:pPr>
    </w:p>
    <w:sectPr w:rsidR="00B3157D" w:rsidRPr="00B3157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571" w:rsidRDefault="00A11571" w:rsidP="004F5E36">
      <w:r>
        <w:separator/>
      </w:r>
    </w:p>
  </w:endnote>
  <w:endnote w:type="continuationSeparator" w:id="0">
    <w:p w:rsidR="00A11571" w:rsidRDefault="00A115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571" w:rsidRDefault="00A11571" w:rsidP="004F5E36">
      <w:r>
        <w:separator/>
      </w:r>
    </w:p>
  </w:footnote>
  <w:footnote w:type="continuationSeparator" w:id="0">
    <w:p w:rsidR="00A11571" w:rsidRDefault="00A1157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CL" w:eastAsia="es-C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CL" w:eastAsia="es-C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s-CL" w:eastAsia="es-C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0756DB70"/>
    <w:lvl w:ilvl="0" w:tplc="1988F93C">
      <w:start w:val="1"/>
      <w:numFmt w:val="decimal"/>
      <w:lvlText w:val="[%1]"/>
      <w:lvlJc w:val="left"/>
      <w:pPr>
        <w:ind w:left="360" w:hanging="360"/>
      </w:pPr>
      <w:rPr>
        <w:rFonts w:hint="default"/>
        <w:i w:val="0"/>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BC5F81"/>
    <w:multiLevelType w:val="hybridMultilevel"/>
    <w:tmpl w:val="46909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E031301"/>
    <w:multiLevelType w:val="hybridMultilevel"/>
    <w:tmpl w:val="8D080AE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2E4495"/>
    <w:multiLevelType w:val="hybridMultilevel"/>
    <w:tmpl w:val="8B18BF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6"/>
  </w:num>
  <w:num w:numId="15">
    <w:abstractNumId w:val="17"/>
  </w:num>
  <w:num w:numId="16">
    <w:abstractNumId w:val="19"/>
  </w:num>
  <w:num w:numId="17">
    <w:abstractNumId w:val="10"/>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05CB"/>
    <w:rsid w:val="0003148D"/>
    <w:rsid w:val="0005678A"/>
    <w:rsid w:val="00061760"/>
    <w:rsid w:val="00062A9A"/>
    <w:rsid w:val="0008103B"/>
    <w:rsid w:val="00097043"/>
    <w:rsid w:val="000A03B2"/>
    <w:rsid w:val="000A1A46"/>
    <w:rsid w:val="000D34BE"/>
    <w:rsid w:val="000D64E1"/>
    <w:rsid w:val="000E36F1"/>
    <w:rsid w:val="000E3A73"/>
    <w:rsid w:val="000E414A"/>
    <w:rsid w:val="001032C4"/>
    <w:rsid w:val="0013121F"/>
    <w:rsid w:val="00134DE4"/>
    <w:rsid w:val="00150E59"/>
    <w:rsid w:val="001528BF"/>
    <w:rsid w:val="00180BEE"/>
    <w:rsid w:val="00184AD6"/>
    <w:rsid w:val="001B0D16"/>
    <w:rsid w:val="001B65C1"/>
    <w:rsid w:val="001C684B"/>
    <w:rsid w:val="001D53FC"/>
    <w:rsid w:val="001F2EC7"/>
    <w:rsid w:val="001F3A52"/>
    <w:rsid w:val="002065DB"/>
    <w:rsid w:val="00210C96"/>
    <w:rsid w:val="00223E93"/>
    <w:rsid w:val="002347C9"/>
    <w:rsid w:val="002447EF"/>
    <w:rsid w:val="00251550"/>
    <w:rsid w:val="0027221A"/>
    <w:rsid w:val="00275B61"/>
    <w:rsid w:val="00275EAD"/>
    <w:rsid w:val="002A3021"/>
    <w:rsid w:val="002B4F5A"/>
    <w:rsid w:val="002D1F12"/>
    <w:rsid w:val="002F0DB3"/>
    <w:rsid w:val="003009B7"/>
    <w:rsid w:val="0030469C"/>
    <w:rsid w:val="00332B2F"/>
    <w:rsid w:val="00353638"/>
    <w:rsid w:val="0035387E"/>
    <w:rsid w:val="00363D75"/>
    <w:rsid w:val="00366817"/>
    <w:rsid w:val="00370394"/>
    <w:rsid w:val="003723D4"/>
    <w:rsid w:val="0039673A"/>
    <w:rsid w:val="003976B0"/>
    <w:rsid w:val="003A17D7"/>
    <w:rsid w:val="003A7D1C"/>
    <w:rsid w:val="003B7F38"/>
    <w:rsid w:val="003D0911"/>
    <w:rsid w:val="003D4FFE"/>
    <w:rsid w:val="003E6147"/>
    <w:rsid w:val="00412506"/>
    <w:rsid w:val="00452E11"/>
    <w:rsid w:val="0046164A"/>
    <w:rsid w:val="00462DCD"/>
    <w:rsid w:val="00464D74"/>
    <w:rsid w:val="00470AC5"/>
    <w:rsid w:val="00480338"/>
    <w:rsid w:val="004912ED"/>
    <w:rsid w:val="00495307"/>
    <w:rsid w:val="0049665D"/>
    <w:rsid w:val="004B4773"/>
    <w:rsid w:val="004D1162"/>
    <w:rsid w:val="004E43E3"/>
    <w:rsid w:val="004E45AF"/>
    <w:rsid w:val="004E4DD6"/>
    <w:rsid w:val="004F5115"/>
    <w:rsid w:val="004F563B"/>
    <w:rsid w:val="004F5E36"/>
    <w:rsid w:val="005119A5"/>
    <w:rsid w:val="005274ED"/>
    <w:rsid w:val="005278B7"/>
    <w:rsid w:val="0053328C"/>
    <w:rsid w:val="005346C8"/>
    <w:rsid w:val="0055134B"/>
    <w:rsid w:val="00556A6F"/>
    <w:rsid w:val="00593F57"/>
    <w:rsid w:val="00594E9F"/>
    <w:rsid w:val="005B61E6"/>
    <w:rsid w:val="005C77E1"/>
    <w:rsid w:val="005D6A2F"/>
    <w:rsid w:val="005E1A82"/>
    <w:rsid w:val="005E6438"/>
    <w:rsid w:val="005F0A28"/>
    <w:rsid w:val="005F0E5E"/>
    <w:rsid w:val="00605618"/>
    <w:rsid w:val="00607A97"/>
    <w:rsid w:val="00620DEE"/>
    <w:rsid w:val="00625639"/>
    <w:rsid w:val="00627240"/>
    <w:rsid w:val="006366F8"/>
    <w:rsid w:val="006366FB"/>
    <w:rsid w:val="0064184D"/>
    <w:rsid w:val="00646B95"/>
    <w:rsid w:val="00660E3E"/>
    <w:rsid w:val="00662E74"/>
    <w:rsid w:val="006846D8"/>
    <w:rsid w:val="00695247"/>
    <w:rsid w:val="006B01AC"/>
    <w:rsid w:val="006C5579"/>
    <w:rsid w:val="00702F7C"/>
    <w:rsid w:val="00704BDF"/>
    <w:rsid w:val="007055AC"/>
    <w:rsid w:val="0072211F"/>
    <w:rsid w:val="007273CB"/>
    <w:rsid w:val="0073251C"/>
    <w:rsid w:val="00736B13"/>
    <w:rsid w:val="00737CF0"/>
    <w:rsid w:val="007447F3"/>
    <w:rsid w:val="00747DC9"/>
    <w:rsid w:val="00760BC9"/>
    <w:rsid w:val="007661C8"/>
    <w:rsid w:val="007739EB"/>
    <w:rsid w:val="0077414B"/>
    <w:rsid w:val="00796C9E"/>
    <w:rsid w:val="007C701F"/>
    <w:rsid w:val="007D0E56"/>
    <w:rsid w:val="007D52CD"/>
    <w:rsid w:val="007D6D2B"/>
    <w:rsid w:val="00807621"/>
    <w:rsid w:val="00813288"/>
    <w:rsid w:val="008168FC"/>
    <w:rsid w:val="0081700A"/>
    <w:rsid w:val="0082486C"/>
    <w:rsid w:val="008336C7"/>
    <w:rsid w:val="008479A2"/>
    <w:rsid w:val="00854BA5"/>
    <w:rsid w:val="00860CED"/>
    <w:rsid w:val="0086762F"/>
    <w:rsid w:val="0087637F"/>
    <w:rsid w:val="008A1512"/>
    <w:rsid w:val="008B222A"/>
    <w:rsid w:val="008B29CB"/>
    <w:rsid w:val="008B3C7E"/>
    <w:rsid w:val="008B4755"/>
    <w:rsid w:val="008B74EE"/>
    <w:rsid w:val="008D0BEB"/>
    <w:rsid w:val="008E566E"/>
    <w:rsid w:val="009015A6"/>
    <w:rsid w:val="00901EB6"/>
    <w:rsid w:val="00916FEE"/>
    <w:rsid w:val="0092614A"/>
    <w:rsid w:val="00930905"/>
    <w:rsid w:val="00941CC3"/>
    <w:rsid w:val="009450CE"/>
    <w:rsid w:val="0095164B"/>
    <w:rsid w:val="00960073"/>
    <w:rsid w:val="009705BC"/>
    <w:rsid w:val="009829CE"/>
    <w:rsid w:val="00996483"/>
    <w:rsid w:val="009966DA"/>
    <w:rsid w:val="009A3C06"/>
    <w:rsid w:val="009E788A"/>
    <w:rsid w:val="00A03654"/>
    <w:rsid w:val="00A03CC1"/>
    <w:rsid w:val="00A0503E"/>
    <w:rsid w:val="00A0644F"/>
    <w:rsid w:val="00A11571"/>
    <w:rsid w:val="00A162BE"/>
    <w:rsid w:val="00A1763D"/>
    <w:rsid w:val="00A17CEC"/>
    <w:rsid w:val="00A27EF0"/>
    <w:rsid w:val="00A37F78"/>
    <w:rsid w:val="00A41A6F"/>
    <w:rsid w:val="00A65472"/>
    <w:rsid w:val="00A76EFC"/>
    <w:rsid w:val="00A82A62"/>
    <w:rsid w:val="00A97F29"/>
    <w:rsid w:val="00AA67A2"/>
    <w:rsid w:val="00AA6CEB"/>
    <w:rsid w:val="00AB0964"/>
    <w:rsid w:val="00AB0DEA"/>
    <w:rsid w:val="00AB6C2C"/>
    <w:rsid w:val="00AC5596"/>
    <w:rsid w:val="00AE3101"/>
    <w:rsid w:val="00AE377D"/>
    <w:rsid w:val="00AE4ACC"/>
    <w:rsid w:val="00B01F1D"/>
    <w:rsid w:val="00B3157D"/>
    <w:rsid w:val="00B54F71"/>
    <w:rsid w:val="00B61DBF"/>
    <w:rsid w:val="00B8433A"/>
    <w:rsid w:val="00BB2802"/>
    <w:rsid w:val="00BB64A3"/>
    <w:rsid w:val="00BB6942"/>
    <w:rsid w:val="00BC30C9"/>
    <w:rsid w:val="00BD4CFE"/>
    <w:rsid w:val="00BD7E56"/>
    <w:rsid w:val="00BE3E58"/>
    <w:rsid w:val="00C01616"/>
    <w:rsid w:val="00C0162B"/>
    <w:rsid w:val="00C23749"/>
    <w:rsid w:val="00C345B1"/>
    <w:rsid w:val="00C40142"/>
    <w:rsid w:val="00C54772"/>
    <w:rsid w:val="00C57182"/>
    <w:rsid w:val="00C64D71"/>
    <w:rsid w:val="00C655FD"/>
    <w:rsid w:val="00C65CAD"/>
    <w:rsid w:val="00C94434"/>
    <w:rsid w:val="00CA1C95"/>
    <w:rsid w:val="00CA3FD3"/>
    <w:rsid w:val="00CA5A9C"/>
    <w:rsid w:val="00CB36CB"/>
    <w:rsid w:val="00CC3F4B"/>
    <w:rsid w:val="00CD5FE2"/>
    <w:rsid w:val="00CD63B8"/>
    <w:rsid w:val="00CF1315"/>
    <w:rsid w:val="00CF3AF0"/>
    <w:rsid w:val="00D02B4C"/>
    <w:rsid w:val="00D15EF1"/>
    <w:rsid w:val="00D20542"/>
    <w:rsid w:val="00D228D8"/>
    <w:rsid w:val="00D272D5"/>
    <w:rsid w:val="00D4735A"/>
    <w:rsid w:val="00D52F33"/>
    <w:rsid w:val="00D702DD"/>
    <w:rsid w:val="00D84576"/>
    <w:rsid w:val="00DB454B"/>
    <w:rsid w:val="00DC1F30"/>
    <w:rsid w:val="00DD0501"/>
    <w:rsid w:val="00DE0019"/>
    <w:rsid w:val="00DE264A"/>
    <w:rsid w:val="00E041E7"/>
    <w:rsid w:val="00E158CB"/>
    <w:rsid w:val="00E15E92"/>
    <w:rsid w:val="00E16AB2"/>
    <w:rsid w:val="00E2091E"/>
    <w:rsid w:val="00E23CA1"/>
    <w:rsid w:val="00E31AD3"/>
    <w:rsid w:val="00E409A8"/>
    <w:rsid w:val="00E46D84"/>
    <w:rsid w:val="00E46FB1"/>
    <w:rsid w:val="00E47211"/>
    <w:rsid w:val="00E63982"/>
    <w:rsid w:val="00E70872"/>
    <w:rsid w:val="00E70FB5"/>
    <w:rsid w:val="00E7209D"/>
    <w:rsid w:val="00E82FA5"/>
    <w:rsid w:val="00E853DB"/>
    <w:rsid w:val="00E86383"/>
    <w:rsid w:val="00E921B4"/>
    <w:rsid w:val="00EA50E1"/>
    <w:rsid w:val="00EB3FFC"/>
    <w:rsid w:val="00EB619D"/>
    <w:rsid w:val="00EC23C2"/>
    <w:rsid w:val="00EC5630"/>
    <w:rsid w:val="00EE0131"/>
    <w:rsid w:val="00EE3384"/>
    <w:rsid w:val="00EE43CD"/>
    <w:rsid w:val="00EF6B30"/>
    <w:rsid w:val="00EF77EF"/>
    <w:rsid w:val="00F138EE"/>
    <w:rsid w:val="00F15171"/>
    <w:rsid w:val="00F2087B"/>
    <w:rsid w:val="00F244A8"/>
    <w:rsid w:val="00F26787"/>
    <w:rsid w:val="00F30C64"/>
    <w:rsid w:val="00F54F4A"/>
    <w:rsid w:val="00F57F67"/>
    <w:rsid w:val="00F65F5A"/>
    <w:rsid w:val="00FB730C"/>
    <w:rsid w:val="00FC2695"/>
    <w:rsid w:val="00FC3E03"/>
    <w:rsid w:val="00FE6A2D"/>
    <w:rsid w:val="00FF3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796C9E"/>
    <w:pPr>
      <w:ind w:left="720"/>
      <w:contextualSpacing/>
    </w:pPr>
  </w:style>
  <w:style w:type="character" w:styleId="Hipervnculo">
    <w:name w:val="Hyperlink"/>
    <w:basedOn w:val="Fuentedeprrafopredeter"/>
    <w:uiPriority w:val="99"/>
    <w:unhideWhenUsed/>
    <w:locked/>
    <w:rsid w:val="00607A97"/>
    <w:rPr>
      <w:color w:val="0000FF" w:themeColor="hyperlink"/>
      <w:u w:val="single"/>
    </w:rPr>
  </w:style>
  <w:style w:type="paragraph" w:styleId="Sinespaciado">
    <w:name w:val="No Spacing"/>
    <w:uiPriority w:val="1"/>
    <w:qFormat/>
    <w:locked/>
    <w:rsid w:val="00E2091E"/>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4718">
      <w:bodyDiv w:val="1"/>
      <w:marLeft w:val="0"/>
      <w:marRight w:val="0"/>
      <w:marTop w:val="0"/>
      <w:marBottom w:val="0"/>
      <w:divBdr>
        <w:top w:val="none" w:sz="0" w:space="0" w:color="auto"/>
        <w:left w:val="none" w:sz="0" w:space="0" w:color="auto"/>
        <w:bottom w:val="none" w:sz="0" w:space="0" w:color="auto"/>
        <w:right w:val="none" w:sz="0" w:space="0" w:color="auto"/>
      </w:divBdr>
    </w:div>
    <w:div w:id="1043208620">
      <w:bodyDiv w:val="1"/>
      <w:marLeft w:val="0"/>
      <w:marRight w:val="0"/>
      <w:marTop w:val="0"/>
      <w:marBottom w:val="0"/>
      <w:divBdr>
        <w:top w:val="none" w:sz="0" w:space="0" w:color="auto"/>
        <w:left w:val="none" w:sz="0" w:space="0" w:color="auto"/>
        <w:bottom w:val="none" w:sz="0" w:space="0" w:color="auto"/>
        <w:right w:val="none" w:sz="0" w:space="0" w:color="auto"/>
      </w:divBdr>
    </w:div>
    <w:div w:id="16901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20Corresponding%20author:%20alvaro.diaz@pucv.c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2084-24E6-4B50-935E-7E44453A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4218</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3</cp:revision>
  <cp:lastPrinted>2015-05-12T18:31:00Z</cp:lastPrinted>
  <dcterms:created xsi:type="dcterms:W3CDTF">2019-01-15T18:46:00Z</dcterms:created>
  <dcterms:modified xsi:type="dcterms:W3CDTF">2019-01-15T18:49:00Z</dcterms:modified>
</cp:coreProperties>
</file>