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1A0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82A8B97" w14:textId="77777777" w:rsidR="00B347E5" w:rsidRDefault="009A0656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9A06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Flow </w:t>
      </w:r>
      <w:r w:rsidR="00B347E5" w:rsidRPr="009A06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Cytometry </w:t>
      </w:r>
      <w:r w:rsidR="00B347E5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="00B347E5" w:rsidRPr="009A06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 </w:t>
      </w:r>
      <w:r w:rsidR="00B347E5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="00B347E5" w:rsidRPr="009A06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Versatile Tool </w:t>
      </w:r>
      <w:r w:rsidR="00B347E5"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B347E5" w:rsidRPr="009A0656">
        <w:rPr>
          <w:rFonts w:asciiTheme="minorHAnsi" w:eastAsia="MS PGothic" w:hAnsiTheme="minorHAnsi"/>
          <w:b/>
          <w:bCs/>
          <w:sz w:val="28"/>
          <w:szCs w:val="28"/>
          <w:lang w:val="en-US"/>
        </w:rPr>
        <w:t>or Monitoring Biomass Agglomerates</w:t>
      </w:r>
      <w:r w:rsidR="00B347E5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17846DB2" w14:textId="796FFC2F" w:rsidR="00DE0019" w:rsidRPr="00DE0019" w:rsidRDefault="009A065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Lukas Veiter</w:t>
      </w:r>
      <w:r w:rsidR="00704BDF" w:rsidRPr="009A065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9A065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,2</w:t>
      </w:r>
      <w:r w:rsidRPr="009A0656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and Christoph Herwig</w:t>
      </w:r>
      <w:r w:rsidR="00250D7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>
        <w:rPr>
          <w:rFonts w:eastAsia="SimSun"/>
          <w:color w:val="000000"/>
          <w:vertAlign w:val="superscript"/>
          <w:lang w:val="en-US" w:eastAsia="zh-CN"/>
        </w:rPr>
        <w:t>1,2</w:t>
      </w:r>
    </w:p>
    <w:p w14:paraId="4E70FAA3" w14:textId="77777777" w:rsidR="00704BDF" w:rsidRPr="009A0656" w:rsidRDefault="009A0656" w:rsidP="009A0656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A0656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CD Laboratory on Mechanistic and Physiological Methods for Improved Bioprocesses, TU Wien, </w:t>
      </w:r>
      <w:proofErr w:type="spellStart"/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Gumpendorferstrasse</w:t>
      </w:r>
      <w:proofErr w:type="spellEnd"/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1a/166, 1060 Vienna, Austria</w:t>
      </w:r>
      <w:r w:rsidR="00704BDF"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9A0656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Research Area Biochemical Engineering, Institute for Chemical, Environmental and Biological Engineering, TU Wien, </w:t>
      </w:r>
      <w:proofErr w:type="spellStart"/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Gumpendorferstrasse</w:t>
      </w:r>
      <w:proofErr w:type="spellEnd"/>
      <w:r w:rsidRPr="009A06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1a/166, 1060 Vienna, Austria</w:t>
      </w:r>
    </w:p>
    <w:p w14:paraId="5F4C2929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50D7C">
        <w:rPr>
          <w:rFonts w:asciiTheme="minorHAnsi" w:eastAsia="MS PGothic" w:hAnsiTheme="minorHAnsi"/>
          <w:bCs/>
          <w:i/>
          <w:iCs/>
          <w:sz w:val="20"/>
          <w:lang w:val="en-US"/>
        </w:rPr>
        <w:t>christoph.herwig@tuwien.ac.at</w:t>
      </w:r>
    </w:p>
    <w:p w14:paraId="07D403F5" w14:textId="77777777" w:rsidR="00250D7C" w:rsidRDefault="00250D7C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</w:p>
    <w:p w14:paraId="6BA87D5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9DE0478" w14:textId="77777777" w:rsidR="00704BDF" w:rsidRPr="00EC66CC" w:rsidRDefault="009A065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Fast and reliable method to characterize biomass agglomerates via flow cytometry</w:t>
      </w:r>
    </w:p>
    <w:p w14:paraId="155E458A" w14:textId="77777777" w:rsidR="00704BDF" w:rsidRPr="00EC66CC" w:rsidRDefault="009A065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Insights into morphology and viability of biomass agglomerates</w:t>
      </w:r>
      <w:r w:rsidR="00704BDF" w:rsidRPr="00EC66CC">
        <w:rPr>
          <w:rFonts w:asciiTheme="minorHAnsi" w:hAnsiTheme="minorHAnsi"/>
        </w:rPr>
        <w:t xml:space="preserve"> </w:t>
      </w:r>
    </w:p>
    <w:p w14:paraId="5C9E7FB8" w14:textId="77777777" w:rsidR="00704BDF" w:rsidRPr="00EC66CC" w:rsidRDefault="009A065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Method successfully tested on filamentous fungi and yeast</w:t>
      </w:r>
    </w:p>
    <w:p w14:paraId="4796A5B6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9601839" w14:textId="77777777" w:rsidR="00C117AD" w:rsidRDefault="00C117AD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768E2C21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73FDDB5" w14:textId="77777777" w:rsidR="009A0656" w:rsidRPr="009A0656" w:rsidRDefault="009A0656" w:rsidP="009A06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Process performance, process control strategies and productivity in bioprocesses highly depend on morphological elements of the biomass and therefore calls for a segregated view of biomass. This especially concerns filamentous bioreactor cultivations, where the morphology of the fungi is dependent on process conditions and tightly interlinked with productivity. Filamentous fungi show a large variety of morphological forms in submerged cultures, from dispersed hyphae to denser hyphal aggregates, the so-called pellets. Certain characteristics of morphology are favourable and need to be quantified. </w:t>
      </w:r>
      <w:r w:rsidR="006B2041" w:rsidRPr="009A0656">
        <w:rPr>
          <w:rFonts w:asciiTheme="minorHAnsi" w:eastAsia="MS PGothic" w:hAnsiTheme="minorHAnsi"/>
          <w:color w:val="000000"/>
          <w:sz w:val="22"/>
          <w:szCs w:val="22"/>
        </w:rPr>
        <w:t>However,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 most common method</w:t>
      </w:r>
      <w:r w:rsidR="006B2041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 to characteri</w:t>
      </w:r>
      <w:r w:rsidR="006B2041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e morphology </w:t>
      </w:r>
      <w:r w:rsidR="006B2041">
        <w:rPr>
          <w:rFonts w:asciiTheme="minorHAnsi" w:eastAsia="MS PGothic" w:hAnsiTheme="minorHAnsi"/>
          <w:color w:val="000000"/>
          <w:sz w:val="22"/>
          <w:szCs w:val="22"/>
        </w:rPr>
        <w:t>are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 ti</w:t>
      </w:r>
      <w:r w:rsidR="006B2041">
        <w:rPr>
          <w:rFonts w:asciiTheme="minorHAnsi" w:eastAsia="MS PGothic" w:hAnsiTheme="minorHAnsi"/>
          <w:color w:val="000000"/>
          <w:sz w:val="22"/>
          <w:szCs w:val="22"/>
        </w:rPr>
        <w:t>me consuming and mainly involve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 some form of image analysis based on microscopy.</w:t>
      </w:r>
    </w:p>
    <w:p w14:paraId="78293BFF" w14:textId="77777777" w:rsidR="009A0656" w:rsidRPr="009A0656" w:rsidRDefault="009A0656" w:rsidP="009A06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9A0656">
        <w:rPr>
          <w:rFonts w:asciiTheme="minorHAnsi" w:eastAsia="MS PGothic" w:hAnsiTheme="minorHAnsi"/>
          <w:color w:val="000000"/>
          <w:sz w:val="22"/>
          <w:szCs w:val="22"/>
        </w:rPr>
        <w:t>In my talk, I will introduce an alternative, reliable and fast method based on flow cytometry for at-line and/or future on-line application. New insights into fungal morphology and viability enabl</w:t>
      </w:r>
      <w:r w:rsidR="003C5F3F">
        <w:rPr>
          <w:rFonts w:asciiTheme="minorHAnsi" w:eastAsia="MS PGothic" w:hAnsiTheme="minorHAnsi"/>
          <w:color w:val="000000"/>
          <w:sz w:val="22"/>
          <w:szCs w:val="22"/>
        </w:rPr>
        <w:t xml:space="preserve">e       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>at-line use in production environments</w:t>
      </w:r>
      <w:r w:rsidR="003C5F3F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Pr="009A0656">
        <w:rPr>
          <w:rFonts w:asciiTheme="minorHAnsi" w:eastAsia="MS PGothic" w:hAnsiTheme="minorHAnsi"/>
          <w:color w:val="000000"/>
          <w:sz w:val="22"/>
          <w:szCs w:val="22"/>
        </w:rPr>
        <w:t xml:space="preserve"> where timely assessment of viable biomass characteristics is of prime importance. Finally, I will show that our measurement principles are also applicable to other agglomeration forming organisms such as yeast, making our method a powerful and versatile tool to characterize biomass agglomerates. </w:t>
      </w:r>
    </w:p>
    <w:p w14:paraId="60EF9E45" w14:textId="77777777" w:rsidR="00704BDF" w:rsidRPr="008D0BEB" w:rsidRDefault="00704BDF" w:rsidP="009A06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397A7FD" w14:textId="77777777" w:rsidR="009A0656" w:rsidRPr="00C117AD" w:rsidRDefault="009A0656" w:rsidP="009A06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C117AD">
        <w:rPr>
          <w:rFonts w:asciiTheme="minorHAnsi" w:eastAsia="MS PGothic" w:hAnsiTheme="minorHAnsi"/>
          <w:color w:val="000000"/>
          <w:sz w:val="22"/>
          <w:szCs w:val="22"/>
        </w:rPr>
        <w:t>Th</w:t>
      </w:r>
      <w:r w:rsidR="00986536" w:rsidRPr="00C117AD">
        <w:rPr>
          <w:rFonts w:asciiTheme="minorHAnsi" w:eastAsia="MS PGothic" w:hAnsiTheme="minorHAnsi"/>
          <w:color w:val="000000"/>
          <w:sz w:val="22"/>
          <w:szCs w:val="22"/>
        </w:rPr>
        <w:t>is</w:t>
      </w:r>
      <w:r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86536"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at-line </w:t>
      </w:r>
      <w:r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method </w:t>
      </w:r>
      <w:r w:rsidR="00986536" w:rsidRPr="00C117AD">
        <w:rPr>
          <w:rFonts w:asciiTheme="minorHAnsi" w:eastAsia="MS PGothic" w:hAnsiTheme="minorHAnsi"/>
          <w:color w:val="000000"/>
          <w:sz w:val="22"/>
          <w:szCs w:val="22"/>
        </w:rPr>
        <w:t>employ</w:t>
      </w:r>
      <w:r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s fluorescent staining </w:t>
      </w:r>
      <w:r w:rsidR="00986536"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of biomass </w:t>
      </w:r>
      <w:r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and a high-end flow cytometer equipped with an image-in-flow camera feature. </w:t>
      </w:r>
      <w:r w:rsidR="00C117AD">
        <w:rPr>
          <w:rFonts w:asciiTheme="minorHAnsi" w:eastAsia="MS PGothic" w:hAnsiTheme="minorHAnsi"/>
          <w:color w:val="000000"/>
          <w:sz w:val="22"/>
          <w:szCs w:val="22"/>
        </w:rPr>
        <w:t xml:space="preserve">So far, </w:t>
      </w:r>
      <w:r w:rsidR="00C117AD" w:rsidRPr="00C117AD">
        <w:rPr>
          <w:rFonts w:asciiTheme="minorHAnsi" w:eastAsia="MS PGothic" w:hAnsiTheme="minorHAnsi"/>
          <w:i/>
          <w:color w:val="000000"/>
          <w:sz w:val="22"/>
          <w:szCs w:val="22"/>
        </w:rPr>
        <w:t>Pichia pastoris</w:t>
      </w:r>
      <w:r w:rsidR="00C117AD"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 biomass agglomerates and filamentous fungi were </w:t>
      </w:r>
      <w:r w:rsidR="00C117AD">
        <w:rPr>
          <w:rFonts w:asciiTheme="minorHAnsi" w:eastAsia="MS PGothic" w:hAnsiTheme="minorHAnsi"/>
          <w:color w:val="000000"/>
          <w:sz w:val="22"/>
          <w:szCs w:val="22"/>
        </w:rPr>
        <w:t xml:space="preserve">extensively </w:t>
      </w:r>
      <w:r w:rsidR="00C117AD" w:rsidRPr="00C117AD">
        <w:rPr>
          <w:rFonts w:asciiTheme="minorHAnsi" w:eastAsia="MS PGothic" w:hAnsiTheme="minorHAnsi"/>
          <w:color w:val="000000"/>
          <w:sz w:val="22"/>
          <w:szCs w:val="22"/>
        </w:rPr>
        <w:t>characteris</w:t>
      </w:r>
      <w:r w:rsidR="00C117AD">
        <w:rPr>
          <w:rFonts w:asciiTheme="minorHAnsi" w:eastAsia="MS PGothic" w:hAnsiTheme="minorHAnsi"/>
          <w:color w:val="000000"/>
          <w:sz w:val="22"/>
          <w:szCs w:val="22"/>
        </w:rPr>
        <w:t>ed.</w:t>
      </w:r>
      <w:r w:rsidR="00C117AD" w:rsidRPr="00C117A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4C147677" w14:textId="77777777" w:rsidR="003C5F3F" w:rsidRDefault="003C5F3F" w:rsidP="009A0656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"/>
          <w:szCs w:val="2"/>
          <w:lang w:val="en-US"/>
        </w:rPr>
      </w:pPr>
    </w:p>
    <w:p w14:paraId="4811A01A" w14:textId="77777777" w:rsidR="00CF61C9" w:rsidRPr="003C5F3F" w:rsidRDefault="00CF61C9" w:rsidP="009A0656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"/>
          <w:szCs w:val="2"/>
          <w:lang w:val="en-US"/>
        </w:rPr>
      </w:pPr>
    </w:p>
    <w:p w14:paraId="6737DC5C" w14:textId="77777777" w:rsidR="00704BDF" w:rsidRPr="008D0BEB" w:rsidRDefault="00704BDF" w:rsidP="009A065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50DAA3C" w14:textId="77777777" w:rsidR="003C5F3F" w:rsidRDefault="003C5F3F" w:rsidP="00986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5848A074" w14:textId="77777777" w:rsidR="00250D7C" w:rsidRDefault="003C5F3F" w:rsidP="00986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Distinction between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morphological classes is</w:t>
      </w:r>
      <w:r w:rsidRP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Cytometry </w:t>
      </w:r>
      <w:r w:rsidRP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forward-scatter signals (FWS) and sample length, verifiable via microscopy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P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integrated camera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540681D" w14:textId="77777777" w:rsidR="00986536" w:rsidRDefault="00C117AD" w:rsidP="00986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</w:t>
      </w:r>
      <w:r w:rsidR="00986536" w:rsidRP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 of fluorescent stains enables determination of viability in complex biomass agglomerates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86536" w:rsidRP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Fluorescein diacetate (FDA) measures enzymatic activi</w:t>
      </w:r>
      <w:r w:rsidR="006B2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ty producing green fluorescence.</w:t>
      </w:r>
      <w:r w:rsidR="00986536" w:rsidRP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B204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986536" w:rsidRP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hereby viable cells are detected.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6536" w:rsidRP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Propidium iodide (PI) is a DNA stain not permeant to live cells, dead cells are detected via red fluorescence.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an example, d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etailed morphological characterization </w:t>
      </w:r>
      <w:r w:rsid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estimation of viability in yeast agglomerates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depicted in Figure 1.</w:t>
      </w:r>
    </w:p>
    <w:p w14:paraId="42E728E8" w14:textId="77777777" w:rsidR="00986536" w:rsidRPr="00C117AD" w:rsidRDefault="00986536" w:rsidP="00986536">
      <w:pPr>
        <w:snapToGrid w:val="0"/>
        <w:spacing w:after="120"/>
        <w:rPr>
          <w:rFonts w:asciiTheme="minorHAnsi" w:eastAsia="MS PGothic" w:hAnsiTheme="minorHAnsi"/>
          <w:color w:val="000000"/>
          <w:sz w:val="2"/>
          <w:szCs w:val="2"/>
          <w:lang w:val="en-US"/>
        </w:rPr>
      </w:pPr>
    </w:p>
    <w:p w14:paraId="3919163C" w14:textId="77777777" w:rsidR="00704BDF" w:rsidRPr="00DE0019" w:rsidRDefault="00986536" w:rsidP="00986536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eastAsia="en-GB"/>
        </w:rPr>
        <w:drawing>
          <wp:inline distT="0" distB="0" distL="0" distR="0" wp14:anchorId="28917673" wp14:editId="6F79E4B4">
            <wp:extent cx="5579745" cy="1452880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6E05B" w14:textId="77777777" w:rsidR="009A0656" w:rsidRDefault="00704BDF" w:rsidP="00C117AD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9A0656">
        <w:rPr>
          <w:rFonts w:asciiTheme="minorHAnsi" w:eastAsia="MS PGothic" w:hAnsiTheme="minorHAnsi"/>
          <w:color w:val="000000"/>
          <w:szCs w:val="18"/>
          <w:lang w:val="en-US"/>
        </w:rPr>
        <w:t>D</w:t>
      </w:r>
      <w:r w:rsidR="009A0656" w:rsidRPr="009A0656">
        <w:rPr>
          <w:rFonts w:asciiTheme="minorHAnsi" w:eastAsia="MS PGothic" w:hAnsiTheme="minorHAnsi"/>
          <w:color w:val="000000"/>
          <w:szCs w:val="18"/>
          <w:lang w:val="en-US"/>
        </w:rPr>
        <w:t xml:space="preserve">istinction of yeast cells through employment of fluorescent staining, detection of media background (left) and viability-declined clusters (right) </w:t>
      </w:r>
    </w:p>
    <w:p w14:paraId="7589AD64" w14:textId="77777777" w:rsidR="00C117AD" w:rsidRDefault="00C117AD" w:rsidP="00986536">
      <w:pPr>
        <w:snapToGrid w:val="0"/>
        <w:spacing w:after="120"/>
        <w:jc w:val="left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3DCDC738" w14:textId="77777777" w:rsidR="00704BDF" w:rsidRPr="008D0BEB" w:rsidRDefault="00704BDF" w:rsidP="00986536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A608CC8" w14:textId="77777777" w:rsidR="00986536" w:rsidRDefault="00C117AD" w:rsidP="0098653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method’s capabilities encompass discrimination of</w:t>
      </w:r>
      <w:r w:rsidR="00986536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</w:t>
      </w:r>
      <w:r w:rsidR="003C5F3F" w:rsidRP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C5F3F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turbid media</w:t>
      </w:r>
      <w:r w:rsid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6536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further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 of biomass morphology</w:t>
      </w:r>
      <w:r w:rsidR="00986536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Furthermore, </w:t>
      </w:r>
      <w:r w:rsidR="00986536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viability 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986536" w:rsidRPr="009A0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 morphological classes</w:t>
      </w:r>
      <w:r w:rsidR="009865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determined including identification of viable biomass sections within agglomerates. </w:t>
      </w:r>
    </w:p>
    <w:p w14:paraId="05059B8B" w14:textId="77777777" w:rsidR="00802D54" w:rsidRPr="00802D54" w:rsidRDefault="00802D54" w:rsidP="00802D5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nalysis of agglomerates in different organisms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5F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includes a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gglomerates in glycol-engineered </w:t>
      </w:r>
      <w:r w:rsidRPr="00802D5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pastoris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v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iability-declined </w:t>
      </w:r>
      <w:r w:rsidRPr="00802D5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pastoris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clusters distinguished from viable agglomerates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m</w:t>
      </w:r>
      <w:r w:rsidRPr="00802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orphological classification of filamentous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fungi.</w:t>
      </w:r>
    </w:p>
    <w:p w14:paraId="432CD087" w14:textId="77777777" w:rsidR="00802D54" w:rsidRDefault="00802D54" w:rsidP="00986536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14:paraId="2948AB41" w14:textId="77777777" w:rsidR="00704BDF" w:rsidRPr="008D0BEB" w:rsidRDefault="00704BDF" w:rsidP="00986536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02D54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63DE98C7" w14:textId="77777777" w:rsidR="00802D54" w:rsidRPr="00802D54" w:rsidRDefault="00802D54" w:rsidP="00802D54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802D54">
        <w:rPr>
          <w:rFonts w:asciiTheme="minorHAnsi" w:hAnsiTheme="minorHAnsi"/>
          <w:color w:val="000000"/>
        </w:rPr>
        <w:t xml:space="preserve">Ehgartner et al. (2017) Morphological analysis of the filamentous fungus Penicillium </w:t>
      </w:r>
      <w:proofErr w:type="spellStart"/>
      <w:r w:rsidRPr="00802D54">
        <w:rPr>
          <w:rFonts w:asciiTheme="minorHAnsi" w:hAnsiTheme="minorHAnsi"/>
          <w:color w:val="000000"/>
        </w:rPr>
        <w:t>chrysogenum</w:t>
      </w:r>
      <w:proofErr w:type="spellEnd"/>
      <w:r w:rsidRPr="00802D54">
        <w:rPr>
          <w:rFonts w:asciiTheme="minorHAnsi" w:hAnsiTheme="minorHAnsi"/>
          <w:color w:val="000000"/>
        </w:rPr>
        <w:t xml:space="preserve">. Appl Microbiol Biotechnol:1-14 doi:10.1007/s00253-017-8475-2                                                                                                      </w:t>
      </w:r>
    </w:p>
    <w:p w14:paraId="6D980506" w14:textId="77777777" w:rsidR="00802D54" w:rsidRDefault="00802D54" w:rsidP="00802D54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</w:p>
    <w:p w14:paraId="7C05A53F" w14:textId="77777777" w:rsidR="00704BDF" w:rsidRPr="00DE0019" w:rsidRDefault="00802D54" w:rsidP="00802D54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802D54">
        <w:rPr>
          <w:rFonts w:asciiTheme="minorHAnsi" w:hAnsiTheme="minorHAnsi"/>
          <w:color w:val="000000"/>
        </w:rPr>
        <w:t xml:space="preserve">Pekarsky, Veiter et al. (2018) Production of a recombinant peroxidase in different </w:t>
      </w:r>
      <w:proofErr w:type="spellStart"/>
      <w:r w:rsidRPr="00802D54">
        <w:rPr>
          <w:rFonts w:asciiTheme="minorHAnsi" w:hAnsiTheme="minorHAnsi"/>
          <w:color w:val="000000"/>
        </w:rPr>
        <w:t>glyco</w:t>
      </w:r>
      <w:proofErr w:type="spellEnd"/>
      <w:r w:rsidRPr="00802D54">
        <w:rPr>
          <w:rFonts w:asciiTheme="minorHAnsi" w:hAnsiTheme="minorHAnsi"/>
          <w:color w:val="000000"/>
        </w:rPr>
        <w:t xml:space="preserve">-engineered Pichia pastoris strains: a morphological and physiological comparison. </w:t>
      </w:r>
      <w:proofErr w:type="spellStart"/>
      <w:r w:rsidRPr="00802D54">
        <w:rPr>
          <w:rFonts w:asciiTheme="minorHAnsi" w:hAnsiTheme="minorHAnsi"/>
          <w:color w:val="000000"/>
        </w:rPr>
        <w:t>Microb</w:t>
      </w:r>
      <w:proofErr w:type="spellEnd"/>
      <w:r w:rsidRPr="00802D54">
        <w:rPr>
          <w:rFonts w:asciiTheme="minorHAnsi" w:hAnsiTheme="minorHAnsi"/>
          <w:color w:val="000000"/>
        </w:rPr>
        <w:t xml:space="preserve"> Cell Fact:17(1) doi:10.1186/s12934-018-1032-6</w:t>
      </w:r>
    </w:p>
    <w:p w14:paraId="7FA15BA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779D948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6C07" w14:textId="77777777" w:rsidR="00CC4F3C" w:rsidRDefault="00CC4F3C" w:rsidP="004F5E36">
      <w:r>
        <w:separator/>
      </w:r>
    </w:p>
  </w:endnote>
  <w:endnote w:type="continuationSeparator" w:id="0">
    <w:p w14:paraId="297977AC" w14:textId="77777777" w:rsidR="00CC4F3C" w:rsidRDefault="00CC4F3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7B7D" w14:textId="77777777" w:rsidR="00CC4F3C" w:rsidRDefault="00CC4F3C" w:rsidP="004F5E36">
      <w:r>
        <w:separator/>
      </w:r>
    </w:p>
  </w:footnote>
  <w:footnote w:type="continuationSeparator" w:id="0">
    <w:p w14:paraId="59810555" w14:textId="77777777" w:rsidR="00CC4F3C" w:rsidRDefault="00CC4F3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8A61" w14:textId="77777777" w:rsidR="004D1162" w:rsidRDefault="00594E9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5DE3ED" wp14:editId="0EFDE7B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DB04C66" wp14:editId="2F6FBFD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C9E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20872E" wp14:editId="13EEE04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5897BD3D" w14:textId="77777777" w:rsidR="00704BDF" w:rsidRDefault="00704BDF">
    <w:pPr>
      <w:pStyle w:val="Intestazione"/>
    </w:pPr>
  </w:p>
  <w:p w14:paraId="5043BAB4" w14:textId="77777777" w:rsidR="00704BDF" w:rsidRDefault="00704BD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DF0DC" wp14:editId="6DADFA3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0D7C"/>
    <w:rsid w:val="00251550"/>
    <w:rsid w:val="0027221A"/>
    <w:rsid w:val="00275B61"/>
    <w:rsid w:val="002D1F12"/>
    <w:rsid w:val="003009B7"/>
    <w:rsid w:val="0030469C"/>
    <w:rsid w:val="003723D4"/>
    <w:rsid w:val="003A7B9A"/>
    <w:rsid w:val="003A7D1C"/>
    <w:rsid w:val="003C5F3F"/>
    <w:rsid w:val="0046164A"/>
    <w:rsid w:val="00462DCD"/>
    <w:rsid w:val="00464B75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B2041"/>
    <w:rsid w:val="006C5579"/>
    <w:rsid w:val="00704BDF"/>
    <w:rsid w:val="00736B13"/>
    <w:rsid w:val="007447F3"/>
    <w:rsid w:val="007661C8"/>
    <w:rsid w:val="007D52CD"/>
    <w:rsid w:val="00802D54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86536"/>
    <w:rsid w:val="00996483"/>
    <w:rsid w:val="009A0656"/>
    <w:rsid w:val="009E788A"/>
    <w:rsid w:val="00A1763D"/>
    <w:rsid w:val="00A17CEC"/>
    <w:rsid w:val="00A27EF0"/>
    <w:rsid w:val="00A76EFC"/>
    <w:rsid w:val="00A967B2"/>
    <w:rsid w:val="00A97F29"/>
    <w:rsid w:val="00AB0964"/>
    <w:rsid w:val="00AE377D"/>
    <w:rsid w:val="00B347E5"/>
    <w:rsid w:val="00B61DBF"/>
    <w:rsid w:val="00BC30C9"/>
    <w:rsid w:val="00BE3E58"/>
    <w:rsid w:val="00BE5DA4"/>
    <w:rsid w:val="00C01616"/>
    <w:rsid w:val="00C0162B"/>
    <w:rsid w:val="00C117AD"/>
    <w:rsid w:val="00C345B1"/>
    <w:rsid w:val="00C40142"/>
    <w:rsid w:val="00C57182"/>
    <w:rsid w:val="00C655FD"/>
    <w:rsid w:val="00C87FC9"/>
    <w:rsid w:val="00C94434"/>
    <w:rsid w:val="00CA1C95"/>
    <w:rsid w:val="00CA5A9C"/>
    <w:rsid w:val="00CC3F4B"/>
    <w:rsid w:val="00CC4F3C"/>
    <w:rsid w:val="00CD5FE2"/>
    <w:rsid w:val="00CF61C9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61F1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7FBB-4A9B-4BEC-A793-4E1459CF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9</cp:revision>
  <cp:lastPrinted>2015-05-12T18:31:00Z</cp:lastPrinted>
  <dcterms:created xsi:type="dcterms:W3CDTF">2019-01-04T09:56:00Z</dcterms:created>
  <dcterms:modified xsi:type="dcterms:W3CDTF">2019-08-21T08:38:00Z</dcterms:modified>
</cp:coreProperties>
</file>