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9D11F0" w:rsidP="00643FD5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Model development for the gasification of olive mill solid waste</w:t>
      </w:r>
      <w:r w:rsidR="00C3439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272577" w:rsidRDefault="00643FD5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Janett Ruiz</w:t>
      </w:r>
      <w:r w:rsidRPr="0011449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proofErr w:type="gramStart"/>
      <w:r w:rsidRPr="0011449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,2</w:t>
      </w:r>
      <w:proofErr w:type="gramEnd"/>
      <w:r w:rsidR="009C411B" w:rsidRPr="0011449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,*</w:t>
      </w:r>
      <w:r w:rsidRPr="0011449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Gaëlle Ducom</w:t>
      </w:r>
      <w:r w:rsidRPr="00412E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 xml:space="preserve">2 </w:t>
      </w:r>
      <w:r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Jean-Philippe Tagutchou</w:t>
      </w:r>
      <w:r w:rsidRPr="00412E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, Jaques M</w:t>
      </w:r>
      <w:r w:rsidR="00E14298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é</w:t>
      </w:r>
      <w:r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hu</w:t>
      </w:r>
      <w:r w:rsidRPr="00412E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 xml:space="preserve">2,3 </w:t>
      </w:r>
      <w:r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M</w:t>
      </w:r>
      <w:r w:rsidR="00272577"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arc Clausse</w:t>
      </w:r>
      <w:r w:rsidRPr="00412E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272577" w:rsidRPr="00412E5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</w:p>
    <w:p w:rsidR="004657AF" w:rsidRPr="004657AF" w:rsidRDefault="00704BDF" w:rsidP="004657A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657AF">
        <w:rPr>
          <w:rFonts w:eastAsia="MS PGothic"/>
          <w:i/>
          <w:iCs/>
          <w:color w:val="000000"/>
          <w:sz w:val="20"/>
          <w:lang w:val="fr-FR"/>
        </w:rPr>
        <w:t>1</w:t>
      </w:r>
      <w:r w:rsidRP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proofErr w:type="spellStart"/>
      <w:r w:rsidR="004657AF" w:rsidRP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="004657AF" w:rsidRP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Lyon, CNRS, </w:t>
      </w:r>
      <w:proofErr w:type="spellStart"/>
      <w:r w:rsidR="004657AF" w:rsidRP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INSA</w:t>
      </w:r>
      <w:proofErr w:type="spellEnd"/>
      <w:r w:rsidR="004F378D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-</w:t>
      </w:r>
      <w:r w:rsidR="004657AF" w:rsidRP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Lyon, Université Lyon 1, CETHIL, UMR5008</w:t>
      </w:r>
      <w:r w:rsid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F-69621</w:t>
      </w:r>
      <w:r w:rsidR="00C34399" w:rsidRPr="00C34399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C34399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Villeurbanne</w:t>
      </w:r>
      <w:r w:rsid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France</w:t>
      </w:r>
    </w:p>
    <w:p w:rsidR="00412E5B" w:rsidRDefault="00704BDF" w:rsidP="004657A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657A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proofErr w:type="spellStart"/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Lyon, </w:t>
      </w:r>
      <w:proofErr w:type="spellStart"/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INSA</w:t>
      </w:r>
      <w:proofErr w:type="spellEnd"/>
      <w:r w:rsidR="004F378D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-</w:t>
      </w:r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Lyon, </w:t>
      </w:r>
      <w:proofErr w:type="spellStart"/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DEEP</w:t>
      </w:r>
      <w:proofErr w:type="spellEnd"/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EA7429, 20 avenue Albert Einstein, F-69621 Villeurbanne, </w:t>
      </w:r>
      <w:r w:rsid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France</w:t>
      </w:r>
    </w:p>
    <w:p w:rsidR="00704BDF" w:rsidRPr="00412E5B" w:rsidRDefault="00643FD5" w:rsidP="004657A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3 </w:t>
      </w:r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PROVADEMSE, 66 Boulevard Niels Bohr, </w:t>
      </w:r>
      <w:r w:rsidR="00ED621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F-</w:t>
      </w:r>
      <w:r w:rsidR="00412E5B" w:rsidRPr="00412E5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69100 Villeurbanne,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12E5B">
        <w:rPr>
          <w:rFonts w:asciiTheme="minorHAnsi" w:eastAsia="MS PGothic" w:hAnsiTheme="minorHAnsi"/>
          <w:bCs/>
          <w:i/>
          <w:iCs/>
          <w:sz w:val="20"/>
          <w:lang w:val="en-US"/>
        </w:rPr>
        <w:t>janett-bianca.ruiz-sanchez@insa-lyon.fr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657AF" w:rsidRDefault="004657AF" w:rsidP="004657A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Experimental results on </w:t>
      </w:r>
      <w:r w:rsidRPr="004657AF">
        <w:rPr>
          <w:rFonts w:asciiTheme="minorHAnsi" w:hAnsiTheme="minorHAnsi"/>
        </w:rPr>
        <w:t>olive mill solid waste</w:t>
      </w:r>
      <w:r>
        <w:rPr>
          <w:rFonts w:asciiTheme="minorHAnsi" w:hAnsiTheme="minorHAnsi"/>
        </w:rPr>
        <w:t xml:space="preserve"> gasification</w:t>
      </w:r>
      <w:r w:rsidR="00C34399">
        <w:rPr>
          <w:rFonts w:asciiTheme="minorHAnsi" w:hAnsiTheme="minorHAnsi"/>
        </w:rPr>
        <w:t>.</w:t>
      </w:r>
    </w:p>
    <w:p w:rsidR="004657AF" w:rsidRDefault="004657A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Development of a 1D steady state stratified model</w:t>
      </w:r>
      <w:r w:rsidR="00C34399">
        <w:rPr>
          <w:rFonts w:asciiTheme="minorHAnsi" w:hAnsiTheme="minorHAnsi"/>
        </w:rPr>
        <w:t>.</w:t>
      </w:r>
    </w:p>
    <w:p w:rsidR="00CC1F79" w:rsidRPr="00DC3441" w:rsidRDefault="004657A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Validation and parametric study performed</w:t>
      </w:r>
      <w:r w:rsidR="00C34399">
        <w:rPr>
          <w:rFonts w:asciiTheme="minorHAnsi" w:hAnsiTheme="minorHAnsi"/>
        </w:rPr>
        <w:t>.</w:t>
      </w:r>
    </w:p>
    <w:p w:rsidR="00704BDF" w:rsidRPr="00EC66CC" w:rsidRDefault="00704BDF" w:rsidP="00DC3441">
      <w:pPr>
        <w:pStyle w:val="AbstractBody"/>
        <w:ind w:left="1440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15BE8" w:rsidRDefault="00215BE8" w:rsidP="0087344E">
      <w:pPr>
        <w:spacing w:after="120"/>
        <w:rPr>
          <w:rFonts w:asciiTheme="minorHAnsi" w:hAnsiTheme="minorHAnsi"/>
          <w:sz w:val="22"/>
          <w:lang w:val="en-US"/>
        </w:rPr>
      </w:pPr>
      <w:r w:rsidRPr="00215BE8">
        <w:rPr>
          <w:rFonts w:asciiTheme="minorHAnsi" w:hAnsiTheme="minorHAnsi"/>
          <w:sz w:val="22"/>
          <w:lang w:val="en-US"/>
        </w:rPr>
        <w:t>Gasification is a promising waste-to-</w:t>
      </w:r>
      <w:r w:rsidR="00771E8F" w:rsidRPr="00215BE8">
        <w:rPr>
          <w:rFonts w:asciiTheme="minorHAnsi" w:hAnsiTheme="minorHAnsi"/>
          <w:sz w:val="22"/>
          <w:lang w:val="en-US"/>
        </w:rPr>
        <w:t>energy</w:t>
      </w:r>
      <w:r w:rsidR="00771E8F">
        <w:rPr>
          <w:rFonts w:asciiTheme="minorHAnsi" w:hAnsiTheme="minorHAnsi"/>
          <w:sz w:val="22"/>
          <w:lang w:val="en-US"/>
        </w:rPr>
        <w:t xml:space="preserve"> </w:t>
      </w:r>
      <w:r w:rsidR="00771E8F" w:rsidRPr="00215BE8">
        <w:rPr>
          <w:rFonts w:asciiTheme="minorHAnsi" w:hAnsiTheme="minorHAnsi"/>
          <w:sz w:val="22"/>
          <w:lang w:val="en-US"/>
        </w:rPr>
        <w:t>technique</w:t>
      </w:r>
      <w:r w:rsidRPr="00215BE8">
        <w:rPr>
          <w:rFonts w:asciiTheme="minorHAnsi" w:hAnsiTheme="minorHAnsi"/>
          <w:sz w:val="22"/>
          <w:lang w:val="en-US"/>
        </w:rPr>
        <w:t xml:space="preserve"> for waste or solid residues from biomass.</w:t>
      </w:r>
      <w:r w:rsidR="006F23AE">
        <w:rPr>
          <w:rFonts w:asciiTheme="minorHAnsi" w:hAnsiTheme="minorHAnsi"/>
          <w:sz w:val="22"/>
          <w:lang w:val="en-US"/>
        </w:rPr>
        <w:t xml:space="preserve"> </w:t>
      </w:r>
    </w:p>
    <w:p w:rsidR="009C411B" w:rsidRDefault="009C411B" w:rsidP="0087344E">
      <w:pPr>
        <w:spacing w:after="120"/>
        <w:rPr>
          <w:rFonts w:asciiTheme="minorHAnsi" w:hAnsiTheme="minorHAnsi"/>
          <w:sz w:val="22"/>
          <w:lang w:val="en-US"/>
        </w:rPr>
      </w:pPr>
      <w:r w:rsidRPr="009C411B">
        <w:rPr>
          <w:rFonts w:asciiTheme="minorHAnsi" w:hAnsiTheme="minorHAnsi"/>
          <w:sz w:val="22"/>
          <w:lang w:val="en-US"/>
        </w:rPr>
        <w:t xml:space="preserve">In olive-oil producing countries, large amounts of waste material </w:t>
      </w:r>
      <w:proofErr w:type="gramStart"/>
      <w:r w:rsidRPr="009C411B">
        <w:rPr>
          <w:rFonts w:asciiTheme="minorHAnsi" w:hAnsiTheme="minorHAnsi"/>
          <w:sz w:val="22"/>
          <w:lang w:val="en-US"/>
        </w:rPr>
        <w:t>are generated</w:t>
      </w:r>
      <w:proofErr w:type="gramEnd"/>
      <w:r w:rsidRPr="009C411B">
        <w:rPr>
          <w:rFonts w:asciiTheme="minorHAnsi" w:hAnsiTheme="minorHAnsi"/>
          <w:sz w:val="22"/>
          <w:lang w:val="en-US"/>
        </w:rPr>
        <w:t xml:space="preserve"> as by-products for which there is no ready use and which may have a negative value because of the cost of disposal. In this case, waste treatment technologies aimed at energy recovery such as gasification represent an interesting option [1].</w:t>
      </w:r>
    </w:p>
    <w:p w:rsidR="006F23AE" w:rsidRDefault="006F23AE" w:rsidP="0087344E">
      <w:pPr>
        <w:spacing w:after="120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In the gasification process, the fuel undergoes</w:t>
      </w:r>
      <w:r w:rsidR="005F5ECB">
        <w:rPr>
          <w:rFonts w:asciiTheme="minorHAnsi" w:hAnsiTheme="minorHAnsi"/>
          <w:sz w:val="22"/>
          <w:lang w:val="en-US"/>
        </w:rPr>
        <w:t xml:space="preserve"> </w:t>
      </w:r>
      <w:r w:rsidR="00215BE8" w:rsidRPr="00215BE8">
        <w:rPr>
          <w:rFonts w:asciiTheme="minorHAnsi" w:hAnsiTheme="minorHAnsi"/>
          <w:sz w:val="22"/>
          <w:lang w:val="en-US"/>
        </w:rPr>
        <w:t xml:space="preserve">thermochemical </w:t>
      </w:r>
      <w:r>
        <w:rPr>
          <w:rFonts w:asciiTheme="minorHAnsi" w:hAnsiTheme="minorHAnsi"/>
          <w:sz w:val="22"/>
          <w:lang w:val="en-US"/>
        </w:rPr>
        <w:t>transformations</w:t>
      </w:r>
      <w:r w:rsidR="00215BE8" w:rsidRPr="00215BE8">
        <w:rPr>
          <w:rFonts w:asciiTheme="minorHAnsi" w:hAnsiTheme="minorHAnsi"/>
          <w:sz w:val="22"/>
          <w:lang w:val="en-US"/>
        </w:rPr>
        <w:t xml:space="preserve"> </w:t>
      </w:r>
      <w:r w:rsidR="00957904">
        <w:rPr>
          <w:rFonts w:asciiTheme="minorHAnsi" w:hAnsiTheme="minorHAnsi"/>
          <w:sz w:val="22"/>
          <w:lang w:val="en-US"/>
        </w:rPr>
        <w:t>aiming to produ</w:t>
      </w:r>
      <w:r>
        <w:rPr>
          <w:rFonts w:asciiTheme="minorHAnsi" w:hAnsiTheme="minorHAnsi"/>
          <w:sz w:val="22"/>
          <w:lang w:val="en-US"/>
        </w:rPr>
        <w:t xml:space="preserve">ce syngas. </w:t>
      </w:r>
      <w:r w:rsidRPr="00215BE8">
        <w:rPr>
          <w:rFonts w:asciiTheme="minorHAnsi" w:hAnsiTheme="minorHAnsi"/>
          <w:sz w:val="22"/>
          <w:lang w:val="en-US"/>
        </w:rPr>
        <w:t xml:space="preserve">However, despite major economic, industrial and scientific </w:t>
      </w:r>
      <w:r>
        <w:rPr>
          <w:rFonts w:asciiTheme="minorHAnsi" w:hAnsiTheme="minorHAnsi"/>
          <w:sz w:val="22"/>
          <w:lang w:val="en-US"/>
        </w:rPr>
        <w:t xml:space="preserve">interests </w:t>
      </w:r>
      <w:r w:rsidRPr="00215BE8">
        <w:rPr>
          <w:rFonts w:asciiTheme="minorHAnsi" w:hAnsiTheme="minorHAnsi"/>
          <w:sz w:val="22"/>
          <w:lang w:val="en-US"/>
        </w:rPr>
        <w:t>associated with the development of gasification, se</w:t>
      </w:r>
      <w:r>
        <w:rPr>
          <w:rFonts w:asciiTheme="minorHAnsi" w:hAnsiTheme="minorHAnsi"/>
          <w:sz w:val="22"/>
          <w:lang w:val="en-US"/>
        </w:rPr>
        <w:t>veral technological issues</w:t>
      </w:r>
      <w:r w:rsidRPr="00215BE8">
        <w:rPr>
          <w:rFonts w:asciiTheme="minorHAnsi" w:hAnsiTheme="minorHAnsi"/>
          <w:sz w:val="22"/>
          <w:lang w:val="en-US"/>
        </w:rPr>
        <w:t xml:space="preserve"> linked to the understanding of the involved mechanisms</w:t>
      </w:r>
      <w:r w:rsidR="009F71CB">
        <w:rPr>
          <w:rFonts w:asciiTheme="minorHAnsi" w:hAnsiTheme="minorHAnsi"/>
          <w:sz w:val="22"/>
          <w:lang w:val="en-US"/>
        </w:rPr>
        <w:t xml:space="preserve"> (chemical reactions, coupled heat and mass transfers, mechanical phenomena, etc.)</w:t>
      </w:r>
      <w:r w:rsidRPr="00215BE8">
        <w:rPr>
          <w:rFonts w:asciiTheme="minorHAnsi" w:hAnsiTheme="minorHAnsi"/>
          <w:sz w:val="22"/>
          <w:lang w:val="en-US"/>
        </w:rPr>
        <w:t xml:space="preserve"> continue to hinder the deve</w:t>
      </w:r>
      <w:r>
        <w:rPr>
          <w:rFonts w:asciiTheme="minorHAnsi" w:hAnsiTheme="minorHAnsi"/>
          <w:sz w:val="22"/>
          <w:lang w:val="en-US"/>
        </w:rPr>
        <w:t>l</w:t>
      </w:r>
      <w:r w:rsidR="009F71CB">
        <w:rPr>
          <w:rFonts w:asciiTheme="minorHAnsi" w:hAnsiTheme="minorHAnsi"/>
          <w:sz w:val="22"/>
          <w:lang w:val="en-US"/>
        </w:rPr>
        <w:t>opment of gasification process</w:t>
      </w:r>
      <w:r w:rsidR="009C411B">
        <w:rPr>
          <w:rFonts w:asciiTheme="minorHAnsi" w:hAnsiTheme="minorHAnsi"/>
          <w:sz w:val="22"/>
          <w:lang w:val="en-US"/>
        </w:rPr>
        <w:t xml:space="preserve"> [2</w:t>
      </w:r>
      <w:r w:rsidR="00AD27E6">
        <w:rPr>
          <w:rFonts w:asciiTheme="minorHAnsi" w:hAnsiTheme="minorHAnsi"/>
          <w:sz w:val="22"/>
          <w:lang w:val="en-US"/>
        </w:rPr>
        <w:t>]</w:t>
      </w:r>
      <w:r w:rsidR="009F71CB">
        <w:rPr>
          <w:rFonts w:asciiTheme="minorHAnsi" w:hAnsiTheme="minorHAnsi"/>
          <w:sz w:val="22"/>
          <w:lang w:val="en-US"/>
        </w:rPr>
        <w:t>.</w:t>
      </w:r>
      <w:r w:rsidR="00BD6114">
        <w:rPr>
          <w:rFonts w:asciiTheme="minorHAnsi" w:hAnsiTheme="minorHAnsi"/>
          <w:sz w:val="22"/>
          <w:lang w:val="en-US"/>
        </w:rPr>
        <w:t xml:space="preserve"> </w:t>
      </w:r>
      <w:r w:rsidR="00FB21F2">
        <w:rPr>
          <w:rFonts w:asciiTheme="minorHAnsi" w:hAnsiTheme="minorHAnsi"/>
          <w:sz w:val="22"/>
          <w:lang w:val="en-US"/>
        </w:rPr>
        <w:t>Therefore</w:t>
      </w:r>
      <w:r w:rsidR="00BD6114">
        <w:rPr>
          <w:rFonts w:asciiTheme="minorHAnsi" w:hAnsiTheme="minorHAnsi"/>
          <w:sz w:val="22"/>
          <w:lang w:val="en-US"/>
        </w:rPr>
        <w:t xml:space="preserve">, </w:t>
      </w:r>
      <w:r w:rsidR="00FB21F2">
        <w:rPr>
          <w:rFonts w:asciiTheme="minorHAnsi" w:hAnsiTheme="minorHAnsi"/>
          <w:sz w:val="22"/>
          <w:lang w:val="en-US"/>
        </w:rPr>
        <w:t xml:space="preserve">a specific model </w:t>
      </w:r>
      <w:proofErr w:type="gramStart"/>
      <w:r w:rsidR="00FB21F2">
        <w:rPr>
          <w:rFonts w:asciiTheme="minorHAnsi" w:hAnsiTheme="minorHAnsi"/>
          <w:sz w:val="22"/>
          <w:lang w:val="en-US"/>
        </w:rPr>
        <w:t>must be developed</w:t>
      </w:r>
      <w:proofErr w:type="gramEnd"/>
      <w:r w:rsidR="00FB21F2">
        <w:rPr>
          <w:rFonts w:asciiTheme="minorHAnsi" w:hAnsiTheme="minorHAnsi"/>
          <w:sz w:val="22"/>
          <w:lang w:val="en-US"/>
        </w:rPr>
        <w:t xml:space="preserve"> for each type of fuel.</w:t>
      </w:r>
    </w:p>
    <w:p w:rsidR="00FB21F2" w:rsidRPr="00E55648" w:rsidRDefault="00215BE8" w:rsidP="0087344E">
      <w:pPr>
        <w:spacing w:after="120"/>
        <w:rPr>
          <w:rFonts w:asciiTheme="minorHAnsi" w:hAnsiTheme="minorHAnsi"/>
          <w:sz w:val="22"/>
          <w:lang w:val="en-US"/>
        </w:rPr>
      </w:pPr>
      <w:r w:rsidRPr="00DF254B">
        <w:rPr>
          <w:rFonts w:asciiTheme="minorHAnsi" w:hAnsiTheme="minorHAnsi"/>
          <w:sz w:val="22"/>
          <w:lang w:val="en-US"/>
        </w:rPr>
        <w:t>The objective of this paper is to provide a reliable numerical fixed-bed gasifica</w:t>
      </w:r>
      <w:r w:rsidR="00DF254B">
        <w:rPr>
          <w:rFonts w:asciiTheme="minorHAnsi" w:hAnsiTheme="minorHAnsi"/>
          <w:sz w:val="22"/>
          <w:lang w:val="en-US"/>
        </w:rPr>
        <w:t>tion model</w:t>
      </w:r>
      <w:r w:rsidR="00FB21F2">
        <w:rPr>
          <w:rFonts w:asciiTheme="minorHAnsi" w:hAnsiTheme="minorHAnsi"/>
          <w:sz w:val="22"/>
          <w:lang w:val="en-US"/>
        </w:rPr>
        <w:t xml:space="preserve"> for olive mill solid waste</w:t>
      </w:r>
      <w:r w:rsidR="00DF254B">
        <w:rPr>
          <w:rFonts w:asciiTheme="minorHAnsi" w:hAnsiTheme="minorHAnsi"/>
          <w:sz w:val="22"/>
          <w:lang w:val="en-US"/>
        </w:rPr>
        <w:t>, taking into account</w:t>
      </w:r>
      <w:r w:rsidR="00150F24">
        <w:rPr>
          <w:rFonts w:asciiTheme="minorHAnsi" w:hAnsiTheme="minorHAnsi"/>
          <w:sz w:val="22"/>
          <w:lang w:val="en-US"/>
        </w:rPr>
        <w:t xml:space="preserve"> the thermochemical and fluid flow phenomena that occur duri</w:t>
      </w:r>
      <w:r w:rsidR="009D11F0">
        <w:rPr>
          <w:rFonts w:asciiTheme="minorHAnsi" w:hAnsiTheme="minorHAnsi"/>
          <w:sz w:val="22"/>
          <w:lang w:val="en-US"/>
        </w:rPr>
        <w:t xml:space="preserve">ng waste gasification process. </w:t>
      </w:r>
      <w:r w:rsidR="00FB21F2" w:rsidRPr="00E55648">
        <w:rPr>
          <w:rFonts w:asciiTheme="minorHAnsi" w:hAnsiTheme="minorHAnsi"/>
          <w:sz w:val="22"/>
          <w:lang w:val="en-US"/>
        </w:rPr>
        <w:t xml:space="preserve">The model </w:t>
      </w:r>
      <w:proofErr w:type="gramStart"/>
      <w:r w:rsidR="00FB21F2" w:rsidRPr="00E55648">
        <w:rPr>
          <w:rFonts w:asciiTheme="minorHAnsi" w:hAnsiTheme="minorHAnsi"/>
          <w:sz w:val="22"/>
          <w:lang w:val="en-US"/>
        </w:rPr>
        <w:t>is validated</w:t>
      </w:r>
      <w:proofErr w:type="gramEnd"/>
      <w:r w:rsidR="00FB21F2" w:rsidRPr="00E55648">
        <w:rPr>
          <w:rFonts w:asciiTheme="minorHAnsi" w:hAnsiTheme="minorHAnsi"/>
          <w:sz w:val="22"/>
          <w:lang w:val="en-US"/>
        </w:rPr>
        <w:t xml:space="preserve"> with experimental data of olive mill solid waste gasification.</w:t>
      </w:r>
    </w:p>
    <w:p w:rsidR="00704BDF" w:rsidRPr="008D0BEB" w:rsidRDefault="00704BDF" w:rsidP="00C0514B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8B041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Experiments</w:t>
      </w:r>
    </w:p>
    <w:p w:rsidR="00E55648" w:rsidRDefault="00B652B1" w:rsidP="0087344E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set up consists of a </w:t>
      </w:r>
      <w:r w:rsidR="00F7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100 kW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downdraft gasifier</w:t>
      </w:r>
      <w:r w:rsidR="00F7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equipped with </w:t>
      </w:r>
      <w:r w:rsidR="00E5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temperature, pressure sensors,</w:t>
      </w:r>
      <w:r w:rsidR="00DB4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F7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>air flow</w:t>
      </w:r>
      <w:proofErr w:type="gramEnd"/>
      <w:r w:rsidR="00F7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controllers </w:t>
      </w:r>
      <w:r w:rsidR="00F7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DB4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</w:t>
      </w:r>
      <w:r w:rsidR="00F7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</w:t>
      </w:r>
      <w:r w:rsidR="00E5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analyzer (figure 1). </w:t>
      </w:r>
    </w:p>
    <w:p w:rsidR="00F54709" w:rsidRDefault="008B0419" w:rsidP="00F54709">
      <w:pPr>
        <w:spacing w:after="12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For this study, an</w:t>
      </w:r>
      <w:r w:rsidRPr="00F7422B">
        <w:rPr>
          <w:rFonts w:asciiTheme="minorHAnsi" w:hAnsiTheme="minorHAnsi"/>
          <w:sz w:val="22"/>
          <w:szCs w:val="22"/>
          <w:lang w:val="en-US"/>
        </w:rPr>
        <w:t xml:space="preserve"> olive mill solid residue </w:t>
      </w:r>
      <w:proofErr w:type="gramStart"/>
      <w:r w:rsidRPr="00F7422B">
        <w:rPr>
          <w:rFonts w:asciiTheme="minorHAnsi" w:hAnsiTheme="minorHAnsi"/>
          <w:sz w:val="22"/>
          <w:szCs w:val="22"/>
          <w:lang w:val="en-US"/>
        </w:rPr>
        <w:t>was collected</w:t>
      </w:r>
      <w:proofErr w:type="gramEnd"/>
      <w:r w:rsidRPr="00F7422B">
        <w:rPr>
          <w:rFonts w:asciiTheme="minorHAnsi" w:hAnsiTheme="minorHAnsi"/>
          <w:sz w:val="22"/>
          <w:szCs w:val="22"/>
          <w:lang w:val="en-US"/>
        </w:rPr>
        <w:t xml:space="preserve"> from a two-phase extraction process industrial plant located in Spain. The residues </w:t>
      </w:r>
      <w:proofErr w:type="gramStart"/>
      <w:r w:rsidRPr="00F7422B">
        <w:rPr>
          <w:rFonts w:asciiTheme="minorHAnsi" w:hAnsiTheme="minorHAnsi"/>
          <w:sz w:val="22"/>
          <w:szCs w:val="22"/>
          <w:lang w:val="en-US"/>
        </w:rPr>
        <w:t>were dried on the facility, further extracted with hexane to recover residual oi</w:t>
      </w:r>
      <w:r>
        <w:rPr>
          <w:rFonts w:asciiTheme="minorHAnsi" w:hAnsiTheme="minorHAnsi"/>
          <w:sz w:val="22"/>
          <w:szCs w:val="22"/>
          <w:lang w:val="en-US"/>
        </w:rPr>
        <w:t>l contents, and then pelletized</w:t>
      </w:r>
      <w:proofErr w:type="gramEnd"/>
      <w:r w:rsidR="00283FEE">
        <w:rPr>
          <w:rFonts w:asciiTheme="minorHAnsi" w:hAnsiTheme="minorHAnsi"/>
          <w:sz w:val="22"/>
          <w:szCs w:val="22"/>
          <w:lang w:val="en-US"/>
        </w:rPr>
        <w:t xml:space="preserve">. The main characteristics of the residue </w:t>
      </w:r>
      <w:proofErr w:type="gramStart"/>
      <w:r w:rsidR="00283FEE">
        <w:rPr>
          <w:rFonts w:asciiTheme="minorHAnsi" w:hAnsiTheme="minorHAnsi"/>
          <w:sz w:val="22"/>
          <w:szCs w:val="22"/>
          <w:lang w:val="en-US"/>
        </w:rPr>
        <w:t>are given</w:t>
      </w:r>
      <w:proofErr w:type="gramEnd"/>
      <w:r w:rsidR="00283FEE">
        <w:rPr>
          <w:rFonts w:asciiTheme="minorHAnsi" w:hAnsiTheme="minorHAnsi"/>
          <w:sz w:val="22"/>
          <w:szCs w:val="22"/>
          <w:lang w:val="en-US"/>
        </w:rPr>
        <w:t xml:space="preserve"> in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3FEE">
        <w:rPr>
          <w:rFonts w:asciiTheme="minorHAnsi" w:hAnsiTheme="minorHAnsi"/>
          <w:sz w:val="22"/>
          <w:szCs w:val="22"/>
          <w:lang w:val="en-US"/>
        </w:rPr>
        <w:t>Table 1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:rsidR="00E55648" w:rsidRDefault="00E55648" w:rsidP="00F54709">
      <w:pPr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  <w:sectPr w:rsidR="00E55648" w:rsidSect="002065DB">
          <w:type w:val="continuous"/>
          <w:pgSz w:w="11906" w:h="16838" w:code="9"/>
          <w:pgMar w:top="2552" w:right="1418" w:bottom="1134" w:left="1701" w:header="1128" w:footer="0" w:gutter="0"/>
          <w:cols w:space="708"/>
          <w:formProt w:val="0"/>
          <w:titlePg/>
          <w:docGrid w:linePitch="360"/>
        </w:sect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9C411B" w:rsidRDefault="009C411B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color w:val="000000"/>
          <w:szCs w:val="22"/>
          <w:lang w:val="en-US"/>
        </w:rPr>
      </w:pPr>
    </w:p>
    <w:p w:rsidR="00C0514B" w:rsidRDefault="009C411B" w:rsidP="00C0514B">
      <w:pPr>
        <w:snapToGrid w:val="0"/>
        <w:spacing w:before="240" w:line="300" w:lineRule="auto"/>
        <w:jc w:val="center"/>
        <w:rPr>
          <w:rFonts w:asciiTheme="minorHAnsi" w:eastAsia="MS PGothic" w:hAnsiTheme="minorHAnsi"/>
          <w:b/>
          <w:color w:val="000000"/>
          <w:szCs w:val="22"/>
          <w:lang w:val="en-US"/>
        </w:rPr>
      </w:pPr>
      <w:r w:rsidRPr="009C411B">
        <w:rPr>
          <w:rFonts w:asciiTheme="minorHAnsi" w:eastAsia="MS PGothic" w:hAnsiTheme="minorHAnsi"/>
          <w:b/>
          <w:noProof/>
          <w:color w:val="000000"/>
          <w:szCs w:val="22"/>
          <w:lang w:val="it-IT" w:eastAsia="it-IT"/>
        </w:rPr>
        <w:lastRenderedPageBreak/>
        <w:drawing>
          <wp:inline distT="0" distB="0" distL="0" distR="0" wp14:anchorId="1D2E25A2" wp14:editId="0E667838">
            <wp:extent cx="1609725" cy="2902712"/>
            <wp:effectExtent l="0" t="0" r="0" b="0"/>
            <wp:docPr id="7" name="Imagen 302" descr="DSC0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302" descr="DSC09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4" t="8257" r="1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0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C411B" w:rsidRPr="00C0514B" w:rsidRDefault="00E55648" w:rsidP="00C0514B">
      <w:pPr>
        <w:snapToGrid w:val="0"/>
        <w:spacing w:before="240" w:line="300" w:lineRule="auto"/>
        <w:jc w:val="center"/>
        <w:rPr>
          <w:rFonts w:asciiTheme="minorHAnsi" w:eastAsia="MS PGothic" w:hAnsiTheme="minorHAnsi"/>
          <w:b/>
          <w:color w:val="000000"/>
          <w:szCs w:val="22"/>
          <w:lang w:val="en-US"/>
        </w:rPr>
      </w:pPr>
      <w:r w:rsidRPr="00AF43A6">
        <w:rPr>
          <w:rFonts w:asciiTheme="minorHAnsi" w:eastAsia="MS PGothic" w:hAnsiTheme="minorHAnsi"/>
          <w:b/>
          <w:color w:val="000000"/>
          <w:szCs w:val="22"/>
          <w:lang w:val="en-US"/>
        </w:rPr>
        <w:t>Figure 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F43A6">
        <w:rPr>
          <w:rFonts w:asciiTheme="minorHAnsi" w:eastAsia="MS PGothic" w:hAnsiTheme="minorHAnsi"/>
          <w:color w:val="000000"/>
          <w:szCs w:val="22"/>
          <w:lang w:val="en-US"/>
        </w:rPr>
        <w:t>D</w:t>
      </w:r>
      <w:r w:rsidRPr="00AF43A6">
        <w:rPr>
          <w:rFonts w:asciiTheme="minorHAnsi" w:eastAsia="MS PGothic" w:hAnsiTheme="minorHAnsi"/>
          <w:color w:val="000000"/>
          <w:szCs w:val="22"/>
          <w:lang w:val="en-US"/>
        </w:rPr>
        <w:t>owndraft gasifier</w:t>
      </w:r>
      <w:r w:rsidR="00AF43A6">
        <w:rPr>
          <w:rFonts w:asciiTheme="minorHAnsi" w:eastAsia="MS PGothic" w:hAnsiTheme="minorHAnsi"/>
          <w:color w:val="000000"/>
          <w:szCs w:val="22"/>
          <w:lang w:val="en-US"/>
        </w:rPr>
        <w:t>.</w:t>
      </w:r>
    </w:p>
    <w:tbl>
      <w:tblPr>
        <w:tblpPr w:leftFromText="141" w:rightFromText="141" w:vertAnchor="text" w:horzAnchor="margin" w:tblpXSpec="right" w:tblpY="210"/>
        <w:tblW w:w="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234"/>
      </w:tblGrid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Volatile matter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73.5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Fixed carbon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17.6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Ash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8.9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C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48.4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H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6.0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O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34.9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N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1.5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Cl (mg/</w:t>
            </w:r>
            <w:proofErr w:type="spellStart"/>
            <w:r w:rsidRPr="00B741EE">
              <w:rPr>
                <w:lang w:val="en-US"/>
              </w:rPr>
              <w:t>kg</w:t>
            </w:r>
            <w:r w:rsidRPr="00B741EE">
              <w:rPr>
                <w:vertAlign w:val="subscript"/>
                <w:lang w:val="en-US"/>
              </w:rPr>
              <w:t>DM</w:t>
            </w:r>
            <w:proofErr w:type="spellEnd"/>
            <w:r w:rsidRPr="00B741EE">
              <w:rPr>
                <w:lang w:val="en-US"/>
              </w:rPr>
              <w:t>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2000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S (mg/</w:t>
            </w:r>
            <w:proofErr w:type="spellStart"/>
            <w:r w:rsidRPr="00B741EE">
              <w:rPr>
                <w:lang w:val="en-US"/>
              </w:rPr>
              <w:t>kg</w:t>
            </w:r>
            <w:r w:rsidRPr="00B741EE">
              <w:rPr>
                <w:vertAlign w:val="subscript"/>
                <w:lang w:val="en-US"/>
              </w:rPr>
              <w:t>DM</w:t>
            </w:r>
            <w:proofErr w:type="spellEnd"/>
            <w:r w:rsidRPr="00B741EE">
              <w:rPr>
                <w:lang w:val="en-US"/>
              </w:rPr>
              <w:t>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6277F1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12</w:t>
            </w:r>
            <w:r w:rsidR="006277F1">
              <w:rPr>
                <w:lang w:val="en-US"/>
              </w:rPr>
              <w:t>5</w:t>
            </w:r>
            <w:r w:rsidRPr="00B741EE">
              <w:rPr>
                <w:lang w:val="en-US"/>
              </w:rPr>
              <w:t>0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434E56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H</w:t>
            </w:r>
            <w:r w:rsidR="00434E56">
              <w:rPr>
                <w:lang w:val="en-US"/>
              </w:rPr>
              <w:t>igher heating value</w:t>
            </w:r>
            <w:r w:rsidRPr="00B741EE">
              <w:rPr>
                <w:lang w:val="en-US"/>
              </w:rPr>
              <w:t xml:space="preserve"> (MJ/</w:t>
            </w:r>
            <w:proofErr w:type="spellStart"/>
            <w:r w:rsidRPr="00B741EE">
              <w:rPr>
                <w:lang w:val="en-US"/>
              </w:rPr>
              <w:t>kg</w:t>
            </w:r>
            <w:r w:rsidR="00416291" w:rsidRPr="00416291">
              <w:rPr>
                <w:vertAlign w:val="subscript"/>
                <w:lang w:val="en-US"/>
              </w:rPr>
              <w:t>DM</w:t>
            </w:r>
            <w:proofErr w:type="spellEnd"/>
            <w:r w:rsidR="00416291">
              <w:rPr>
                <w:lang w:val="en-US"/>
              </w:rPr>
              <w:t>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FA0C39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1</w:t>
            </w:r>
            <w:r w:rsidR="00FA0C39">
              <w:rPr>
                <w:lang w:val="en-US"/>
              </w:rPr>
              <w:t>9.7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Extractives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47.3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Cellulose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24.8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Hemicellulose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14.5</w:t>
            </w:r>
          </w:p>
        </w:tc>
      </w:tr>
      <w:tr w:rsidR="009C411B" w:rsidRPr="00B741EE" w:rsidTr="009C411B">
        <w:tc>
          <w:tcPr>
            <w:tcW w:w="338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Lignin (% w/w of DM)</w:t>
            </w:r>
          </w:p>
        </w:tc>
        <w:tc>
          <w:tcPr>
            <w:tcW w:w="123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411B" w:rsidRPr="00B741EE" w:rsidRDefault="009C411B" w:rsidP="00C0514B">
            <w:pPr>
              <w:pStyle w:val="Standard"/>
              <w:jc w:val="center"/>
              <w:rPr>
                <w:lang w:val="en-US"/>
              </w:rPr>
            </w:pPr>
            <w:r w:rsidRPr="00B741EE">
              <w:rPr>
                <w:lang w:val="en-US"/>
              </w:rPr>
              <w:t>13.4</w:t>
            </w:r>
          </w:p>
        </w:tc>
      </w:tr>
    </w:tbl>
    <w:p w:rsidR="00E55648" w:rsidRPr="009C411B" w:rsidRDefault="00E55648" w:rsidP="00C0514B">
      <w:pPr>
        <w:snapToGrid w:val="0"/>
        <w:spacing w:before="240" w:line="300" w:lineRule="auto"/>
        <w:jc w:val="center"/>
        <w:rPr>
          <w:rFonts w:asciiTheme="minorHAnsi" w:hAnsiTheme="minorHAnsi"/>
          <w:sz w:val="22"/>
          <w:lang w:val="en-US"/>
        </w:rPr>
      </w:pPr>
      <w:r w:rsidRPr="00AF43A6">
        <w:rPr>
          <w:rFonts w:asciiTheme="minorHAnsi" w:hAnsiTheme="minorHAnsi"/>
          <w:b/>
          <w:szCs w:val="22"/>
          <w:lang w:val="en-US"/>
        </w:rPr>
        <w:t>Table 1</w:t>
      </w:r>
      <w:r w:rsidRPr="00AF43A6">
        <w:rPr>
          <w:rFonts w:asciiTheme="minorHAnsi" w:hAnsiTheme="minorHAnsi"/>
          <w:szCs w:val="22"/>
          <w:lang w:val="en-US"/>
        </w:rPr>
        <w:t xml:space="preserve">. </w:t>
      </w:r>
      <w:r w:rsidR="00AF43A6">
        <w:rPr>
          <w:rFonts w:asciiTheme="minorHAnsi" w:hAnsiTheme="minorHAnsi"/>
          <w:szCs w:val="22"/>
          <w:lang w:val="en-US"/>
        </w:rPr>
        <w:t>P</w:t>
      </w:r>
      <w:r w:rsidRPr="00AF43A6">
        <w:rPr>
          <w:rFonts w:asciiTheme="minorHAnsi" w:hAnsiTheme="minorHAnsi"/>
          <w:szCs w:val="22"/>
          <w:lang w:val="en-US"/>
        </w:rPr>
        <w:t xml:space="preserve">roximate and ultimate analysis, higher heating value and fiber analysis of </w:t>
      </w:r>
      <w:r w:rsidRPr="00AF43A6">
        <w:rPr>
          <w:rFonts w:asciiTheme="minorHAnsi" w:hAnsiTheme="minorHAnsi"/>
          <w:lang w:val="en-US"/>
        </w:rPr>
        <w:t xml:space="preserve">olive </w:t>
      </w:r>
      <w:r w:rsidR="009C411B">
        <w:rPr>
          <w:rFonts w:asciiTheme="minorHAnsi" w:hAnsiTheme="minorHAnsi"/>
          <w:lang w:val="en-US"/>
        </w:rPr>
        <w:t>mill solid waste (taken from [3]</w:t>
      </w:r>
      <w:r w:rsidRPr="00AF43A6">
        <w:rPr>
          <w:rFonts w:asciiTheme="minorHAnsi" w:hAnsiTheme="minorHAnsi"/>
          <w:lang w:val="en-US"/>
        </w:rPr>
        <w:t>)</w:t>
      </w:r>
      <w:r w:rsidR="00BF4A54">
        <w:rPr>
          <w:rFonts w:asciiTheme="minorHAnsi" w:hAnsiTheme="minorHAnsi"/>
          <w:lang w:val="en-US"/>
        </w:rPr>
        <w:t>, DM = dry matter</w:t>
      </w:r>
      <w:r w:rsidR="00AF43A6">
        <w:rPr>
          <w:rFonts w:asciiTheme="minorHAnsi" w:hAnsiTheme="minorHAnsi"/>
          <w:lang w:val="en-US"/>
        </w:rPr>
        <w:t>.</w:t>
      </w:r>
    </w:p>
    <w:p w:rsidR="00E55648" w:rsidRDefault="00E55648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  <w:sectPr w:rsidR="00E55648" w:rsidSect="00E55648">
          <w:type w:val="continuous"/>
          <w:pgSz w:w="11906" w:h="16838" w:code="9"/>
          <w:pgMar w:top="2552" w:right="1418" w:bottom="1134" w:left="1701" w:header="1128" w:footer="0" w:gutter="0"/>
          <w:cols w:num="2" w:space="708"/>
          <w:formProt w:val="0"/>
          <w:titlePg/>
          <w:docGrid w:linePitch="360"/>
        </w:sectPr>
      </w:pPr>
    </w:p>
    <w:p w:rsidR="00C0514B" w:rsidRDefault="00704BDF" w:rsidP="00C0514B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</w:t>
      </w:r>
      <w:r w:rsidR="008B041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Model</w:t>
      </w:r>
    </w:p>
    <w:p w:rsidR="008B0419" w:rsidRPr="00C0514B" w:rsidRDefault="00AF43A6" w:rsidP="00C0514B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1D </w:t>
      </w:r>
      <w:r w:rsidR="00C942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steady state </w:t>
      </w:r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stratified model of the gasifier </w:t>
      </w:r>
      <w:proofErr w:type="gramStart"/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developed</w:t>
      </w:r>
      <w:proofErr w:type="gramEnd"/>
      <w:r w:rsidR="00D97C6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assuming local thermal equilibrium.</w:t>
      </w:r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gasifier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divided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four zones: fuel drying, pyrolysis, oxidation and chemical reduction. The following phenomena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taken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account: chemical reactions with solid/gas, heat and mass transfers. For pressure drop calculation, particle shrinkage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also considered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COMSOL</w:t>
      </w:r>
      <w:proofErr w:type="spellEnd"/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Multiphysics®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</w:t>
      </w:r>
      <w:proofErr w:type="gramEnd"/>
      <w:r w:rsidR="008B0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solve the set of equations</w:t>
      </w:r>
      <w:r w:rsidR="00AD27E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8B0419" w:rsidRDefault="008B0419" w:rsidP="008B0419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Results and discussion</w:t>
      </w:r>
    </w:p>
    <w:p w:rsidR="00AF43A6" w:rsidRPr="008D0BEB" w:rsidRDefault="00AF43A6" w:rsidP="004657A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model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validated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thanks to experimental data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97C65">
        <w:rPr>
          <w:rFonts w:asciiTheme="minorHAnsi" w:eastAsia="MS PGothic" w:hAnsiTheme="minorHAnsi"/>
          <w:color w:val="000000"/>
          <w:sz w:val="22"/>
          <w:szCs w:val="22"/>
        </w:rPr>
        <w:t xml:space="preserve">Predictions of the temperature profile, pressure drop and syngas composition are in good accordance with experimental values. The influence </w:t>
      </w:r>
      <w:r w:rsidR="00AD27E6">
        <w:rPr>
          <w:rFonts w:asciiTheme="minorHAnsi" w:eastAsia="MS PGothic" w:hAnsiTheme="minorHAnsi"/>
          <w:color w:val="000000"/>
          <w:sz w:val="22"/>
          <w:szCs w:val="22"/>
        </w:rPr>
        <w:t xml:space="preserve">of operating conditions (relative fuel air ratio, particle diameter, zone length) on producer gas composition </w:t>
      </w:r>
      <w:proofErr w:type="gramStart"/>
      <w:r w:rsidR="00AD27E6">
        <w:rPr>
          <w:rFonts w:asciiTheme="minorHAnsi" w:eastAsia="MS PGothic" w:hAnsiTheme="minorHAnsi"/>
          <w:color w:val="000000"/>
          <w:sz w:val="22"/>
          <w:szCs w:val="22"/>
        </w:rPr>
        <w:t>was also investigated</w:t>
      </w:r>
      <w:proofErr w:type="gramEnd"/>
      <w:r w:rsidR="00AD27E6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657A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657AF">
        <w:rPr>
          <w:rFonts w:asciiTheme="minorHAnsi" w:hAnsiTheme="minorHAnsi"/>
          <w:sz w:val="22"/>
          <w:lang w:val="en-US"/>
        </w:rPr>
        <w:t xml:space="preserve">The optimal fuel air ratio </w:t>
      </w:r>
      <w:proofErr w:type="gramStart"/>
      <w:r w:rsidR="004657AF">
        <w:rPr>
          <w:rFonts w:asciiTheme="minorHAnsi" w:hAnsiTheme="minorHAnsi"/>
          <w:sz w:val="22"/>
          <w:lang w:val="en-US"/>
        </w:rPr>
        <w:t>was identified</w:t>
      </w:r>
      <w:proofErr w:type="gramEnd"/>
      <w:r w:rsidR="004657AF">
        <w:rPr>
          <w:rFonts w:asciiTheme="minorHAnsi" w:hAnsiTheme="minorHAnsi"/>
          <w:sz w:val="22"/>
          <w:lang w:val="en-US"/>
        </w:rPr>
        <w:t>.</w:t>
      </w:r>
    </w:p>
    <w:p w:rsidR="00704BDF" w:rsidRPr="008D0BEB" w:rsidRDefault="008B0419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5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AD27E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reliable model for</w:t>
      </w:r>
      <w:r w:rsidR="00C942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42D6" w:rsidRPr="00E55648">
        <w:rPr>
          <w:rFonts w:asciiTheme="minorHAnsi" w:hAnsiTheme="minorHAnsi"/>
          <w:sz w:val="22"/>
          <w:lang w:val="en-US"/>
        </w:rPr>
        <w:t>olive mill solid waste gasification</w:t>
      </w:r>
      <w:r w:rsidR="00C942D6">
        <w:rPr>
          <w:rFonts w:asciiTheme="minorHAnsi" w:hAnsiTheme="minorHAnsi"/>
          <w:sz w:val="22"/>
          <w:lang w:val="en-US"/>
        </w:rPr>
        <w:t xml:space="preserve"> was developed and validated. </w:t>
      </w:r>
      <w:r w:rsidR="00C942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improvements will consist in taking into account other mechanical phenomena (e.g. channeling). To achieve this objective, a 2D dynamic approach </w:t>
      </w:r>
      <w:proofErr w:type="gramStart"/>
      <w:r w:rsidR="00C942D6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taken</w:t>
      </w:r>
      <w:proofErr w:type="gramEnd"/>
      <w:r w:rsidR="00C942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9D11F0" w:rsidRPr="00CF1769" w:rsidRDefault="009D11F0" w:rsidP="009D11F0">
      <w:pPr>
        <w:rPr>
          <w:rFonts w:asciiTheme="minorHAnsi" w:hAnsiTheme="minorHAnsi"/>
          <w:b/>
          <w:szCs w:val="18"/>
          <w:lang w:val="en-US"/>
        </w:rPr>
      </w:pPr>
      <w:r w:rsidRPr="00CF1769">
        <w:rPr>
          <w:rFonts w:asciiTheme="minorHAnsi" w:hAnsiTheme="minorHAnsi"/>
          <w:b/>
          <w:szCs w:val="18"/>
          <w:lang w:val="en-US"/>
        </w:rPr>
        <w:t xml:space="preserve">Acknowledgements </w:t>
      </w:r>
    </w:p>
    <w:p w:rsidR="009D11F0" w:rsidRPr="00CF1769" w:rsidRDefault="009D11F0" w:rsidP="009D11F0">
      <w:pPr>
        <w:rPr>
          <w:rFonts w:asciiTheme="minorHAnsi" w:hAnsiTheme="minorHAnsi"/>
          <w:szCs w:val="18"/>
          <w:lang w:val="en-US"/>
        </w:rPr>
      </w:pPr>
      <w:r w:rsidRPr="00CF1769">
        <w:rPr>
          <w:rFonts w:asciiTheme="minorHAnsi" w:hAnsiTheme="minorHAnsi"/>
          <w:szCs w:val="18"/>
          <w:lang w:val="en-US"/>
        </w:rPr>
        <w:t xml:space="preserve">This study is part of the research program </w:t>
      </w:r>
      <w:proofErr w:type="spellStart"/>
      <w:r w:rsidRPr="00CF1769">
        <w:rPr>
          <w:rFonts w:asciiTheme="minorHAnsi" w:hAnsiTheme="minorHAnsi"/>
          <w:szCs w:val="18"/>
          <w:lang w:val="en-US"/>
        </w:rPr>
        <w:t>ECoGaz</w:t>
      </w:r>
      <w:proofErr w:type="spellEnd"/>
      <w:r w:rsidRPr="00CF1769">
        <w:rPr>
          <w:rFonts w:asciiTheme="minorHAnsi" w:hAnsiTheme="minorHAnsi"/>
          <w:szCs w:val="18"/>
          <w:lang w:val="en-US"/>
        </w:rPr>
        <w:t>, aiming to contribute to the development of waste as an alternative fuel for energy production. The authors wish to thank the Auvergne-Rhône-Alpes Region for the financial support.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D2141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87344E" w:rsidRDefault="00375962" w:rsidP="009C411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27813">
        <w:rPr>
          <w:rFonts w:asciiTheme="minorHAnsi" w:hAnsiTheme="minorHAnsi"/>
          <w:color w:val="000000"/>
        </w:rPr>
        <w:t>A.C</w:t>
      </w:r>
      <w:r>
        <w:rPr>
          <w:rFonts w:asciiTheme="minorHAnsi" w:hAnsiTheme="minorHAnsi"/>
          <w:color w:val="000000"/>
        </w:rPr>
        <w:t>.</w:t>
      </w:r>
      <w:r w:rsidRPr="00227813">
        <w:rPr>
          <w:rFonts w:asciiTheme="minorHAnsi" w:hAnsiTheme="minorHAnsi"/>
          <w:color w:val="000000"/>
        </w:rPr>
        <w:t xml:space="preserve"> </w:t>
      </w:r>
      <w:r w:rsidR="009C411B" w:rsidRPr="00227813">
        <w:rPr>
          <w:rFonts w:asciiTheme="minorHAnsi" w:hAnsiTheme="minorHAnsi"/>
          <w:color w:val="000000"/>
        </w:rPr>
        <w:t>Caputo,</w:t>
      </w:r>
      <w:r>
        <w:rPr>
          <w:rFonts w:asciiTheme="minorHAnsi" w:hAnsiTheme="minorHAnsi"/>
          <w:color w:val="000000"/>
        </w:rPr>
        <w:t xml:space="preserve"> F. </w:t>
      </w:r>
      <w:proofErr w:type="spellStart"/>
      <w:r>
        <w:rPr>
          <w:rFonts w:asciiTheme="minorHAnsi" w:hAnsiTheme="minorHAnsi"/>
          <w:color w:val="000000"/>
        </w:rPr>
        <w:t>Scacchia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227813">
        <w:rPr>
          <w:rFonts w:asciiTheme="minorHAnsi" w:hAnsiTheme="minorHAnsi"/>
          <w:color w:val="000000"/>
        </w:rPr>
        <w:t>P.M</w:t>
      </w:r>
      <w:r>
        <w:rPr>
          <w:rFonts w:asciiTheme="minorHAnsi" w:hAnsiTheme="minorHAnsi"/>
          <w:color w:val="000000"/>
        </w:rPr>
        <w:t>.</w:t>
      </w:r>
      <w:r w:rsidR="00542BDC">
        <w:rPr>
          <w:rFonts w:asciiTheme="minorHAnsi" w:hAnsiTheme="minorHAnsi"/>
          <w:color w:val="000000"/>
        </w:rPr>
        <w:t xml:space="preserve"> </w:t>
      </w:r>
      <w:proofErr w:type="spellStart"/>
      <w:r w:rsidR="009C411B" w:rsidRPr="00227813">
        <w:rPr>
          <w:rFonts w:asciiTheme="minorHAnsi" w:hAnsiTheme="minorHAnsi"/>
          <w:color w:val="000000"/>
        </w:rPr>
        <w:t>Pelagagge</w:t>
      </w:r>
      <w:proofErr w:type="spellEnd"/>
      <w:r w:rsidR="009C411B" w:rsidRPr="00227813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="009C411B" w:rsidRPr="00227813">
        <w:rPr>
          <w:rFonts w:asciiTheme="minorHAnsi" w:hAnsiTheme="minorHAnsi"/>
          <w:color w:val="000000"/>
        </w:rPr>
        <w:t xml:space="preserve">Appl. Therm. Eng. 23 </w:t>
      </w:r>
      <w:r>
        <w:rPr>
          <w:rFonts w:asciiTheme="minorHAnsi" w:hAnsiTheme="minorHAnsi"/>
          <w:color w:val="000000"/>
        </w:rPr>
        <w:t>(</w:t>
      </w:r>
      <w:r w:rsidRPr="00227813">
        <w:rPr>
          <w:rFonts w:asciiTheme="minorHAnsi" w:hAnsiTheme="minorHAnsi"/>
          <w:color w:val="000000"/>
        </w:rPr>
        <w:t>2003</w:t>
      </w:r>
      <w:r>
        <w:rPr>
          <w:rFonts w:asciiTheme="minorHAnsi" w:hAnsiTheme="minorHAnsi"/>
          <w:color w:val="000000"/>
        </w:rPr>
        <w:t>)</w:t>
      </w:r>
      <w:r w:rsidRPr="00227813">
        <w:rPr>
          <w:rFonts w:asciiTheme="minorHAnsi" w:hAnsiTheme="minorHAnsi"/>
          <w:color w:val="000000"/>
        </w:rPr>
        <w:t xml:space="preserve"> </w:t>
      </w:r>
      <w:r w:rsidR="009C411B" w:rsidRPr="00227813">
        <w:rPr>
          <w:rFonts w:asciiTheme="minorHAnsi" w:hAnsiTheme="minorHAnsi"/>
          <w:color w:val="000000"/>
        </w:rPr>
        <w:t>197–214.</w:t>
      </w:r>
    </w:p>
    <w:p w:rsidR="00227813" w:rsidRPr="0087344E" w:rsidRDefault="0087344E" w:rsidP="0087344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917495">
        <w:rPr>
          <w:rFonts w:asciiTheme="minorHAnsi" w:hAnsiTheme="minorHAnsi"/>
          <w:color w:val="000000"/>
          <w:lang w:val="fr-FR"/>
        </w:rPr>
        <w:t xml:space="preserve">M. La </w:t>
      </w:r>
      <w:proofErr w:type="spellStart"/>
      <w:r w:rsidRPr="00917495">
        <w:rPr>
          <w:rFonts w:asciiTheme="minorHAnsi" w:hAnsiTheme="minorHAnsi"/>
          <w:color w:val="000000"/>
          <w:lang w:val="fr-FR"/>
        </w:rPr>
        <w:t>Villetta</w:t>
      </w:r>
      <w:proofErr w:type="spellEnd"/>
      <w:r w:rsidRPr="00917495">
        <w:rPr>
          <w:rFonts w:asciiTheme="minorHAnsi" w:hAnsiTheme="minorHAnsi"/>
          <w:color w:val="000000"/>
          <w:lang w:val="fr-FR"/>
        </w:rPr>
        <w:t xml:space="preserve">, M. Costa, N. </w:t>
      </w:r>
      <w:proofErr w:type="spellStart"/>
      <w:r w:rsidRPr="00917495">
        <w:rPr>
          <w:rFonts w:asciiTheme="minorHAnsi" w:hAnsiTheme="minorHAnsi"/>
          <w:color w:val="000000"/>
          <w:lang w:val="fr-FR"/>
        </w:rPr>
        <w:t>Massarotti</w:t>
      </w:r>
      <w:proofErr w:type="spellEnd"/>
      <w:r w:rsidRPr="00917495">
        <w:rPr>
          <w:rFonts w:asciiTheme="minorHAnsi" w:hAnsiTheme="minorHAnsi"/>
          <w:color w:val="000000"/>
          <w:lang w:val="fr-FR"/>
        </w:rPr>
        <w:t xml:space="preserve">, </w:t>
      </w:r>
      <w:proofErr w:type="spellStart"/>
      <w:r w:rsidRPr="00917495">
        <w:rPr>
          <w:rFonts w:asciiTheme="minorHAnsi" w:hAnsiTheme="minorHAnsi"/>
          <w:color w:val="000000"/>
          <w:lang w:val="fr-FR"/>
        </w:rPr>
        <w:t>Renew</w:t>
      </w:r>
      <w:proofErr w:type="spellEnd"/>
      <w:r w:rsidRPr="00917495">
        <w:rPr>
          <w:rFonts w:asciiTheme="minorHAnsi" w:hAnsiTheme="minorHAnsi"/>
          <w:color w:val="000000"/>
          <w:lang w:val="fr-FR"/>
        </w:rPr>
        <w:t xml:space="preserve">. </w:t>
      </w:r>
      <w:proofErr w:type="spellStart"/>
      <w:r w:rsidRPr="00917495">
        <w:rPr>
          <w:rFonts w:asciiTheme="minorHAnsi" w:hAnsiTheme="minorHAnsi"/>
          <w:color w:val="000000"/>
          <w:lang w:val="fr-FR"/>
        </w:rPr>
        <w:t>Sustain</w:t>
      </w:r>
      <w:proofErr w:type="spellEnd"/>
      <w:r w:rsidR="00917495" w:rsidRPr="00917495">
        <w:rPr>
          <w:rFonts w:asciiTheme="minorHAnsi" w:hAnsiTheme="minorHAnsi"/>
          <w:color w:val="000000"/>
          <w:lang w:val="fr-FR"/>
        </w:rPr>
        <w:t>.</w:t>
      </w:r>
      <w:r w:rsidRPr="00917495">
        <w:rPr>
          <w:rFonts w:asciiTheme="minorHAnsi" w:hAnsiTheme="minorHAnsi"/>
          <w:color w:val="000000"/>
          <w:lang w:val="fr-FR"/>
        </w:rPr>
        <w:t xml:space="preserve"> </w:t>
      </w:r>
      <w:r w:rsidRPr="0087344E">
        <w:rPr>
          <w:rFonts w:asciiTheme="minorHAnsi" w:hAnsiTheme="minorHAnsi"/>
          <w:color w:val="000000"/>
        </w:rPr>
        <w:t>Energy Rev</w:t>
      </w:r>
      <w:r w:rsidR="00917495">
        <w:rPr>
          <w:rFonts w:asciiTheme="minorHAnsi" w:hAnsiTheme="minorHAnsi"/>
          <w:color w:val="000000"/>
        </w:rPr>
        <w:t xml:space="preserve">. </w:t>
      </w:r>
      <w:r w:rsidRPr="0087344E">
        <w:rPr>
          <w:rFonts w:asciiTheme="minorHAnsi" w:hAnsiTheme="minorHAnsi"/>
          <w:color w:val="000000"/>
        </w:rPr>
        <w:t>74 (2017) 71–88</w:t>
      </w:r>
      <w:r w:rsidR="009C4AFC">
        <w:rPr>
          <w:rFonts w:asciiTheme="minorHAnsi" w:hAnsiTheme="minorHAnsi"/>
          <w:color w:val="000000"/>
        </w:rPr>
        <w:t>.</w:t>
      </w:r>
    </w:p>
    <w:p w:rsidR="00704BDF" w:rsidRPr="001068CD" w:rsidRDefault="00227813" w:rsidP="001068C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114497">
        <w:rPr>
          <w:rFonts w:asciiTheme="minorHAnsi" w:hAnsiTheme="minorHAnsi"/>
          <w:color w:val="000000"/>
          <w:lang w:val="fr-FR"/>
        </w:rPr>
        <w:t>G.</w:t>
      </w:r>
      <w:r w:rsidR="002F5F6D" w:rsidRPr="00114497">
        <w:rPr>
          <w:rFonts w:asciiTheme="minorHAnsi" w:hAnsiTheme="minorHAnsi"/>
          <w:color w:val="000000"/>
          <w:lang w:val="fr-FR"/>
        </w:rPr>
        <w:t xml:space="preserve"> </w:t>
      </w:r>
      <w:proofErr w:type="spellStart"/>
      <w:r w:rsidRPr="00114497">
        <w:rPr>
          <w:rFonts w:asciiTheme="minorHAnsi" w:hAnsiTheme="minorHAnsi"/>
          <w:color w:val="000000"/>
          <w:lang w:val="fr-FR"/>
        </w:rPr>
        <w:t>Ducom</w:t>
      </w:r>
      <w:proofErr w:type="spellEnd"/>
      <w:r w:rsidRPr="00114497">
        <w:rPr>
          <w:rFonts w:asciiTheme="minorHAnsi" w:hAnsiTheme="minorHAnsi"/>
          <w:color w:val="000000"/>
          <w:lang w:val="fr-FR"/>
        </w:rPr>
        <w:t xml:space="preserve">, M. Gautier, M. </w:t>
      </w:r>
      <w:proofErr w:type="spellStart"/>
      <w:r w:rsidRPr="00114497">
        <w:rPr>
          <w:rFonts w:asciiTheme="minorHAnsi" w:hAnsiTheme="minorHAnsi"/>
          <w:color w:val="000000"/>
          <w:lang w:val="fr-FR"/>
        </w:rPr>
        <w:t>Pietraccini</w:t>
      </w:r>
      <w:proofErr w:type="spellEnd"/>
      <w:r w:rsidRPr="00114497">
        <w:rPr>
          <w:rFonts w:asciiTheme="minorHAnsi" w:hAnsiTheme="minorHAnsi"/>
          <w:color w:val="000000"/>
          <w:lang w:val="fr-FR"/>
        </w:rPr>
        <w:t xml:space="preserve">, </w:t>
      </w:r>
      <w:proofErr w:type="spellStart"/>
      <w:r w:rsidRPr="00114497">
        <w:rPr>
          <w:rFonts w:asciiTheme="minorHAnsi" w:hAnsiTheme="minorHAnsi"/>
          <w:color w:val="000000"/>
          <w:lang w:val="fr-FR"/>
        </w:rPr>
        <w:t>J.P</w:t>
      </w:r>
      <w:proofErr w:type="spellEnd"/>
      <w:r w:rsidR="002F5F6D" w:rsidRPr="00114497">
        <w:rPr>
          <w:rFonts w:asciiTheme="minorHAnsi" w:hAnsiTheme="minorHAnsi"/>
          <w:color w:val="000000"/>
          <w:lang w:val="fr-FR"/>
        </w:rPr>
        <w:t>.</w:t>
      </w:r>
      <w:r w:rsidRPr="00114497">
        <w:rPr>
          <w:rFonts w:asciiTheme="minorHAnsi" w:hAnsiTheme="minorHAnsi"/>
          <w:color w:val="000000"/>
          <w:lang w:val="fr-FR"/>
        </w:rPr>
        <w:t xml:space="preserve"> </w:t>
      </w:r>
      <w:proofErr w:type="spellStart"/>
      <w:r w:rsidRPr="00114497">
        <w:rPr>
          <w:rFonts w:asciiTheme="minorHAnsi" w:hAnsiTheme="minorHAnsi"/>
          <w:color w:val="000000"/>
          <w:lang w:val="fr-FR"/>
        </w:rPr>
        <w:t>Tagutchou</w:t>
      </w:r>
      <w:proofErr w:type="spellEnd"/>
      <w:r w:rsidRPr="00114497">
        <w:rPr>
          <w:rFonts w:asciiTheme="minorHAnsi" w:hAnsiTheme="minorHAnsi"/>
          <w:color w:val="000000"/>
          <w:lang w:val="fr-FR"/>
        </w:rPr>
        <w:t>, D.</w:t>
      </w:r>
      <w:r w:rsidR="00375962" w:rsidRPr="00114497">
        <w:rPr>
          <w:rFonts w:asciiTheme="minorHAnsi" w:hAnsiTheme="minorHAnsi"/>
          <w:color w:val="000000"/>
          <w:lang w:val="fr-FR"/>
        </w:rPr>
        <w:t xml:space="preserve"> </w:t>
      </w:r>
      <w:proofErr w:type="spellStart"/>
      <w:r w:rsidR="00375962" w:rsidRPr="00114497">
        <w:rPr>
          <w:rFonts w:asciiTheme="minorHAnsi" w:hAnsiTheme="minorHAnsi"/>
          <w:color w:val="000000"/>
          <w:lang w:val="fr-FR"/>
        </w:rPr>
        <w:t>Lebouil</w:t>
      </w:r>
      <w:proofErr w:type="spellEnd"/>
      <w:r w:rsidR="00375962" w:rsidRPr="00114497">
        <w:rPr>
          <w:rFonts w:asciiTheme="minorHAnsi" w:hAnsiTheme="minorHAnsi"/>
          <w:color w:val="000000"/>
          <w:lang w:val="fr-FR"/>
        </w:rPr>
        <w:t xml:space="preserve">, R. </w:t>
      </w:r>
      <w:r w:rsidR="009C411B" w:rsidRPr="00114497">
        <w:rPr>
          <w:rFonts w:asciiTheme="minorHAnsi" w:hAnsiTheme="minorHAnsi"/>
          <w:color w:val="000000"/>
          <w:lang w:val="fr-FR"/>
        </w:rPr>
        <w:t xml:space="preserve">Gourdon, </w:t>
      </w:r>
      <w:proofErr w:type="spellStart"/>
      <w:r w:rsidR="009C411B" w:rsidRPr="00114497">
        <w:rPr>
          <w:rFonts w:asciiTheme="minorHAnsi" w:hAnsiTheme="minorHAnsi"/>
          <w:color w:val="000000"/>
          <w:lang w:val="fr-FR"/>
        </w:rPr>
        <w:t>Renew</w:t>
      </w:r>
      <w:proofErr w:type="spellEnd"/>
      <w:r w:rsidR="009C411B" w:rsidRPr="00114497">
        <w:rPr>
          <w:rFonts w:asciiTheme="minorHAnsi" w:hAnsiTheme="minorHAnsi"/>
          <w:color w:val="000000"/>
          <w:lang w:val="fr-FR"/>
        </w:rPr>
        <w:t xml:space="preserve">. </w:t>
      </w:r>
      <w:r w:rsidR="009C411B" w:rsidRPr="00227813">
        <w:rPr>
          <w:rFonts w:asciiTheme="minorHAnsi" w:hAnsiTheme="minorHAnsi"/>
          <w:color w:val="000000"/>
        </w:rPr>
        <w:t>Energy</w:t>
      </w:r>
      <w:r w:rsidR="002F5F6D">
        <w:rPr>
          <w:rFonts w:asciiTheme="minorHAnsi" w:hAnsiTheme="minorHAnsi"/>
          <w:color w:val="000000"/>
        </w:rPr>
        <w:t xml:space="preserve"> </w:t>
      </w:r>
      <w:r w:rsidR="00A1133A">
        <w:rPr>
          <w:rFonts w:asciiTheme="minorHAnsi" w:hAnsiTheme="minorHAnsi"/>
          <w:color w:val="000000"/>
        </w:rPr>
        <w:t xml:space="preserve">145 </w:t>
      </w:r>
      <w:r w:rsidR="002F5F6D">
        <w:rPr>
          <w:rFonts w:asciiTheme="minorHAnsi" w:hAnsiTheme="minorHAnsi"/>
          <w:color w:val="000000"/>
        </w:rPr>
        <w:t>(2020)</w:t>
      </w:r>
      <w:r w:rsidR="00A1133A">
        <w:rPr>
          <w:rFonts w:asciiTheme="minorHAnsi" w:hAnsiTheme="minorHAnsi"/>
          <w:color w:val="000000"/>
        </w:rPr>
        <w:t xml:space="preserve"> </w:t>
      </w:r>
      <w:r w:rsidR="00A1133A" w:rsidRPr="00227813">
        <w:rPr>
          <w:rFonts w:asciiTheme="minorHAnsi" w:hAnsiTheme="minorHAnsi"/>
          <w:color w:val="000000"/>
        </w:rPr>
        <w:t>1</w:t>
      </w:r>
      <w:r w:rsidR="00A1133A">
        <w:rPr>
          <w:rFonts w:asciiTheme="minorHAnsi" w:hAnsiTheme="minorHAnsi"/>
          <w:color w:val="000000"/>
        </w:rPr>
        <w:t>80</w:t>
      </w:r>
      <w:r w:rsidR="00A1133A" w:rsidRPr="00227813">
        <w:rPr>
          <w:rFonts w:asciiTheme="minorHAnsi" w:hAnsiTheme="minorHAnsi"/>
          <w:color w:val="000000"/>
        </w:rPr>
        <w:t>–</w:t>
      </w:r>
      <w:r w:rsidR="00A1133A">
        <w:rPr>
          <w:rFonts w:asciiTheme="minorHAnsi" w:hAnsiTheme="minorHAnsi"/>
          <w:color w:val="000000"/>
        </w:rPr>
        <w:t>189</w:t>
      </w:r>
      <w:r w:rsidR="00A1133A" w:rsidRPr="00227813">
        <w:rPr>
          <w:rFonts w:asciiTheme="minorHAnsi" w:hAnsiTheme="minorHAnsi"/>
          <w:color w:val="000000"/>
        </w:rPr>
        <w:t>.</w:t>
      </w:r>
    </w:p>
    <w:sectPr w:rsidR="00704BDF" w:rsidRPr="001068C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68" w:rsidRDefault="00607B68" w:rsidP="004F5E36">
      <w:r>
        <w:separator/>
      </w:r>
    </w:p>
  </w:endnote>
  <w:endnote w:type="continuationSeparator" w:id="0">
    <w:p w:rsidR="00607B68" w:rsidRDefault="00607B6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68" w:rsidRDefault="00607B68" w:rsidP="004F5E36">
      <w:r>
        <w:separator/>
      </w:r>
    </w:p>
  </w:footnote>
  <w:footnote w:type="continuationSeparator" w:id="0">
    <w:p w:rsidR="00607B68" w:rsidRDefault="00607B6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497D203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18987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BC12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561A"/>
    <w:rsid w:val="000D34BE"/>
    <w:rsid w:val="000E36F1"/>
    <w:rsid w:val="000E3A73"/>
    <w:rsid w:val="000E414A"/>
    <w:rsid w:val="001068CD"/>
    <w:rsid w:val="00114497"/>
    <w:rsid w:val="00117E2C"/>
    <w:rsid w:val="0013121F"/>
    <w:rsid w:val="001336A4"/>
    <w:rsid w:val="00134DE4"/>
    <w:rsid w:val="00142D43"/>
    <w:rsid w:val="00150E59"/>
    <w:rsid w:val="00150F24"/>
    <w:rsid w:val="00184AD6"/>
    <w:rsid w:val="001B65C1"/>
    <w:rsid w:val="001C684B"/>
    <w:rsid w:val="001D53FC"/>
    <w:rsid w:val="001F08D3"/>
    <w:rsid w:val="001F2EC7"/>
    <w:rsid w:val="002065DB"/>
    <w:rsid w:val="00215BE8"/>
    <w:rsid w:val="00227813"/>
    <w:rsid w:val="002447EF"/>
    <w:rsid w:val="00251550"/>
    <w:rsid w:val="0027221A"/>
    <w:rsid w:val="00272577"/>
    <w:rsid w:val="00275B61"/>
    <w:rsid w:val="00283FEE"/>
    <w:rsid w:val="002D1F12"/>
    <w:rsid w:val="002F5F6D"/>
    <w:rsid w:val="003009B7"/>
    <w:rsid w:val="0030469C"/>
    <w:rsid w:val="003723D4"/>
    <w:rsid w:val="00375962"/>
    <w:rsid w:val="003A7D1C"/>
    <w:rsid w:val="00412E5B"/>
    <w:rsid w:val="00414E65"/>
    <w:rsid w:val="00416291"/>
    <w:rsid w:val="00434E56"/>
    <w:rsid w:val="0046164A"/>
    <w:rsid w:val="00462DCD"/>
    <w:rsid w:val="004657AF"/>
    <w:rsid w:val="004D1162"/>
    <w:rsid w:val="004D11CD"/>
    <w:rsid w:val="004E4DD6"/>
    <w:rsid w:val="004E5C33"/>
    <w:rsid w:val="004F378D"/>
    <w:rsid w:val="004F5E36"/>
    <w:rsid w:val="005119A5"/>
    <w:rsid w:val="005202FB"/>
    <w:rsid w:val="005278B7"/>
    <w:rsid w:val="005346C8"/>
    <w:rsid w:val="00542BDC"/>
    <w:rsid w:val="00594E9F"/>
    <w:rsid w:val="005B61E6"/>
    <w:rsid w:val="005C77E1"/>
    <w:rsid w:val="005D6A2F"/>
    <w:rsid w:val="005E0623"/>
    <w:rsid w:val="005E1A82"/>
    <w:rsid w:val="005F0A28"/>
    <w:rsid w:val="005F0E5E"/>
    <w:rsid w:val="005F5ECB"/>
    <w:rsid w:val="00607B68"/>
    <w:rsid w:val="00612809"/>
    <w:rsid w:val="00620DEE"/>
    <w:rsid w:val="00625639"/>
    <w:rsid w:val="006277F1"/>
    <w:rsid w:val="0064184D"/>
    <w:rsid w:val="00643FD5"/>
    <w:rsid w:val="00660E3E"/>
    <w:rsid w:val="00662E74"/>
    <w:rsid w:val="006A58D2"/>
    <w:rsid w:val="006B2FCB"/>
    <w:rsid w:val="006C5579"/>
    <w:rsid w:val="006F23AE"/>
    <w:rsid w:val="00704BDF"/>
    <w:rsid w:val="00736B13"/>
    <w:rsid w:val="007447F3"/>
    <w:rsid w:val="007661C8"/>
    <w:rsid w:val="00771E8F"/>
    <w:rsid w:val="007D0A24"/>
    <w:rsid w:val="007D52CD"/>
    <w:rsid w:val="007E306E"/>
    <w:rsid w:val="008122E7"/>
    <w:rsid w:val="00813288"/>
    <w:rsid w:val="008168FC"/>
    <w:rsid w:val="008479A2"/>
    <w:rsid w:val="00867904"/>
    <w:rsid w:val="0087344E"/>
    <w:rsid w:val="0087637F"/>
    <w:rsid w:val="0089794E"/>
    <w:rsid w:val="008A1512"/>
    <w:rsid w:val="008B0419"/>
    <w:rsid w:val="008D0BEB"/>
    <w:rsid w:val="008E2719"/>
    <w:rsid w:val="008E566E"/>
    <w:rsid w:val="00901EB6"/>
    <w:rsid w:val="00913F8A"/>
    <w:rsid w:val="00917495"/>
    <w:rsid w:val="009450CE"/>
    <w:rsid w:val="0095164B"/>
    <w:rsid w:val="00957904"/>
    <w:rsid w:val="00996483"/>
    <w:rsid w:val="009A7F3B"/>
    <w:rsid w:val="009C411B"/>
    <w:rsid w:val="009C4AFC"/>
    <w:rsid w:val="009D11F0"/>
    <w:rsid w:val="009E788A"/>
    <w:rsid w:val="009F71CB"/>
    <w:rsid w:val="00A1133A"/>
    <w:rsid w:val="00A1763D"/>
    <w:rsid w:val="00A17CEC"/>
    <w:rsid w:val="00A27EF0"/>
    <w:rsid w:val="00A76EFC"/>
    <w:rsid w:val="00A9626B"/>
    <w:rsid w:val="00A97F29"/>
    <w:rsid w:val="00AB0964"/>
    <w:rsid w:val="00AD27E6"/>
    <w:rsid w:val="00AE377D"/>
    <w:rsid w:val="00AF43A6"/>
    <w:rsid w:val="00B50661"/>
    <w:rsid w:val="00B61DBF"/>
    <w:rsid w:val="00B652B1"/>
    <w:rsid w:val="00BC30C9"/>
    <w:rsid w:val="00BD6114"/>
    <w:rsid w:val="00BE3E58"/>
    <w:rsid w:val="00BF4A54"/>
    <w:rsid w:val="00C01616"/>
    <w:rsid w:val="00C0162B"/>
    <w:rsid w:val="00C0514B"/>
    <w:rsid w:val="00C34399"/>
    <w:rsid w:val="00C345B1"/>
    <w:rsid w:val="00C40142"/>
    <w:rsid w:val="00C57182"/>
    <w:rsid w:val="00C655FD"/>
    <w:rsid w:val="00C65F94"/>
    <w:rsid w:val="00C867B1"/>
    <w:rsid w:val="00C87445"/>
    <w:rsid w:val="00C942D6"/>
    <w:rsid w:val="00C94434"/>
    <w:rsid w:val="00CA1C95"/>
    <w:rsid w:val="00CA5A9C"/>
    <w:rsid w:val="00CC1F79"/>
    <w:rsid w:val="00CD5FE2"/>
    <w:rsid w:val="00CF1769"/>
    <w:rsid w:val="00D02B4C"/>
    <w:rsid w:val="00D21419"/>
    <w:rsid w:val="00D84576"/>
    <w:rsid w:val="00D97C65"/>
    <w:rsid w:val="00DB4FAB"/>
    <w:rsid w:val="00DC3441"/>
    <w:rsid w:val="00DE0019"/>
    <w:rsid w:val="00DE264A"/>
    <w:rsid w:val="00DF254B"/>
    <w:rsid w:val="00E041E7"/>
    <w:rsid w:val="00E14298"/>
    <w:rsid w:val="00E17CCD"/>
    <w:rsid w:val="00E23CA1"/>
    <w:rsid w:val="00E409A8"/>
    <w:rsid w:val="00E55648"/>
    <w:rsid w:val="00E7209D"/>
    <w:rsid w:val="00EA50E1"/>
    <w:rsid w:val="00ED6214"/>
    <w:rsid w:val="00EE0131"/>
    <w:rsid w:val="00F30C64"/>
    <w:rsid w:val="00F54709"/>
    <w:rsid w:val="00F7422B"/>
    <w:rsid w:val="00FA0C39"/>
    <w:rsid w:val="00FB21F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16AF580-A013-4C51-AB8E-8A9D6C39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DC34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locked/>
    <w:rsid w:val="00D21419"/>
    <w:rPr>
      <w:color w:val="0000FF" w:themeColor="hyperlink"/>
      <w:u w:val="single"/>
    </w:rPr>
  </w:style>
  <w:style w:type="paragraph" w:customStyle="1" w:styleId="Standard">
    <w:name w:val="Standard"/>
    <w:rsid w:val="009C411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lang w:val="fr-FR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C05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22DC-AACB-446A-958E-13461ABB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2019-08-01T11:55:00Z</dcterms:created>
  <dcterms:modified xsi:type="dcterms:W3CDTF">2019-08-01T11:55:00Z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id="zHaruiL3"/&gt;&lt;style id="http://www.zotero.org/styles/chicago-note-bibliography" locale="fr-FR" hasBibliography="1" bibliographyStyleHasBeenSet="0"/&gt;&lt;prefs&gt;&lt;pref name="fieldType" value="Field"/&gt;&lt;pre</vt:lpwstr>
  </property>
  <property fmtid="{D5CDD505-2E9C-101B-9397-08002B2CF9AE}" pid="3" name="ZOTERO_PREF_2">
    <vt:lpwstr>f name="automaticJournalAbbreviations" value="true"/&gt;&lt;pref name="noteType" value="1"/&gt;&lt;/prefs&gt;&lt;/data&gt;</vt:lpwstr>
  </property>
</Properties>
</file>