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4F1C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253C6BB" w14:textId="77777777" w:rsidR="00704BDF" w:rsidRPr="00DE0019" w:rsidRDefault="0012040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Organic phase selection for</w:t>
      </w:r>
      <w:r w:rsidR="0048153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617A50" w:rsidRPr="00617A50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in situ</w:t>
      </w:r>
      <w:r w:rsidR="0048153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</w:t>
      </w:r>
      <w:r w:rsidR="000A59BE">
        <w:rPr>
          <w:rFonts w:asciiTheme="minorHAnsi" w:eastAsia="MS PGothic" w:hAnsiTheme="minorHAnsi"/>
          <w:b/>
          <w:bCs/>
          <w:sz w:val="28"/>
          <w:szCs w:val="28"/>
          <w:lang w:val="en-US"/>
        </w:rPr>
        <w:t>embrane-assisted</w:t>
      </w:r>
      <w:r w:rsidR="00617A5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0A59BE">
        <w:rPr>
          <w:rFonts w:asciiTheme="minorHAnsi" w:eastAsia="MS PGothic" w:hAnsiTheme="minorHAnsi"/>
          <w:b/>
          <w:bCs/>
          <w:sz w:val="28"/>
          <w:szCs w:val="28"/>
          <w:lang w:val="en-US"/>
        </w:rPr>
        <w:t>reactive extraction</w:t>
      </w:r>
      <w:r w:rsidR="0048153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617A50">
        <w:rPr>
          <w:rFonts w:asciiTheme="minorHAnsi" w:eastAsia="MS PGothic" w:hAnsiTheme="minorHAnsi"/>
          <w:b/>
          <w:bCs/>
          <w:sz w:val="28"/>
          <w:szCs w:val="28"/>
          <w:lang w:val="en-US"/>
        </w:rPr>
        <w:t>of</w:t>
      </w:r>
      <w:r w:rsidR="000A59B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3-hydroxypropionic acid produced by bioconversion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02FBBA72" w14:textId="4AB7135A" w:rsidR="00DE0019" w:rsidRPr="00DE0019" w:rsidRDefault="00617A5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9F5A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Ana-Karen</w:t>
      </w:r>
      <w:r w:rsidR="00704BDF" w:rsidRPr="009F5A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Pr="009F5A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Sánchez-</w:t>
      </w:r>
      <w:proofErr w:type="spellStart"/>
      <w:r w:rsidRPr="009F5A0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Castañeda</w:t>
      </w:r>
      <w:proofErr w:type="spellEnd"/>
      <w:r w:rsidR="00736B13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Marwen</w:t>
      </w:r>
      <w:proofErr w:type="spellEnd"/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Moussa,</w:t>
      </w:r>
      <w:r w:rsidR="00FC042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FC0429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Luther </w:t>
      </w:r>
      <w:proofErr w:type="spellStart"/>
      <w:r w:rsidR="00FC0429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Ngansop</w:t>
      </w:r>
      <w:proofErr w:type="spellEnd"/>
      <w:r w:rsidR="00FC0429" w:rsidRPr="00BC21F2">
        <w:rPr>
          <w:rFonts w:asciiTheme="minorHAnsi" w:eastAsia="SimSun" w:hAnsiTheme="minorHAnsi"/>
          <w:sz w:val="24"/>
          <w:szCs w:val="24"/>
          <w:lang w:val="en-US" w:eastAsia="zh-CN"/>
        </w:rPr>
        <w:t>,</w:t>
      </w:r>
      <w:r w:rsidR="009F5A0B" w:rsidRPr="00BC21F2">
        <w:rPr>
          <w:rFonts w:asciiTheme="minorHAnsi" w:eastAsia="SimSun" w:hAnsiTheme="minorHAnsi"/>
          <w:sz w:val="24"/>
          <w:szCs w:val="24"/>
          <w:lang w:val="en-US" w:eastAsia="zh-CN"/>
        </w:rPr>
        <w:t xml:space="preserve"> </w:t>
      </w:r>
      <w:proofErr w:type="spellStart"/>
      <w:r w:rsidR="00C52294" w:rsidRPr="00BC21F2">
        <w:rPr>
          <w:rFonts w:asciiTheme="minorHAnsi" w:eastAsia="SimSun" w:hAnsiTheme="minorHAnsi"/>
          <w:sz w:val="24"/>
          <w:szCs w:val="24"/>
          <w:lang w:val="en-US" w:eastAsia="zh-CN"/>
        </w:rPr>
        <w:t>Ioan</w:t>
      </w:r>
      <w:proofErr w:type="spellEnd"/>
      <w:r w:rsidR="00C52294" w:rsidRPr="00BC21F2">
        <w:rPr>
          <w:rFonts w:asciiTheme="minorHAnsi" w:eastAsia="SimSun" w:hAnsiTheme="minorHAnsi"/>
          <w:sz w:val="24"/>
          <w:szCs w:val="24"/>
          <w:lang w:val="en-US" w:eastAsia="zh-CN"/>
        </w:rPr>
        <w:t>-</w:t>
      </w:r>
      <w:r w:rsidR="009F5A0B" w:rsidRPr="00BC21F2">
        <w:rPr>
          <w:rFonts w:asciiTheme="minorHAnsi" w:eastAsia="SimSun" w:hAnsiTheme="minorHAnsi"/>
          <w:sz w:val="24"/>
          <w:szCs w:val="24"/>
          <w:lang w:val="en-US" w:eastAsia="zh-CN"/>
        </w:rPr>
        <w:t xml:space="preserve">Cristian </w:t>
      </w:r>
      <w:proofErr w:type="spellStart"/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Trelea</w:t>
      </w:r>
      <w:proofErr w:type="spellEnd"/>
      <w:r w:rsidR="00FD3EB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Violaine</w:t>
      </w:r>
      <w:proofErr w:type="spellEnd"/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9F5A0B" w:rsidRP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Ath</w:t>
      </w:r>
      <w:r w:rsidR="009F5A0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ès</w:t>
      </w:r>
      <w:proofErr w:type="spellEnd"/>
      <w:r w:rsidR="00FB04A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*</w:t>
      </w:r>
      <w:r w:rsidR="00FB04A8" w:rsidRPr="00FB04A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.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0E2C57F9" w14:textId="61D6636C" w:rsidR="00704BDF" w:rsidRPr="00DE0019" w:rsidRDefault="009F5A0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UMR 782 GMPA, </w:t>
      </w:r>
      <w:proofErr w:type="spellStart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AgroParisTech</w:t>
      </w:r>
      <w:proofErr w:type="spellEnd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INRA, </w:t>
      </w:r>
      <w:proofErr w:type="spellStart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Université</w:t>
      </w:r>
      <w:proofErr w:type="spellEnd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Paris </w:t>
      </w:r>
      <w:proofErr w:type="spellStart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Saclay</w:t>
      </w:r>
      <w:proofErr w:type="spellEnd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78850 </w:t>
      </w:r>
      <w:proofErr w:type="spellStart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Thiverval-Grignon</w:t>
      </w:r>
      <w:proofErr w:type="spellEnd"/>
      <w:r w:rsidRPr="009F5A0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France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</w:p>
    <w:p w14:paraId="5637938C" w14:textId="77777777" w:rsidR="009F5A0B" w:rsidRPr="00804F01" w:rsidRDefault="00704BDF" w:rsidP="009F5A0B">
      <w:pPr>
        <w:tabs>
          <w:tab w:val="clear" w:pos="7100"/>
        </w:tabs>
        <w:spacing w:line="240" w:lineRule="auto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9F5A0B" w:rsidRPr="009F5A0B">
        <w:rPr>
          <w:rFonts w:ascii="Tahoma" w:hAnsi="Tahoma" w:cs="Tahoma"/>
          <w:sz w:val="17"/>
          <w:szCs w:val="17"/>
        </w:rPr>
        <w:t xml:space="preserve"> </w:t>
      </w:r>
      <w:r w:rsidR="009F5A0B" w:rsidRPr="00804F01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violaine.athes-dutour@inra.fr</w:t>
      </w:r>
    </w:p>
    <w:p w14:paraId="60CB627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bookmarkStart w:id="0" w:name="_GoBack"/>
      <w:bookmarkEnd w:id="0"/>
    </w:p>
    <w:p w14:paraId="743113B2" w14:textId="6C6E3331" w:rsidR="00340503" w:rsidRPr="00BC21F2" w:rsidRDefault="00340503" w:rsidP="0034050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C21F2">
        <w:rPr>
          <w:rFonts w:asciiTheme="minorHAnsi" w:hAnsiTheme="minorHAnsi"/>
        </w:rPr>
        <w:t xml:space="preserve">A </w:t>
      </w:r>
      <w:r w:rsidR="00C52294" w:rsidRPr="00BC21F2">
        <w:rPr>
          <w:rFonts w:asciiTheme="minorHAnsi" w:hAnsiTheme="minorHAnsi"/>
        </w:rPr>
        <w:t xml:space="preserve">solvent </w:t>
      </w:r>
      <w:r w:rsidRPr="00BC21F2">
        <w:rPr>
          <w:rFonts w:asciiTheme="minorHAnsi" w:hAnsiTheme="minorHAnsi"/>
        </w:rPr>
        <w:t xml:space="preserve">selection </w:t>
      </w:r>
      <w:r w:rsidR="00FC0429" w:rsidRPr="00BC21F2">
        <w:rPr>
          <w:rFonts w:asciiTheme="minorHAnsi" w:hAnsiTheme="minorHAnsi"/>
        </w:rPr>
        <w:t>strategy</w:t>
      </w:r>
      <w:r w:rsidRPr="00BC21F2">
        <w:rPr>
          <w:rFonts w:asciiTheme="minorHAnsi" w:hAnsiTheme="minorHAnsi"/>
        </w:rPr>
        <w:t xml:space="preserve"> including extraction performance and biocompatibility is proposed.</w:t>
      </w:r>
    </w:p>
    <w:p w14:paraId="1DB61018" w14:textId="57ABDD6B" w:rsidR="006B65AE" w:rsidRPr="00BC21F2" w:rsidRDefault="006B65AE" w:rsidP="006B65A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C21F2">
        <w:rPr>
          <w:rFonts w:asciiTheme="minorHAnsi" w:hAnsiTheme="minorHAnsi"/>
        </w:rPr>
        <w:t>Flow cytometry results are used as a quick assessment of</w:t>
      </w:r>
      <w:r w:rsidR="00FC0429" w:rsidRPr="00BC21F2">
        <w:rPr>
          <w:rFonts w:asciiTheme="minorHAnsi" w:hAnsiTheme="minorHAnsi"/>
        </w:rPr>
        <w:t xml:space="preserve"> solvents’</w:t>
      </w:r>
      <w:r w:rsidRPr="00BC21F2">
        <w:rPr>
          <w:rFonts w:asciiTheme="minorHAnsi" w:hAnsiTheme="minorHAnsi"/>
        </w:rPr>
        <w:t xml:space="preserve"> biocompatibility. </w:t>
      </w:r>
    </w:p>
    <w:p w14:paraId="0B0D49A7" w14:textId="712F3B4B" w:rsidR="006B65AE" w:rsidRPr="00BC21F2" w:rsidRDefault="00FC0429" w:rsidP="006B65A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BC21F2">
        <w:rPr>
          <w:rFonts w:asciiTheme="minorHAnsi" w:hAnsiTheme="minorHAnsi"/>
        </w:rPr>
        <w:t>The effects of a</w:t>
      </w:r>
      <w:r w:rsidR="006B65AE" w:rsidRPr="00BC21F2">
        <w:rPr>
          <w:rFonts w:asciiTheme="minorHAnsi" w:hAnsiTheme="minorHAnsi"/>
        </w:rPr>
        <w:t xml:space="preserve">ctive and inert diluent on extraction and biocompatibility are </w:t>
      </w:r>
      <w:r w:rsidR="00C52294" w:rsidRPr="00BC21F2">
        <w:rPr>
          <w:rFonts w:asciiTheme="minorHAnsi" w:hAnsiTheme="minorHAnsi"/>
        </w:rPr>
        <w:t>studied</w:t>
      </w:r>
      <w:r w:rsidR="006B65AE" w:rsidRPr="00BC21F2">
        <w:rPr>
          <w:rFonts w:asciiTheme="minorHAnsi" w:hAnsiTheme="minorHAnsi"/>
        </w:rPr>
        <w:t>.</w:t>
      </w:r>
    </w:p>
    <w:p w14:paraId="5A72EF4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651B1CA" w14:textId="4DA15E58" w:rsidR="00704BDF" w:rsidRPr="00BC21F2" w:rsidRDefault="00BC2B6E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3-Hydroxypropionic acid (3-HP) is an attractive platform molecule that can be converted into several compounds such as acrylic acid and biodegradable polymers. </w:t>
      </w:r>
      <w:r w:rsidR="008A5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ha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nks to the increasing interest i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use of renewable resources in order to develop more sus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tainable processes, research on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production by bioconversion with microorganisms has made remarkable advances</w:t>
      </w:r>
      <w:r w:rsidR="00F74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its industrial commercialization is still limited by low yields caused by product inhibition. </w:t>
      </w:r>
      <w:r w:rsidR="00E1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studies have</w:t>
      </w:r>
      <w:r w:rsidR="00AC0D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shown that </w:t>
      </w:r>
      <w:r w:rsidR="00AC0DD4" w:rsidRPr="00AC0DD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</w:t>
      </w:r>
      <w:r w:rsidRPr="00AC0DD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 situ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reactive extraction assisted by a hollow fiber membrane contactor (HFMC) is a promising strategy to intensify 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glycerol bioconversion to 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3-HP </w:t>
      </w:r>
      <w:r w:rsidR="003B3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 selected strain of </w:t>
      </w:r>
      <w:r w:rsidR="003B3474" w:rsidRPr="003B347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Lactobacillus </w:t>
      </w:r>
      <w:proofErr w:type="spellStart"/>
      <w:r w:rsidR="003B3474" w:rsidRPr="003B347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reuteri</w:t>
      </w:r>
      <w:proofErr w:type="spellEnd"/>
      <w:r w:rsidR="00BC21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simplify its recovery and purification</w:t>
      </w:r>
      <w:r w:rsidR="00F74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[2-</w:t>
      </w:r>
      <w:r w:rsidR="00AC0DD4">
        <w:rPr>
          <w:rFonts w:asciiTheme="minorHAnsi" w:eastAsia="MS PGothic" w:hAnsiTheme="minorHAnsi"/>
          <w:color w:val="000000"/>
          <w:sz w:val="22"/>
          <w:szCs w:val="22"/>
          <w:lang w:val="en-US"/>
        </w:rPr>
        <w:t>4]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 there are s</w:t>
      </w:r>
      <w:r w:rsidR="003B34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ome process limitations 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need to be better understood in order to develop a system that allows continuous 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FC0429" w:rsidRPr="00FC04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 situ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</w:t>
      </w:r>
      <w:r w:rsidR="00FC0429">
        <w:rPr>
          <w:rFonts w:asciiTheme="minorHAnsi" w:eastAsia="MS PGothic" w:hAnsiTheme="minorHAnsi"/>
          <w:color w:val="000000"/>
          <w:sz w:val="22"/>
          <w:szCs w:val="22"/>
          <w:lang w:val="en-US"/>
        </w:rPr>
        <w:t>ve</w:t>
      </w:r>
      <w:r w:rsidRPr="00BC2B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bioconversion.</w:t>
      </w:r>
      <w:r w:rsidR="00C859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Notably, </w:t>
      </w:r>
      <w:r w:rsidR="003B3474" w:rsidRPr="00BC21F2">
        <w:rPr>
          <w:rFonts w:asciiTheme="minorHAnsi" w:eastAsia="MS PGothic" w:hAnsiTheme="minorHAnsi"/>
          <w:sz w:val="22"/>
          <w:szCs w:val="22"/>
          <w:lang w:val="en-US"/>
        </w:rPr>
        <w:t>the biocompatibility of the extraction system together with a good extraction performance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are key factors</w:t>
      </w:r>
      <w:r w:rsidR="003B3474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. The objective of this 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>work</w:t>
      </w:r>
      <w:r w:rsidR="003B3474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is to 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>study</w:t>
      </w:r>
      <w:r w:rsidR="003B3474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a selection</w:t>
      </w:r>
      <w:r w:rsidR="008A5B83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>strategy</w:t>
      </w:r>
      <w:r w:rsidR="008A5B83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to choose an</w:t>
      </w:r>
      <w:r w:rsidR="003B3474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C4980" w:rsidRPr="00BC21F2">
        <w:rPr>
          <w:rFonts w:asciiTheme="minorHAnsi" w:eastAsia="MS PGothic" w:hAnsiTheme="minorHAnsi"/>
          <w:sz w:val="22"/>
          <w:szCs w:val="22"/>
          <w:lang w:val="en-US"/>
        </w:rPr>
        <w:t>adequate organic phase composition.</w:t>
      </w:r>
      <w:r w:rsidR="003B3474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85952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 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14:paraId="071E3AB3" w14:textId="77777777" w:rsidR="00704BDF" w:rsidRPr="00BC21F2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BC21F2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14:paraId="2DBE8DDD" w14:textId="12076C10" w:rsidR="00704BDF" w:rsidRPr="00EB08C0" w:rsidRDefault="008C4980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</w:rPr>
      </w:pP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A screening of solvents was performed using </w:t>
      </w:r>
      <w:proofErr w:type="spellStart"/>
      <w:r w:rsidRPr="00BC21F2">
        <w:rPr>
          <w:rFonts w:asciiTheme="minorHAnsi" w:eastAsia="MS PGothic" w:hAnsiTheme="minorHAnsi"/>
          <w:sz w:val="22"/>
          <w:szCs w:val="22"/>
          <w:lang w:val="en-US"/>
        </w:rPr>
        <w:t>trioctylamine</w:t>
      </w:r>
      <w:proofErr w:type="spellEnd"/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(</w:t>
      </w:r>
      <w:r w:rsidR="005560B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TOA) as the 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>e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>xtractant compound</w:t>
      </w:r>
      <w:r w:rsidR="00704BDF" w:rsidRPr="00BC21F2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This tertiary amine </w:t>
      </w:r>
      <w:proofErr w:type="gramStart"/>
      <w:r w:rsidRPr="00BC21F2">
        <w:rPr>
          <w:rFonts w:asciiTheme="minorHAnsi" w:eastAsia="MS PGothic" w:hAnsiTheme="minorHAnsi"/>
          <w:sz w:val="22"/>
          <w:szCs w:val="22"/>
          <w:lang w:val="en-US"/>
        </w:rPr>
        <w:t>is able to</w:t>
      </w:r>
      <w:proofErr w:type="gramEnd"/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react with the organic acid in the aqueous media. It was 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>mixed with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B08C0" w:rsidRPr="00BC21F2">
        <w:rPr>
          <w:rFonts w:asciiTheme="minorHAnsi" w:eastAsia="MS PGothic" w:hAnsiTheme="minorHAnsi"/>
          <w:sz w:val="22"/>
          <w:szCs w:val="22"/>
          <w:lang w:val="en-US"/>
        </w:rPr>
        <w:t>different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fatty alcohols with chain lengths </w:t>
      </w:r>
      <w:r w:rsidR="00D17AEF" w:rsidRPr="00BC21F2">
        <w:rPr>
          <w:rFonts w:asciiTheme="minorHAnsi" w:eastAsia="MS PGothic" w:hAnsiTheme="minorHAnsi"/>
          <w:sz w:val="22"/>
          <w:szCs w:val="22"/>
          <w:lang w:val="en-US"/>
        </w:rPr>
        <w:t>from 8 to 18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carbons (</w:t>
      </w:r>
      <w:r w:rsidR="00FC0429" w:rsidRPr="00BC21F2">
        <w:rPr>
          <w:rFonts w:asciiTheme="minorHAnsi" w:eastAsia="MS PGothic" w:hAnsiTheme="minorHAnsi"/>
          <w:sz w:val="22"/>
          <w:szCs w:val="22"/>
          <w:lang w:val="en-US"/>
        </w:rPr>
        <w:t>a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ctive diluents) and </w:t>
      </w:r>
      <w:proofErr w:type="spellStart"/>
      <w:r w:rsidRPr="00BC21F2">
        <w:rPr>
          <w:rFonts w:asciiTheme="minorHAnsi" w:eastAsia="MS PGothic" w:hAnsiTheme="minorHAnsi"/>
          <w:sz w:val="22"/>
          <w:szCs w:val="22"/>
          <w:lang w:val="en-US"/>
        </w:rPr>
        <w:t>alcanes</w:t>
      </w:r>
      <w:proofErr w:type="spellEnd"/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AA0C95" w:rsidRPr="00BC21F2">
        <w:rPr>
          <w:rFonts w:asciiTheme="minorHAnsi" w:eastAsia="MS PGothic" w:hAnsiTheme="minorHAnsi"/>
          <w:sz w:val="22"/>
          <w:szCs w:val="22"/>
          <w:lang w:val="en-US"/>
        </w:rPr>
        <w:t>(</w:t>
      </w:r>
      <w:proofErr w:type="spellStart"/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>decane</w:t>
      </w:r>
      <w:proofErr w:type="spellEnd"/>
      <w:r w:rsidR="00AA0C95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>and</w:t>
      </w:r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d</w:t>
      </w:r>
      <w:r w:rsidR="00AA0C95" w:rsidRPr="00BC21F2">
        <w:rPr>
          <w:rFonts w:asciiTheme="minorHAnsi" w:eastAsia="MS PGothic" w:hAnsiTheme="minorHAnsi"/>
          <w:sz w:val="22"/>
          <w:szCs w:val="22"/>
          <w:lang w:val="en-US"/>
        </w:rPr>
        <w:t>odecane</w:t>
      </w:r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C52294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as </w:t>
      </w:r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>i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>nert diluents)</w:t>
      </w:r>
      <w:r w:rsidR="005560B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at different proportions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5560B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B08C0" w:rsidRPr="00BC21F2">
        <w:rPr>
          <w:rFonts w:asciiTheme="minorHAnsi" w:eastAsia="MS PGothic" w:hAnsiTheme="minorHAnsi"/>
          <w:sz w:val="22"/>
          <w:szCs w:val="22"/>
          <w:lang w:val="en-US"/>
        </w:rPr>
        <w:t>E</w:t>
      </w:r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>ach</w:t>
      </w:r>
      <w:r w:rsidR="00EB08C0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mixture was evaluated in terms of 3-HP extraction performance and biocompatibility with </w:t>
      </w:r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respect to </w:t>
      </w:r>
      <w:r w:rsidR="00EB08C0" w:rsidRPr="00BC21F2">
        <w:rPr>
          <w:rFonts w:asciiTheme="minorHAnsi" w:eastAsia="MS PGothic" w:hAnsiTheme="minorHAnsi"/>
          <w:i/>
          <w:sz w:val="22"/>
          <w:szCs w:val="22"/>
          <w:lang w:val="en-US"/>
        </w:rPr>
        <w:t xml:space="preserve">Lactobacillus </w:t>
      </w:r>
      <w:proofErr w:type="spellStart"/>
      <w:r w:rsidR="00EB08C0" w:rsidRPr="00BC21F2">
        <w:rPr>
          <w:rFonts w:asciiTheme="minorHAnsi" w:eastAsia="MS PGothic" w:hAnsiTheme="minorHAnsi"/>
          <w:i/>
          <w:sz w:val="22"/>
          <w:szCs w:val="22"/>
          <w:lang w:val="en-US"/>
        </w:rPr>
        <w:t>reuteri</w:t>
      </w:r>
      <w:proofErr w:type="spellEnd"/>
      <w:r w:rsidR="00EB08C0" w:rsidRPr="00BC21F2">
        <w:rPr>
          <w:rFonts w:asciiTheme="minorHAnsi" w:eastAsia="MS PGothic" w:hAnsiTheme="minorHAnsi"/>
          <w:sz w:val="22"/>
          <w:szCs w:val="22"/>
          <w:lang w:val="en-US"/>
        </w:rPr>
        <w:t>. Extraction performance was determined by the extraction yield of a 3-HP solution at 5 g/L</w:t>
      </w:r>
      <w:r w:rsidR="001C13D2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and 25°C, and the viscosity of the organic phase. </w:t>
      </w:r>
      <w:r w:rsidR="00DE1700" w:rsidRPr="00BC21F2">
        <w:rPr>
          <w:rFonts w:asciiTheme="minorHAnsi" w:eastAsia="MS PGothic" w:hAnsiTheme="minorHAnsi"/>
          <w:sz w:val="22"/>
          <w:szCs w:val="22"/>
          <w:lang w:val="en-US"/>
        </w:rPr>
        <w:t>A</w:t>
      </w:r>
      <w:r w:rsidR="00FC506D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good extraction performance </w:t>
      </w:r>
      <w:r w:rsidR="00C52294" w:rsidRPr="00BC21F2">
        <w:rPr>
          <w:rFonts w:asciiTheme="minorHAnsi" w:eastAsia="MS PGothic" w:hAnsiTheme="minorHAnsi"/>
          <w:sz w:val="22"/>
          <w:szCs w:val="22"/>
          <w:lang w:val="en-US"/>
        </w:rPr>
        <w:t>requires</w:t>
      </w:r>
      <w:r w:rsidR="00FC506D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a high extraction yield and a low viscosity</w:t>
      </w:r>
      <w:r w:rsidR="005122B8" w:rsidRPr="00BC21F2">
        <w:rPr>
          <w:rFonts w:asciiTheme="minorHAnsi" w:eastAsia="MS PGothic" w:hAnsiTheme="minorHAnsi"/>
          <w:sz w:val="22"/>
          <w:szCs w:val="22"/>
          <w:lang w:val="en-US"/>
        </w:rPr>
        <w:t>, which is related to a faster mass transfer in HFMC</w:t>
      </w:r>
      <w:r w:rsidR="00FC506D" w:rsidRPr="00BC21F2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DF2CD1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In addition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biocompatibility </w:t>
      </w:r>
      <w:r w:rsidR="00F15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selected strain of </w:t>
      </w:r>
      <w:r w:rsidR="00F159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L</w:t>
      </w:r>
      <w:r w:rsidR="00F15953" w:rsidRPr="00F159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actobacillus </w:t>
      </w:r>
      <w:proofErr w:type="spellStart"/>
      <w:r w:rsidR="00F15953" w:rsidRPr="00F1595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reuteri</w:t>
      </w:r>
      <w:proofErr w:type="spellEnd"/>
      <w:r w:rsidR="00F159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 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evaluated by flow cytometry using two fluorescence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probes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simultaneously, </w:t>
      </w:r>
      <w:proofErr w:type="spellStart"/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carboxyfluorescein</w:t>
      </w:r>
      <w:proofErr w:type="spellEnd"/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diacetate (</w:t>
      </w:r>
      <w:proofErr w:type="spellStart"/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cFDA</w:t>
      </w:r>
      <w:proofErr w:type="spellEnd"/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propidium iodide (PI),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proofErr w:type="gramStart"/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able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proofErr w:type="gramEnd"/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assess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respectively the 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enzymatic activity and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membrane integrity </w:t>
      </w:r>
      <w:r w:rsidR="00B63054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of the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cells put in contact with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</w:t>
      </w:r>
      <w:r w:rsidR="00B630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organic 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mixtures. Bioconversions of</w:t>
      </w:r>
      <w:r w:rsidR="00257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 g/L of glycerol in contact with the organic phase molecules were also performed in order to compare substrate consumption and metabolites production.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 and metabolites’</w:t>
      </w:r>
      <w:r w:rsidR="00257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concentrations were de</w:t>
      </w:r>
      <w:r w:rsidR="00810AE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termined by</w:t>
      </w:r>
      <w:r w:rsidR="00257A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HPLC.</w:t>
      </w:r>
      <w:r w:rsidR="00DF2C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FC50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025530E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F09ED3A" w14:textId="310A23A3" w:rsidR="00D57B98" w:rsidRDefault="00AC4E3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Extraction yield and viscosity of the mixtures were used 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select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A44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type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inert diluent to use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its concentration</w:t>
      </w:r>
      <w:r w:rsidR="00A446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was determined that there was no significant difference between the extraction yield using </w:t>
      </w:r>
      <w:proofErr w:type="spellStart"/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decane</w:t>
      </w:r>
      <w:proofErr w:type="spellEnd"/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dodecane at the same concentration</w:t>
      </w:r>
      <w:r w:rsidR="00DE1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. Moreover</w:t>
      </w:r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although the viscosity of mixtures with </w:t>
      </w:r>
      <w:proofErr w:type="spellStart"/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decane</w:t>
      </w:r>
      <w:proofErr w:type="spellEnd"/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slightly lower, dodecane was selected, </w:t>
      </w:r>
      <w:r w:rsidR="00D17AE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since it </w:t>
      </w:r>
      <w:r w:rsidR="00C52294" w:rsidRPr="00BC21F2">
        <w:rPr>
          <w:rFonts w:asciiTheme="minorHAnsi" w:eastAsia="MS PGothic" w:hAnsiTheme="minorHAnsi"/>
          <w:sz w:val="22"/>
          <w:szCs w:val="22"/>
          <w:lang w:val="en-US"/>
        </w:rPr>
        <w:t>was expected</w:t>
      </w:r>
      <w:r w:rsidR="00D17AE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to be more biocompatible</w:t>
      </w:r>
      <w:r w:rsidR="00B461A9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in a HFMC because it is less soluble in water</w:t>
      </w:r>
      <w:r w:rsidR="00D17AE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5015F6" w:rsidRPr="00BC21F2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AB133E" w:rsidRPr="00BC21F2">
        <w:rPr>
          <w:rFonts w:asciiTheme="minorHAnsi" w:eastAsia="MS PGothic" w:hAnsiTheme="minorHAnsi"/>
          <w:sz w:val="22"/>
          <w:szCs w:val="22"/>
          <w:lang w:val="en-US"/>
        </w:rPr>
        <w:t>he proportion of 20%</w:t>
      </w:r>
      <w:r w:rsidR="00566F86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TOA, 40%</w:t>
      </w:r>
      <w:r w:rsidR="00D17AEF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proofErr w:type="spellStart"/>
      <w:r w:rsidR="00B461A9" w:rsidRPr="00BC21F2">
        <w:rPr>
          <w:rFonts w:asciiTheme="minorHAnsi" w:eastAsia="MS PGothic" w:hAnsiTheme="minorHAnsi"/>
          <w:sz w:val="22"/>
          <w:szCs w:val="22"/>
          <w:lang w:val="en-US"/>
        </w:rPr>
        <w:t>d</w:t>
      </w:r>
      <w:r w:rsidR="00AB133E" w:rsidRPr="00BC21F2">
        <w:rPr>
          <w:rFonts w:asciiTheme="minorHAnsi" w:eastAsia="MS PGothic" w:hAnsiTheme="minorHAnsi"/>
          <w:sz w:val="22"/>
          <w:szCs w:val="22"/>
          <w:lang w:val="en-US"/>
        </w:rPr>
        <w:t>ecanol</w:t>
      </w:r>
      <w:proofErr w:type="spellEnd"/>
      <w:r w:rsidR="00566F86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and 40% </w:t>
      </w:r>
      <w:r w:rsidR="00B461A9" w:rsidRPr="00BC21F2">
        <w:rPr>
          <w:rFonts w:asciiTheme="minorHAnsi" w:eastAsia="MS PGothic" w:hAnsiTheme="minorHAnsi"/>
          <w:sz w:val="22"/>
          <w:szCs w:val="22"/>
          <w:lang w:val="en-US"/>
        </w:rPr>
        <w:t>d</w:t>
      </w:r>
      <w:r w:rsidR="00566F86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odecane was selected for comparison of the different </w:t>
      </w:r>
      <w:r w:rsidR="00566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active diluents</w:t>
      </w:r>
      <w:r w:rsidR="00AB13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maint</w:t>
      </w:r>
      <w:r w:rsidR="00D57B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aining the sam</w:t>
      </w:r>
      <w:r w:rsidR="00AB133E">
        <w:rPr>
          <w:rFonts w:asciiTheme="minorHAnsi" w:eastAsia="MS PGothic" w:hAnsiTheme="minorHAnsi"/>
          <w:color w:val="000000"/>
          <w:sz w:val="22"/>
          <w:szCs w:val="22"/>
          <w:lang w:val="en-US"/>
        </w:rPr>
        <w:t>e molar proportion between TOA and the active diluent</w:t>
      </w:r>
      <w:r w:rsidR="00566F8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B13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5B83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shows that</w:t>
      </w:r>
      <w:r w:rsidR="005122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</w:t>
      </w:r>
      <w:r w:rsidR="008A5B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2C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122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 biocompatible </w:t>
      </w:r>
      <w:r w:rsidR="00222C4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mixtures</w:t>
      </w:r>
      <w:r w:rsidR="002666E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22C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one with </w:t>
      </w:r>
      <w:proofErr w:type="spellStart"/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2666EA">
        <w:rPr>
          <w:rFonts w:asciiTheme="minorHAnsi" w:eastAsia="MS PGothic" w:hAnsiTheme="minorHAnsi"/>
          <w:color w:val="000000"/>
          <w:sz w:val="22"/>
          <w:szCs w:val="22"/>
          <w:lang w:val="en-US"/>
        </w:rPr>
        <w:t>odecanol</w:t>
      </w:r>
      <w:proofErr w:type="spellEnd"/>
      <w:r w:rsidR="002666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47% (2.1 mol/L) is the most interesting for </w:t>
      </w:r>
      <w:r w:rsidR="002666EA" w:rsidRPr="002666E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 situ</w:t>
      </w:r>
      <w:r w:rsidR="002666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extraction since</w:t>
      </w:r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has a lower viscosity than o</w:t>
      </w:r>
      <w:r w:rsidR="002666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leyl alcohol 80% (2.5 mol/L) and a </w:t>
      </w:r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extraction yield than 2-hexyl-1-d</w:t>
      </w:r>
      <w:r w:rsidR="002666EA">
        <w:rPr>
          <w:rFonts w:asciiTheme="minorHAnsi" w:eastAsia="MS PGothic" w:hAnsiTheme="minorHAnsi"/>
          <w:color w:val="000000"/>
          <w:sz w:val="22"/>
          <w:szCs w:val="22"/>
          <w:lang w:val="en-US"/>
        </w:rPr>
        <w:t>ecanol 61% (2.1 mol/L).</w:t>
      </w:r>
      <w:r w:rsidR="005015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interest of </w:t>
      </w:r>
      <w:proofErr w:type="spellStart"/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dodecanol</w:t>
      </w:r>
      <w:proofErr w:type="spellEnd"/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corroborated by</w:t>
      </w:r>
      <w:r w:rsidR="00D81F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 cytometry and 3-HP production </w:t>
      </w:r>
      <w:r w:rsidR="00B461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34050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81F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941CAB0" w14:textId="62BB7708" w:rsidR="00704BDF" w:rsidRDefault="008A5B8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4CD26A83" wp14:editId="18504CD6">
            <wp:extent cx="2486025" cy="2190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17A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1B1318C6" wp14:editId="2853221C">
            <wp:extent cx="3009900" cy="2228215"/>
            <wp:effectExtent l="0" t="0" r="0" b="63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ED80E0" w14:textId="750864E0" w:rsidR="00153BD8" w:rsidRPr="00153BD8" w:rsidRDefault="00153BD8" w:rsidP="00153BD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153BD8">
        <w:rPr>
          <w:rFonts w:asciiTheme="minorHAnsi" w:eastAsia="MS PGothic" w:hAnsiTheme="minorHAnsi"/>
          <w:color w:val="000000"/>
          <w:szCs w:val="18"/>
          <w:lang w:val="en-US"/>
        </w:rPr>
        <w:t xml:space="preserve">Figure 1. </w:t>
      </w:r>
      <w:r>
        <w:rPr>
          <w:rFonts w:asciiTheme="minorHAnsi" w:eastAsia="MS PGothic" w:hAnsiTheme="minorHAnsi"/>
          <w:color w:val="000000"/>
          <w:szCs w:val="18"/>
          <w:lang w:val="en-US"/>
        </w:rPr>
        <w:t>Extraction performance (yield and viscosity) and biocompatibility (3-HP production ratio) of the evaluated organic solvent mixtures.</w:t>
      </w:r>
      <w:r w:rsidR="008A5B83">
        <w:rPr>
          <w:rFonts w:asciiTheme="minorHAnsi" w:eastAsia="MS PGothic" w:hAnsiTheme="minorHAnsi"/>
          <w:color w:val="000000"/>
          <w:szCs w:val="18"/>
          <w:lang w:val="en-US"/>
        </w:rPr>
        <w:t xml:space="preserve"> [3-</w:t>
      </w:r>
      <w:proofErr w:type="gramStart"/>
      <w:r w:rsidR="008A5B83">
        <w:rPr>
          <w:rFonts w:asciiTheme="minorHAnsi" w:eastAsia="MS PGothic" w:hAnsiTheme="minorHAnsi"/>
          <w:color w:val="000000"/>
          <w:szCs w:val="18"/>
          <w:lang w:val="en-US"/>
        </w:rPr>
        <w:t>HP]</w:t>
      </w:r>
      <w:r w:rsidR="008A5B83" w:rsidRPr="008A5B83">
        <w:rPr>
          <w:rFonts w:asciiTheme="minorHAnsi" w:eastAsia="MS PGothic" w:hAnsiTheme="minorHAnsi"/>
          <w:color w:val="000000"/>
          <w:szCs w:val="18"/>
          <w:lang w:val="en-US"/>
        </w:rPr>
        <w:t>s</w:t>
      </w:r>
      <w:proofErr w:type="gramEnd"/>
      <w:r w:rsidR="008A5B83">
        <w:rPr>
          <w:rFonts w:asciiTheme="minorHAnsi" w:eastAsia="MS PGothic" w:hAnsiTheme="minorHAnsi"/>
          <w:color w:val="000000"/>
          <w:szCs w:val="18"/>
          <w:lang w:val="en-US"/>
        </w:rPr>
        <w:t xml:space="preserve"> = 3-HP produced in contact with solvents molecules. [3-</w:t>
      </w:r>
      <w:proofErr w:type="gramStart"/>
      <w:r w:rsidR="008A5B83">
        <w:rPr>
          <w:rFonts w:asciiTheme="minorHAnsi" w:eastAsia="MS PGothic" w:hAnsiTheme="minorHAnsi"/>
          <w:color w:val="000000"/>
          <w:szCs w:val="18"/>
          <w:lang w:val="en-US"/>
        </w:rPr>
        <w:t>HP]*</w:t>
      </w:r>
      <w:proofErr w:type="gramEnd"/>
      <w:r w:rsidR="008A5B83">
        <w:rPr>
          <w:rFonts w:asciiTheme="minorHAnsi" w:eastAsia="MS PGothic" w:hAnsiTheme="minorHAnsi"/>
          <w:color w:val="000000"/>
          <w:szCs w:val="18"/>
          <w:lang w:val="en-US"/>
        </w:rPr>
        <w:t xml:space="preserve"> = 3-HP produced in control (without contact with solvents molecules).</w:t>
      </w:r>
    </w:p>
    <w:p w14:paraId="35D4769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8A23F0C" w14:textId="6C8D8323" w:rsidR="005015F6" w:rsidRPr="00BC21F2" w:rsidRDefault="006C75BD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selection 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>methodology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>developed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in this study is a useful tool for process optimization, because it compares solvent properties 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important 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for reactive extraction that are relatively </w:t>
      </w:r>
      <w:r w:rsidR="00B461A9" w:rsidRPr="00BC21F2">
        <w:rPr>
          <w:rFonts w:asciiTheme="minorHAnsi" w:eastAsia="MS PGothic" w:hAnsiTheme="minorHAnsi"/>
          <w:sz w:val="22"/>
          <w:szCs w:val="22"/>
          <w:lang w:val="en-US"/>
        </w:rPr>
        <w:t>easy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to evaluate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>After this preliminary screening, the number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of organic phases</w:t>
      </w:r>
      <w:r w:rsidR="00B461A9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to be 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>tested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in 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>bioconversion coupled to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HFMC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51A0E" w:rsidRPr="00BC21F2">
        <w:rPr>
          <w:rFonts w:asciiTheme="minorHAnsi" w:eastAsia="MS PGothic" w:hAnsiTheme="minorHAnsi"/>
          <w:i/>
          <w:sz w:val="22"/>
          <w:szCs w:val="22"/>
          <w:lang w:val="en-US"/>
        </w:rPr>
        <w:t>in situ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extraction system</w:t>
      </w:r>
      <w:r w:rsidR="00C94008"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is considerably reduced, saving experimental effort</w:t>
      </w:r>
      <w:r w:rsidR="00051A0E" w:rsidRPr="00BC21F2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BC21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14:paraId="488A6136" w14:textId="77777777" w:rsidR="00704BDF" w:rsidRPr="008D0BEB" w:rsidRDefault="00B6305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FC01D4B" w14:textId="2CADA7D4" w:rsidR="00704BDF" w:rsidRPr="00F740D4" w:rsidRDefault="00F740D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485801">
        <w:rPr>
          <w:rFonts w:asciiTheme="minorHAnsi" w:hAnsiTheme="minorHAnsi"/>
          <w:color w:val="000000"/>
          <w:lang w:val="fr-FR"/>
        </w:rPr>
        <w:t xml:space="preserve">F. de Fouchécour, </w:t>
      </w:r>
      <w:r w:rsidR="00485801" w:rsidRPr="00485801">
        <w:rPr>
          <w:rFonts w:asciiTheme="minorHAnsi" w:hAnsiTheme="minorHAnsi"/>
          <w:color w:val="000000"/>
          <w:lang w:val="fr-FR"/>
        </w:rPr>
        <w:t>et al.,</w:t>
      </w:r>
      <w:r w:rsidR="00485801">
        <w:rPr>
          <w:rFonts w:asciiTheme="minorHAnsi" w:hAnsiTheme="minorHAnsi"/>
          <w:color w:val="000000"/>
          <w:lang w:val="fr-FR"/>
        </w:rPr>
        <w:t xml:space="preserve"> </w:t>
      </w:r>
      <w:r w:rsidRPr="00485801">
        <w:rPr>
          <w:rFonts w:asciiTheme="minorHAnsi" w:hAnsiTheme="minorHAnsi"/>
          <w:color w:val="000000"/>
          <w:lang w:val="fr-FR"/>
        </w:rPr>
        <w:t>Biotechnol</w:t>
      </w:r>
      <w:r w:rsidR="00704BDF" w:rsidRPr="00485801">
        <w:rPr>
          <w:rFonts w:asciiTheme="minorHAnsi" w:hAnsiTheme="minorHAnsi"/>
          <w:color w:val="000000"/>
          <w:lang w:val="fr-FR"/>
        </w:rPr>
        <w:t xml:space="preserve">. </w:t>
      </w:r>
      <w:r>
        <w:rPr>
          <w:rFonts w:asciiTheme="minorHAnsi" w:hAnsiTheme="minorHAnsi"/>
          <w:color w:val="000000"/>
        </w:rPr>
        <w:t>A</w:t>
      </w:r>
      <w:r w:rsidRPr="00F740D4">
        <w:rPr>
          <w:rFonts w:asciiTheme="minorHAnsi" w:hAnsiTheme="minorHAnsi"/>
          <w:color w:val="000000"/>
        </w:rPr>
        <w:t>dv</w:t>
      </w:r>
      <w:r w:rsidR="00704BDF" w:rsidRPr="00F740D4">
        <w:rPr>
          <w:rFonts w:asciiTheme="minorHAnsi" w:hAnsiTheme="minorHAnsi"/>
          <w:color w:val="000000"/>
        </w:rPr>
        <w:t xml:space="preserve">. </w:t>
      </w:r>
      <w:r w:rsidRPr="00F740D4"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  <w:color w:val="000000"/>
        </w:rPr>
        <w:t xml:space="preserve">6 </w:t>
      </w:r>
      <w:r w:rsidRPr="00F740D4">
        <w:rPr>
          <w:rFonts w:asciiTheme="minorHAnsi" w:hAnsiTheme="minorHAnsi"/>
          <w:color w:val="000000"/>
        </w:rPr>
        <w:t>(2018</w:t>
      </w:r>
      <w:r w:rsidR="00704BDF" w:rsidRPr="00F740D4">
        <w:rPr>
          <w:rFonts w:asciiTheme="minorHAnsi" w:hAnsiTheme="minorHAnsi"/>
          <w:color w:val="000000"/>
        </w:rPr>
        <w:t xml:space="preserve">) </w:t>
      </w:r>
      <w:r w:rsidRPr="00F740D4">
        <w:rPr>
          <w:rFonts w:asciiTheme="minorHAnsi" w:hAnsiTheme="minorHAnsi"/>
          <w:color w:val="000000"/>
        </w:rPr>
        <w:t>1207</w:t>
      </w:r>
      <w:r w:rsidR="00704BDF" w:rsidRPr="00F740D4">
        <w:rPr>
          <w:rFonts w:asciiTheme="minorHAnsi" w:hAnsiTheme="minorHAnsi"/>
          <w:color w:val="000000"/>
        </w:rPr>
        <w:t>–</w:t>
      </w:r>
      <w:r w:rsidRPr="00F740D4">
        <w:rPr>
          <w:rFonts w:asciiTheme="minorHAnsi" w:hAnsiTheme="minorHAnsi"/>
          <w:color w:val="000000"/>
        </w:rPr>
        <w:t>1222</w:t>
      </w:r>
      <w:r w:rsidR="00704BDF" w:rsidRPr="00F740D4">
        <w:rPr>
          <w:rFonts w:asciiTheme="minorHAnsi" w:hAnsiTheme="minorHAnsi"/>
          <w:color w:val="000000"/>
        </w:rPr>
        <w:t>.</w:t>
      </w:r>
    </w:p>
    <w:p w14:paraId="0830CDCC" w14:textId="77777777" w:rsidR="00C85952" w:rsidRPr="00C85952" w:rsidRDefault="00C8595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85952">
        <w:rPr>
          <w:rFonts w:asciiTheme="minorHAnsi" w:hAnsiTheme="minorHAnsi"/>
          <w:color w:val="000000"/>
          <w:lang w:val="fr-FR"/>
        </w:rPr>
        <w:t xml:space="preserve">M. Moussa </w:t>
      </w:r>
      <w:r w:rsidRPr="00C85952">
        <w:rPr>
          <w:rFonts w:asciiTheme="minorHAnsi" w:hAnsiTheme="minorHAnsi"/>
          <w:i/>
          <w:color w:val="000000"/>
          <w:lang w:val="fr-FR"/>
        </w:rPr>
        <w:t xml:space="preserve">et </w:t>
      </w:r>
      <w:r w:rsidR="005560BF" w:rsidRPr="00C85952">
        <w:rPr>
          <w:rFonts w:asciiTheme="minorHAnsi" w:hAnsiTheme="minorHAnsi"/>
          <w:i/>
          <w:color w:val="000000"/>
          <w:lang w:val="fr-FR"/>
        </w:rPr>
        <w:t>al.</w:t>
      </w:r>
      <w:r w:rsidR="005560BF">
        <w:rPr>
          <w:rFonts w:asciiTheme="minorHAnsi" w:hAnsiTheme="minorHAnsi"/>
          <w:i/>
          <w:color w:val="000000"/>
          <w:lang w:val="fr-FR"/>
        </w:rPr>
        <w:t>,</w:t>
      </w:r>
      <w:r w:rsidRPr="00C85952">
        <w:rPr>
          <w:rFonts w:asciiTheme="minorHAnsi" w:hAnsiTheme="minorHAnsi"/>
          <w:color w:val="000000"/>
          <w:lang w:val="fr-FR"/>
        </w:rPr>
        <w:t xml:space="preserve"> </w:t>
      </w:r>
      <w:r w:rsidRPr="00E13B23">
        <w:rPr>
          <w:rFonts w:ascii="Calibri" w:hAnsi="Calibri"/>
          <w:iCs/>
          <w:noProof/>
          <w:lang w:val="fr-FR"/>
        </w:rPr>
        <w:t xml:space="preserve">J. Chem. </w:t>
      </w:r>
      <w:r w:rsidRPr="00E13B23">
        <w:rPr>
          <w:rFonts w:ascii="Calibri" w:hAnsi="Calibri"/>
          <w:iCs/>
          <w:noProof/>
        </w:rPr>
        <w:t>Technol. Biotechnol.</w:t>
      </w:r>
      <w:r>
        <w:rPr>
          <w:rFonts w:ascii="Calibri" w:hAnsi="Calibri"/>
          <w:iCs/>
          <w:noProof/>
        </w:rPr>
        <w:t xml:space="preserve"> 91 (2016) 2276</w:t>
      </w:r>
      <w:r w:rsidRPr="00F740D4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 xml:space="preserve">2285. </w:t>
      </w:r>
    </w:p>
    <w:p w14:paraId="5353AED9" w14:textId="77777777" w:rsidR="00AC0DD4" w:rsidRPr="00AC0DD4" w:rsidRDefault="00AC0DD4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13B23">
        <w:rPr>
          <w:rFonts w:ascii="Calibri" w:hAnsi="Calibri"/>
          <w:noProof/>
          <w:lang w:val="fr-FR"/>
        </w:rPr>
        <w:t xml:space="preserve">G. Burgé </w:t>
      </w:r>
      <w:r w:rsidRPr="00AC0DD4">
        <w:rPr>
          <w:rFonts w:ascii="Calibri" w:hAnsi="Calibri"/>
          <w:i/>
          <w:noProof/>
          <w:lang w:val="fr-FR"/>
        </w:rPr>
        <w:t>et al.</w:t>
      </w:r>
      <w:r>
        <w:rPr>
          <w:rFonts w:ascii="Calibri" w:hAnsi="Calibri"/>
          <w:noProof/>
          <w:lang w:val="fr-FR"/>
        </w:rPr>
        <w:t xml:space="preserve">, </w:t>
      </w:r>
      <w:r w:rsidRPr="00E13B23">
        <w:rPr>
          <w:rFonts w:ascii="Calibri" w:hAnsi="Calibri"/>
          <w:iCs/>
          <w:noProof/>
          <w:lang w:val="fr-FR"/>
        </w:rPr>
        <w:t xml:space="preserve">J. Chem. </w:t>
      </w:r>
      <w:r w:rsidRPr="00E13B23">
        <w:rPr>
          <w:rFonts w:ascii="Calibri" w:hAnsi="Calibri"/>
          <w:iCs/>
          <w:noProof/>
        </w:rPr>
        <w:t>Technol. Biotechnol.</w:t>
      </w:r>
      <w:r w:rsidR="00C85952">
        <w:rPr>
          <w:rFonts w:ascii="Calibri" w:hAnsi="Calibri"/>
          <w:iCs/>
          <w:noProof/>
        </w:rPr>
        <w:t xml:space="preserve"> 91 (2016</w:t>
      </w:r>
      <w:r>
        <w:rPr>
          <w:rFonts w:ascii="Calibri" w:hAnsi="Calibri"/>
          <w:iCs/>
          <w:noProof/>
        </w:rPr>
        <w:t>) 2705</w:t>
      </w:r>
      <w:r w:rsidRPr="00F740D4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2712.</w:t>
      </w:r>
    </w:p>
    <w:p w14:paraId="4C67AD52" w14:textId="77777777" w:rsidR="00704BDF" w:rsidRDefault="00E13B2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13B23">
        <w:rPr>
          <w:rFonts w:ascii="Calibri" w:hAnsi="Calibri"/>
          <w:noProof/>
          <w:lang w:val="fr-FR"/>
        </w:rPr>
        <w:t xml:space="preserve">G. Burgé </w:t>
      </w:r>
      <w:r w:rsidRPr="00AC0DD4">
        <w:rPr>
          <w:rFonts w:ascii="Calibri" w:hAnsi="Calibri"/>
          <w:i/>
          <w:noProof/>
          <w:lang w:val="fr-FR"/>
        </w:rPr>
        <w:t>et al.</w:t>
      </w:r>
      <w:r>
        <w:rPr>
          <w:rFonts w:ascii="Calibri" w:hAnsi="Calibri"/>
          <w:noProof/>
          <w:lang w:val="fr-FR"/>
        </w:rPr>
        <w:t xml:space="preserve">, </w:t>
      </w:r>
      <w:r w:rsidRPr="00E13B23">
        <w:rPr>
          <w:rFonts w:ascii="Calibri" w:hAnsi="Calibri"/>
          <w:iCs/>
          <w:noProof/>
          <w:lang w:val="fr-FR"/>
        </w:rPr>
        <w:t xml:space="preserve">J. Chem. </w:t>
      </w:r>
      <w:r w:rsidRPr="00E13B23">
        <w:rPr>
          <w:rFonts w:ascii="Calibri" w:hAnsi="Calibri"/>
          <w:iCs/>
          <w:noProof/>
        </w:rPr>
        <w:t>Technol. Biotechnol.</w:t>
      </w:r>
      <w:r>
        <w:rPr>
          <w:rFonts w:asciiTheme="minorHAnsi" w:hAnsiTheme="minorHAnsi"/>
          <w:color w:val="000000"/>
        </w:rPr>
        <w:t xml:space="preserve"> 92 (2017) 2425</w:t>
      </w:r>
      <w:r w:rsidRPr="00F740D4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2432.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14:paraId="2336E4F5" w14:textId="0565D49B" w:rsidR="008A5B83" w:rsidRPr="002666EA" w:rsidRDefault="00F15953" w:rsidP="00AF06D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2666EA">
        <w:rPr>
          <w:rFonts w:ascii="Calibri" w:hAnsi="Calibri"/>
          <w:noProof/>
          <w:lang w:val="fr-FR"/>
        </w:rPr>
        <w:t xml:space="preserve">G. Burgé </w:t>
      </w:r>
      <w:r w:rsidRPr="002666EA">
        <w:rPr>
          <w:rFonts w:ascii="Calibri" w:hAnsi="Calibri"/>
          <w:i/>
          <w:noProof/>
          <w:lang w:val="fr-FR"/>
        </w:rPr>
        <w:t>et al.</w:t>
      </w:r>
      <w:r w:rsidRPr="002666EA">
        <w:rPr>
          <w:rFonts w:ascii="Calibri" w:hAnsi="Calibri"/>
          <w:noProof/>
          <w:lang w:val="fr-FR"/>
        </w:rPr>
        <w:t>,</w:t>
      </w:r>
      <w:r w:rsidRPr="002666EA">
        <w:rPr>
          <w:rFonts w:ascii="Calibri" w:hAnsi="Calibri"/>
          <w:i/>
          <w:iCs/>
          <w:noProof/>
          <w:sz w:val="22"/>
          <w:szCs w:val="24"/>
          <w:lang w:val="fr-FR"/>
        </w:rPr>
        <w:t xml:space="preserve"> </w:t>
      </w:r>
      <w:r w:rsidRPr="002666EA">
        <w:rPr>
          <w:rFonts w:ascii="Calibri" w:hAnsi="Calibri"/>
          <w:iCs/>
          <w:noProof/>
          <w:lang w:val="fr-FR"/>
        </w:rPr>
        <w:t>Appl. Biochem. Biotechnol. 177 (2015) 923–939.</w:t>
      </w:r>
    </w:p>
    <w:sectPr w:rsidR="008A5B83" w:rsidRPr="002666E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4A467" w14:textId="77777777" w:rsidR="0020099A" w:rsidRDefault="0020099A" w:rsidP="004F5E36">
      <w:r>
        <w:separator/>
      </w:r>
    </w:p>
  </w:endnote>
  <w:endnote w:type="continuationSeparator" w:id="0">
    <w:p w14:paraId="09021FD1" w14:textId="77777777" w:rsidR="0020099A" w:rsidRDefault="0020099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3D99" w14:textId="77777777" w:rsidR="0020099A" w:rsidRDefault="0020099A" w:rsidP="004F5E36">
      <w:r>
        <w:separator/>
      </w:r>
    </w:p>
  </w:footnote>
  <w:footnote w:type="continuationSeparator" w:id="0">
    <w:p w14:paraId="7BC45E5E" w14:textId="77777777" w:rsidR="0020099A" w:rsidRDefault="0020099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BC68" w14:textId="77777777" w:rsidR="004D1162" w:rsidRDefault="00594E9F">
    <w:pPr>
      <w:pStyle w:val="Encabezad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E4C125" wp14:editId="5ED2676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8D4E442" wp14:editId="2A4580A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66E9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7658E37" wp14:editId="1E0D9E0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25D9D93B" w14:textId="77777777" w:rsidR="00704BDF" w:rsidRDefault="00704BDF">
    <w:pPr>
      <w:pStyle w:val="Encabezado"/>
    </w:pPr>
  </w:p>
  <w:p w14:paraId="316F6515" w14:textId="77777777" w:rsidR="00704BDF" w:rsidRDefault="00704BDF">
    <w:pPr>
      <w:pStyle w:val="Encabezad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39E41" wp14:editId="6D8AC9D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1A0E"/>
    <w:rsid w:val="00062A9A"/>
    <w:rsid w:val="00071094"/>
    <w:rsid w:val="000A03B2"/>
    <w:rsid w:val="000A59BE"/>
    <w:rsid w:val="000D34BE"/>
    <w:rsid w:val="000E36F1"/>
    <w:rsid w:val="000E3A73"/>
    <w:rsid w:val="000E414A"/>
    <w:rsid w:val="001020FB"/>
    <w:rsid w:val="00120406"/>
    <w:rsid w:val="0013121F"/>
    <w:rsid w:val="00134DE4"/>
    <w:rsid w:val="00150E59"/>
    <w:rsid w:val="00153BD8"/>
    <w:rsid w:val="00184AD6"/>
    <w:rsid w:val="00191175"/>
    <w:rsid w:val="001B65C1"/>
    <w:rsid w:val="001C13D2"/>
    <w:rsid w:val="001C684B"/>
    <w:rsid w:val="001D1697"/>
    <w:rsid w:val="001D53FC"/>
    <w:rsid w:val="001F2EC7"/>
    <w:rsid w:val="0020099A"/>
    <w:rsid w:val="002065DB"/>
    <w:rsid w:val="00222C47"/>
    <w:rsid w:val="002447EF"/>
    <w:rsid w:val="00251550"/>
    <w:rsid w:val="00257A11"/>
    <w:rsid w:val="002666EA"/>
    <w:rsid w:val="0027221A"/>
    <w:rsid w:val="00275B61"/>
    <w:rsid w:val="002C192A"/>
    <w:rsid w:val="002D1F12"/>
    <w:rsid w:val="003009B7"/>
    <w:rsid w:val="0030469C"/>
    <w:rsid w:val="00340503"/>
    <w:rsid w:val="003723D4"/>
    <w:rsid w:val="003A7D1C"/>
    <w:rsid w:val="003B3474"/>
    <w:rsid w:val="0046164A"/>
    <w:rsid w:val="00462DCD"/>
    <w:rsid w:val="00476657"/>
    <w:rsid w:val="00481531"/>
    <w:rsid w:val="00485801"/>
    <w:rsid w:val="004D1162"/>
    <w:rsid w:val="004E4DD6"/>
    <w:rsid w:val="004F563B"/>
    <w:rsid w:val="004F5E36"/>
    <w:rsid w:val="005015F6"/>
    <w:rsid w:val="005119A5"/>
    <w:rsid w:val="005122B8"/>
    <w:rsid w:val="005278B7"/>
    <w:rsid w:val="005346C8"/>
    <w:rsid w:val="0054449E"/>
    <w:rsid w:val="005560BF"/>
    <w:rsid w:val="0055776C"/>
    <w:rsid w:val="00566F86"/>
    <w:rsid w:val="00594E9F"/>
    <w:rsid w:val="005B61E6"/>
    <w:rsid w:val="005C77E1"/>
    <w:rsid w:val="005D6A2F"/>
    <w:rsid w:val="005E1A82"/>
    <w:rsid w:val="005F0A28"/>
    <w:rsid w:val="005F0E5E"/>
    <w:rsid w:val="00617A50"/>
    <w:rsid w:val="00620DEE"/>
    <w:rsid w:val="00625639"/>
    <w:rsid w:val="006366F8"/>
    <w:rsid w:val="0064184D"/>
    <w:rsid w:val="00660E3E"/>
    <w:rsid w:val="00662E74"/>
    <w:rsid w:val="00677157"/>
    <w:rsid w:val="006B01AC"/>
    <w:rsid w:val="006B65AE"/>
    <w:rsid w:val="006C5579"/>
    <w:rsid w:val="006C75BD"/>
    <w:rsid w:val="00704BDF"/>
    <w:rsid w:val="00736B13"/>
    <w:rsid w:val="007447F3"/>
    <w:rsid w:val="007628C5"/>
    <w:rsid w:val="007661C8"/>
    <w:rsid w:val="007B55AE"/>
    <w:rsid w:val="007D52CD"/>
    <w:rsid w:val="00804F01"/>
    <w:rsid w:val="00810AE7"/>
    <w:rsid w:val="00813288"/>
    <w:rsid w:val="008168FC"/>
    <w:rsid w:val="00842F71"/>
    <w:rsid w:val="008479A2"/>
    <w:rsid w:val="0087637F"/>
    <w:rsid w:val="00887B09"/>
    <w:rsid w:val="008A1512"/>
    <w:rsid w:val="008A5B83"/>
    <w:rsid w:val="008C4980"/>
    <w:rsid w:val="008D0BEB"/>
    <w:rsid w:val="008E566E"/>
    <w:rsid w:val="00901EB6"/>
    <w:rsid w:val="009450CE"/>
    <w:rsid w:val="0095164B"/>
    <w:rsid w:val="00996483"/>
    <w:rsid w:val="009A7334"/>
    <w:rsid w:val="009E788A"/>
    <w:rsid w:val="009F2AF1"/>
    <w:rsid w:val="009F5A0B"/>
    <w:rsid w:val="00A029B6"/>
    <w:rsid w:val="00A068B9"/>
    <w:rsid w:val="00A1763D"/>
    <w:rsid w:val="00A17CEC"/>
    <w:rsid w:val="00A223F1"/>
    <w:rsid w:val="00A27EF0"/>
    <w:rsid w:val="00A4464E"/>
    <w:rsid w:val="00A76EFC"/>
    <w:rsid w:val="00A97F29"/>
    <w:rsid w:val="00AA0C95"/>
    <w:rsid w:val="00AB0964"/>
    <w:rsid w:val="00AB133E"/>
    <w:rsid w:val="00AC0DD4"/>
    <w:rsid w:val="00AC4E3D"/>
    <w:rsid w:val="00AE377D"/>
    <w:rsid w:val="00B461A9"/>
    <w:rsid w:val="00B61DBF"/>
    <w:rsid w:val="00B63054"/>
    <w:rsid w:val="00BC21F2"/>
    <w:rsid w:val="00BC2B6E"/>
    <w:rsid w:val="00BC30C9"/>
    <w:rsid w:val="00BE3E58"/>
    <w:rsid w:val="00C01616"/>
    <w:rsid w:val="00C0162B"/>
    <w:rsid w:val="00C345B1"/>
    <w:rsid w:val="00C40142"/>
    <w:rsid w:val="00C52294"/>
    <w:rsid w:val="00C57182"/>
    <w:rsid w:val="00C655FD"/>
    <w:rsid w:val="00C85952"/>
    <w:rsid w:val="00C94008"/>
    <w:rsid w:val="00C94434"/>
    <w:rsid w:val="00CA1C95"/>
    <w:rsid w:val="00CA5A9C"/>
    <w:rsid w:val="00CC3F4B"/>
    <w:rsid w:val="00CD5FE2"/>
    <w:rsid w:val="00D02B4C"/>
    <w:rsid w:val="00D17AEF"/>
    <w:rsid w:val="00D42564"/>
    <w:rsid w:val="00D541A1"/>
    <w:rsid w:val="00D57B98"/>
    <w:rsid w:val="00D81F00"/>
    <w:rsid w:val="00D84576"/>
    <w:rsid w:val="00DE0019"/>
    <w:rsid w:val="00DE1700"/>
    <w:rsid w:val="00DE264A"/>
    <w:rsid w:val="00DF2CD1"/>
    <w:rsid w:val="00E041E7"/>
    <w:rsid w:val="00E07451"/>
    <w:rsid w:val="00E13B23"/>
    <w:rsid w:val="00E23CA1"/>
    <w:rsid w:val="00E31C5A"/>
    <w:rsid w:val="00E409A8"/>
    <w:rsid w:val="00E47211"/>
    <w:rsid w:val="00E7209D"/>
    <w:rsid w:val="00EA50E1"/>
    <w:rsid w:val="00EB08C0"/>
    <w:rsid w:val="00EE0131"/>
    <w:rsid w:val="00EF21A5"/>
    <w:rsid w:val="00F15953"/>
    <w:rsid w:val="00F30C64"/>
    <w:rsid w:val="00F740D4"/>
    <w:rsid w:val="00FB04A8"/>
    <w:rsid w:val="00FB730C"/>
    <w:rsid w:val="00FC0429"/>
    <w:rsid w:val="00FC2695"/>
    <w:rsid w:val="00FC3E03"/>
    <w:rsid w:val="00FC506D"/>
    <w:rsid w:val="00FD3EB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487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  <w:pPr>
      <w:spacing w:line="240" w:lineRule="auto"/>
      <w:ind w:left="384" w:hanging="384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locked/>
    <w:rsid w:val="00AC4E3D"/>
    <w:rPr>
      <w:color w:val="0000FF" w:themeColor="hyperlink"/>
      <w:u w:val="single"/>
    </w:rPr>
  </w:style>
  <w:style w:type="paragraph" w:customStyle="1" w:styleId="Figures">
    <w:name w:val="Figures"/>
    <w:basedOn w:val="Normal"/>
    <w:link w:val="FiguresCar"/>
    <w:qFormat/>
    <w:rsid w:val="00AC4E3D"/>
    <w:pPr>
      <w:tabs>
        <w:tab w:val="clear" w:pos="7100"/>
      </w:tabs>
      <w:spacing w:after="200" w:line="276" w:lineRule="auto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FiguresCar">
    <w:name w:val="Figures Car"/>
    <w:basedOn w:val="Fuentedeprrafopredeter"/>
    <w:link w:val="Figures"/>
    <w:rsid w:val="00AC4E3D"/>
    <w:rPr>
      <w:rFonts w:ascii="Times New Roman" w:hAnsi="Times New Roman" w:cs="Times New Roman"/>
      <w:sz w:val="24"/>
      <w:szCs w:val="24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AC4E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karen\Dropbox\3%20ann&#233;e\Biocompatibility%20article\Graphique%20dans%20Microsoft%20Office%20PowerPoin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karen\Dropbox\3%20ann&#233;e\Biocompatibility%20article\20181114%20All%20results%20bioconversion\Comparaison%20between%20solven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12015164771072"/>
          <c:y val="0.12505021196512739"/>
          <c:w val="0.76615560985911257"/>
          <c:h val="0.73061940988810259"/>
        </c:manualLayout>
      </c:layout>
      <c:scatterChart>
        <c:scatterStyle val="lineMarker"/>
        <c:varyColors val="0"/>
        <c:ser>
          <c:idx val="0"/>
          <c:order val="0"/>
          <c:tx>
            <c:strRef>
              <c:f>Concentration!$D$42</c:f>
              <c:strCache>
                <c:ptCount val="1"/>
                <c:pt idx="0">
                  <c:v>Active diluent % (mol/L)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9.0831749479590908E-3"/>
                  <c:y val="-5.535518349015046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Decanol 80% (4.2)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35116300117657"/>
                      <c:h val="0.1801010072296919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07A-4C8F-8705-028E736787B8}"/>
                </c:ext>
              </c:extLst>
            </c:dLbl>
            <c:dLbl>
              <c:idx val="1"/>
              <c:layout>
                <c:manualLayout>
                  <c:x val="-8.4555000114144557E-3"/>
                  <c:y val="3.845857668626976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Oleyl alcohol 80% (2.5)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468287728401763"/>
                      <c:h val="0.131338582677165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07A-4C8F-8705-028E736787B8}"/>
                </c:ext>
              </c:extLst>
            </c:dLbl>
            <c:dLbl>
              <c:idx val="2"/>
              <c:layout>
                <c:manualLayout>
                  <c:x val="3.8252591141646655E-2"/>
                  <c:y val="1.912069005000223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Octanol 33% (2.1)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586780100763268"/>
                      <c:h val="6.965746610193580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07A-4C8F-8705-028E736787B8}"/>
                </c:ext>
              </c:extLst>
            </c:dLbl>
            <c:dLbl>
              <c:idx val="3"/>
              <c:layout>
                <c:manualLayout>
                  <c:x val="1.1237618286219969E-2"/>
                  <c:y val="-1.912049802438954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Decanol 40% (2.1)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554590158988745"/>
                      <c:h val="0.1042459042800155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07A-4C8F-8705-028E736787B8}"/>
                </c:ext>
              </c:extLst>
            </c:dLbl>
            <c:dLbl>
              <c:idx val="4"/>
              <c:layout>
                <c:manualLayout>
                  <c:x val="2.3454548312877955E-2"/>
                  <c:y val="-3.512141038014943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Dodecanol 47% (2.1)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078619482909465"/>
                      <c:h val="9.20314202601931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07A-4C8F-8705-028E736787B8}"/>
                </c:ext>
              </c:extLst>
            </c:dLbl>
            <c:dLbl>
              <c:idx val="5"/>
              <c:layout>
                <c:manualLayout>
                  <c:x val="-0.3057854897532436"/>
                  <c:y val="2.74276353110859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2-Butyl-1-octanol 47% (2.1)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45527498717832"/>
                      <c:h val="0.192243295674997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07A-4C8F-8705-028E736787B8}"/>
                </c:ext>
              </c:extLst>
            </c:dLbl>
            <c:dLbl>
              <c:idx val="6"/>
              <c:layout>
                <c:manualLayout>
                  <c:x val="-0.13882643979847351"/>
                  <c:y val="-8.423586040914569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2-Hexyl-1-Decanol 61% (2.1)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165525286350701"/>
                      <c:h val="0.131966229853037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07A-4C8F-8705-028E736787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Concentration!$J$42:$J$48</c:f>
              <c:numCache>
                <c:formatCode>General</c:formatCode>
                <c:ptCount val="7"/>
                <c:pt idx="0">
                  <c:v>74.815764178148029</c:v>
                </c:pt>
                <c:pt idx="1">
                  <c:v>51.024499620799958</c:v>
                </c:pt>
                <c:pt idx="2">
                  <c:v>42.616150624855742</c:v>
                </c:pt>
                <c:pt idx="3">
                  <c:v>39.147953968410995</c:v>
                </c:pt>
                <c:pt idx="4">
                  <c:v>39.47109836119629</c:v>
                </c:pt>
                <c:pt idx="5">
                  <c:v>29.98516173706598</c:v>
                </c:pt>
                <c:pt idx="6">
                  <c:v>28.213143403567781</c:v>
                </c:pt>
              </c:numCache>
            </c:numRef>
          </c:xVal>
          <c:yVal>
            <c:numRef>
              <c:f>Concentration!$K$42:$K$48</c:f>
              <c:numCache>
                <c:formatCode>General</c:formatCode>
                <c:ptCount val="7"/>
                <c:pt idx="0">
                  <c:v>11.7</c:v>
                </c:pt>
                <c:pt idx="1">
                  <c:v>28.3</c:v>
                </c:pt>
                <c:pt idx="2">
                  <c:v>3.2</c:v>
                </c:pt>
                <c:pt idx="3">
                  <c:v>4.3</c:v>
                </c:pt>
                <c:pt idx="4">
                  <c:v>6.2</c:v>
                </c:pt>
                <c:pt idx="5">
                  <c:v>5.5</c:v>
                </c:pt>
                <c:pt idx="6">
                  <c:v>11.6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707A-4C8F-8705-028E73678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4981152"/>
        <c:axId val="474979976"/>
      </c:scatterChart>
      <c:valAx>
        <c:axId val="474981152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Extraction yield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74979976"/>
        <c:crosses val="autoZero"/>
        <c:crossBetween val="midCat"/>
      </c:valAx>
      <c:valAx>
        <c:axId val="47497997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Viscosity (mPa.s)</a:t>
                </a:r>
              </a:p>
            </c:rich>
          </c:tx>
          <c:layout>
            <c:manualLayout>
              <c:xMode val="edge"/>
              <c:yMode val="edge"/>
              <c:x val="1.6543207732321347E-2"/>
              <c:y val="0.3435463958557777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7498115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663074586941"/>
          <c:y val="8.0388868358964166E-3"/>
          <c:w val="0.51678223754483166"/>
          <c:h val="0.10922929700791967"/>
        </c:manualLayout>
      </c:layout>
      <c:overlay val="0"/>
      <c:txPr>
        <a:bodyPr/>
        <a:lstStyle/>
        <a:p>
          <a:pPr>
            <a:defRPr sz="900"/>
          </a:pPr>
          <a:endParaRPr lang="es-MX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800"/>
            </a:pPr>
            <a:r>
              <a:rPr lang="es-MX" sz="800"/>
              <a:t>Active diluent % (mol/L)</a:t>
            </a:r>
          </a:p>
        </c:rich>
      </c:tx>
      <c:layout>
        <c:manualLayout>
          <c:xMode val="edge"/>
          <c:yMode val="edge"/>
          <c:x val="0.66843877344427893"/>
          <c:y val="8.0445637063651973E-2"/>
        </c:manualLayout>
      </c:layout>
      <c:overlay val="1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08116548722548"/>
          <c:y val="5.5331880195473492E-2"/>
          <c:w val="0.46289212266188245"/>
          <c:h val="0.79811176515556914"/>
        </c:manualLayout>
      </c:layout>
      <c:scatterChart>
        <c:scatterStyle val="smoothMarker"/>
        <c:varyColors val="0"/>
        <c:ser>
          <c:idx val="2"/>
          <c:order val="0"/>
          <c:tx>
            <c:strRef>
              <c:f>Hoja1!$D$10</c:f>
              <c:strCache>
                <c:ptCount val="1"/>
                <c:pt idx="0">
                  <c:v>2-Hexyl-1-decanol 61% (2.1)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Hoja1!$A$11:$A$17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xVal>
          <c:yVal>
            <c:numRef>
              <c:f>Hoja1!$D$11:$D$17</c:f>
              <c:numCache>
                <c:formatCode>General</c:formatCode>
                <c:ptCount val="7"/>
                <c:pt idx="1">
                  <c:v>1.0705990484429069</c:v>
                </c:pt>
                <c:pt idx="2">
                  <c:v>1.0985323391477446</c:v>
                </c:pt>
                <c:pt idx="3">
                  <c:v>1.039428639338166</c:v>
                </c:pt>
                <c:pt idx="4">
                  <c:v>1.002218996892734</c:v>
                </c:pt>
                <c:pt idx="5">
                  <c:v>0.99227279691444792</c:v>
                </c:pt>
                <c:pt idx="6">
                  <c:v>0.98666435292807964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9FB-4452-A2E5-1DD6EDF0F431}"/>
            </c:ext>
          </c:extLst>
        </c:ser>
        <c:ser>
          <c:idx val="5"/>
          <c:order val="1"/>
          <c:tx>
            <c:strRef>
              <c:f>Hoja1!$G$10</c:f>
              <c:strCache>
                <c:ptCount val="1"/>
                <c:pt idx="0">
                  <c:v>Oleyl alcohol 80% (2.5)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diamond"/>
            <c:size val="7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Hoja1!$A$11:$A$17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xVal>
          <c:yVal>
            <c:numRef>
              <c:f>Hoja1!$G$11:$G$17</c:f>
              <c:numCache>
                <c:formatCode>General</c:formatCode>
                <c:ptCount val="7"/>
                <c:pt idx="1">
                  <c:v>0.91249450826673195</c:v>
                </c:pt>
                <c:pt idx="2">
                  <c:v>0.97155793818251956</c:v>
                </c:pt>
                <c:pt idx="3">
                  <c:v>0.97173165341390622</c:v>
                </c:pt>
                <c:pt idx="4">
                  <c:v>0.91184076924793933</c:v>
                </c:pt>
                <c:pt idx="5">
                  <c:v>0.96424478090900623</c:v>
                </c:pt>
                <c:pt idx="6">
                  <c:v>0.98805092932860794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9FB-4452-A2E5-1DD6EDF0F431}"/>
            </c:ext>
          </c:extLst>
        </c:ser>
        <c:ser>
          <c:idx val="1"/>
          <c:order val="2"/>
          <c:tx>
            <c:strRef>
              <c:f>Hoja1!$C$10</c:f>
              <c:strCache>
                <c:ptCount val="1"/>
                <c:pt idx="0">
                  <c:v>Dodecanol 47% (2.1)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Hoja1!$A$11:$A$17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xVal>
          <c:yVal>
            <c:numRef>
              <c:f>Hoja1!$C$11:$C$17</c:f>
              <c:numCache>
                <c:formatCode>General</c:formatCode>
                <c:ptCount val="7"/>
                <c:pt idx="1">
                  <c:v>1.06181870444307</c:v>
                </c:pt>
                <c:pt idx="2">
                  <c:v>1.0048902231008034</c:v>
                </c:pt>
                <c:pt idx="3">
                  <c:v>0.96496745596457023</c:v>
                </c:pt>
                <c:pt idx="4">
                  <c:v>0.90092367557786179</c:v>
                </c:pt>
                <c:pt idx="5">
                  <c:v>0.87197709661363521</c:v>
                </c:pt>
                <c:pt idx="6">
                  <c:v>0.88406139633835779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79FB-4452-A2E5-1DD6EDF0F431}"/>
            </c:ext>
          </c:extLst>
        </c:ser>
        <c:ser>
          <c:idx val="0"/>
          <c:order val="3"/>
          <c:tx>
            <c:strRef>
              <c:f>Hoja1!$B$10</c:f>
              <c:strCache>
                <c:ptCount val="1"/>
                <c:pt idx="0">
                  <c:v>Decanol  40% (2.1)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Hoja1!$A$11:$A$17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xVal>
          <c:yVal>
            <c:numRef>
              <c:f>Hoja1!$B$11:$B$17</c:f>
              <c:numCache>
                <c:formatCode>General</c:formatCode>
                <c:ptCount val="7"/>
                <c:pt idx="1">
                  <c:v>1.4241011612326933</c:v>
                </c:pt>
                <c:pt idx="2">
                  <c:v>1.2241918498046112</c:v>
                </c:pt>
                <c:pt idx="3">
                  <c:v>0.85620909001427237</c:v>
                </c:pt>
                <c:pt idx="4">
                  <c:v>0.73803058749295325</c:v>
                </c:pt>
                <c:pt idx="5">
                  <c:v>0.70387273083145652</c:v>
                </c:pt>
                <c:pt idx="6">
                  <c:v>0.70365820264799706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79FB-4452-A2E5-1DD6EDF0F431}"/>
            </c:ext>
          </c:extLst>
        </c:ser>
        <c:ser>
          <c:idx val="3"/>
          <c:order val="4"/>
          <c:tx>
            <c:strRef>
              <c:f>Hoja1!$E$10</c:f>
              <c:strCache>
                <c:ptCount val="1"/>
                <c:pt idx="0">
                  <c:v>Decanol 80% (4.2)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Hoja1!$A$11:$A$17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xVal>
          <c:yVal>
            <c:numRef>
              <c:f>Hoja1!$E$11:$E$17</c:f>
              <c:numCache>
                <c:formatCode>General</c:formatCode>
                <c:ptCount val="7"/>
                <c:pt idx="1">
                  <c:v>1.1995891003460208</c:v>
                </c:pt>
                <c:pt idx="2">
                  <c:v>1.0124363170147441</c:v>
                </c:pt>
                <c:pt idx="3">
                  <c:v>0.65867870930147854</c:v>
                </c:pt>
                <c:pt idx="4">
                  <c:v>0.56394364686441001</c:v>
                </c:pt>
                <c:pt idx="5">
                  <c:v>0.56198415923367462</c:v>
                </c:pt>
                <c:pt idx="6">
                  <c:v>0.55420041778260887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79FB-4452-A2E5-1DD6EDF0F431}"/>
            </c:ext>
          </c:extLst>
        </c:ser>
        <c:ser>
          <c:idx val="4"/>
          <c:order val="5"/>
          <c:tx>
            <c:strRef>
              <c:f>Hoja1!$F$10</c:f>
              <c:strCache>
                <c:ptCount val="1"/>
                <c:pt idx="0">
                  <c:v>Octanol  33% (2.1)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Hoja1!$A$11:$A$17</c:f>
              <c:numCache>
                <c:formatCode>General</c:formatCode>
                <c:ptCount val="7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xVal>
          <c:yVal>
            <c:numRef>
              <c:f>Hoja1!$F$11:$F$17</c:f>
              <c:numCache>
                <c:formatCode>General</c:formatCode>
                <c:ptCount val="7"/>
                <c:pt idx="1">
                  <c:v>8.3854186345130102E-2</c:v>
                </c:pt>
                <c:pt idx="2">
                  <c:v>9.0732163518204137E-2</c:v>
                </c:pt>
                <c:pt idx="3">
                  <c:v>7.6048389267423938E-2</c:v>
                </c:pt>
                <c:pt idx="4">
                  <c:v>6.7063967821577961E-2</c:v>
                </c:pt>
                <c:pt idx="5">
                  <c:v>6.6955993169472178E-2</c:v>
                </c:pt>
                <c:pt idx="6">
                  <c:v>7.3535133917380965E-2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79FB-4452-A2E5-1DD6EDF0F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2037448"/>
        <c:axId val="552037840"/>
      </c:scatterChart>
      <c:valAx>
        <c:axId val="552037448"/>
        <c:scaling>
          <c:orientation val="minMax"/>
          <c:max val="5"/>
          <c:min val="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MX"/>
                  <a:t>Time (h)</a:t>
                </a:r>
              </a:p>
            </c:rich>
          </c:tx>
          <c:layout>
            <c:manualLayout>
              <c:xMode val="edge"/>
              <c:yMode val="edge"/>
              <c:x val="0.25578258413900795"/>
              <c:y val="0.9188350937460618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552037840"/>
        <c:crosses val="autoZero"/>
        <c:crossBetween val="midCat"/>
        <c:majorUnit val="1"/>
      </c:valAx>
      <c:valAx>
        <c:axId val="5520378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MX"/>
                  <a:t>[3-HP]S /[3-HP]*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5520374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629323233330023"/>
          <c:y val="0.18674557991548396"/>
          <c:w val="0.38174690189042826"/>
          <c:h val="0.69016359404630756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700"/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+mn-lt"/>
          <a:cs typeface="Times New Roman" pitchFamily="18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02E3-80DD-4886-A6D5-368185C8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4477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Ana Karen</cp:lastModifiedBy>
  <cp:revision>3</cp:revision>
  <cp:lastPrinted>2015-05-12T11:31:00Z</cp:lastPrinted>
  <dcterms:created xsi:type="dcterms:W3CDTF">2019-01-15T18:07:00Z</dcterms:created>
  <dcterms:modified xsi:type="dcterms:W3CDTF">2019-01-15T18:08:00Z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fb639fb1-0406-3100-ba7d-10bcf0590bb1</vt:lpwstr>
  </property>
  <property fmtid="{D5CDD505-2E9C-101B-9397-08002B2CF9AE}" pid="24" name="ZOTERO_PREF_1">
    <vt:lpwstr>&lt;data data-version="3" zotero-version="4.0.29.10"&gt;&lt;session id="8LFJwZdP"/&gt;&lt;style id="http://www.zotero.org/styles/ieee" locale="en-US" hasBibliography="1" bibliographyStyleHasBeenSet="0"/&gt;&lt;prefs&gt;&lt;pref name="fieldType" value="Field"/&gt;&lt;pref name="storeRefer</vt:lpwstr>
  </property>
  <property fmtid="{D5CDD505-2E9C-101B-9397-08002B2CF9AE}" pid="25" name="ZOTERO_PREF_2">
    <vt:lpwstr>ences" value="true"/&gt;&lt;pref name="automaticJournalAbbreviations" value="true"/&gt;&lt;pref name="noteType" value=""/&gt;&lt;/prefs&gt;&lt;/data&gt;</vt:lpwstr>
  </property>
</Properties>
</file>