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744922" w:rsidP="00704BDF">
      <w:pPr>
        <w:snapToGrid w:val="0"/>
        <w:spacing w:after="360"/>
        <w:jc w:val="center"/>
        <w:rPr>
          <w:rFonts w:asciiTheme="minorHAnsi" w:eastAsia="MS PGothic" w:hAnsiTheme="minorHAnsi"/>
          <w:b/>
          <w:bCs/>
          <w:sz w:val="28"/>
          <w:szCs w:val="28"/>
          <w:lang w:val="en-US" w:eastAsia="ko-KR"/>
        </w:rPr>
      </w:pPr>
      <w:bookmarkStart w:id="0" w:name="_GoBack"/>
      <w:bookmarkEnd w:id="0"/>
      <w:r w:rsidRPr="00744922">
        <w:rPr>
          <w:rFonts w:asciiTheme="minorHAnsi" w:eastAsia="MS PGothic" w:hAnsiTheme="minorHAnsi"/>
          <w:b/>
          <w:bCs/>
          <w:sz w:val="28"/>
          <w:szCs w:val="28"/>
          <w:lang w:val="en-US" w:eastAsia="ko-KR"/>
        </w:rPr>
        <w:t>Evaluating bioreactor performance of a surface-aerated novel horizontal tubular bioreactor with spiral impeller for mammalian cells</w:t>
      </w:r>
    </w:p>
    <w:p w:rsidR="00744922" w:rsidRPr="00DE0019" w:rsidRDefault="00744922" w:rsidP="00646837">
      <w:pPr>
        <w:snapToGrid w:val="0"/>
        <w:spacing w:after="120"/>
        <w:rPr>
          <w:rFonts w:eastAsia="SimSun"/>
          <w:color w:val="000000"/>
          <w:lang w:val="en-US" w:eastAsia="zh-CN"/>
        </w:rPr>
      </w:pPr>
      <w:r w:rsidRPr="009D4EDC">
        <w:rPr>
          <w:rFonts w:asciiTheme="minorHAnsi" w:eastAsia="SimSun" w:hAnsiTheme="minorHAnsi"/>
          <w:color w:val="000000"/>
          <w:sz w:val="24"/>
          <w:szCs w:val="24"/>
          <w:u w:val="single"/>
          <w:lang w:val="en-US" w:eastAsia="zh-CN"/>
        </w:rPr>
        <w:t>Rajesh Sharma</w:t>
      </w:r>
      <w:r w:rsidRPr="00DE0019">
        <w:rPr>
          <w:rFonts w:asciiTheme="minorHAnsi" w:eastAsia="SimSun" w:hAnsiTheme="minorHAnsi"/>
          <w:color w:val="000000"/>
          <w:sz w:val="24"/>
          <w:szCs w:val="24"/>
          <w:u w:val="single"/>
          <w:vertAlign w:val="superscript"/>
          <w:lang w:val="en-US" w:eastAsia="zh-CN"/>
        </w:rPr>
        <w:t>1</w:t>
      </w:r>
      <w:r w:rsidR="00174B70">
        <w:rPr>
          <w:rFonts w:asciiTheme="minorHAnsi" w:eastAsia="SimSun" w:hAnsiTheme="minorHAnsi"/>
          <w:color w:val="000000"/>
          <w:sz w:val="24"/>
          <w:szCs w:val="24"/>
          <w:lang w:val="en-US" w:eastAsia="zh-CN"/>
        </w:rPr>
        <w:t xml:space="preserve">, </w:t>
      </w:r>
      <w:r w:rsidR="00B47DD4">
        <w:rPr>
          <w:rFonts w:asciiTheme="minorHAnsi" w:eastAsia="SimSun" w:hAnsiTheme="minorHAnsi"/>
          <w:color w:val="000000"/>
          <w:sz w:val="24"/>
          <w:szCs w:val="24"/>
          <w:lang w:val="en-US" w:eastAsia="zh-CN"/>
        </w:rPr>
        <w:t>Sylva L. Schwager</w:t>
      </w:r>
      <w:r w:rsidR="00B47DD4" w:rsidRPr="00B47DD4">
        <w:rPr>
          <w:rFonts w:asciiTheme="minorHAnsi" w:eastAsia="SimSun" w:hAnsiTheme="minorHAnsi"/>
          <w:color w:val="000000"/>
          <w:sz w:val="24"/>
          <w:szCs w:val="24"/>
          <w:vertAlign w:val="superscript"/>
          <w:lang w:val="en-US" w:eastAsia="zh-CN"/>
        </w:rPr>
        <w:t>2</w:t>
      </w:r>
      <w:r w:rsidR="00B47DD4">
        <w:rPr>
          <w:rFonts w:asciiTheme="minorHAnsi" w:eastAsia="SimSun" w:hAnsiTheme="minorHAnsi"/>
          <w:color w:val="000000"/>
          <w:sz w:val="24"/>
          <w:szCs w:val="24"/>
          <w:lang w:val="en-US" w:eastAsia="zh-CN"/>
        </w:rPr>
        <w:t>, Edward D. Sturrock</w:t>
      </w:r>
      <w:r w:rsidR="00B47DD4" w:rsidRPr="00B47DD4">
        <w:rPr>
          <w:rFonts w:asciiTheme="minorHAnsi" w:eastAsia="SimSun" w:hAnsiTheme="minorHAnsi"/>
          <w:color w:val="000000"/>
          <w:sz w:val="24"/>
          <w:szCs w:val="24"/>
          <w:vertAlign w:val="superscript"/>
          <w:lang w:val="en-US" w:eastAsia="zh-CN"/>
        </w:rPr>
        <w:t>2</w:t>
      </w:r>
      <w:r w:rsidR="00B47DD4">
        <w:rPr>
          <w:rFonts w:asciiTheme="minorHAnsi" w:eastAsia="SimSun" w:hAnsiTheme="minorHAnsi"/>
          <w:color w:val="000000"/>
          <w:sz w:val="24"/>
          <w:szCs w:val="24"/>
          <w:lang w:val="en-US" w:eastAsia="zh-CN"/>
        </w:rPr>
        <w:t xml:space="preserve">, </w:t>
      </w:r>
      <w:r w:rsidR="00174B70">
        <w:rPr>
          <w:rFonts w:asciiTheme="minorHAnsi" w:eastAsia="SimSun" w:hAnsiTheme="minorHAnsi"/>
          <w:color w:val="000000"/>
          <w:sz w:val="24"/>
          <w:szCs w:val="24"/>
          <w:lang w:val="en-US" w:eastAsia="zh-CN"/>
        </w:rPr>
        <w:t>Susan T. L.</w:t>
      </w:r>
      <w:r>
        <w:rPr>
          <w:rFonts w:asciiTheme="minorHAnsi" w:eastAsia="SimSun" w:hAnsiTheme="minorHAnsi"/>
          <w:color w:val="000000"/>
          <w:sz w:val="24"/>
          <w:szCs w:val="24"/>
          <w:lang w:val="en-US" w:eastAsia="zh-CN"/>
        </w:rPr>
        <w:t xml:space="preserve"> Harrison</w:t>
      </w:r>
      <w:r w:rsidRPr="009D4EDC">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Siew</w:t>
      </w:r>
      <w:r w:rsidR="00174B70">
        <w:rPr>
          <w:rFonts w:asciiTheme="minorHAnsi" w:eastAsia="SimSun" w:hAnsiTheme="minorHAnsi"/>
          <w:color w:val="000000"/>
          <w:sz w:val="24"/>
          <w:szCs w:val="24"/>
          <w:lang w:val="en-US" w:eastAsia="zh-CN"/>
        </w:rPr>
        <w:t xml:space="preserve"> L.</w:t>
      </w:r>
      <w:r>
        <w:rPr>
          <w:rFonts w:asciiTheme="minorHAnsi" w:eastAsia="SimSun" w:hAnsiTheme="minorHAnsi"/>
          <w:color w:val="000000"/>
          <w:sz w:val="24"/>
          <w:szCs w:val="24"/>
          <w:lang w:val="en-US" w:eastAsia="zh-CN"/>
        </w:rPr>
        <w:t xml:space="preserve"> Tai</w:t>
      </w:r>
      <w:r w:rsidRPr="009D4EDC">
        <w:rPr>
          <w:rFonts w:asciiTheme="minorHAnsi" w:eastAsia="SimSun" w:hAnsiTheme="minorHAnsi"/>
          <w:color w:val="000000"/>
          <w:sz w:val="24"/>
          <w:szCs w:val="24"/>
          <w:vertAlign w:val="superscript"/>
          <w:lang w:val="en-US" w:eastAsia="zh-CN"/>
        </w:rPr>
        <w:t>1</w:t>
      </w:r>
    </w:p>
    <w:p w:rsidR="00704BDF" w:rsidRDefault="00646837" w:rsidP="00704BDF">
      <w:pPr>
        <w:snapToGrid w:val="0"/>
        <w:spacing w:after="120"/>
        <w:jc w:val="center"/>
        <w:rPr>
          <w:rFonts w:asciiTheme="minorHAnsi" w:eastAsia="MS PGothic" w:hAnsiTheme="minorHAnsi"/>
          <w:i/>
          <w:iCs/>
          <w:color w:val="000000"/>
          <w:sz w:val="20"/>
          <w:lang w:val="en-US"/>
        </w:rPr>
      </w:pPr>
      <w:r w:rsidRPr="00646837">
        <w:rPr>
          <w:rFonts w:eastAsia="MS PGothic"/>
          <w:i/>
          <w:iCs/>
          <w:color w:val="000000"/>
          <w:sz w:val="20"/>
          <w:vertAlign w:val="superscript"/>
          <w:lang w:val="en-US"/>
        </w:rPr>
        <w:t>1</w:t>
      </w:r>
      <w:r w:rsidR="00744922">
        <w:rPr>
          <w:rFonts w:asciiTheme="minorHAnsi" w:eastAsia="MS PGothic" w:hAnsiTheme="minorHAnsi"/>
          <w:i/>
          <w:iCs/>
          <w:color w:val="000000"/>
          <w:sz w:val="20"/>
          <w:lang w:val="en-US"/>
        </w:rPr>
        <w:t>Centre for Bioprocess Engineering Research (CeBER), Department of Chemical Engineering,             University of Cape Town, South Africa</w:t>
      </w:r>
    </w:p>
    <w:p w:rsidR="00646837" w:rsidRPr="00DE0019" w:rsidRDefault="00646837" w:rsidP="00646837">
      <w:pPr>
        <w:snapToGrid w:val="0"/>
        <w:spacing w:after="120"/>
        <w:jc w:val="center"/>
        <w:rPr>
          <w:rFonts w:asciiTheme="minorHAnsi" w:eastAsia="MS PGothic" w:hAnsiTheme="minorHAnsi"/>
          <w:i/>
          <w:iCs/>
          <w:color w:val="000000"/>
          <w:sz w:val="20"/>
          <w:lang w:val="en-US"/>
        </w:rPr>
      </w:pPr>
      <w:r w:rsidRPr="006B5A50">
        <w:rPr>
          <w:rFonts w:asciiTheme="minorHAnsi" w:eastAsia="MS PGothic" w:hAnsiTheme="minorHAnsi"/>
          <w:i/>
          <w:iCs/>
          <w:color w:val="000000"/>
          <w:sz w:val="20"/>
          <w:lang w:val="en-US"/>
        </w:rPr>
        <w:t>2</w:t>
      </w:r>
      <w:r w:rsidR="002D5661" w:rsidRPr="006B5A50">
        <w:rPr>
          <w:rFonts w:asciiTheme="minorHAnsi" w:eastAsia="MS PGothic" w:hAnsiTheme="minorHAnsi"/>
          <w:i/>
          <w:iCs/>
          <w:color w:val="000000"/>
          <w:sz w:val="20"/>
          <w:lang w:val="en-US"/>
        </w:rPr>
        <w:t>Department of Integrative Biomedical Sciences</w:t>
      </w:r>
      <w:r w:rsidR="002D5661" w:rsidRPr="00D501C7">
        <w:rPr>
          <w:rFonts w:asciiTheme="minorHAnsi" w:eastAsia="MS PGothic" w:hAnsiTheme="minorHAnsi"/>
          <w:i/>
          <w:iCs/>
          <w:color w:val="FF0000"/>
          <w:sz w:val="20"/>
          <w:lang w:val="en-US"/>
        </w:rPr>
        <w:t xml:space="preserve"> </w:t>
      </w:r>
      <w:r w:rsidR="002D5661" w:rsidRPr="00D501C7">
        <w:rPr>
          <w:rFonts w:asciiTheme="minorHAnsi" w:eastAsia="MS PGothic" w:hAnsiTheme="minorHAnsi"/>
          <w:i/>
          <w:iCs/>
          <w:color w:val="000000"/>
          <w:sz w:val="20"/>
          <w:lang w:val="en-US"/>
        </w:rPr>
        <w:t>and</w:t>
      </w:r>
      <w:r w:rsidRPr="00646837">
        <w:rPr>
          <w:rFonts w:asciiTheme="minorHAnsi" w:eastAsia="MS PGothic" w:hAnsiTheme="minorHAnsi"/>
          <w:i/>
          <w:iCs/>
          <w:color w:val="000000"/>
          <w:sz w:val="20"/>
          <w:lang w:val="en-US"/>
        </w:rPr>
        <w:t xml:space="preserve"> Institute of Infectious Disease and Molecular Medicine, </w:t>
      </w:r>
      <w:r>
        <w:rPr>
          <w:rFonts w:asciiTheme="minorHAnsi" w:eastAsia="MS PGothic" w:hAnsiTheme="minorHAnsi"/>
          <w:i/>
          <w:iCs/>
          <w:color w:val="000000"/>
          <w:sz w:val="20"/>
          <w:lang w:val="en-US"/>
        </w:rPr>
        <w:t xml:space="preserve">                 </w:t>
      </w:r>
      <w:r w:rsidRPr="00646837">
        <w:rPr>
          <w:rFonts w:asciiTheme="minorHAnsi" w:eastAsia="MS PGothic" w:hAnsiTheme="minorHAnsi"/>
          <w:i/>
          <w:iCs/>
          <w:color w:val="000000"/>
          <w:sz w:val="20"/>
          <w:lang w:val="en-US"/>
        </w:rPr>
        <w:t xml:space="preserve">University </w:t>
      </w:r>
      <w:r>
        <w:rPr>
          <w:rFonts w:asciiTheme="minorHAnsi" w:eastAsia="MS PGothic" w:hAnsiTheme="minorHAnsi"/>
          <w:i/>
          <w:iCs/>
          <w:color w:val="000000"/>
          <w:sz w:val="20"/>
          <w:lang w:val="en-US"/>
        </w:rPr>
        <w:t xml:space="preserve">of Cape Town, </w:t>
      </w:r>
      <w:r w:rsidRPr="00646837">
        <w:rPr>
          <w:rFonts w:asciiTheme="minorHAnsi" w:eastAsia="MS PGothic" w:hAnsiTheme="minorHAnsi"/>
          <w:i/>
          <w:iCs/>
          <w:color w:val="000000"/>
          <w:sz w:val="20"/>
          <w:lang w:val="en-US"/>
        </w:rPr>
        <w:t>South Africa</w:t>
      </w:r>
    </w:p>
    <w:p w:rsidR="00744922" w:rsidRPr="00DE0019" w:rsidRDefault="00704BDF" w:rsidP="00744922">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44922">
        <w:rPr>
          <w:rFonts w:asciiTheme="minorHAnsi" w:eastAsia="MS PGothic" w:hAnsiTheme="minorHAnsi"/>
          <w:bCs/>
          <w:i/>
          <w:iCs/>
          <w:sz w:val="20"/>
          <w:lang w:val="en-US"/>
        </w:rPr>
        <w:t>siew.tai@uct.ac.za</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C6978" w:rsidRPr="00EC66CC" w:rsidRDefault="00AC6978" w:rsidP="00AC6978">
      <w:pPr>
        <w:pStyle w:val="AbstractBody"/>
        <w:numPr>
          <w:ilvl w:val="0"/>
          <w:numId w:val="16"/>
        </w:numPr>
        <w:rPr>
          <w:rFonts w:asciiTheme="minorHAnsi" w:hAnsiTheme="minorHAnsi"/>
        </w:rPr>
      </w:pPr>
      <w:r>
        <w:rPr>
          <w:rFonts w:asciiTheme="minorHAnsi" w:hAnsiTheme="minorHAnsi"/>
        </w:rPr>
        <w:t>Spiral impeller enhances mixing and homogeneity due to bidirectional fluid flow</w:t>
      </w:r>
    </w:p>
    <w:p w:rsidR="00744922" w:rsidRPr="00D9767E" w:rsidRDefault="00744922" w:rsidP="00744922">
      <w:pPr>
        <w:pStyle w:val="AbstractBody"/>
        <w:numPr>
          <w:ilvl w:val="0"/>
          <w:numId w:val="16"/>
        </w:numPr>
        <w:rPr>
          <w:rFonts w:asciiTheme="minorHAnsi" w:hAnsiTheme="minorHAnsi"/>
        </w:rPr>
      </w:pPr>
      <w:r>
        <w:rPr>
          <w:rFonts w:asciiTheme="minorHAnsi" w:hAnsiTheme="minorHAnsi"/>
        </w:rPr>
        <w:t xml:space="preserve">Spiral impeller improve mass transfer efficiency by increasing surface renewal rate </w:t>
      </w:r>
    </w:p>
    <w:p w:rsidR="00744922" w:rsidRPr="00EC66CC" w:rsidRDefault="00CF1E97" w:rsidP="00744922">
      <w:pPr>
        <w:pStyle w:val="AbstractBody"/>
        <w:numPr>
          <w:ilvl w:val="0"/>
          <w:numId w:val="16"/>
        </w:numPr>
        <w:rPr>
          <w:rFonts w:asciiTheme="minorHAnsi" w:hAnsiTheme="minorHAnsi"/>
        </w:rPr>
      </w:pPr>
      <w:r>
        <w:rPr>
          <w:rFonts w:asciiTheme="minorHAnsi" w:hAnsiTheme="minorHAnsi"/>
        </w:rPr>
        <w:t xml:space="preserve">Achieved mass-transfer </w:t>
      </w:r>
      <m:oMath>
        <m:sSub>
          <m:sSubPr>
            <m:ctrlPr>
              <w:rPr>
                <w:rFonts w:ascii="Cambria Math" w:eastAsia="MS PGothic" w:hAnsi="Cambria Math" w:cs="Raavi"/>
                <w:color w:val="000000"/>
                <w:sz w:val="22"/>
                <w:szCs w:val="22"/>
                <w:lang w:bidi="pa-IN"/>
              </w:rPr>
            </m:ctrlPr>
          </m:sSubPr>
          <m:e>
            <m:r>
              <w:rPr>
                <w:rFonts w:ascii="Cambria Math" w:eastAsia="MS PGothic" w:hAnsi="Cambria Math" w:cs="Raavi"/>
                <w:color w:val="000000"/>
                <w:sz w:val="22"/>
                <w:szCs w:val="22"/>
                <w:lang w:bidi="pa-IN"/>
              </w:rPr>
              <m:t>k</m:t>
            </m:r>
          </m:e>
          <m:sub>
            <m:r>
              <w:rPr>
                <w:rFonts w:ascii="Cambria Math" w:eastAsia="MS PGothic" w:hAnsi="Cambria Math" w:cs="Raavi"/>
                <w:color w:val="000000"/>
                <w:sz w:val="22"/>
                <w:szCs w:val="22"/>
                <w:lang w:bidi="pa-IN"/>
              </w:rPr>
              <m:t>L</m:t>
            </m:r>
          </m:sub>
        </m:sSub>
        <m:r>
          <w:rPr>
            <w:rFonts w:ascii="Cambria Math" w:eastAsia="MS PGothic" w:hAnsi="Cambria Math" w:cs="Raavi"/>
            <w:color w:val="000000"/>
            <w:sz w:val="22"/>
            <w:szCs w:val="22"/>
            <w:lang w:bidi="pa-IN"/>
          </w:rPr>
          <m:t>a</m:t>
        </m:r>
      </m:oMath>
      <w:r w:rsidR="00744922">
        <w:rPr>
          <w:rFonts w:asciiTheme="minorHAnsi" w:hAnsiTheme="minorHAnsi"/>
        </w:rPr>
        <w:t xml:space="preserve"> of 16 hr</w:t>
      </w:r>
      <w:r w:rsidR="00744922" w:rsidRPr="00454A3F">
        <w:rPr>
          <w:rFonts w:asciiTheme="minorHAnsi" w:hAnsiTheme="minorHAnsi"/>
          <w:vertAlign w:val="superscript"/>
        </w:rPr>
        <w:t>-1</w:t>
      </w:r>
      <w:r w:rsidR="00744922">
        <w:rPr>
          <w:rFonts w:asciiTheme="minorHAnsi" w:hAnsiTheme="minorHAnsi"/>
        </w:rPr>
        <w:t xml:space="preserve"> with cell density exceeding 4x10</w:t>
      </w:r>
      <w:r w:rsidR="00744922" w:rsidRPr="00454A3F">
        <w:rPr>
          <w:rFonts w:asciiTheme="minorHAnsi" w:hAnsiTheme="minorHAnsi"/>
          <w:vertAlign w:val="superscript"/>
        </w:rPr>
        <w:t>6</w:t>
      </w:r>
      <w:r w:rsidR="00744922">
        <w:rPr>
          <w:rFonts w:asciiTheme="minorHAnsi" w:hAnsiTheme="minorHAnsi"/>
        </w:rPr>
        <w:t xml:space="preserve"> cells/mL</w:t>
      </w:r>
    </w:p>
    <w:p w:rsidR="00744922" w:rsidRPr="00EC66CC" w:rsidRDefault="00744922" w:rsidP="00744922">
      <w:pPr>
        <w:pStyle w:val="AbstractBody"/>
        <w:numPr>
          <w:ilvl w:val="0"/>
          <w:numId w:val="16"/>
        </w:numPr>
        <w:rPr>
          <w:rFonts w:asciiTheme="minorHAnsi" w:hAnsiTheme="minorHAnsi"/>
        </w:rPr>
      </w:pPr>
      <w:r>
        <w:rPr>
          <w:rFonts w:asciiTheme="minorHAnsi" w:hAnsiTheme="minorHAnsi"/>
        </w:rPr>
        <w:t>Achieved high ACE protein expression of 465 mU/mL</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44922" w:rsidRDefault="00744922" w:rsidP="00744922">
      <w:pPr>
        <w:rPr>
          <w:rFonts w:asciiTheme="minorHAnsi" w:hAnsiTheme="minorHAnsi"/>
          <w:sz w:val="22"/>
          <w:szCs w:val="22"/>
        </w:rPr>
      </w:pPr>
      <w:r w:rsidRPr="0054041F">
        <w:rPr>
          <w:rFonts w:asciiTheme="minorHAnsi" w:hAnsiTheme="minorHAnsi"/>
          <w:sz w:val="22"/>
          <w:szCs w:val="22"/>
        </w:rPr>
        <w:t xml:space="preserve">Mammalian cells </w:t>
      </w:r>
      <w:r w:rsidR="003A7015" w:rsidRPr="00576EE8">
        <w:rPr>
          <w:rFonts w:asciiTheme="minorHAnsi" w:hAnsiTheme="minorHAnsi"/>
          <w:sz w:val="22"/>
          <w:szCs w:val="22"/>
        </w:rPr>
        <w:t xml:space="preserve">are often the preferred choice for expressing </w:t>
      </w:r>
      <w:r w:rsidR="009405C2" w:rsidRPr="00576EE8">
        <w:rPr>
          <w:rFonts w:asciiTheme="minorHAnsi" w:hAnsiTheme="minorHAnsi"/>
          <w:sz w:val="22"/>
          <w:szCs w:val="22"/>
        </w:rPr>
        <w:t xml:space="preserve">recombinant </w:t>
      </w:r>
      <w:r w:rsidR="003A7015" w:rsidRPr="00576EE8">
        <w:rPr>
          <w:rFonts w:asciiTheme="minorHAnsi" w:hAnsiTheme="minorHAnsi"/>
          <w:sz w:val="22"/>
          <w:szCs w:val="22"/>
        </w:rPr>
        <w:t xml:space="preserve">proteins </w:t>
      </w:r>
      <w:r w:rsidR="002C39F2" w:rsidRPr="00576EE8">
        <w:rPr>
          <w:rFonts w:asciiTheme="minorHAnsi" w:hAnsiTheme="minorHAnsi"/>
          <w:sz w:val="22"/>
          <w:szCs w:val="22"/>
        </w:rPr>
        <w:t>because of their</w:t>
      </w:r>
      <w:r w:rsidRPr="0054041F">
        <w:rPr>
          <w:rFonts w:asciiTheme="minorHAnsi" w:hAnsiTheme="minorHAnsi"/>
          <w:sz w:val="22"/>
          <w:szCs w:val="22"/>
        </w:rPr>
        <w:t xml:space="preserve"> superior cellular machinery for post-translational modification</w:t>
      </w:r>
      <w:r w:rsidR="009405C2">
        <w:rPr>
          <w:rFonts w:asciiTheme="minorHAnsi" w:hAnsiTheme="minorHAnsi"/>
          <w:sz w:val="22"/>
          <w:szCs w:val="22"/>
        </w:rPr>
        <w:t>s</w:t>
      </w:r>
      <w:r w:rsidR="003A7015" w:rsidRPr="00576EE8">
        <w:rPr>
          <w:rFonts w:asciiTheme="minorHAnsi" w:hAnsiTheme="minorHAnsi"/>
          <w:sz w:val="22"/>
          <w:szCs w:val="22"/>
        </w:rPr>
        <w:t>.</w:t>
      </w:r>
      <w:r w:rsidRPr="0054041F">
        <w:rPr>
          <w:rFonts w:asciiTheme="minorHAnsi" w:hAnsiTheme="minorHAnsi"/>
          <w:sz w:val="22"/>
          <w:szCs w:val="22"/>
        </w:rPr>
        <w:t xml:space="preserve"> </w:t>
      </w:r>
      <w:r w:rsidR="003A7015">
        <w:rPr>
          <w:rFonts w:asciiTheme="minorHAnsi" w:hAnsiTheme="minorHAnsi"/>
          <w:sz w:val="22"/>
          <w:szCs w:val="22"/>
        </w:rPr>
        <w:t>However,</w:t>
      </w:r>
      <w:r w:rsidRPr="0054041F">
        <w:rPr>
          <w:rFonts w:asciiTheme="minorHAnsi" w:hAnsiTheme="minorHAnsi"/>
          <w:sz w:val="22"/>
          <w:szCs w:val="22"/>
        </w:rPr>
        <w:t xml:space="preserve"> </w:t>
      </w:r>
      <w:r w:rsidR="002C39F2">
        <w:rPr>
          <w:rFonts w:asciiTheme="minorHAnsi" w:hAnsiTheme="minorHAnsi"/>
          <w:sz w:val="22"/>
          <w:szCs w:val="22"/>
        </w:rPr>
        <w:t xml:space="preserve">they </w:t>
      </w:r>
      <w:r w:rsidRPr="0054041F">
        <w:rPr>
          <w:rFonts w:asciiTheme="minorHAnsi" w:hAnsiTheme="minorHAnsi"/>
          <w:sz w:val="22"/>
          <w:szCs w:val="22"/>
        </w:rPr>
        <w:t>are</w:t>
      </w:r>
      <w:r w:rsidR="002C39F2">
        <w:rPr>
          <w:rFonts w:asciiTheme="minorHAnsi" w:hAnsiTheme="minorHAnsi"/>
          <w:sz w:val="22"/>
          <w:szCs w:val="22"/>
        </w:rPr>
        <w:t xml:space="preserve"> very</w:t>
      </w:r>
      <w:r w:rsidRPr="0054041F">
        <w:rPr>
          <w:rFonts w:asciiTheme="minorHAnsi" w:hAnsiTheme="minorHAnsi"/>
          <w:sz w:val="22"/>
          <w:szCs w:val="22"/>
        </w:rPr>
        <w:t xml:space="preserve"> shear-sensitive and prone to hydrodynamic shear</w:t>
      </w:r>
      <w:r w:rsidR="002C39F2">
        <w:rPr>
          <w:rFonts w:asciiTheme="minorHAnsi" w:hAnsiTheme="minorHAnsi"/>
          <w:sz w:val="22"/>
          <w:szCs w:val="22"/>
        </w:rPr>
        <w:t xml:space="preserve"> </w:t>
      </w:r>
      <w:r w:rsidR="002C39F2" w:rsidRPr="00576EE8">
        <w:rPr>
          <w:rFonts w:asciiTheme="minorHAnsi" w:hAnsiTheme="minorHAnsi"/>
          <w:sz w:val="22"/>
          <w:szCs w:val="22"/>
        </w:rPr>
        <w:t>as they do not have a cell wall</w:t>
      </w:r>
      <w:r w:rsidRPr="0054041F">
        <w:rPr>
          <w:rFonts w:asciiTheme="minorHAnsi" w:hAnsiTheme="minorHAnsi"/>
          <w:sz w:val="22"/>
          <w:szCs w:val="22"/>
        </w:rPr>
        <w:t xml:space="preserve">. Increasing demand </w:t>
      </w:r>
      <w:r w:rsidRPr="00576EE8">
        <w:rPr>
          <w:rFonts w:asciiTheme="minorHAnsi" w:hAnsiTheme="minorHAnsi"/>
          <w:sz w:val="22"/>
          <w:szCs w:val="22"/>
        </w:rPr>
        <w:t xml:space="preserve">for </w:t>
      </w:r>
      <w:r w:rsidR="002C39F2" w:rsidRPr="00576EE8">
        <w:rPr>
          <w:rFonts w:asciiTheme="minorHAnsi" w:hAnsiTheme="minorHAnsi"/>
          <w:sz w:val="22"/>
          <w:szCs w:val="22"/>
        </w:rPr>
        <w:t>the production of large quantities of recombinant protein</w:t>
      </w:r>
      <w:r w:rsidR="002C39F2">
        <w:rPr>
          <w:rFonts w:asciiTheme="minorHAnsi" w:hAnsiTheme="minorHAnsi"/>
          <w:sz w:val="22"/>
          <w:szCs w:val="22"/>
        </w:rPr>
        <w:t xml:space="preserve"> </w:t>
      </w:r>
      <w:r w:rsidRPr="0054041F">
        <w:rPr>
          <w:rFonts w:asciiTheme="minorHAnsi" w:hAnsiTheme="minorHAnsi"/>
          <w:sz w:val="22"/>
          <w:szCs w:val="22"/>
        </w:rPr>
        <w:t>has driven the development of new bioreactor designs and processes</w:t>
      </w:r>
      <w:r w:rsidR="00A63069">
        <w:rPr>
          <w:rFonts w:asciiTheme="minorHAnsi" w:hAnsiTheme="minorHAnsi"/>
          <w:sz w:val="22"/>
          <w:szCs w:val="22"/>
        </w:rPr>
        <w:t>,</w:t>
      </w:r>
      <w:r w:rsidRPr="0054041F">
        <w:rPr>
          <w:rFonts w:asciiTheme="minorHAnsi" w:hAnsiTheme="minorHAnsi"/>
          <w:sz w:val="22"/>
          <w:szCs w:val="22"/>
        </w:rPr>
        <w:t xml:space="preserve"> but small changes in the microenvironment during fermentation can produce heterogeneity in </w:t>
      </w:r>
      <w:r w:rsidR="009405C2" w:rsidRPr="00576EE8">
        <w:rPr>
          <w:rFonts w:asciiTheme="minorHAnsi" w:hAnsiTheme="minorHAnsi"/>
          <w:sz w:val="22"/>
          <w:szCs w:val="22"/>
        </w:rPr>
        <w:t>protein</w:t>
      </w:r>
      <w:r w:rsidR="009405C2">
        <w:rPr>
          <w:rFonts w:asciiTheme="minorHAnsi" w:hAnsiTheme="minorHAnsi"/>
          <w:sz w:val="22"/>
          <w:szCs w:val="22"/>
        </w:rPr>
        <w:t xml:space="preserve"> </w:t>
      </w:r>
      <w:r w:rsidRPr="0054041F">
        <w:rPr>
          <w:rFonts w:asciiTheme="minorHAnsi" w:hAnsiTheme="minorHAnsi"/>
          <w:sz w:val="22"/>
          <w:szCs w:val="22"/>
        </w:rPr>
        <w:t xml:space="preserve">structure and varying biological </w:t>
      </w:r>
      <w:r w:rsidRPr="0054041F">
        <w:rPr>
          <w:rFonts w:asciiTheme="minorHAnsi" w:hAnsiTheme="minorHAnsi"/>
          <w:noProof/>
          <w:sz w:val="22"/>
          <w:szCs w:val="22"/>
        </w:rPr>
        <w:t xml:space="preserve">activity </w:t>
      </w:r>
      <w:r w:rsidRPr="0054041F">
        <w:rPr>
          <w:rFonts w:asciiTheme="minorHAnsi" w:hAnsiTheme="minorHAnsi"/>
          <w:noProof/>
          <w:sz w:val="22"/>
          <w:szCs w:val="22"/>
        </w:rPr>
        <w:fldChar w:fldCharType="begin" w:fldLock="1"/>
      </w:r>
      <w:r>
        <w:rPr>
          <w:rFonts w:asciiTheme="minorHAnsi" w:hAnsiTheme="minorHAnsi"/>
          <w:noProof/>
          <w:sz w:val="22"/>
          <w:szCs w:val="22"/>
        </w:rPr>
        <w:instrText>ADDIN CSL_CITATION {"citationItems":[{"id":"ITEM-1","itemData":{"DOI":"10.1016/S0958-1669(97)80093-6","ISSN":"09581669","abstract":"Mammalian cell culture continues to draw major research efforts. A great deal of progress has recently been made in cellular physiology, especially in factors adversely affecting cell growth or viability. Through molecular genetic manipulation, cells are more readily cultivated in a medium free of animal proteins. Achieving a high cell concentration and high viability continue to be common themes in engineering research. The need to implement a control policy for fed-batch and perfusion cultures has prompted increased efforts in process monitoring and control. Integrating these advances will be beneficial for ensuring product quality and process consistency.","author":[{"dropping-particle":"","family":"Hu","given":"Wei-Shou","non-dropping-particle":"","parse-names":false,"suffix":""},{"dropping-particle":"","family":"Aunins","given":"John G.","non-dropping-particle":"","parse-names":false,"suffix":""}],"container-title":"Current Opinion in Biotechnology","id":"ITEM-1","issue":"2","issued":{"date-parts":[["1997","4"]]},"page":"148-153","title":"Large-scale mammalian cell culture.","type":"article-journal","volume":"8"},"uris":["http://www.mendeley.com/documents/?uuid=544ebce9-793c-4a23-9a31-56fc974cf307"]}],"mendeley":{"formattedCitation":"[1]","plainTextFormattedCitation":"[1]","previouslyFormattedCitation":"[1]"},"properties":{"noteIndex":0},"schema":"https://github.com/citation-style-language/schema/raw/master/csl-citation.json"}</w:instrText>
      </w:r>
      <w:r w:rsidRPr="0054041F">
        <w:rPr>
          <w:rFonts w:asciiTheme="minorHAnsi" w:hAnsiTheme="minorHAnsi"/>
          <w:noProof/>
          <w:sz w:val="22"/>
          <w:szCs w:val="22"/>
        </w:rPr>
        <w:fldChar w:fldCharType="separate"/>
      </w:r>
      <w:r w:rsidRPr="0054041F">
        <w:rPr>
          <w:rFonts w:asciiTheme="minorHAnsi" w:hAnsiTheme="minorHAnsi"/>
          <w:noProof/>
          <w:sz w:val="22"/>
          <w:szCs w:val="22"/>
        </w:rPr>
        <w:t>[1]</w:t>
      </w:r>
      <w:r w:rsidRPr="0054041F">
        <w:rPr>
          <w:rFonts w:asciiTheme="minorHAnsi" w:hAnsiTheme="minorHAnsi"/>
          <w:noProof/>
          <w:sz w:val="22"/>
          <w:szCs w:val="22"/>
        </w:rPr>
        <w:fldChar w:fldCharType="end"/>
      </w:r>
      <w:r w:rsidRPr="0054041F">
        <w:rPr>
          <w:rFonts w:asciiTheme="minorHAnsi" w:hAnsiTheme="minorHAnsi"/>
          <w:noProof/>
          <w:sz w:val="22"/>
          <w:szCs w:val="22"/>
        </w:rPr>
        <w:t>.</w:t>
      </w:r>
      <w:r w:rsidRPr="0054041F">
        <w:rPr>
          <w:rFonts w:asciiTheme="minorHAnsi" w:hAnsiTheme="minorHAnsi"/>
          <w:sz w:val="22"/>
          <w:szCs w:val="22"/>
        </w:rPr>
        <w:t xml:space="preserve"> This leads to </w:t>
      </w:r>
      <w:r w:rsidR="00E00FB1" w:rsidRPr="00576EE8">
        <w:rPr>
          <w:rFonts w:asciiTheme="minorHAnsi" w:hAnsiTheme="minorHAnsi"/>
          <w:sz w:val="22"/>
          <w:szCs w:val="22"/>
        </w:rPr>
        <w:t xml:space="preserve">inter- and intra- </w:t>
      </w:r>
      <w:r w:rsidRPr="0054041F">
        <w:rPr>
          <w:rFonts w:asciiTheme="minorHAnsi" w:hAnsiTheme="minorHAnsi"/>
          <w:sz w:val="22"/>
          <w:szCs w:val="22"/>
        </w:rPr>
        <w:t xml:space="preserve">batch variation and inconsistent </w:t>
      </w:r>
      <w:r w:rsidR="009405C2" w:rsidRPr="00576EE8">
        <w:rPr>
          <w:rFonts w:asciiTheme="minorHAnsi" w:hAnsiTheme="minorHAnsi"/>
          <w:sz w:val="22"/>
          <w:szCs w:val="22"/>
        </w:rPr>
        <w:t>yields and</w:t>
      </w:r>
      <w:r w:rsidR="009405C2" w:rsidRPr="009405C2">
        <w:rPr>
          <w:rFonts w:asciiTheme="minorHAnsi" w:hAnsiTheme="minorHAnsi"/>
          <w:color w:val="FF0000"/>
          <w:sz w:val="22"/>
          <w:szCs w:val="22"/>
        </w:rPr>
        <w:t xml:space="preserve"> </w:t>
      </w:r>
      <w:r w:rsidRPr="0054041F">
        <w:rPr>
          <w:rFonts w:asciiTheme="minorHAnsi" w:hAnsiTheme="minorHAnsi"/>
          <w:sz w:val="22"/>
          <w:szCs w:val="22"/>
        </w:rPr>
        <w:t xml:space="preserve">product quality. Liquid shear forces from stirring, bubble formation and direct sparging have drastic effects on the overall cell growth and productivity of the fermentation batch. </w:t>
      </w:r>
      <w:r w:rsidR="00D501C7" w:rsidRPr="00576EE8">
        <w:rPr>
          <w:rFonts w:asciiTheme="minorHAnsi" w:hAnsiTheme="minorHAnsi"/>
          <w:sz w:val="22"/>
          <w:szCs w:val="22"/>
        </w:rPr>
        <w:t>There is a growing need</w:t>
      </w:r>
      <w:r w:rsidR="00D501C7" w:rsidRPr="00D501C7">
        <w:rPr>
          <w:rFonts w:asciiTheme="minorHAnsi" w:hAnsiTheme="minorHAnsi"/>
          <w:color w:val="FF0000"/>
          <w:sz w:val="22"/>
          <w:szCs w:val="22"/>
        </w:rPr>
        <w:t xml:space="preserve"> </w:t>
      </w:r>
      <w:r w:rsidR="00D501C7">
        <w:rPr>
          <w:rFonts w:asciiTheme="minorHAnsi" w:hAnsiTheme="minorHAnsi"/>
          <w:sz w:val="22"/>
          <w:szCs w:val="22"/>
        </w:rPr>
        <w:t>for a</w:t>
      </w:r>
      <w:r w:rsidRPr="0054041F">
        <w:rPr>
          <w:rFonts w:asciiTheme="minorHAnsi" w:hAnsiTheme="minorHAnsi"/>
          <w:sz w:val="22"/>
          <w:szCs w:val="22"/>
        </w:rPr>
        <w:t xml:space="preserve"> bioreactor design suitable for </w:t>
      </w:r>
      <w:r w:rsidR="009405C2">
        <w:rPr>
          <w:rFonts w:asciiTheme="minorHAnsi" w:hAnsiTheme="minorHAnsi"/>
          <w:sz w:val="22"/>
          <w:szCs w:val="22"/>
        </w:rPr>
        <w:t xml:space="preserve">a </w:t>
      </w:r>
      <w:r w:rsidRPr="0054041F">
        <w:rPr>
          <w:rFonts w:asciiTheme="minorHAnsi" w:hAnsiTheme="minorHAnsi"/>
          <w:sz w:val="22"/>
          <w:szCs w:val="22"/>
        </w:rPr>
        <w:t xml:space="preserve">wide </w:t>
      </w:r>
      <w:r w:rsidR="009405C2" w:rsidRPr="00576EE8">
        <w:rPr>
          <w:rFonts w:asciiTheme="minorHAnsi" w:hAnsiTheme="minorHAnsi"/>
          <w:sz w:val="22"/>
          <w:szCs w:val="22"/>
        </w:rPr>
        <w:t>variety</w:t>
      </w:r>
      <w:r w:rsidRPr="0054041F">
        <w:rPr>
          <w:rFonts w:asciiTheme="minorHAnsi" w:hAnsiTheme="minorHAnsi"/>
          <w:sz w:val="22"/>
          <w:szCs w:val="22"/>
        </w:rPr>
        <w:t xml:space="preserve"> of cell-lines to produce </w:t>
      </w:r>
      <w:r w:rsidRPr="00576EE8">
        <w:rPr>
          <w:rFonts w:asciiTheme="minorHAnsi" w:hAnsiTheme="minorHAnsi"/>
          <w:sz w:val="22"/>
          <w:szCs w:val="22"/>
        </w:rPr>
        <w:t>biologics</w:t>
      </w:r>
      <w:r w:rsidRPr="0054041F">
        <w:rPr>
          <w:rFonts w:asciiTheme="minorHAnsi" w:hAnsiTheme="minorHAnsi"/>
          <w:sz w:val="22"/>
          <w:szCs w:val="22"/>
        </w:rPr>
        <w:t xml:space="preserve"> at the lowest cost and with minimum risk. Therefore, a horizontal tubular bioreactor (HTB) with a spiral impeller was designed and fabricated for the propagation of mammalian cells at CeBER. The engineering characterization of the HTB was presented</w:t>
      </w:r>
      <w:r w:rsidR="001C00E9">
        <w:rPr>
          <w:rFonts w:asciiTheme="minorHAnsi" w:hAnsiTheme="minorHAnsi"/>
          <w:sz w:val="22"/>
          <w:szCs w:val="22"/>
        </w:rPr>
        <w:t xml:space="preserve"> </w:t>
      </w:r>
      <w:r w:rsidR="001C00E9" w:rsidRPr="0054041F">
        <w:rPr>
          <w:rFonts w:asciiTheme="minorHAnsi" w:hAnsiTheme="minorHAnsi"/>
          <w:noProof/>
          <w:sz w:val="22"/>
          <w:szCs w:val="22"/>
        </w:rPr>
        <w:fldChar w:fldCharType="begin" w:fldLock="1"/>
      </w:r>
      <w:r w:rsidR="001C00E9">
        <w:rPr>
          <w:rFonts w:asciiTheme="minorHAnsi" w:hAnsiTheme="minorHAnsi"/>
          <w:noProof/>
          <w:sz w:val="22"/>
          <w:szCs w:val="22"/>
        </w:rPr>
        <w:instrText>ADDIN CSL_CITATION {"citationItems":[{"id":"ITEM-1","itemData":{"DOI":"10.1016/S0958-1669(97)80093-6","ISSN":"09581669","abstract":"Mammalian cell culture continues to draw major research efforts. A great deal of progress has recently been made in cellular physiology, especially in factors adversely affecting cell growth or viability. Through molecular genetic manipulation, cells are more readily cultivated in a medium free of animal proteins. Achieving a high cell concentration and high viability continue to be common themes in engineering research. The need to implement a control policy for fed-batch and perfusion cultures has prompted increased efforts in process monitoring and control. Integrating these advances will be beneficial for ensuring product quality and process consistency.","author":[{"dropping-particle":"","family":"Hu","given":"Wei-Shou","non-dropping-particle":"","parse-names":false,"suffix":""},{"dropping-particle":"","family":"Aunins","given":"John G.","non-dropping-particle":"","parse-names":false,"suffix":""}],"container-title":"Current Opinion in Biotechnology","id":"ITEM-1","issue":"2","issued":{"date-parts":[["1997","4"]]},"page":"148-153","title":"Large-scale mammalian cell culture.","type":"article-journal","volume":"8"},"uris":["http://www.mendeley.com/documents/?uuid=544ebce9-793c-4a23-9a31-56fc974cf307"]}],"mendeley":{"formattedCitation":"[1]","manualFormatting":"[2]","plainTextFormattedCitation":"[1]","previouslyFormattedCitation":"[1]"},"properties":{"noteIndex":0},"schema":"https://github.com/citation-style-language/schema/raw/master/csl-citation.json"}</w:instrText>
      </w:r>
      <w:r w:rsidR="001C00E9" w:rsidRPr="0054041F">
        <w:rPr>
          <w:rFonts w:asciiTheme="minorHAnsi" w:hAnsiTheme="minorHAnsi"/>
          <w:noProof/>
          <w:sz w:val="22"/>
          <w:szCs w:val="22"/>
        </w:rPr>
        <w:fldChar w:fldCharType="separate"/>
      </w:r>
      <w:r w:rsidR="001C00E9">
        <w:rPr>
          <w:rFonts w:asciiTheme="minorHAnsi" w:hAnsiTheme="minorHAnsi"/>
          <w:noProof/>
          <w:sz w:val="22"/>
          <w:szCs w:val="22"/>
        </w:rPr>
        <w:t>[2</w:t>
      </w:r>
      <w:r w:rsidR="001C00E9" w:rsidRPr="0054041F">
        <w:rPr>
          <w:rFonts w:asciiTheme="minorHAnsi" w:hAnsiTheme="minorHAnsi"/>
          <w:noProof/>
          <w:sz w:val="22"/>
          <w:szCs w:val="22"/>
        </w:rPr>
        <w:t>]</w:t>
      </w:r>
      <w:r w:rsidR="001C00E9" w:rsidRPr="0054041F">
        <w:rPr>
          <w:rFonts w:asciiTheme="minorHAnsi" w:hAnsiTheme="minorHAnsi"/>
          <w:noProof/>
          <w:sz w:val="22"/>
          <w:szCs w:val="22"/>
        </w:rPr>
        <w:fldChar w:fldCharType="end"/>
      </w:r>
      <w:r w:rsidRPr="0054041F">
        <w:rPr>
          <w:rFonts w:asciiTheme="minorHAnsi" w:hAnsiTheme="minorHAnsi"/>
          <w:sz w:val="22"/>
          <w:szCs w:val="22"/>
        </w:rPr>
        <w:t xml:space="preserve"> and in continuation of this work, the HTB was further evaluated by growing CHO-K1 cells expressing angiotensin</w:t>
      </w:r>
      <w:r>
        <w:rPr>
          <w:rFonts w:asciiTheme="minorHAnsi" w:hAnsiTheme="minorHAnsi"/>
          <w:sz w:val="22"/>
          <w:szCs w:val="22"/>
        </w:rPr>
        <w:t>-</w:t>
      </w:r>
      <w:r w:rsidRPr="0054041F">
        <w:rPr>
          <w:rFonts w:asciiTheme="minorHAnsi" w:hAnsiTheme="minorHAnsi"/>
          <w:sz w:val="22"/>
          <w:szCs w:val="22"/>
        </w:rPr>
        <w:t>converting enzyme (ACE)</w:t>
      </w:r>
      <w:r w:rsidR="00D85311" w:rsidRPr="00D85311">
        <w:rPr>
          <w:rFonts w:asciiTheme="minorHAnsi" w:eastAsia="MS PGothic" w:hAnsiTheme="minorHAnsi"/>
          <w:color w:val="000000"/>
          <w:sz w:val="22"/>
          <w:szCs w:val="22"/>
          <w:lang w:val="en-US"/>
        </w:rPr>
        <w:t xml:space="preserve"> </w:t>
      </w:r>
      <w:r w:rsidR="00D85311" w:rsidRPr="00875D93">
        <w:rPr>
          <w:rFonts w:asciiTheme="minorHAnsi" w:eastAsia="MS PGothic" w:hAnsiTheme="minorHAnsi"/>
          <w:color w:val="000000"/>
          <w:sz w:val="22"/>
          <w:szCs w:val="22"/>
          <w:lang w:val="en-US"/>
        </w:rPr>
        <w:t xml:space="preserve">to </w:t>
      </w:r>
      <w:r w:rsidR="00D501C7" w:rsidRPr="00576EE8">
        <w:rPr>
          <w:rFonts w:asciiTheme="minorHAnsi" w:hAnsiTheme="minorHAnsi"/>
          <w:sz w:val="22"/>
          <w:szCs w:val="22"/>
        </w:rPr>
        <w:t>assess</w:t>
      </w:r>
      <w:r w:rsidR="00D85311" w:rsidRPr="00875D93">
        <w:rPr>
          <w:rFonts w:asciiTheme="minorHAnsi" w:eastAsia="MS PGothic" w:hAnsiTheme="minorHAnsi"/>
          <w:color w:val="000000"/>
          <w:sz w:val="22"/>
          <w:szCs w:val="22"/>
          <w:lang w:val="en-US"/>
        </w:rPr>
        <w:t xml:space="preserve"> its suitability for the growth of mammalian cells.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44922" w:rsidRDefault="00AC6978" w:rsidP="00744922">
      <w:pPr>
        <w:snapToGrid w:val="0"/>
        <w:spacing w:after="120"/>
        <w:rPr>
          <w:rFonts w:asciiTheme="minorHAnsi" w:eastAsia="MS PGothic" w:hAnsiTheme="minorHAnsi"/>
          <w:color w:val="000000"/>
          <w:sz w:val="22"/>
          <w:szCs w:val="22"/>
          <w:lang w:val="en-US"/>
        </w:rPr>
      </w:pPr>
      <w:r w:rsidRPr="00BA7817">
        <w:rPr>
          <w:rFonts w:asciiTheme="minorHAnsi" w:eastAsia="MS PGothic" w:hAnsiTheme="minorHAnsi"/>
          <w:color w:val="000000"/>
          <w:sz w:val="22"/>
          <w:szCs w:val="22"/>
          <w:lang w:val="en-US"/>
        </w:rPr>
        <w:t>The HTB batch was run at 3.0 L capacity which is around 70 % of the total capacity of the bioreactor.</w:t>
      </w:r>
      <w:r w:rsidR="00D85311" w:rsidRPr="00D85311">
        <w:rPr>
          <w:rFonts w:asciiTheme="minorHAnsi" w:eastAsia="MS PGothic" w:hAnsiTheme="minorHAnsi"/>
          <w:color w:val="000000"/>
          <w:sz w:val="22"/>
          <w:szCs w:val="22"/>
          <w:lang w:val="en-US"/>
        </w:rPr>
        <w:t xml:space="preserve"> </w:t>
      </w:r>
      <w:r w:rsidR="00D85311" w:rsidRPr="00BA7817">
        <w:rPr>
          <w:rFonts w:asciiTheme="minorHAnsi" w:eastAsia="MS PGothic" w:hAnsiTheme="minorHAnsi"/>
          <w:color w:val="000000"/>
          <w:sz w:val="22"/>
          <w:szCs w:val="22"/>
          <w:lang w:val="en-US"/>
        </w:rPr>
        <w:t>Initially, 2.0 L complete</w:t>
      </w:r>
      <w:r w:rsidR="00D85311" w:rsidRPr="00875D93">
        <w:rPr>
          <w:rFonts w:asciiTheme="minorHAnsi" w:eastAsia="MS PGothic" w:hAnsiTheme="minorHAnsi"/>
          <w:color w:val="000000"/>
          <w:sz w:val="22"/>
          <w:szCs w:val="22"/>
          <w:lang w:val="en-US"/>
        </w:rPr>
        <w:t xml:space="preserve"> serum-free </w:t>
      </w:r>
      <w:r w:rsidR="00D85311" w:rsidRPr="000938B7">
        <w:rPr>
          <w:rFonts w:asciiTheme="minorHAnsi" w:hAnsiTheme="minorHAnsi"/>
          <w:sz w:val="22"/>
          <w:szCs w:val="22"/>
        </w:rPr>
        <w:t>medium (SFM4CHO +4 mM stable glutamine + 0.1 % Poloxamer 188) was charged into the bioreactor for sterility check for 48 h following which the bioreactor was seeded with CHO cells expressing somatic ACE with initial cell density of 0.3 x 10</w:t>
      </w:r>
      <w:r w:rsidR="00D85311" w:rsidRPr="00B96F08">
        <w:rPr>
          <w:rFonts w:asciiTheme="minorHAnsi" w:hAnsiTheme="minorHAnsi"/>
          <w:sz w:val="22"/>
          <w:szCs w:val="22"/>
          <w:vertAlign w:val="superscript"/>
        </w:rPr>
        <w:t>6</w:t>
      </w:r>
      <w:r w:rsidR="00D85311" w:rsidRPr="000938B7">
        <w:rPr>
          <w:rFonts w:asciiTheme="minorHAnsi" w:hAnsiTheme="minorHAnsi"/>
          <w:sz w:val="22"/>
          <w:szCs w:val="22"/>
        </w:rPr>
        <w:t xml:space="preserve"> cells/mL. Periodic sampling was done after every 24 h</w:t>
      </w:r>
      <w:r w:rsidR="00744922" w:rsidRPr="000938B7">
        <w:rPr>
          <w:rFonts w:asciiTheme="minorHAnsi" w:hAnsiTheme="minorHAnsi"/>
          <w:sz w:val="22"/>
          <w:szCs w:val="22"/>
        </w:rPr>
        <w:t xml:space="preserve"> for the determination of cell density, viability percentage and for the spent media analysis. </w:t>
      </w:r>
      <w:r w:rsidR="00D85311" w:rsidRPr="000938B7">
        <w:rPr>
          <w:rFonts w:asciiTheme="minorHAnsi" w:hAnsiTheme="minorHAnsi"/>
          <w:sz w:val="22"/>
          <w:szCs w:val="22"/>
        </w:rPr>
        <w:t xml:space="preserve">Termination of the batch was carried out when the percentage </w:t>
      </w:r>
      <w:r w:rsidR="00D85311" w:rsidRPr="000938B7">
        <w:rPr>
          <w:rFonts w:asciiTheme="minorHAnsi" w:hAnsiTheme="minorHAnsi"/>
          <w:sz w:val="22"/>
          <w:szCs w:val="22"/>
        </w:rPr>
        <w:lastRenderedPageBreak/>
        <w:t>viability dropped below 85 %. The bioreactor was operated</w:t>
      </w:r>
      <w:r w:rsidR="00D85311" w:rsidRPr="00875D93">
        <w:rPr>
          <w:rFonts w:asciiTheme="minorHAnsi" w:eastAsia="MS PGothic" w:hAnsiTheme="minorHAnsi"/>
          <w:color w:val="000000"/>
          <w:sz w:val="22"/>
          <w:szCs w:val="22"/>
          <w:lang w:val="en-US"/>
        </w:rPr>
        <w:t xml:space="preserve"> at a speed of 150 rpm, at the set temperature of 37 </w:t>
      </w:r>
      <w:r w:rsidR="00D85311" w:rsidRPr="00E75D3E">
        <w:rPr>
          <w:rFonts w:asciiTheme="minorHAnsi" w:eastAsia="MS PGothic" w:hAnsiTheme="minorHAnsi"/>
          <w:color w:val="000000"/>
          <w:sz w:val="22"/>
          <w:szCs w:val="22"/>
          <w:vertAlign w:val="superscript"/>
          <w:lang w:val="en-US"/>
        </w:rPr>
        <w:t>o</w:t>
      </w:r>
      <w:r w:rsidR="00D85311" w:rsidRPr="00875D93">
        <w:rPr>
          <w:rFonts w:asciiTheme="minorHAnsi" w:eastAsia="MS PGothic" w:hAnsiTheme="minorHAnsi"/>
          <w:color w:val="000000"/>
          <w:sz w:val="22"/>
          <w:szCs w:val="22"/>
          <w:lang w:val="en-US"/>
        </w:rPr>
        <w:t>C, pH maintained in the range of 7.0-7.2 during growth phase and reduced to 6.85</w:t>
      </w:r>
      <w:r w:rsidR="00D85311">
        <w:rPr>
          <w:rFonts w:asciiTheme="minorHAnsi" w:eastAsia="MS PGothic" w:hAnsiTheme="minorHAnsi"/>
          <w:color w:val="000000"/>
          <w:sz w:val="22"/>
          <w:szCs w:val="22"/>
          <w:lang w:val="en-US"/>
        </w:rPr>
        <w:t xml:space="preserve"> </w:t>
      </w:r>
      <w:r w:rsidR="00D85311" w:rsidRPr="00875D93">
        <w:rPr>
          <w:rFonts w:asciiTheme="minorHAnsi" w:eastAsia="MS PGothic" w:hAnsiTheme="minorHAnsi"/>
          <w:color w:val="000000"/>
          <w:sz w:val="22"/>
          <w:szCs w:val="22"/>
          <w:lang w:val="en-US"/>
        </w:rPr>
        <w:t>-</w:t>
      </w:r>
      <w:r w:rsidR="00D85311">
        <w:rPr>
          <w:rFonts w:asciiTheme="minorHAnsi" w:eastAsia="MS PGothic" w:hAnsiTheme="minorHAnsi"/>
          <w:color w:val="000000"/>
          <w:sz w:val="22"/>
          <w:szCs w:val="22"/>
          <w:lang w:val="en-US"/>
        </w:rPr>
        <w:t xml:space="preserve"> </w:t>
      </w:r>
      <w:r w:rsidR="00576EE8">
        <w:rPr>
          <w:rFonts w:asciiTheme="minorHAnsi" w:eastAsia="MS PGothic" w:hAnsiTheme="minorHAnsi"/>
          <w:color w:val="000000"/>
          <w:sz w:val="22"/>
          <w:szCs w:val="22"/>
          <w:lang w:val="en-US"/>
        </w:rPr>
        <w:t>6.95 after 5</w:t>
      </w:r>
      <w:r w:rsidR="00576EE8" w:rsidRPr="00576EE8">
        <w:rPr>
          <w:rFonts w:asciiTheme="minorHAnsi" w:eastAsia="MS PGothic" w:hAnsiTheme="minorHAnsi"/>
          <w:color w:val="000000"/>
          <w:sz w:val="22"/>
          <w:szCs w:val="22"/>
          <w:vertAlign w:val="superscript"/>
          <w:lang w:val="en-US"/>
        </w:rPr>
        <w:t>th</w:t>
      </w:r>
      <w:r w:rsidR="00576EE8">
        <w:rPr>
          <w:rFonts w:asciiTheme="minorHAnsi" w:eastAsia="MS PGothic" w:hAnsiTheme="minorHAnsi"/>
          <w:color w:val="000000"/>
          <w:sz w:val="22"/>
          <w:szCs w:val="22"/>
          <w:lang w:val="en-US"/>
        </w:rPr>
        <w:t xml:space="preserve"> </w:t>
      </w:r>
      <w:r w:rsidR="00D85311" w:rsidRPr="00875D93">
        <w:rPr>
          <w:rFonts w:asciiTheme="minorHAnsi" w:eastAsia="MS PGothic" w:hAnsiTheme="minorHAnsi"/>
          <w:color w:val="000000"/>
          <w:sz w:val="22"/>
          <w:szCs w:val="22"/>
          <w:lang w:val="en-US"/>
        </w:rPr>
        <w:t xml:space="preserve">day </w:t>
      </w:r>
      <w:r w:rsidR="00683974" w:rsidRPr="00576EE8">
        <w:rPr>
          <w:rFonts w:asciiTheme="minorHAnsi" w:eastAsia="MS PGothic" w:hAnsiTheme="minorHAnsi"/>
          <w:color w:val="000000"/>
          <w:sz w:val="22"/>
          <w:szCs w:val="22"/>
          <w:lang w:val="en-US"/>
        </w:rPr>
        <w:t>of</w:t>
      </w:r>
      <w:r w:rsidR="00683974">
        <w:rPr>
          <w:rFonts w:asciiTheme="minorHAnsi" w:eastAsia="MS PGothic" w:hAnsiTheme="minorHAnsi"/>
          <w:color w:val="000000"/>
          <w:sz w:val="22"/>
          <w:szCs w:val="22"/>
          <w:lang w:val="en-US"/>
        </w:rPr>
        <w:t xml:space="preserve"> </w:t>
      </w:r>
      <w:r w:rsidR="00D85311" w:rsidRPr="00875D93">
        <w:rPr>
          <w:rFonts w:asciiTheme="minorHAnsi" w:eastAsia="MS PGothic" w:hAnsiTheme="minorHAnsi"/>
          <w:color w:val="000000"/>
          <w:sz w:val="22"/>
          <w:szCs w:val="22"/>
          <w:lang w:val="en-US"/>
        </w:rPr>
        <w:t>protein expression and the air flow rate was kept at 0.2 LPM to maintain the 40</w:t>
      </w:r>
      <w:r w:rsidR="00D85311">
        <w:rPr>
          <w:rFonts w:asciiTheme="minorHAnsi" w:eastAsia="MS PGothic" w:hAnsiTheme="minorHAnsi"/>
          <w:color w:val="000000"/>
          <w:sz w:val="22"/>
          <w:szCs w:val="22"/>
          <w:lang w:val="en-US"/>
        </w:rPr>
        <w:t xml:space="preserve"> - 50 % of saturation of air</w:t>
      </w:r>
      <w:r w:rsidR="00744922">
        <w:rPr>
          <w:rFonts w:asciiTheme="minorHAnsi" w:eastAsia="MS PGothic" w:hAnsiTheme="minorHAnsi"/>
          <w:color w:val="000000"/>
          <w:sz w:val="22"/>
          <w:szCs w:val="22"/>
          <w:lang w:val="en-US"/>
        </w:rPr>
        <w:t>.</w:t>
      </w:r>
      <w:r w:rsidR="00744922" w:rsidRPr="00875D93">
        <w:rPr>
          <w:rFonts w:asciiTheme="minorHAnsi" w:eastAsia="MS PGothic" w:hAnsiTheme="minorHAnsi"/>
          <w:color w:val="000000"/>
          <w:sz w:val="22"/>
          <w:szCs w:val="22"/>
          <w:lang w:val="en-US"/>
        </w:rPr>
        <w:t xml:space="preserve"> </w:t>
      </w:r>
      <w:r w:rsidR="00744922">
        <w:rPr>
          <w:rFonts w:asciiTheme="minorHAnsi" w:eastAsia="MS PGothic" w:hAnsiTheme="minorHAnsi"/>
          <w:color w:val="000000"/>
          <w:sz w:val="22"/>
          <w:szCs w:val="22"/>
          <w:lang w:val="en-US"/>
        </w:rPr>
        <w:t>ACE</w:t>
      </w:r>
      <w:r w:rsidR="00744922" w:rsidRPr="00875D93">
        <w:rPr>
          <w:rFonts w:asciiTheme="minorHAnsi" w:eastAsia="MS PGothic" w:hAnsiTheme="minorHAnsi"/>
          <w:color w:val="000000"/>
          <w:sz w:val="22"/>
          <w:szCs w:val="22"/>
          <w:lang w:val="en-US"/>
        </w:rPr>
        <w:t xml:space="preserve"> activity was determined by </w:t>
      </w:r>
      <w:r w:rsidR="00744922">
        <w:rPr>
          <w:rFonts w:asciiTheme="minorHAnsi" w:eastAsia="MS PGothic" w:hAnsiTheme="minorHAnsi"/>
          <w:color w:val="000000"/>
          <w:sz w:val="22"/>
          <w:szCs w:val="22"/>
          <w:lang w:val="en-US"/>
        </w:rPr>
        <w:t xml:space="preserve">a </w:t>
      </w:r>
      <w:r w:rsidR="00744922" w:rsidRPr="00875D93">
        <w:rPr>
          <w:rFonts w:asciiTheme="minorHAnsi" w:eastAsia="MS PGothic" w:hAnsiTheme="minorHAnsi"/>
          <w:color w:val="000000"/>
          <w:sz w:val="22"/>
          <w:szCs w:val="22"/>
          <w:lang w:val="en-US"/>
        </w:rPr>
        <w:t xml:space="preserve">fluorimetric assay </w:t>
      </w:r>
      <w:r w:rsidR="00744922">
        <w:rPr>
          <w:rFonts w:asciiTheme="minorHAnsi" w:eastAsia="MS PGothic" w:hAnsiTheme="minorHAnsi"/>
          <w:color w:val="000000"/>
          <w:sz w:val="22"/>
          <w:szCs w:val="22"/>
          <w:lang w:val="en-US"/>
        </w:rPr>
        <w:fldChar w:fldCharType="begin" w:fldLock="1"/>
      </w:r>
      <w:r w:rsidR="00744922">
        <w:rPr>
          <w:rFonts w:asciiTheme="minorHAnsi" w:eastAsia="MS PGothic" w:hAnsiTheme="minorHAnsi"/>
          <w:color w:val="000000"/>
          <w:sz w:val="22"/>
          <w:szCs w:val="22"/>
          <w:lang w:val="en-US"/>
        </w:rPr>
        <w:instrText>ADDIN CSL_CITATION {"citationItems":[{"id":"ITEM-1","itemData":{"DOI":"10.1038/nprot.2006.305","ISBN":"1750-2799 (Electronic)\\r1750-2799 (Linking)","ISSN":"17542189","PMID":"17487183","abstract":"Angiotensin I-converting enzyme (ACE) assays are commonly used for measuring enzymatic activity in clinical and biological samples. The fluorimetric procedure described is sensitive, rapid and involves unsophisticated procedures and inexpensive reagents. It uses the substrate hippuryl-L-histidyl-L-leucine, and the fluorescent adduct of the enzyme-catalyzed product L-histidyl-L-leucine is quantified fluorimetrically. This assay has been adapted for a 96-well plate format that produces comparable data to previously described assays and has the advantage of greater efficiency with respect to both time and reagents. The protocol can be used for routine purposes or for more detailed kinetic analyses. The apparent Km and kcat values for purified testis ACE determined from a double reciprocal plot were 3.0 mM and 195.7 s(-1), respectively. The protocol can be completed within 4 h.","author":[{"dropping-particle":"","family":"Schwager","given":"Sylva L.","non-dropping-particle":"","parse-names":false,"suffix":""},{"dropping-particle":"","family":"Carmona","given":"Adriana K.","non-dropping-particle":"","parse-names":false,"suffix":""},{"dropping-particle":"","family":"Sturrock","given":"Edward D.","non-dropping-particle":"","parse-names":false,"suffix":""}],"container-title":"Nature Protocols","id":"ITEM-1","issue":"4","issued":{"date-parts":[["2006"]]},"page":"1961-1964","title":"A high-throughput fluorimetric assay for angiotensin I-converting enzyme","type":"article-journal","volume":"1"},"uris":["http://www.mendeley.com/documents/?uuid=242f7660-e1ab-4b64-828c-b7bf133dfb87"]}],"mendeley":{"formattedCitation":"[2]","plainTextFormattedCitation":"[2]","previouslyFormattedCitation":"[2]"},"properties":{"noteIndex":0},"schema":"https://github.com/citation-style-language/schema/raw/master/csl-citation.json"}</w:instrText>
      </w:r>
      <w:r w:rsidR="00744922">
        <w:rPr>
          <w:rFonts w:asciiTheme="minorHAnsi" w:eastAsia="MS PGothic" w:hAnsiTheme="minorHAnsi"/>
          <w:color w:val="000000"/>
          <w:sz w:val="22"/>
          <w:szCs w:val="22"/>
          <w:lang w:val="en-US"/>
        </w:rPr>
        <w:fldChar w:fldCharType="separate"/>
      </w:r>
      <w:r w:rsidR="001C00E9">
        <w:rPr>
          <w:rFonts w:asciiTheme="minorHAnsi" w:eastAsia="MS PGothic" w:hAnsiTheme="minorHAnsi"/>
          <w:noProof/>
          <w:color w:val="000000"/>
          <w:sz w:val="22"/>
          <w:szCs w:val="22"/>
          <w:lang w:val="en-US"/>
        </w:rPr>
        <w:t>[3</w:t>
      </w:r>
      <w:r w:rsidR="00744922" w:rsidRPr="0054041F">
        <w:rPr>
          <w:rFonts w:asciiTheme="minorHAnsi" w:eastAsia="MS PGothic" w:hAnsiTheme="minorHAnsi"/>
          <w:noProof/>
          <w:color w:val="000000"/>
          <w:sz w:val="22"/>
          <w:szCs w:val="22"/>
          <w:lang w:val="en-US"/>
        </w:rPr>
        <w:t>]</w:t>
      </w:r>
      <w:r w:rsidR="00744922">
        <w:rPr>
          <w:rFonts w:asciiTheme="minorHAnsi" w:eastAsia="MS PGothic" w:hAnsiTheme="minorHAnsi"/>
          <w:color w:val="000000"/>
          <w:sz w:val="22"/>
          <w:szCs w:val="22"/>
          <w:lang w:val="en-US"/>
        </w:rPr>
        <w:fldChar w:fldCharType="end"/>
      </w:r>
      <w:r w:rsidR="00683974" w:rsidRPr="00576EE8">
        <w:rPr>
          <w:rFonts w:asciiTheme="minorHAnsi" w:eastAsia="MS PGothic" w:hAnsiTheme="minorHAnsi"/>
          <w:sz w:val="22"/>
          <w:szCs w:val="22"/>
          <w:lang w:val="en-US"/>
        </w:rPr>
        <w:t>.</w:t>
      </w:r>
      <w:r w:rsidR="00744922">
        <w:rPr>
          <w:rFonts w:asciiTheme="minorHAnsi" w:eastAsia="MS PGothic" w:hAnsiTheme="minorHAnsi"/>
          <w:color w:val="000000"/>
          <w:sz w:val="22"/>
          <w:szCs w:val="22"/>
          <w:lang w:val="en-US"/>
        </w:rPr>
        <w:t xml:space="preserve"> S</w:t>
      </w:r>
      <w:r w:rsidR="00744922" w:rsidRPr="00875D93">
        <w:rPr>
          <w:rFonts w:asciiTheme="minorHAnsi" w:eastAsia="MS PGothic" w:hAnsiTheme="minorHAnsi"/>
          <w:color w:val="000000"/>
          <w:sz w:val="22"/>
          <w:szCs w:val="22"/>
          <w:lang w:val="en-US"/>
        </w:rPr>
        <w:t xml:space="preserve">pent media was analyzed for glucose consumption and lactate production </w:t>
      </w:r>
      <w:r w:rsidR="00683974">
        <w:rPr>
          <w:rFonts w:asciiTheme="minorHAnsi" w:eastAsia="MS PGothic" w:hAnsiTheme="minorHAnsi"/>
          <w:color w:val="000000"/>
          <w:sz w:val="22"/>
          <w:szCs w:val="22"/>
          <w:lang w:val="en-US"/>
        </w:rPr>
        <w:t xml:space="preserve">using </w:t>
      </w:r>
      <w:r w:rsidR="00744922" w:rsidRPr="00875D93">
        <w:rPr>
          <w:rFonts w:asciiTheme="minorHAnsi" w:eastAsia="MS PGothic" w:hAnsiTheme="minorHAnsi"/>
          <w:color w:val="000000"/>
          <w:sz w:val="22"/>
          <w:szCs w:val="22"/>
          <w:lang w:val="en-US"/>
        </w:rPr>
        <w:t>HPLC</w:t>
      </w:r>
      <w:r w:rsidR="00744922">
        <w:rPr>
          <w:rFonts w:asciiTheme="minorHAnsi" w:eastAsia="MS PGothic" w:hAnsiTheme="minorHAnsi"/>
          <w:color w:val="000000"/>
          <w:sz w:val="22"/>
          <w:szCs w:val="22"/>
          <w:lang w:val="en-US"/>
        </w:rPr>
        <w:t>,</w:t>
      </w:r>
      <w:r w:rsidR="00744922" w:rsidRPr="00875D93">
        <w:rPr>
          <w:rFonts w:asciiTheme="minorHAnsi" w:eastAsia="MS PGothic" w:hAnsiTheme="minorHAnsi"/>
          <w:color w:val="000000"/>
          <w:sz w:val="22"/>
          <w:szCs w:val="22"/>
          <w:lang w:val="en-US"/>
        </w:rPr>
        <w:t xml:space="preserve">  ammonium ion </w:t>
      </w:r>
      <w:r w:rsidR="00683974" w:rsidRPr="00576EE8">
        <w:rPr>
          <w:rFonts w:asciiTheme="minorHAnsi" w:eastAsia="MS PGothic" w:hAnsiTheme="minorHAnsi"/>
          <w:sz w:val="22"/>
          <w:szCs w:val="22"/>
          <w:lang w:val="en-US"/>
        </w:rPr>
        <w:t>by a</w:t>
      </w:r>
      <w:r w:rsidR="00744922" w:rsidRPr="00875D93">
        <w:rPr>
          <w:rFonts w:asciiTheme="minorHAnsi" w:eastAsia="MS PGothic" w:hAnsiTheme="minorHAnsi"/>
          <w:color w:val="000000"/>
          <w:sz w:val="22"/>
          <w:szCs w:val="22"/>
          <w:lang w:val="en-US"/>
        </w:rPr>
        <w:t xml:space="preserve"> calorimetric method </w:t>
      </w:r>
      <w:r w:rsidR="00744922" w:rsidRPr="00875D93">
        <w:rPr>
          <w:rFonts w:asciiTheme="minorHAnsi" w:eastAsia="MS PGothic" w:hAnsiTheme="minorHAnsi"/>
          <w:color w:val="000000"/>
          <w:sz w:val="22"/>
          <w:szCs w:val="22"/>
          <w:lang w:val="en-US"/>
        </w:rPr>
        <w:fldChar w:fldCharType="begin" w:fldLock="1"/>
      </w:r>
      <w:r w:rsidR="00744922">
        <w:rPr>
          <w:rFonts w:asciiTheme="minorHAnsi" w:eastAsia="MS PGothic" w:hAnsiTheme="minorHAnsi"/>
          <w:color w:val="000000"/>
          <w:sz w:val="22"/>
          <w:szCs w:val="22"/>
          <w:lang w:val="en-US"/>
        </w:rPr>
        <w:instrText>ADDIN CSL_CITATION {"citationItems":[{"id":"ITEM-1","itemData":{"DOI":"10.1099/00221287-143-7-2313","ISSN":"1350-0872","abstract":"Summary: The first known report of the isolation of thermophilic bacteria which produce nitrile-degrading enzymes is presented. One of the strains isolated was studied in detail. Strain Dac521, classified as Bacillus pallidus, was capable of growth on acetonitrile, benzonitrile, propionitrile, acetamide, benzamide and propionamide as the sole carbon and nitrogen source in minimal nutrient media. The strain produced separate aliphatic-nitrile (e.g. acetonitrile)- and aromatic-nitrile (e.g. benzonitrile)-degrading activities. Acetonitrile-degrading activity was produced constitutively and enzyme production was not enhanced by the addition of substrate. Under conditions where benzonitrile was the sole carbon and nitrogen source in minimal nutrient media, acetonitrile-degrading enzyme activity was completely inhibited and benzonitrile-degrading activity was induced. Growth on substrates as sole carbon and nitrogen sources, together with the substrate specificity of cell-free extracts, suggested that acetonitrile and benzonitrile degradation may have occurred via nitrile hydratase and nitrilase pathways, respectively. Both the acetonitrile- and benzonitrile-degrading enzyme systems were significantly more thermostable in whole-cell preparations and cell-free extracts compared to their mesophilic counterparts.","author":[{"dropping-particle":"","family":"Cramp","given":"R.","non-dropping-particle":"","parse-names":false,"suffix":""},{"dropping-particle":"","family":"Gilmour","given":"M.","non-dropping-particle":"","parse-names":false,"suffix":""},{"dropping-particle":"","family":"Cowan","given":"D. A.","non-dropping-particle":"","parse-names":false,"suffix":""}],"container-title":"Microbiology","id":"ITEM-1","issue":"7","issued":{"date-parts":[["1997","7","1"]]},"page":"2313-2320","publisher":"Microbiology Society","title":"Novel thermophilic bacteria producing nitrile-degrading enzymes","type":"article-journal","volume":"143"},"uris":["http://www.mendeley.com/documents/?uuid=571613e6-b664-30da-b971-7d27340285f6"]}],"mendeley":{"formattedCitation":"[3]","plainTextFormattedCitation":"[3]","previouslyFormattedCitation":"[3]"},"properties":{"noteIndex":0},"schema":"https://github.com/citation-style-language/schema/raw/master/csl-citation.json"}</w:instrText>
      </w:r>
      <w:r w:rsidR="00744922" w:rsidRPr="00875D93">
        <w:rPr>
          <w:rFonts w:asciiTheme="minorHAnsi" w:eastAsia="MS PGothic" w:hAnsiTheme="minorHAnsi"/>
          <w:color w:val="000000"/>
          <w:sz w:val="22"/>
          <w:szCs w:val="22"/>
          <w:lang w:val="en-US"/>
        </w:rPr>
        <w:fldChar w:fldCharType="separate"/>
      </w:r>
      <w:r w:rsidR="001C00E9">
        <w:rPr>
          <w:rFonts w:asciiTheme="minorHAnsi" w:eastAsia="MS PGothic" w:hAnsiTheme="minorHAnsi"/>
          <w:noProof/>
          <w:color w:val="000000"/>
          <w:sz w:val="22"/>
          <w:szCs w:val="22"/>
          <w:lang w:val="en-US"/>
        </w:rPr>
        <w:t>[4</w:t>
      </w:r>
      <w:r w:rsidR="00744922" w:rsidRPr="0054041F">
        <w:rPr>
          <w:rFonts w:asciiTheme="minorHAnsi" w:eastAsia="MS PGothic" w:hAnsiTheme="minorHAnsi"/>
          <w:noProof/>
          <w:color w:val="000000"/>
          <w:sz w:val="22"/>
          <w:szCs w:val="22"/>
          <w:lang w:val="en-US"/>
        </w:rPr>
        <w:t>]</w:t>
      </w:r>
      <w:r w:rsidR="00744922" w:rsidRPr="00875D93">
        <w:rPr>
          <w:rFonts w:asciiTheme="minorHAnsi" w:eastAsia="MS PGothic" w:hAnsiTheme="minorHAnsi"/>
          <w:color w:val="000000"/>
          <w:sz w:val="22"/>
          <w:szCs w:val="22"/>
          <w:lang w:val="en-US"/>
        </w:rPr>
        <w:fldChar w:fldCharType="end"/>
      </w:r>
      <w:r w:rsidR="00744922" w:rsidRPr="00875D93">
        <w:rPr>
          <w:rFonts w:asciiTheme="minorHAnsi" w:eastAsia="MS PGothic" w:hAnsiTheme="minorHAnsi"/>
          <w:color w:val="000000"/>
          <w:sz w:val="22"/>
          <w:szCs w:val="22"/>
          <w:lang w:val="en-US"/>
        </w:rPr>
        <w:t xml:space="preserve"> and osmolality </w:t>
      </w:r>
      <w:r w:rsidR="00683974" w:rsidRPr="00576EE8">
        <w:rPr>
          <w:rFonts w:asciiTheme="minorHAnsi" w:eastAsia="MS PGothic" w:hAnsiTheme="minorHAnsi"/>
          <w:sz w:val="22"/>
          <w:szCs w:val="22"/>
          <w:lang w:val="en-US"/>
        </w:rPr>
        <w:t>with a</w:t>
      </w:r>
      <w:r w:rsidR="00744922" w:rsidRPr="00875D93">
        <w:rPr>
          <w:rFonts w:asciiTheme="minorHAnsi" w:eastAsia="MS PGothic" w:hAnsiTheme="minorHAnsi"/>
          <w:color w:val="000000"/>
          <w:sz w:val="22"/>
          <w:szCs w:val="22"/>
          <w:lang w:val="en-US"/>
        </w:rPr>
        <w:t xml:space="preserve"> </w:t>
      </w:r>
      <w:r w:rsidR="00744922" w:rsidRPr="0054041F">
        <w:rPr>
          <w:rFonts w:asciiTheme="minorHAnsi" w:eastAsia="MS PGothic" w:hAnsiTheme="minorHAnsi"/>
          <w:noProof/>
          <w:color w:val="000000"/>
          <w:sz w:val="22"/>
          <w:szCs w:val="22"/>
          <w:lang w:val="en-US"/>
        </w:rPr>
        <w:t>SLAMED</w:t>
      </w:r>
      <w:r w:rsidR="00744922" w:rsidRPr="00875D93">
        <w:rPr>
          <w:rFonts w:asciiTheme="minorHAnsi" w:eastAsia="MS PGothic" w:hAnsiTheme="minorHAnsi"/>
          <w:color w:val="000000"/>
          <w:sz w:val="22"/>
          <w:szCs w:val="22"/>
          <w:lang w:val="en-US"/>
        </w:rPr>
        <w:t xml:space="preserve"> 800 CL Osmometer.</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C6978" w:rsidRPr="00B54BA1" w:rsidRDefault="00AC6978" w:rsidP="00AC6978">
      <w:pPr>
        <w:snapToGrid w:val="0"/>
        <w:spacing w:after="120"/>
        <w:rPr>
          <w:rFonts w:eastAsia="MS PGothic"/>
          <w:b/>
          <w:noProof/>
          <w:color w:val="FF0000"/>
          <w:szCs w:val="18"/>
          <w:lang w:eastAsia="en-ZA"/>
        </w:rPr>
      </w:pPr>
      <w:r w:rsidRPr="00AC6978">
        <w:rPr>
          <w:rFonts w:asciiTheme="minorHAnsi" w:eastAsia="MS PGothic" w:hAnsiTheme="minorHAnsi"/>
          <w:color w:val="000000"/>
          <w:sz w:val="22"/>
          <w:szCs w:val="22"/>
          <w:lang w:val="en-US"/>
        </w:rPr>
        <w:t>The bioreactor batches were taken at a speed of 150 rpm to avoid hydrodynamic shear to the cells.</w:t>
      </w:r>
      <w:r w:rsidRPr="00035887">
        <w:rPr>
          <w:rFonts w:asciiTheme="minorHAnsi" w:eastAsia="MS PGothic" w:hAnsiTheme="minorHAnsi"/>
          <w:color w:val="FF0000"/>
          <w:sz w:val="22"/>
          <w:szCs w:val="22"/>
          <w:lang w:val="en-US"/>
        </w:rPr>
        <w:t xml:space="preserve"> </w:t>
      </w:r>
      <w:r w:rsidR="00744922" w:rsidRPr="00306CE5">
        <w:rPr>
          <w:rFonts w:asciiTheme="minorHAnsi" w:eastAsia="MS PGothic" w:hAnsiTheme="minorHAnsi"/>
          <w:color w:val="000000"/>
          <w:sz w:val="22"/>
          <w:szCs w:val="22"/>
          <w:lang w:val="en-US"/>
        </w:rPr>
        <w:t xml:space="preserve">The cell density achieved was </w:t>
      </w:r>
      <w:r w:rsidR="00744922" w:rsidRPr="00576EE8">
        <w:rPr>
          <w:rFonts w:asciiTheme="minorHAnsi" w:eastAsia="MS PGothic" w:hAnsiTheme="minorHAnsi"/>
          <w:color w:val="000000"/>
          <w:sz w:val="22"/>
          <w:szCs w:val="22"/>
          <w:lang w:val="en-US"/>
        </w:rPr>
        <w:t>4.2 x 10</w:t>
      </w:r>
      <w:r w:rsidR="00744922" w:rsidRPr="00576EE8">
        <w:rPr>
          <w:rFonts w:asciiTheme="minorHAnsi" w:eastAsia="MS PGothic" w:hAnsiTheme="minorHAnsi"/>
          <w:color w:val="000000"/>
          <w:sz w:val="22"/>
          <w:szCs w:val="22"/>
          <w:vertAlign w:val="superscript"/>
          <w:lang w:val="en-US"/>
        </w:rPr>
        <w:t>6</w:t>
      </w:r>
      <w:r w:rsidR="00744922" w:rsidRPr="00306CE5">
        <w:rPr>
          <w:rFonts w:asciiTheme="minorHAnsi" w:eastAsia="MS PGothic" w:hAnsiTheme="minorHAnsi"/>
          <w:color w:val="000000"/>
          <w:sz w:val="22"/>
          <w:szCs w:val="22"/>
          <w:lang w:val="en-US"/>
        </w:rPr>
        <w:t xml:space="preserve"> cell/mL </w:t>
      </w:r>
      <w:r w:rsidR="00576EE8">
        <w:rPr>
          <w:rFonts w:asciiTheme="minorHAnsi" w:eastAsia="MS PGothic" w:hAnsiTheme="minorHAnsi"/>
          <w:color w:val="000000"/>
          <w:sz w:val="22"/>
          <w:szCs w:val="22"/>
          <w:lang w:val="en-US"/>
        </w:rPr>
        <w:t>(</w:t>
      </w:r>
      <w:r w:rsidR="00744922" w:rsidRPr="00306CE5">
        <w:rPr>
          <w:rFonts w:asciiTheme="minorHAnsi" w:eastAsia="MS PGothic" w:hAnsiTheme="minorHAnsi"/>
          <w:color w:val="000000"/>
          <w:sz w:val="22"/>
          <w:szCs w:val="22"/>
          <w:lang w:val="en-US"/>
        </w:rPr>
        <w:t xml:space="preserve">Figure 1 a). It is also evident from the cell density and the morphology of the cells that the </w:t>
      </w:r>
      <w:r w:rsidR="00744922">
        <w:rPr>
          <w:rFonts w:asciiTheme="minorHAnsi" w:eastAsia="MS PGothic" w:hAnsiTheme="minorHAnsi"/>
          <w:color w:val="000000"/>
          <w:sz w:val="22"/>
          <w:szCs w:val="22"/>
          <w:lang w:val="en-US"/>
        </w:rPr>
        <w:t>bioreactor conditions</w:t>
      </w:r>
      <w:r w:rsidR="00744922" w:rsidRPr="00306CE5">
        <w:rPr>
          <w:rFonts w:asciiTheme="minorHAnsi" w:eastAsia="MS PGothic" w:hAnsiTheme="minorHAnsi"/>
          <w:color w:val="000000"/>
          <w:sz w:val="22"/>
          <w:szCs w:val="22"/>
          <w:lang w:val="en-US"/>
        </w:rPr>
        <w:t xml:space="preserve"> w</w:t>
      </w:r>
      <w:r w:rsidR="00744922">
        <w:rPr>
          <w:rFonts w:asciiTheme="minorHAnsi" w:eastAsia="MS PGothic" w:hAnsiTheme="minorHAnsi"/>
          <w:color w:val="000000"/>
          <w:sz w:val="22"/>
          <w:szCs w:val="22"/>
          <w:lang w:val="en-US"/>
        </w:rPr>
        <w:t>ere</w:t>
      </w:r>
      <w:r w:rsidR="00744922" w:rsidRPr="00306CE5">
        <w:rPr>
          <w:rFonts w:asciiTheme="minorHAnsi" w:eastAsia="MS PGothic" w:hAnsiTheme="minorHAnsi"/>
          <w:color w:val="000000"/>
          <w:sz w:val="22"/>
          <w:szCs w:val="22"/>
          <w:lang w:val="en-US"/>
        </w:rPr>
        <w:t xml:space="preserve"> conducive for cell growth and exert</w:t>
      </w:r>
      <w:r w:rsidR="00744922">
        <w:rPr>
          <w:rFonts w:asciiTheme="minorHAnsi" w:eastAsia="MS PGothic" w:hAnsiTheme="minorHAnsi"/>
          <w:color w:val="000000"/>
          <w:sz w:val="22"/>
          <w:szCs w:val="22"/>
          <w:lang w:val="en-US"/>
        </w:rPr>
        <w:t>ed</w:t>
      </w:r>
      <w:r w:rsidR="00744922" w:rsidRPr="00306CE5">
        <w:rPr>
          <w:rFonts w:asciiTheme="minorHAnsi" w:eastAsia="MS PGothic" w:hAnsiTheme="minorHAnsi"/>
          <w:color w:val="000000"/>
          <w:sz w:val="22"/>
          <w:szCs w:val="22"/>
          <w:lang w:val="en-US"/>
        </w:rPr>
        <w:t xml:space="preserve"> low shear conditions which </w:t>
      </w:r>
      <w:r w:rsidR="00744922" w:rsidRPr="0054041F">
        <w:rPr>
          <w:rFonts w:asciiTheme="minorHAnsi" w:eastAsia="MS PGothic" w:hAnsiTheme="minorHAnsi"/>
          <w:noProof/>
          <w:color w:val="000000"/>
          <w:sz w:val="22"/>
          <w:szCs w:val="22"/>
          <w:lang w:val="en-US"/>
        </w:rPr>
        <w:t>result</w:t>
      </w:r>
      <w:r w:rsidR="00744922" w:rsidRPr="00306CE5">
        <w:rPr>
          <w:rFonts w:asciiTheme="minorHAnsi" w:eastAsia="MS PGothic" w:hAnsiTheme="minorHAnsi"/>
          <w:color w:val="000000"/>
          <w:sz w:val="22"/>
          <w:szCs w:val="22"/>
          <w:lang w:val="en-US"/>
        </w:rPr>
        <w:t xml:space="preserve"> in prolonged longevity of the culture. The ACE </w:t>
      </w:r>
      <w:r w:rsidR="00280D93" w:rsidRPr="00576EE8">
        <w:rPr>
          <w:rFonts w:asciiTheme="minorHAnsi" w:eastAsia="MS PGothic" w:hAnsiTheme="minorHAnsi"/>
          <w:sz w:val="22"/>
          <w:szCs w:val="22"/>
          <w:lang w:val="en-US"/>
        </w:rPr>
        <w:t>maximum ACE activity</w:t>
      </w:r>
      <w:r w:rsidR="00744922" w:rsidRPr="00306CE5">
        <w:rPr>
          <w:rFonts w:asciiTheme="minorHAnsi" w:eastAsia="MS PGothic" w:hAnsiTheme="minorHAnsi"/>
          <w:color w:val="000000"/>
          <w:sz w:val="22"/>
          <w:szCs w:val="22"/>
          <w:lang w:val="en-US"/>
        </w:rPr>
        <w:t xml:space="preserve"> was 465 mU/mL. </w:t>
      </w:r>
      <w:r w:rsidR="00280D93" w:rsidRPr="00576EE8">
        <w:rPr>
          <w:rFonts w:asciiTheme="minorHAnsi" w:eastAsia="MS PGothic" w:hAnsiTheme="minorHAnsi"/>
          <w:sz w:val="22"/>
          <w:szCs w:val="22"/>
          <w:lang w:val="en-US"/>
        </w:rPr>
        <w:t>The mobility of the proteins on SDS PAGE</w:t>
      </w:r>
      <w:r w:rsidR="001A6AFB" w:rsidRPr="00576EE8">
        <w:rPr>
          <w:rFonts w:asciiTheme="minorHAnsi" w:eastAsia="MS PGothic" w:hAnsiTheme="minorHAnsi"/>
          <w:sz w:val="22"/>
          <w:szCs w:val="22"/>
          <w:lang w:val="en-US"/>
        </w:rPr>
        <w:t>,</w:t>
      </w:r>
      <w:r w:rsidR="00280D93" w:rsidRPr="00576EE8">
        <w:rPr>
          <w:rFonts w:asciiTheme="minorHAnsi" w:eastAsia="MS PGothic" w:hAnsiTheme="minorHAnsi"/>
          <w:sz w:val="22"/>
          <w:szCs w:val="22"/>
          <w:lang w:val="en-US"/>
        </w:rPr>
        <w:t xml:space="preserve"> </w:t>
      </w:r>
      <w:r w:rsidR="001A6AFB" w:rsidRPr="00576EE8">
        <w:rPr>
          <w:rFonts w:asciiTheme="minorHAnsi" w:eastAsia="MS PGothic" w:hAnsiTheme="minorHAnsi"/>
          <w:sz w:val="22"/>
          <w:szCs w:val="22"/>
          <w:lang w:val="en-US"/>
        </w:rPr>
        <w:t xml:space="preserve">using a polyclonal antibody to identify ACE, corresponded to that of purified somatic ACE </w:t>
      </w:r>
      <w:r w:rsidR="00744922" w:rsidRPr="00306CE5">
        <w:rPr>
          <w:rFonts w:asciiTheme="minorHAnsi" w:eastAsia="MS PGothic" w:hAnsiTheme="minorHAnsi"/>
          <w:color w:val="000000"/>
          <w:sz w:val="22"/>
          <w:szCs w:val="22"/>
          <w:lang w:val="en-US"/>
        </w:rPr>
        <w:t xml:space="preserve">(Figure 1 b). The glucose concentration </w:t>
      </w:r>
      <w:r w:rsidR="00744922" w:rsidRPr="00576EE8">
        <w:rPr>
          <w:rFonts w:asciiTheme="minorHAnsi" w:eastAsia="MS PGothic" w:hAnsiTheme="minorHAnsi"/>
          <w:sz w:val="22"/>
          <w:szCs w:val="22"/>
          <w:lang w:val="en-US"/>
        </w:rPr>
        <w:t>decrease</w:t>
      </w:r>
      <w:r w:rsidR="001A6AFB" w:rsidRPr="00576EE8">
        <w:rPr>
          <w:rFonts w:asciiTheme="minorHAnsi" w:eastAsia="MS PGothic" w:hAnsiTheme="minorHAnsi"/>
          <w:sz w:val="22"/>
          <w:szCs w:val="22"/>
          <w:lang w:val="en-US"/>
        </w:rPr>
        <w:t>d</w:t>
      </w:r>
      <w:r w:rsidR="00744922" w:rsidRPr="00576EE8">
        <w:rPr>
          <w:rFonts w:asciiTheme="minorHAnsi" w:eastAsia="MS PGothic" w:hAnsiTheme="minorHAnsi"/>
          <w:sz w:val="22"/>
          <w:szCs w:val="22"/>
          <w:lang w:val="en-US"/>
        </w:rPr>
        <w:t xml:space="preserve"> over time and the lactate production increase</w:t>
      </w:r>
      <w:r w:rsidR="001A6AFB" w:rsidRPr="00576EE8">
        <w:rPr>
          <w:rFonts w:asciiTheme="minorHAnsi" w:eastAsia="MS PGothic" w:hAnsiTheme="minorHAnsi"/>
          <w:sz w:val="22"/>
          <w:szCs w:val="22"/>
          <w:lang w:val="en-US"/>
        </w:rPr>
        <w:t>d</w:t>
      </w:r>
      <w:r w:rsidR="00744922" w:rsidRPr="00576EE8">
        <w:rPr>
          <w:rFonts w:asciiTheme="minorHAnsi" w:eastAsia="MS PGothic" w:hAnsiTheme="minorHAnsi"/>
          <w:sz w:val="22"/>
          <w:szCs w:val="22"/>
          <w:lang w:val="en-US"/>
        </w:rPr>
        <w:t xml:space="preserve"> </w:t>
      </w:r>
      <w:r w:rsidR="00744922" w:rsidRPr="00306CE5">
        <w:rPr>
          <w:rFonts w:asciiTheme="minorHAnsi" w:eastAsia="MS PGothic" w:hAnsiTheme="minorHAnsi"/>
          <w:color w:val="000000"/>
          <w:sz w:val="22"/>
          <w:szCs w:val="22"/>
          <w:lang w:val="en-US"/>
        </w:rPr>
        <w:t xml:space="preserve">as expected but lactate </w:t>
      </w:r>
      <w:r w:rsidR="00744922">
        <w:rPr>
          <w:rFonts w:asciiTheme="minorHAnsi" w:eastAsia="MS PGothic" w:hAnsiTheme="minorHAnsi"/>
          <w:color w:val="000000"/>
          <w:sz w:val="22"/>
          <w:szCs w:val="22"/>
          <w:lang w:val="en-US"/>
        </w:rPr>
        <w:t>did not exceed</w:t>
      </w:r>
      <w:r w:rsidR="00744922" w:rsidRPr="00306CE5">
        <w:rPr>
          <w:rFonts w:asciiTheme="minorHAnsi" w:eastAsia="MS PGothic" w:hAnsiTheme="minorHAnsi"/>
          <w:color w:val="000000"/>
          <w:sz w:val="22"/>
          <w:szCs w:val="22"/>
          <w:lang w:val="en-US"/>
        </w:rPr>
        <w:t xml:space="preserve"> 3.0 g/L. </w:t>
      </w:r>
      <w:r w:rsidRPr="00AC6978">
        <w:rPr>
          <w:rFonts w:asciiTheme="minorHAnsi" w:eastAsia="MS PGothic" w:hAnsiTheme="minorHAnsi"/>
          <w:color w:val="000000"/>
          <w:sz w:val="22"/>
          <w:szCs w:val="22"/>
          <w:lang w:val="en-US"/>
        </w:rPr>
        <w:t xml:space="preserve">The ammonia concentration and osmolality were 200-250 µg/mL and 300-380 </w:t>
      </w:r>
      <w:r>
        <w:rPr>
          <w:rFonts w:asciiTheme="minorHAnsi" w:eastAsia="MS PGothic" w:hAnsiTheme="minorHAnsi"/>
          <w:color w:val="000000"/>
          <w:sz w:val="22"/>
          <w:szCs w:val="22"/>
          <w:lang w:val="en-US"/>
        </w:rPr>
        <w:t>mO</w:t>
      </w:r>
      <w:r w:rsidRPr="00AC6978">
        <w:rPr>
          <w:rFonts w:asciiTheme="minorHAnsi" w:eastAsia="MS PGothic" w:hAnsiTheme="minorHAnsi"/>
          <w:color w:val="000000"/>
          <w:sz w:val="22"/>
          <w:szCs w:val="22"/>
          <w:lang w:val="en-US"/>
        </w:rPr>
        <w:t>smol/kg respectively, presumably due to the base addition and lactate production during the batch run.</w:t>
      </w:r>
      <w:r w:rsidRPr="00B54BA1">
        <w:rPr>
          <w:rFonts w:eastAsia="MS PGothic"/>
          <w:b/>
          <w:noProof/>
          <w:color w:val="FF0000"/>
          <w:szCs w:val="18"/>
          <w:lang w:eastAsia="en-ZA"/>
        </w:rPr>
        <w:t xml:space="preserve"> </w:t>
      </w:r>
    </w:p>
    <w:p w:rsidR="00704BDF" w:rsidRPr="00576EE8" w:rsidRDefault="002E3F63" w:rsidP="00576EE8">
      <w:pPr>
        <w:tabs>
          <w:tab w:val="clear" w:pos="7100"/>
          <w:tab w:val="left" w:pos="8490"/>
          <w:tab w:val="right" w:pos="8787"/>
        </w:tabs>
        <w:snapToGrid w:val="0"/>
        <w:spacing w:after="120"/>
        <w:jc w:val="center"/>
        <w:rPr>
          <w:rFonts w:asciiTheme="minorHAnsi" w:eastAsia="MS PGothic" w:hAnsiTheme="minorHAnsi"/>
          <w:color w:val="000000"/>
        </w:rPr>
      </w:pPr>
      <w:r>
        <w:rPr>
          <w:noProof/>
          <w:sz w:val="32"/>
          <w:szCs w:val="32"/>
          <w:lang w:val="it-IT" w:eastAsia="it-IT"/>
        </w:rPr>
        <w:drawing>
          <wp:inline distT="0" distB="0" distL="0" distR="0" wp14:anchorId="53DF93E0" wp14:editId="4338DB81">
            <wp:extent cx="4689266" cy="14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9266" cy="1440000"/>
                    </a:xfrm>
                    <a:prstGeom prst="rect">
                      <a:avLst/>
                    </a:prstGeom>
                    <a:noFill/>
                  </pic:spPr>
                </pic:pic>
              </a:graphicData>
            </a:graphic>
          </wp:inline>
        </w:drawing>
      </w:r>
      <w:r w:rsidR="00576EE8">
        <w:rPr>
          <w:rFonts w:asciiTheme="minorHAnsi" w:eastAsia="MS PGothic" w:hAnsiTheme="minorHAnsi"/>
          <w:b/>
          <w:color w:val="000000"/>
          <w:szCs w:val="18"/>
          <w:lang w:val="en-US"/>
        </w:rPr>
        <w:t xml:space="preserve">                         </w:t>
      </w:r>
      <w:r w:rsidR="00704BDF" w:rsidRPr="00DE0019">
        <w:rPr>
          <w:rFonts w:asciiTheme="minorHAnsi" w:eastAsia="MS PGothic" w:hAnsiTheme="minorHAnsi"/>
          <w:b/>
          <w:color w:val="000000"/>
          <w:szCs w:val="18"/>
          <w:lang w:val="en-US"/>
        </w:rPr>
        <w:t>Figure 1</w:t>
      </w:r>
      <w:r w:rsidR="00704BDF" w:rsidRPr="00DE0019">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704BDF" w:rsidRPr="00DE0019">
        <w:rPr>
          <w:rFonts w:asciiTheme="minorHAnsi" w:hAnsiTheme="minorHAnsi"/>
          <w:lang w:val="en-US"/>
        </w:rPr>
        <w:t xml:space="preserve"> </w:t>
      </w:r>
      <w:proofErr w:type="gramStart"/>
      <w:r w:rsidR="00744922" w:rsidRPr="009E28FA">
        <w:rPr>
          <w:rFonts w:asciiTheme="minorHAnsi" w:hAnsiTheme="minorHAnsi"/>
          <w:szCs w:val="18"/>
          <w:lang w:val="en-US"/>
        </w:rPr>
        <w:t>sACE</w:t>
      </w:r>
      <w:proofErr w:type="gramEnd"/>
      <w:r w:rsidR="00744922" w:rsidRPr="009E28FA">
        <w:rPr>
          <w:rFonts w:asciiTheme="minorHAnsi" w:hAnsiTheme="minorHAnsi"/>
          <w:szCs w:val="18"/>
          <w:lang w:val="en-US"/>
        </w:rPr>
        <w:t xml:space="preserve"> protein expression (a) w.r.t. CHO growth profile in HTB</w:t>
      </w:r>
      <w:r w:rsidR="00744922" w:rsidRPr="009E28FA">
        <w:rPr>
          <w:rFonts w:asciiTheme="minorHAnsi" w:eastAsia="MS PGothic" w:hAnsiTheme="minorHAnsi"/>
          <w:color w:val="000000"/>
          <w:szCs w:val="18"/>
          <w:lang w:val="en-US"/>
        </w:rPr>
        <w:t xml:space="preserve"> (b) </w:t>
      </w:r>
      <w:r w:rsidR="00617DD0" w:rsidRPr="00576EE8">
        <w:rPr>
          <w:rFonts w:asciiTheme="minorHAnsi" w:eastAsia="MS PGothic" w:hAnsiTheme="minorHAnsi"/>
          <w:szCs w:val="18"/>
          <w:lang w:val="en-US"/>
        </w:rPr>
        <w:t xml:space="preserve">Cell medium was resolved by </w:t>
      </w:r>
      <w:proofErr w:type="spellStart"/>
      <w:r w:rsidR="00617DD0" w:rsidRPr="00576EE8">
        <w:rPr>
          <w:rFonts w:asciiTheme="minorHAnsi" w:eastAsia="MS PGothic" w:hAnsiTheme="minorHAnsi"/>
          <w:szCs w:val="18"/>
          <w:lang w:val="en-US"/>
        </w:rPr>
        <w:t>SDS</w:t>
      </w:r>
      <w:proofErr w:type="spellEnd"/>
      <w:r w:rsidR="00617DD0" w:rsidRPr="00576EE8">
        <w:rPr>
          <w:rFonts w:asciiTheme="minorHAnsi" w:eastAsia="MS PGothic" w:hAnsiTheme="minorHAnsi"/>
          <w:szCs w:val="18"/>
          <w:lang w:val="en-US"/>
        </w:rPr>
        <w:t xml:space="preserve"> PAGE and </w:t>
      </w:r>
      <w:proofErr w:type="spellStart"/>
      <w:r w:rsidR="00617DD0" w:rsidRPr="00576EE8">
        <w:rPr>
          <w:rFonts w:asciiTheme="minorHAnsi" w:eastAsia="MS PGothic" w:hAnsiTheme="minorHAnsi"/>
          <w:szCs w:val="18"/>
          <w:lang w:val="en-US"/>
        </w:rPr>
        <w:t>analysed</w:t>
      </w:r>
      <w:proofErr w:type="spellEnd"/>
      <w:r w:rsidR="00617DD0" w:rsidRPr="00576EE8">
        <w:rPr>
          <w:rFonts w:asciiTheme="minorHAnsi" w:eastAsia="MS PGothic" w:hAnsiTheme="minorHAnsi"/>
          <w:szCs w:val="18"/>
          <w:lang w:val="en-US"/>
        </w:rPr>
        <w:t xml:space="preserve"> by Western blotting with a sACE polyclonal antibody.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44922" w:rsidRPr="009E28FA" w:rsidRDefault="00744922" w:rsidP="00744922">
      <w:pPr>
        <w:tabs>
          <w:tab w:val="clear" w:pos="7100"/>
        </w:tabs>
        <w:snapToGrid w:val="0"/>
        <w:spacing w:after="120" w:line="259" w:lineRule="auto"/>
        <w:rPr>
          <w:rFonts w:ascii="Calibri" w:eastAsia="MS PGothic" w:hAnsi="Calibri" w:cs="Raavi"/>
          <w:color w:val="000000"/>
          <w:sz w:val="22"/>
          <w:szCs w:val="22"/>
          <w:lang w:val="en-US" w:bidi="pa-IN"/>
        </w:rPr>
      </w:pPr>
      <w:r w:rsidRPr="009E28FA">
        <w:rPr>
          <w:rFonts w:ascii="Calibri" w:eastAsia="MS PGothic" w:hAnsi="Calibri" w:cs="Raavi"/>
          <w:color w:val="000000"/>
          <w:sz w:val="22"/>
          <w:szCs w:val="22"/>
          <w:lang w:val="en-US" w:bidi="pa-IN"/>
        </w:rPr>
        <w:t xml:space="preserve">Hydrodynamic conditions of the bioreactor </w:t>
      </w:r>
      <w:r>
        <w:rPr>
          <w:rFonts w:ascii="Calibri" w:eastAsia="MS PGothic" w:hAnsi="Calibri" w:cs="Raavi"/>
          <w:noProof/>
          <w:color w:val="000000"/>
          <w:sz w:val="22"/>
          <w:szCs w:val="22"/>
          <w:lang w:val="en-US" w:bidi="pa-IN"/>
        </w:rPr>
        <w:t>are</w:t>
      </w:r>
      <w:r w:rsidRPr="009E28FA">
        <w:rPr>
          <w:rFonts w:ascii="Calibri" w:eastAsia="MS PGothic" w:hAnsi="Calibri" w:cs="Raavi"/>
          <w:color w:val="000000"/>
          <w:sz w:val="22"/>
          <w:szCs w:val="22"/>
          <w:lang w:val="en-US" w:bidi="pa-IN"/>
        </w:rPr>
        <w:t xml:space="preserve"> dictated by the aeration-agitation regimen. The horizontal tubular bioreactor with spiral impeller has an edge over traditional STR bioreactor where rising bubble</w:t>
      </w:r>
      <w:r>
        <w:rPr>
          <w:rFonts w:ascii="Calibri" w:eastAsia="MS PGothic" w:hAnsi="Calibri" w:cs="Raavi"/>
          <w:color w:val="000000"/>
          <w:sz w:val="22"/>
          <w:szCs w:val="22"/>
          <w:lang w:val="en-US" w:bidi="pa-IN"/>
        </w:rPr>
        <w:t>s and high impeller speeds</w:t>
      </w:r>
      <w:r w:rsidRPr="009E28FA">
        <w:rPr>
          <w:rFonts w:ascii="Calibri" w:eastAsia="MS PGothic" w:hAnsi="Calibri" w:cs="Raavi"/>
          <w:color w:val="000000"/>
          <w:sz w:val="22"/>
          <w:szCs w:val="22"/>
          <w:lang w:val="en-US" w:bidi="pa-IN"/>
        </w:rPr>
        <w:t xml:space="preserve"> damage the cells </w:t>
      </w:r>
      <w:r>
        <w:rPr>
          <w:rFonts w:ascii="Calibri" w:eastAsia="MS PGothic" w:hAnsi="Calibri" w:cs="Raavi"/>
          <w:color w:val="000000"/>
          <w:sz w:val="22"/>
          <w:szCs w:val="22"/>
          <w:lang w:val="en-US" w:bidi="pa-IN"/>
        </w:rPr>
        <w:t>while maintaining</w:t>
      </w:r>
      <w:r w:rsidRPr="009E28FA">
        <w:rPr>
          <w:rFonts w:ascii="Calibri" w:eastAsia="MS PGothic" w:hAnsi="Calibri" w:cs="Raavi"/>
          <w:color w:val="000000"/>
          <w:sz w:val="22"/>
          <w:szCs w:val="22"/>
          <w:lang w:val="en-US" w:bidi="pa-IN"/>
        </w:rPr>
        <w:t xml:space="preserve"> </w:t>
      </w:r>
      <w:r>
        <w:rPr>
          <w:rFonts w:ascii="Calibri" w:eastAsia="MS PGothic" w:hAnsi="Calibri" w:cs="Raavi"/>
          <w:color w:val="000000"/>
          <w:sz w:val="22"/>
          <w:szCs w:val="22"/>
          <w:lang w:val="en-US" w:bidi="pa-IN"/>
        </w:rPr>
        <w:t xml:space="preserve">a </w:t>
      </w:r>
      <w:r w:rsidRPr="009E28FA">
        <w:rPr>
          <w:rFonts w:ascii="Calibri" w:eastAsia="MS PGothic" w:hAnsi="Calibri" w:cs="Raavi"/>
          <w:color w:val="000000"/>
          <w:sz w:val="22"/>
          <w:szCs w:val="22"/>
          <w:lang w:val="en-US" w:bidi="pa-IN"/>
        </w:rPr>
        <w:t>high cell density. HTB with spiral impeller is a combination of surface aeration and impeller mixing with enhanced surface renewal rate</w:t>
      </w:r>
      <w:r>
        <w:rPr>
          <w:rFonts w:ascii="Calibri" w:eastAsia="MS PGothic" w:hAnsi="Calibri" w:cs="Raavi"/>
          <w:color w:val="000000"/>
          <w:sz w:val="22"/>
          <w:szCs w:val="22"/>
          <w:lang w:val="en-US" w:bidi="pa-IN"/>
        </w:rPr>
        <w:t>s</w:t>
      </w:r>
      <w:r w:rsidRPr="009E28FA">
        <w:rPr>
          <w:rFonts w:ascii="Calibri" w:eastAsia="MS PGothic" w:hAnsi="Calibri" w:cs="Raavi"/>
          <w:color w:val="000000"/>
          <w:sz w:val="22"/>
          <w:szCs w:val="22"/>
          <w:lang w:val="en-US" w:bidi="pa-IN"/>
        </w:rPr>
        <w:t xml:space="preserve"> which result</w:t>
      </w:r>
      <w:r>
        <w:rPr>
          <w:rFonts w:ascii="Calibri" w:eastAsia="MS PGothic" w:hAnsi="Calibri" w:cs="Raavi"/>
          <w:color w:val="000000"/>
          <w:sz w:val="22"/>
          <w:szCs w:val="22"/>
          <w:lang w:val="en-US" w:bidi="pa-IN"/>
        </w:rPr>
        <w:t>ed</w:t>
      </w:r>
      <w:r w:rsidRPr="009E28FA">
        <w:rPr>
          <w:rFonts w:ascii="Calibri" w:eastAsia="MS PGothic" w:hAnsi="Calibri" w:cs="Raavi"/>
          <w:color w:val="000000"/>
          <w:sz w:val="22"/>
          <w:szCs w:val="22"/>
          <w:lang w:val="en-US" w:bidi="pa-IN"/>
        </w:rPr>
        <w:t xml:space="preserve"> </w:t>
      </w:r>
      <w:r>
        <w:rPr>
          <w:rFonts w:ascii="Calibri" w:eastAsia="MS PGothic" w:hAnsi="Calibri" w:cs="Raavi"/>
          <w:color w:val="000000"/>
          <w:sz w:val="22"/>
          <w:szCs w:val="22"/>
          <w:lang w:val="en-US" w:bidi="pa-IN"/>
        </w:rPr>
        <w:t xml:space="preserve">in </w:t>
      </w:r>
      <w:r w:rsidRPr="009E28FA">
        <w:rPr>
          <w:rFonts w:ascii="Calibri" w:eastAsia="MS PGothic" w:hAnsi="Calibri" w:cs="Raavi"/>
          <w:color w:val="000000"/>
          <w:sz w:val="22"/>
          <w:szCs w:val="22"/>
          <w:lang w:val="en-US" w:bidi="pa-IN"/>
        </w:rPr>
        <w:t xml:space="preserve">cell density </w:t>
      </w:r>
      <w:r>
        <w:rPr>
          <w:rFonts w:ascii="Calibri" w:eastAsia="MS PGothic" w:hAnsi="Calibri" w:cs="Raavi"/>
          <w:color w:val="000000"/>
          <w:sz w:val="22"/>
          <w:szCs w:val="22"/>
          <w:lang w:val="en-US" w:bidi="pa-IN"/>
        </w:rPr>
        <w:t>of</w:t>
      </w:r>
      <w:r w:rsidRPr="009E28FA">
        <w:rPr>
          <w:rFonts w:ascii="Calibri" w:eastAsia="MS PGothic" w:hAnsi="Calibri" w:cs="Raavi"/>
          <w:color w:val="000000"/>
          <w:sz w:val="22"/>
          <w:szCs w:val="22"/>
          <w:lang w:val="en-US" w:bidi="pa-IN"/>
        </w:rPr>
        <w:t xml:space="preserve"> more than 4 x 10</w:t>
      </w:r>
      <w:r w:rsidRPr="009E28FA">
        <w:rPr>
          <w:rFonts w:ascii="Calibri" w:eastAsia="MS PGothic" w:hAnsi="Calibri" w:cs="Raavi"/>
          <w:color w:val="000000"/>
          <w:sz w:val="22"/>
          <w:szCs w:val="22"/>
          <w:vertAlign w:val="superscript"/>
          <w:lang w:val="en-US" w:bidi="pa-IN"/>
        </w:rPr>
        <w:t>6</w:t>
      </w:r>
      <w:r w:rsidRPr="009E28FA">
        <w:rPr>
          <w:rFonts w:ascii="Calibri" w:eastAsia="MS PGothic" w:hAnsi="Calibri" w:cs="Raavi"/>
          <w:color w:val="000000"/>
          <w:sz w:val="22"/>
          <w:szCs w:val="22"/>
          <w:lang w:val="en-US" w:bidi="pa-IN"/>
        </w:rPr>
        <w:t xml:space="preserve"> cells/mL with extended longevity. It could be predicted that in fed-batch mode, </w:t>
      </w:r>
      <w:r>
        <w:rPr>
          <w:rFonts w:ascii="Calibri" w:eastAsia="MS PGothic" w:hAnsi="Calibri" w:cs="Raavi"/>
          <w:color w:val="000000"/>
          <w:sz w:val="22"/>
          <w:szCs w:val="22"/>
          <w:lang w:val="en-US" w:bidi="pa-IN"/>
        </w:rPr>
        <w:t>target cell densities of</w:t>
      </w:r>
      <w:r w:rsidRPr="009E28FA">
        <w:rPr>
          <w:rFonts w:ascii="Calibri" w:eastAsia="MS PGothic" w:hAnsi="Calibri" w:cs="Raavi"/>
          <w:color w:val="000000"/>
          <w:sz w:val="22"/>
          <w:szCs w:val="22"/>
          <w:lang w:val="en-US" w:bidi="pa-IN"/>
        </w:rPr>
        <w:t xml:space="preserve"> more than 10 x 10</w:t>
      </w:r>
      <w:r w:rsidRPr="009E28FA">
        <w:rPr>
          <w:rFonts w:ascii="Calibri" w:eastAsia="MS PGothic" w:hAnsi="Calibri" w:cs="Raavi"/>
          <w:color w:val="000000"/>
          <w:sz w:val="22"/>
          <w:szCs w:val="22"/>
          <w:vertAlign w:val="superscript"/>
          <w:lang w:val="en-US" w:bidi="pa-IN"/>
        </w:rPr>
        <w:t>6</w:t>
      </w:r>
      <w:r w:rsidRPr="009E28FA">
        <w:rPr>
          <w:rFonts w:ascii="Calibri" w:eastAsia="MS PGothic" w:hAnsi="Calibri" w:cs="Raavi"/>
          <w:color w:val="000000"/>
          <w:sz w:val="22"/>
          <w:szCs w:val="22"/>
          <w:lang w:val="en-US" w:bidi="pa-IN"/>
        </w:rPr>
        <w:t xml:space="preserve"> cells/mL</w:t>
      </w:r>
      <w:r>
        <w:rPr>
          <w:rFonts w:ascii="Calibri" w:eastAsia="MS PGothic" w:hAnsi="Calibri" w:cs="Raavi"/>
          <w:color w:val="000000"/>
          <w:sz w:val="22"/>
          <w:szCs w:val="22"/>
          <w:lang w:val="en-US" w:bidi="pa-IN"/>
        </w:rPr>
        <w:t xml:space="preserve"> is achievable</w:t>
      </w:r>
      <w:r w:rsidRPr="009E28FA">
        <w:rPr>
          <w:rFonts w:ascii="Calibri" w:eastAsia="MS PGothic" w:hAnsi="Calibri" w:cs="Raavi"/>
          <w:color w:val="000000"/>
          <w:sz w:val="22"/>
          <w:szCs w:val="22"/>
          <w:lang w:val="en-US" w:bidi="pa-IN"/>
        </w:rPr>
        <w:t xml:space="preserve"> based the</w:t>
      </w:r>
      <w:r>
        <w:rPr>
          <w:rFonts w:ascii="Calibri" w:eastAsia="MS PGothic" w:hAnsi="Calibri" w:cs="Raavi"/>
          <w:color w:val="000000"/>
          <w:sz w:val="22"/>
          <w:szCs w:val="22"/>
          <w:lang w:val="en-US" w:bidi="pa-IN"/>
        </w:rPr>
        <w:t xml:space="preserve"> obtained</w:t>
      </w:r>
      <w:r w:rsidRPr="009E28FA">
        <w:rPr>
          <w:rFonts w:ascii="Calibri" w:eastAsia="MS PGothic" w:hAnsi="Calibri" w:cs="Raavi"/>
          <w:color w:val="000000"/>
          <w:sz w:val="22"/>
          <w:szCs w:val="22"/>
          <w:lang w:val="en-US" w:bidi="pa-IN"/>
        </w:rPr>
        <w:t xml:space="preserve"> (</w:t>
      </w:r>
      <m:oMath>
        <m:sSub>
          <m:sSubPr>
            <m:ctrlPr>
              <w:rPr>
                <w:rFonts w:ascii="Cambria Math" w:eastAsia="MS PGothic" w:hAnsi="Cambria Math" w:cs="Raavi"/>
                <w:color w:val="000000"/>
                <w:sz w:val="22"/>
                <w:szCs w:val="22"/>
                <w:lang w:val="en-US" w:bidi="pa-IN"/>
              </w:rPr>
            </m:ctrlPr>
          </m:sSubPr>
          <m:e>
            <m:r>
              <w:rPr>
                <w:rFonts w:ascii="Cambria Math" w:eastAsia="MS PGothic" w:hAnsi="Cambria Math" w:cs="Raavi"/>
                <w:color w:val="000000"/>
                <w:sz w:val="22"/>
                <w:szCs w:val="22"/>
                <w:lang w:val="en-US" w:bidi="pa-IN"/>
              </w:rPr>
              <m:t>k</m:t>
            </m:r>
          </m:e>
          <m:sub>
            <m:r>
              <w:rPr>
                <w:rFonts w:ascii="Cambria Math" w:eastAsia="MS PGothic" w:hAnsi="Cambria Math" w:cs="Raavi"/>
                <w:color w:val="000000"/>
                <w:sz w:val="22"/>
                <w:szCs w:val="22"/>
                <w:lang w:val="en-US" w:bidi="pa-IN"/>
              </w:rPr>
              <m:t>L</m:t>
            </m:r>
          </m:sub>
        </m:sSub>
        <m:r>
          <w:rPr>
            <w:rFonts w:ascii="Cambria Math" w:eastAsia="MS PGothic" w:hAnsi="Cambria Math" w:cs="Raavi"/>
            <w:color w:val="000000"/>
            <w:sz w:val="22"/>
            <w:szCs w:val="22"/>
            <w:lang w:val="en-US" w:bidi="pa-IN"/>
          </w:rPr>
          <m:t>a</m:t>
        </m:r>
      </m:oMath>
      <w:r w:rsidRPr="009E28FA">
        <w:rPr>
          <w:rFonts w:ascii="Calibri" w:eastAsia="MS PGothic" w:hAnsi="Calibri" w:cs="Raavi"/>
          <w:color w:val="000000"/>
          <w:sz w:val="22"/>
          <w:szCs w:val="22"/>
          <w:lang w:val="en-US" w:bidi="pa-IN"/>
        </w:rPr>
        <w:t>) value of 16 hr</w:t>
      </w:r>
      <w:r w:rsidRPr="009E28FA">
        <w:rPr>
          <w:rFonts w:ascii="Calibri" w:eastAsia="MS PGothic" w:hAnsi="Calibri" w:cs="Raavi"/>
          <w:color w:val="000000"/>
          <w:sz w:val="22"/>
          <w:szCs w:val="22"/>
          <w:vertAlign w:val="superscript"/>
          <w:lang w:val="en-US" w:bidi="pa-IN"/>
        </w:rPr>
        <w:t>-1</w:t>
      </w:r>
      <w:r>
        <w:rPr>
          <w:rFonts w:ascii="Calibri" w:eastAsia="MS PGothic" w:hAnsi="Calibri" w:cs="Raavi"/>
          <w:color w:val="000000"/>
          <w:sz w:val="22"/>
          <w:szCs w:val="22"/>
          <w:vertAlign w:val="superscript"/>
          <w:lang w:val="en-US" w:bidi="pa-IN"/>
        </w:rPr>
        <w:t xml:space="preserve">  </w:t>
      </w:r>
      <w:r>
        <w:rPr>
          <w:rFonts w:ascii="Calibri" w:eastAsia="MS PGothic" w:hAnsi="Calibri" w:cs="Raavi"/>
          <w:color w:val="000000"/>
          <w:sz w:val="22"/>
          <w:szCs w:val="22"/>
          <w:lang w:val="en-US" w:bidi="pa-IN"/>
        </w:rPr>
        <w:t>for this reactor.</w:t>
      </w:r>
      <w:r>
        <w:rPr>
          <w:rFonts w:ascii="Calibri" w:eastAsia="MS PGothic" w:hAnsi="Calibri" w:cs="Raavi"/>
          <w:color w:val="000000"/>
          <w:sz w:val="22"/>
          <w:szCs w:val="22"/>
          <w:vertAlign w:val="superscript"/>
          <w:lang w:val="en-US" w:bidi="pa-IN"/>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5D0CCA" w:rsidRDefault="005D0CC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Calibri" w:hAnsi="Calibri" w:cs="Raavi"/>
          <w:noProof/>
          <w:sz w:val="18"/>
          <w:szCs w:val="24"/>
        </w:rPr>
      </w:pPr>
      <w:r w:rsidRPr="001C00E9">
        <w:rPr>
          <w:rFonts w:ascii="Calibri" w:hAnsi="Calibri" w:cs="Raavi"/>
          <w:noProof/>
          <w:sz w:val="18"/>
          <w:szCs w:val="24"/>
        </w:rPr>
        <w:t>D. Fernandes, Reducing risk in biopharmaceutical production by controlling glycosylation, Eur. Biopharm. Rev. (2004) 92–97.</w:t>
      </w:r>
    </w:p>
    <w:p w:rsidR="001C00E9" w:rsidRPr="001C00E9" w:rsidRDefault="001C00E9" w:rsidP="001C00E9">
      <w:pPr>
        <w:pStyle w:val="FirstParagraph"/>
        <w:widowControl w:val="0"/>
        <w:numPr>
          <w:ilvl w:val="0"/>
          <w:numId w:val="17"/>
        </w:numPr>
        <w:tabs>
          <w:tab w:val="left" w:pos="426"/>
        </w:tabs>
        <w:autoSpaceDE w:val="0"/>
        <w:autoSpaceDN w:val="0"/>
        <w:adjustRightInd w:val="0"/>
        <w:spacing w:line="240" w:lineRule="auto"/>
        <w:ind w:left="640" w:hanging="640"/>
        <w:rPr>
          <w:rFonts w:ascii="Calibri" w:hAnsi="Calibri" w:cs="Raavi"/>
          <w:noProof/>
          <w:sz w:val="18"/>
          <w:szCs w:val="24"/>
        </w:rPr>
      </w:pPr>
      <w:r w:rsidRPr="001C00E9">
        <w:rPr>
          <w:rFonts w:ascii="Calibri" w:hAnsi="Calibri" w:cs="Raavi"/>
          <w:noProof/>
          <w:sz w:val="18"/>
          <w:szCs w:val="24"/>
        </w:rPr>
        <w:t>R. Sharma, S.</w:t>
      </w:r>
      <w:r>
        <w:rPr>
          <w:rFonts w:ascii="Calibri" w:hAnsi="Calibri" w:cs="Raavi"/>
          <w:noProof/>
          <w:sz w:val="18"/>
          <w:szCs w:val="24"/>
        </w:rPr>
        <w:t>T.L.</w:t>
      </w:r>
      <w:r w:rsidRPr="001C00E9">
        <w:rPr>
          <w:rFonts w:ascii="Calibri" w:hAnsi="Calibri" w:cs="Raavi"/>
          <w:noProof/>
          <w:sz w:val="18"/>
          <w:szCs w:val="24"/>
        </w:rPr>
        <w:t xml:space="preserve"> Harrison, S.</w:t>
      </w:r>
      <w:r>
        <w:rPr>
          <w:rFonts w:ascii="Calibri" w:hAnsi="Calibri" w:cs="Raavi"/>
          <w:noProof/>
          <w:sz w:val="18"/>
          <w:szCs w:val="24"/>
        </w:rPr>
        <w:t>L.</w:t>
      </w:r>
      <w:r w:rsidRPr="001C00E9">
        <w:rPr>
          <w:rFonts w:ascii="Calibri" w:hAnsi="Calibri" w:cs="Raavi"/>
          <w:noProof/>
          <w:sz w:val="18"/>
          <w:szCs w:val="24"/>
        </w:rPr>
        <w:t xml:space="preserve"> Tai, Evaluating process parameters of surface-aerated horizontal tubular bioreactors for the growth of animal cells, 10</w:t>
      </w:r>
      <w:r w:rsidRPr="001C00E9">
        <w:rPr>
          <w:rFonts w:ascii="Calibri" w:hAnsi="Calibri" w:cs="Raavi"/>
          <w:noProof/>
          <w:sz w:val="18"/>
          <w:szCs w:val="24"/>
          <w:vertAlign w:val="superscript"/>
        </w:rPr>
        <w:t>th</w:t>
      </w:r>
      <w:r>
        <w:rPr>
          <w:rFonts w:ascii="Calibri" w:hAnsi="Calibri" w:cs="Raavi"/>
          <w:noProof/>
          <w:sz w:val="18"/>
          <w:szCs w:val="24"/>
        </w:rPr>
        <w:t xml:space="preserve"> </w:t>
      </w:r>
      <w:r w:rsidRPr="001C00E9">
        <w:rPr>
          <w:rFonts w:ascii="Calibri" w:hAnsi="Calibri" w:cs="Raavi"/>
          <w:noProof/>
          <w:sz w:val="18"/>
          <w:szCs w:val="24"/>
        </w:rPr>
        <w:t>World Congress of Chemical Engineering at Barcelona, Spain</w:t>
      </w:r>
      <w:r>
        <w:rPr>
          <w:rFonts w:ascii="Calibri" w:hAnsi="Calibri" w:cs="Raavi"/>
          <w:noProof/>
          <w:sz w:val="18"/>
          <w:szCs w:val="24"/>
        </w:rPr>
        <w:t xml:space="preserve"> (2017</w:t>
      </w:r>
      <w:r w:rsidRPr="001C00E9">
        <w:rPr>
          <w:rFonts w:ascii="Calibri" w:hAnsi="Calibri" w:cs="Raavi"/>
          <w:noProof/>
          <w:sz w:val="18"/>
          <w:szCs w:val="24"/>
        </w:rPr>
        <w:t>).</w:t>
      </w:r>
    </w:p>
    <w:p w:rsidR="00744922" w:rsidRPr="001C00E9" w:rsidRDefault="00744922" w:rsidP="00704BDF">
      <w:pPr>
        <w:pStyle w:val="FirstParagraph"/>
        <w:widowControl w:val="0"/>
        <w:numPr>
          <w:ilvl w:val="0"/>
          <w:numId w:val="17"/>
        </w:numPr>
        <w:tabs>
          <w:tab w:val="left" w:pos="426"/>
        </w:tabs>
        <w:autoSpaceDE w:val="0"/>
        <w:autoSpaceDN w:val="0"/>
        <w:adjustRightInd w:val="0"/>
        <w:spacing w:line="240" w:lineRule="auto"/>
        <w:ind w:left="640" w:hanging="640"/>
        <w:rPr>
          <w:rFonts w:ascii="Calibri" w:hAnsi="Calibri" w:cs="Raavi"/>
          <w:noProof/>
          <w:sz w:val="18"/>
          <w:szCs w:val="24"/>
        </w:rPr>
      </w:pPr>
      <w:r w:rsidRPr="0054041F">
        <w:rPr>
          <w:rFonts w:ascii="Calibri" w:hAnsi="Calibri" w:cs="Raavi"/>
          <w:noProof/>
          <w:sz w:val="18"/>
          <w:szCs w:val="24"/>
        </w:rPr>
        <w:t>S.L. Schwager, A.K. Carmona, E.D. Sturrock, A high-throughput fluorimetric assay for angiotensin I-converting enzyme, Nat. Protoc. 1 (2006) 1961–1964.</w:t>
      </w:r>
    </w:p>
    <w:p w:rsidR="00704BDF" w:rsidRPr="00D85311" w:rsidRDefault="00744922"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D85311">
        <w:rPr>
          <w:rFonts w:ascii="Calibri" w:hAnsi="Calibri" w:cs="Raavi"/>
          <w:noProof/>
          <w:sz w:val="18"/>
          <w:szCs w:val="24"/>
        </w:rPr>
        <w:t>R. Cramp, M. Gilmour, D.A. Cowan, Novel thermophilic bacteria producing nitrile-degrading enzymes, Microbiology. 143 (1997) 2313–2320.</w:t>
      </w:r>
    </w:p>
    <w:sectPr w:rsidR="00704BDF" w:rsidRPr="00D8531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5E" w:rsidRDefault="00277D5E" w:rsidP="004F5E36">
      <w:r>
        <w:separator/>
      </w:r>
    </w:p>
  </w:endnote>
  <w:endnote w:type="continuationSeparator" w:id="0">
    <w:p w:rsidR="00277D5E" w:rsidRDefault="00277D5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5E" w:rsidRDefault="00277D5E" w:rsidP="004F5E36">
      <w:r>
        <w:separator/>
      </w:r>
    </w:p>
  </w:footnote>
  <w:footnote w:type="continuationSeparator" w:id="0">
    <w:p w:rsidR="00277D5E" w:rsidRDefault="00277D5E"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MjAxNTQwAiFDJR2l4NTi4sz8PJACi1oAugChiSwAAAA="/>
  </w:docVars>
  <w:rsids>
    <w:rsidRoot w:val="000E414A"/>
    <w:rsid w:val="000027C0"/>
    <w:rsid w:val="000117CB"/>
    <w:rsid w:val="0003148D"/>
    <w:rsid w:val="00062A9A"/>
    <w:rsid w:val="000938B7"/>
    <w:rsid w:val="000A03B2"/>
    <w:rsid w:val="000D34BE"/>
    <w:rsid w:val="000E36F1"/>
    <w:rsid w:val="000E3A73"/>
    <w:rsid w:val="000E414A"/>
    <w:rsid w:val="00114F00"/>
    <w:rsid w:val="00127464"/>
    <w:rsid w:val="0013121F"/>
    <w:rsid w:val="00134DE4"/>
    <w:rsid w:val="00150E59"/>
    <w:rsid w:val="00174B70"/>
    <w:rsid w:val="00184AD6"/>
    <w:rsid w:val="001A6AFB"/>
    <w:rsid w:val="001B65C1"/>
    <w:rsid w:val="001C00E9"/>
    <w:rsid w:val="001C684B"/>
    <w:rsid w:val="001D53FC"/>
    <w:rsid w:val="001F2EC7"/>
    <w:rsid w:val="002065DB"/>
    <w:rsid w:val="002447EF"/>
    <w:rsid w:val="00251550"/>
    <w:rsid w:val="0027221A"/>
    <w:rsid w:val="00275B61"/>
    <w:rsid w:val="00277D5E"/>
    <w:rsid w:val="00280D93"/>
    <w:rsid w:val="002C39F2"/>
    <w:rsid w:val="002D1F12"/>
    <w:rsid w:val="002D5661"/>
    <w:rsid w:val="002E3F63"/>
    <w:rsid w:val="003009B7"/>
    <w:rsid w:val="0030469C"/>
    <w:rsid w:val="003079A8"/>
    <w:rsid w:val="00342880"/>
    <w:rsid w:val="003723D4"/>
    <w:rsid w:val="003A7015"/>
    <w:rsid w:val="003A7D1C"/>
    <w:rsid w:val="0046164A"/>
    <w:rsid w:val="00462DCD"/>
    <w:rsid w:val="004D1162"/>
    <w:rsid w:val="004E4DD6"/>
    <w:rsid w:val="004F563B"/>
    <w:rsid w:val="004F5E36"/>
    <w:rsid w:val="005119A5"/>
    <w:rsid w:val="005278B7"/>
    <w:rsid w:val="005346C8"/>
    <w:rsid w:val="00576EE8"/>
    <w:rsid w:val="00576F29"/>
    <w:rsid w:val="00594E9F"/>
    <w:rsid w:val="005A602F"/>
    <w:rsid w:val="005B61E6"/>
    <w:rsid w:val="005C77E1"/>
    <w:rsid w:val="005D0CCA"/>
    <w:rsid w:val="005D6A2F"/>
    <w:rsid w:val="005E1A82"/>
    <w:rsid w:val="005F0A28"/>
    <w:rsid w:val="005F0E5E"/>
    <w:rsid w:val="00610FAB"/>
    <w:rsid w:val="00617DD0"/>
    <w:rsid w:val="00620DEE"/>
    <w:rsid w:val="00625639"/>
    <w:rsid w:val="00633556"/>
    <w:rsid w:val="006366F8"/>
    <w:rsid w:val="00640375"/>
    <w:rsid w:val="0064184D"/>
    <w:rsid w:val="00646837"/>
    <w:rsid w:val="00660E3E"/>
    <w:rsid w:val="00662E74"/>
    <w:rsid w:val="00683974"/>
    <w:rsid w:val="006A0EDF"/>
    <w:rsid w:val="006B01AC"/>
    <w:rsid w:val="006B5A50"/>
    <w:rsid w:val="006C5579"/>
    <w:rsid w:val="00704BDF"/>
    <w:rsid w:val="00736B13"/>
    <w:rsid w:val="007447F3"/>
    <w:rsid w:val="00744922"/>
    <w:rsid w:val="00752A4D"/>
    <w:rsid w:val="007661C8"/>
    <w:rsid w:val="007D52CD"/>
    <w:rsid w:val="00813288"/>
    <w:rsid w:val="008168FC"/>
    <w:rsid w:val="008479A2"/>
    <w:rsid w:val="0087637F"/>
    <w:rsid w:val="008A1512"/>
    <w:rsid w:val="008D0BEB"/>
    <w:rsid w:val="008E566E"/>
    <w:rsid w:val="00901EB6"/>
    <w:rsid w:val="00910150"/>
    <w:rsid w:val="009405C2"/>
    <w:rsid w:val="009450CE"/>
    <w:rsid w:val="0095164B"/>
    <w:rsid w:val="009903C0"/>
    <w:rsid w:val="00996483"/>
    <w:rsid w:val="009E6737"/>
    <w:rsid w:val="009E788A"/>
    <w:rsid w:val="00A13A70"/>
    <w:rsid w:val="00A1763D"/>
    <w:rsid w:val="00A17CEC"/>
    <w:rsid w:val="00A27EF0"/>
    <w:rsid w:val="00A63069"/>
    <w:rsid w:val="00A76EFC"/>
    <w:rsid w:val="00A95177"/>
    <w:rsid w:val="00A97F29"/>
    <w:rsid w:val="00AB0964"/>
    <w:rsid w:val="00AC6978"/>
    <w:rsid w:val="00AE377D"/>
    <w:rsid w:val="00B47DD4"/>
    <w:rsid w:val="00B61DBF"/>
    <w:rsid w:val="00B96F08"/>
    <w:rsid w:val="00BB13D1"/>
    <w:rsid w:val="00BC30C9"/>
    <w:rsid w:val="00BE3E58"/>
    <w:rsid w:val="00C01616"/>
    <w:rsid w:val="00C0162B"/>
    <w:rsid w:val="00C3436C"/>
    <w:rsid w:val="00C345B1"/>
    <w:rsid w:val="00C40142"/>
    <w:rsid w:val="00C57182"/>
    <w:rsid w:val="00C655FD"/>
    <w:rsid w:val="00C94434"/>
    <w:rsid w:val="00CA1C95"/>
    <w:rsid w:val="00CA5A9C"/>
    <w:rsid w:val="00CC3F4B"/>
    <w:rsid w:val="00CD5FE2"/>
    <w:rsid w:val="00CF1E97"/>
    <w:rsid w:val="00D02B4C"/>
    <w:rsid w:val="00D501C7"/>
    <w:rsid w:val="00D84576"/>
    <w:rsid w:val="00D85311"/>
    <w:rsid w:val="00DE0019"/>
    <w:rsid w:val="00DE264A"/>
    <w:rsid w:val="00E00FB1"/>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6FDB-8B5C-4A59-97DC-4BFF5FFB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2018</Words>
  <Characters>11506</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2019-06-18T09:50:00Z</dcterms:created>
  <dcterms:modified xsi:type="dcterms:W3CDTF">2019-06-18T09:50:00Z</dcterms:modified>
</cp:coreProperties>
</file>