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062EF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Novel design of magnetophoretic microdevices for extracorporeal sepsis treatment</w:t>
      </w:r>
    </w:p>
    <w:p w:rsidR="00DE0019" w:rsidRPr="00062EFE" w:rsidRDefault="00062EFE" w:rsidP="00704BDF">
      <w:pPr>
        <w:snapToGrid w:val="0"/>
        <w:spacing w:after="120"/>
        <w:jc w:val="center"/>
        <w:rPr>
          <w:rFonts w:eastAsia="SimSun"/>
          <w:color w:val="000000"/>
          <w:lang w:val="es-ES" w:eastAsia="zh-CN"/>
        </w:rPr>
      </w:pPr>
      <w:r w:rsidRPr="00062EFE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Cristina González-Fernández</w:t>
      </w:r>
      <w:r w:rsidR="0074202B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*</w:t>
      </w:r>
      <w:r w:rsidRPr="00062EFE"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, Jenifer G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ES" w:eastAsia="zh-CN"/>
        </w:rPr>
        <w:t>ómez-Pastora, Eugenio Bringas, Inmaculada Ortiz</w:t>
      </w:r>
      <w:r w:rsidR="00DE0019" w:rsidRPr="00062EFE">
        <w:rPr>
          <w:rFonts w:eastAsia="SimSun"/>
          <w:color w:val="000000"/>
          <w:lang w:val="es-ES" w:eastAsia="zh-CN"/>
        </w:rPr>
        <w:t xml:space="preserve"> </w:t>
      </w:r>
    </w:p>
    <w:p w:rsidR="00062EFE" w:rsidRDefault="00062EFE" w:rsidP="00062EFE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and Biomolecular Engineering Department</w:t>
      </w:r>
    </w:p>
    <w:p w:rsidR="00062EFE" w:rsidRDefault="00062EFE" w:rsidP="00062EFE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ETySIIT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University of Cantabria,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Avda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De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los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Castros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39005, Santander,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62EFE">
        <w:rPr>
          <w:rFonts w:asciiTheme="minorHAnsi" w:eastAsia="MS PGothic" w:hAnsiTheme="minorHAnsi"/>
          <w:bCs/>
          <w:i/>
          <w:iCs/>
          <w:sz w:val="20"/>
          <w:lang w:val="en-US"/>
        </w:rPr>
        <w:t>gonzalezferc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062EFE">
        <w:rPr>
          <w:rFonts w:asciiTheme="minorHAnsi" w:eastAsia="MS PGothic" w:hAnsiTheme="minorHAnsi"/>
          <w:bCs/>
          <w:i/>
          <w:iCs/>
          <w:sz w:val="20"/>
          <w:lang w:val="en-US"/>
        </w:rPr>
        <w:t>unican.es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83D8C" w:rsidRDefault="00783D8C" w:rsidP="00783D8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83D8C">
        <w:rPr>
          <w:rFonts w:asciiTheme="minorHAnsi" w:hAnsiTheme="minorHAnsi"/>
        </w:rPr>
        <w:t xml:space="preserve">Magnetic bead separation from </w:t>
      </w:r>
      <w:r>
        <w:rPr>
          <w:rFonts w:asciiTheme="minorHAnsi" w:hAnsiTheme="minorHAnsi"/>
        </w:rPr>
        <w:t>human whole blood</w:t>
      </w:r>
      <w:r w:rsidRPr="00783D8C">
        <w:rPr>
          <w:rFonts w:asciiTheme="minorHAnsi" w:hAnsiTheme="minorHAnsi"/>
        </w:rPr>
        <w:t xml:space="preserve"> is analyzed</w:t>
      </w:r>
    </w:p>
    <w:p w:rsidR="00783D8C" w:rsidRDefault="00783D8C" w:rsidP="00783D8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783D8C">
        <w:rPr>
          <w:rFonts w:asciiTheme="minorHAnsi" w:hAnsiTheme="minorHAnsi"/>
        </w:rPr>
        <w:t>CFD approach</w:t>
      </w:r>
      <w:r w:rsidR="00AD525A">
        <w:rPr>
          <w:rFonts w:asciiTheme="minorHAnsi" w:hAnsiTheme="minorHAnsi"/>
        </w:rPr>
        <w:t xml:space="preserve"> is used</w:t>
      </w:r>
      <w:r w:rsidRPr="00783D8C">
        <w:rPr>
          <w:rFonts w:asciiTheme="minorHAnsi" w:hAnsiTheme="minorHAnsi"/>
        </w:rPr>
        <w:t xml:space="preserve"> for modeling magnetic bead magnetophoresis from blood</w:t>
      </w:r>
    </w:p>
    <w:p w:rsidR="00783D8C" w:rsidRDefault="00783D8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Effect of fluid flow</w:t>
      </w:r>
      <w:r w:rsidR="00F80D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rates in </w:t>
      </w:r>
      <w:r w:rsidR="00AD525A">
        <w:rPr>
          <w:rFonts w:asciiTheme="minorHAnsi" w:hAnsiTheme="minorHAnsi"/>
        </w:rPr>
        <w:t xml:space="preserve">the recovery of </w:t>
      </w:r>
      <w:r>
        <w:rPr>
          <w:rFonts w:asciiTheme="minorHAnsi" w:hAnsiTheme="minorHAnsi"/>
        </w:rPr>
        <w:t>magnetic bead</w:t>
      </w:r>
      <w:r w:rsidR="00AD525A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is modeled</w:t>
      </w:r>
      <w:r w:rsidR="00F60942">
        <w:rPr>
          <w:rFonts w:asciiTheme="minorHAnsi" w:hAnsiTheme="minorHAnsi"/>
        </w:rPr>
        <w:t xml:space="preserve"> </w:t>
      </w:r>
    </w:p>
    <w:p w:rsidR="00F60942" w:rsidRDefault="00F6094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D525A">
        <w:rPr>
          <w:rFonts w:asciiTheme="minorHAnsi" w:hAnsiTheme="minorHAnsi"/>
        </w:rPr>
        <w:t xml:space="preserve">We report the </w:t>
      </w:r>
      <w:r>
        <w:rPr>
          <w:rFonts w:asciiTheme="minorHAnsi" w:hAnsiTheme="minorHAnsi"/>
        </w:rPr>
        <w:t>r</w:t>
      </w:r>
      <w:r w:rsidRPr="00AD525A">
        <w:rPr>
          <w:rFonts w:asciiTheme="minorHAnsi" w:hAnsiTheme="minorHAnsi"/>
        </w:rPr>
        <w:t>ational design of magnetophoretic microfluidic devices</w:t>
      </w:r>
    </w:p>
    <w:p w:rsidR="00704BDF" w:rsidRPr="00F60942" w:rsidRDefault="00704BDF" w:rsidP="00E67D83">
      <w:pPr>
        <w:snapToGrid w:val="0"/>
        <w:spacing w:after="120"/>
        <w:jc w:val="center"/>
        <w:rPr>
          <w:rFonts w:ascii="Times" w:eastAsia="SimSun" w:hAnsi="Times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140F7" w:rsidRDefault="002140F7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removal of disease-causing agents from bloodstream is considered to be the most direct conceivable treatment for infectious illness such as sepsis.</w:t>
      </w:r>
      <w:r w:rsidR="00056C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regard, the coupling of functionalized magnetic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microparticles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continuous flow microfluidic devices has attained outstanding attention for 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extracorporeal toxin and pathogen 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isolation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blood.</w:t>
      </w:r>
      <w:r w:rsidR="00056C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laminar flow pattern developed in microfluidic devices allow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of parallel streams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stable interface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while 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magne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tic beads provide the selective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adsorption of the target substance on 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surface and promote their recovery by </w:t>
      </w:r>
      <w:r w:rsidR="006B17AE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external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magnetic field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generated by rare-earth magnets</w:t>
      </w:r>
      <w:r w:rsidR="00F80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[1, 2]</w:t>
      </w:r>
      <w:r w:rsidR="00D02B6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B17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Nevertheless, the performance of such magnetophoretic-microfluidic devices has not been addressed yet because of the complexity </w:t>
      </w:r>
      <w:r w:rsidR="008D4735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their mathematical description.</w:t>
      </w:r>
      <w:r w:rsidR="00A11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A111BA" w:rsidRDefault="00A111BA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current study presents both the experi</w:t>
      </w:r>
      <w:r w:rsidR="00CA4A46">
        <w:rPr>
          <w:rFonts w:asciiTheme="minorHAnsi" w:eastAsia="MS PGothic" w:hAnsiTheme="minorHAnsi"/>
          <w:color w:val="000000"/>
          <w:sz w:val="22"/>
          <w:szCs w:val="22"/>
          <w:lang w:val="en-US"/>
        </w:rPr>
        <w:t>mental and computational based design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two-</w:t>
      </w:r>
      <w:r w:rsidR="00CA4A46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continuous-flow extracorporeal magnetic blood cleansing </w:t>
      </w:r>
      <w:r w:rsidR="006B11D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microdevice for maximizing bead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recovery while keeping </w:t>
      </w:r>
      <w:r w:rsidR="00CA4A46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impaired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blood quality. In such system, </w:t>
      </w:r>
      <w:r w:rsidR="00044F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suspension (0.2</w:t>
      </w:r>
      <w:bookmarkStart w:id="0" w:name="_GoBack"/>
      <w:bookmarkEnd w:id="0"/>
      <w:r w:rsidR="00062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062EFE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062EFE" w:rsidRPr="0074202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062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of </w:t>
      </w:r>
      <w:r w:rsidR="00CA4A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fluorescent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magnetic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microparticles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(4.9</w:t>
      </w:r>
      <w:r w:rsidRPr="00A111BA">
        <w:t xml:space="preserve"> </w:t>
      </w:r>
      <w:proofErr w:type="spellStart"/>
      <w:r w:rsidRPr="00A111BA">
        <w:rPr>
          <w:rFonts w:asciiTheme="minorHAnsi" w:eastAsia="MS PGothic" w:hAnsiTheme="minorHAnsi"/>
          <w:color w:val="000000"/>
          <w:sz w:val="22"/>
          <w:szCs w:val="22"/>
          <w:lang w:val="en-US"/>
        </w:rPr>
        <w:t>μ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A111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E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Human Whole Blood (HWB)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 buffer solution are continuously injected through different inlets of a Y-Y shaped </w:t>
      </w:r>
      <w:r w:rsidR="00CA4A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glass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microchannel. The deflection of the particles and their collection in the buffer stream is achieved through the application of an external magnetic field by a permanent rectangular (10 x 5 x 3 mm</w:t>
      </w:r>
      <w:r w:rsidRPr="0074202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neodymium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NdFeB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magnet parallel to the microchannel.</w:t>
      </w:r>
      <w:r w:rsidR="006B1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Experimentally, t</w:t>
      </w:r>
      <w:r w:rsidR="006B11D7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use of fluorescent beads allow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B1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quantification of the particle recovery by fluorescence microscopy, using a custom </w:t>
      </w:r>
      <w:proofErr w:type="spellStart"/>
      <w:r w:rsidR="006B11D7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Matlab</w:t>
      </w:r>
      <w:proofErr w:type="spellEnd"/>
      <w:r w:rsidR="006B1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code for image analysis</w:t>
      </w:r>
      <w:r w:rsidR="002E3F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242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</w:t>
      </w:r>
      <w:r w:rsid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numerical </w:t>
      </w:r>
      <w:r w:rsid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analysis, </w:t>
      </w:r>
      <w:r w:rsid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Computational</w:t>
      </w:r>
      <w:r w:rsidR="00F242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Fluid Dynamics (CFD)</w:t>
      </w:r>
      <w:r w:rsidR="00F24205" w:rsidRPr="00F24205">
        <w:rPr>
          <w:rFonts w:asciiTheme="minorHAnsi" w:eastAsia="MS PGothic" w:hAnsiTheme="minorHAnsi"/>
          <w:color w:val="000000"/>
          <w:sz w:val="22"/>
          <w:szCs w:val="22"/>
          <w:lang w:val="en-US"/>
        </w:rPr>
        <w:t>-based Eulerian-Lagrangian approach</w:t>
      </w:r>
      <w:r w:rsid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24205" w:rsidRPr="00F242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the commercial software FLOW-3D</w:t>
      </w:r>
      <w:r w:rsid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242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4E77" w:rsidRP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linked to a </w:t>
      </w:r>
      <w:proofErr w:type="gramStart"/>
      <w:r w:rsidR="006C4E77" w:rsidRP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Fortran</w:t>
      </w:r>
      <w:proofErr w:type="gramEnd"/>
      <w:r w:rsidR="006C4E77" w:rsidRP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code</w:t>
      </w:r>
      <w:r w:rsid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magnetic field and forces calculations </w:t>
      </w:r>
      <w:r w:rsidR="00F24205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employed. The numerical m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ethod</w:t>
      </w:r>
      <w:r w:rsidR="006C4E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reported here </w:t>
      </w:r>
      <w:r w:rsid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involves magn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tic and fluidic models that describe t</w:t>
      </w:r>
      <w:r w:rsidR="00786AE6" w:rsidRP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motion of the beads and can be used to </w:t>
      </w:r>
      <w:r w:rsidR="00786AE6" w:rsidRP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study critical details of the separation process, including the trajec</w:t>
      </w:r>
      <w:r w:rsid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tories of individual particles </w:t>
      </w:r>
      <w:r w:rsidR="00786AE6" w:rsidRP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stability of the </w:t>
      </w:r>
      <w:r w:rsidR="00786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blood/buffer interface.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87E03" w:rsidRDefault="00786AE6" w:rsidP="009A40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complete bead recovery and fluid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at the channel outlet requires a careful stud</w:t>
      </w:r>
      <w:r w:rsidR="00932E70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both magnetic and fluidic forces.</w:t>
      </w:r>
      <w:r w:rsidR="00090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that purpose</w:t>
      </w:r>
      <w:r w:rsidR="00090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dimensionless number (J) that relates the variables that affect 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</w:t>
      </w:r>
      <w:r w:rsid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forces </w:t>
      </w:r>
      <w:r w:rsidR="00A87E03" w:rsidRP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(i.e. bead and fluids properties, magnet</w:t>
      </w:r>
      <w:r w:rsid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ic field applied, selected flow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87E03" w:rsidRP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rates)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empl</w:t>
      </w:r>
      <w:r w:rsidR="005C5858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yed</w:t>
      </w:r>
      <w:r w:rsid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86AE6" w:rsidRDefault="00E67D83" w:rsidP="009A40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1567180</wp:posOffset>
            </wp:positionV>
            <wp:extent cx="2337435" cy="1342390"/>
            <wp:effectExtent l="0" t="0" r="5715" b="0"/>
            <wp:wrapThrough wrapText="bothSides">
              <wp:wrapPolygon edited="0">
                <wp:start x="0" y="0"/>
                <wp:lineTo x="0" y="21150"/>
                <wp:lineTo x="21477" y="21150"/>
                <wp:lineTo x="2147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0" t="16466" r="13358" b="13108"/>
                    <a:stretch/>
                  </pic:blipFill>
                  <pic:spPr bwMode="auto">
                    <a:xfrm>
                      <a:off x="0" y="0"/>
                      <a:ext cx="2337435" cy="134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090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influence of fluids flow</w:t>
      </w:r>
      <w:r w:rsidR="00D332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0E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rates on both flow patterns and capture efficiency of the microseparator, expressed as particle recovery, is </w:t>
      </w:r>
      <w:r w:rsid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illustrated in Fig. 1</w:t>
      </w:r>
      <w:r w:rsidR="00090EC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32E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of t</w:t>
      </w:r>
      <w:r w:rsidR="00932E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rheological </w:t>
      </w:r>
      <w:r w:rsid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properties of HWB, low 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rates of approximately 0.005 μL·s</w:t>
      </w:r>
      <w:r w:rsidR="009A404B" w:rsidRPr="0074202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required</w:t>
      </w:r>
      <w:r w:rsid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obtain high recovery </w:t>
      </w:r>
      <w:r w:rsidR="009A404B" w:rsidRPr="00AB0559">
        <w:rPr>
          <w:rFonts w:asciiTheme="minorHAnsi" w:eastAsia="MS PGothic" w:hAnsiTheme="minorHAnsi"/>
          <w:sz w:val="22"/>
          <w:szCs w:val="22"/>
          <w:lang w:val="en-US"/>
        </w:rPr>
        <w:t xml:space="preserve">(higher than 90%). </w:t>
      </w:r>
      <w:r w:rsidR="00A87E0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flo</w:t>
      </w:r>
      <w:r w:rsidR="00535513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5513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 lead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355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similar values of magn</w:t>
      </w:r>
      <w:r w:rsidR="00AB0559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355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tic and fluidic forces (J-value of 1.2) and corresponds to 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average velocity of 0.65 mm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A404B" w:rsidRPr="0074202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residence time of 3s, which is 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</w:t>
      </w:r>
      <w:r w:rsidR="00AD525A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enough to </w:t>
      </w:r>
      <w:r w:rsidR="00AD5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prevent</w:t>
      </w:r>
      <w:r w:rsidR="00AD525A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diffusion of blood components to the buffer stream, thus ensuring that these low flow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404B" w:rsidRPr="009A404B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rates can be safely used since the properties of the blood are not affected.</w:t>
      </w:r>
      <w:r w:rsidR="003F6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6AAA" w:rsidRPr="003F6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experimental results fitted adequately to simulated data provided by the theoretical model</w:t>
      </w:r>
      <w:r w:rsidR="003F6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(error l</w:t>
      </w:r>
      <w:r w:rsidR="00742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ower</w:t>
      </w:r>
      <w:r w:rsidR="003F6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than 10%).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E67D83" w:rsidRDefault="00E67D8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E67D83" w:rsidRDefault="00E67D8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E67D83" w:rsidRDefault="00E67D8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E67D83" w:rsidRDefault="00E67D83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AB0813">
        <w:rPr>
          <w:rFonts w:asciiTheme="minorHAnsi" w:hAnsiTheme="minorHAnsi"/>
          <w:lang w:val="en-US"/>
        </w:rPr>
        <w:t>Magnetic bead recovery (experimental and theoretical approaches) from human whole blood as a function of the applied flow</w:t>
      </w:r>
      <w:r w:rsidR="00F80DA2">
        <w:rPr>
          <w:rFonts w:asciiTheme="minorHAnsi" w:hAnsiTheme="minorHAnsi"/>
          <w:lang w:val="en-US"/>
        </w:rPr>
        <w:t xml:space="preserve"> </w:t>
      </w:r>
      <w:r w:rsidR="00AB0813">
        <w:rPr>
          <w:rFonts w:asciiTheme="minorHAnsi" w:hAnsiTheme="minorHAnsi"/>
          <w:lang w:val="en-US"/>
        </w:rPr>
        <w:t>rate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AB0559" w:rsidRPr="00AB0559" w:rsidRDefault="00AB0559" w:rsidP="00AB055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B0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improvement of the </w:t>
      </w:r>
      <w:r w:rsidRPr="00AB0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 performance requires the 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treatment of high contaminated blood volumes. </w:t>
      </w:r>
      <w:r w:rsidRPr="00AB0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Thus, several channel lengths 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3F6D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2, 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 and 10 mm) </w:t>
      </w:r>
      <w:r w:rsidRPr="00AB055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cross section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AB0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computationally </w:t>
      </w:r>
      <w:r w:rsidRPr="00AB05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tested in order to find the best geometrical conditions that </w:t>
      </w:r>
      <w:r w:rsidR="00F80DA2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 the use of higher flow rates while achieving high bead recovery.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B0813" w:rsidRDefault="002F3171" w:rsidP="002F317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theoretical and experimental methodology developed in this work provide insight into the design of magnetophoretic-microfluidic devices </w:t>
      </w:r>
      <w:r w:rsidRPr="002F317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biomolecules separation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and can be adapted to a broad range of magnetically-enabled microfluidic applications.</w:t>
      </w:r>
    </w:p>
    <w:p w:rsidR="00E67D83" w:rsidRDefault="00E67D83" w:rsidP="002F317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Acknowledgements</w:t>
      </w:r>
    </w:p>
    <w:p w:rsidR="00E67D83" w:rsidRDefault="00D33274" w:rsidP="00E67D83">
      <w:pPr>
        <w:snapToGrid w:val="0"/>
        <w:spacing w:after="120"/>
        <w:rPr>
          <w:rFonts w:asciiTheme="minorHAnsi" w:hAnsiTheme="minorHAnsi"/>
          <w:color w:val="000000"/>
          <w:sz w:val="20"/>
          <w:lang w:val="en-US"/>
        </w:rPr>
      </w:pPr>
      <w:r w:rsidRPr="00D33274">
        <w:rPr>
          <w:rFonts w:asciiTheme="minorHAnsi" w:hAnsiTheme="minorHAnsi"/>
          <w:color w:val="000000"/>
          <w:sz w:val="20"/>
          <w:lang w:val="en-US"/>
        </w:rPr>
        <w:t xml:space="preserve">Financial support from the Spanish Ministry of Economy and Competitiveness under the projects CTQ2015-72364-EXP/AEI and CTQ2015-66078-R is acknowledged. C. González-Fernández thanks the Concepción </w:t>
      </w:r>
      <w:proofErr w:type="spellStart"/>
      <w:r w:rsidRPr="00D33274">
        <w:rPr>
          <w:rFonts w:asciiTheme="minorHAnsi" w:hAnsiTheme="minorHAnsi"/>
          <w:color w:val="000000"/>
          <w:sz w:val="20"/>
          <w:lang w:val="en-US"/>
        </w:rPr>
        <w:t>Arenal</w:t>
      </w:r>
      <w:proofErr w:type="spellEnd"/>
      <w:r w:rsidRPr="00D33274">
        <w:rPr>
          <w:rFonts w:asciiTheme="minorHAnsi" w:hAnsiTheme="minorHAnsi"/>
          <w:color w:val="000000"/>
          <w:sz w:val="20"/>
          <w:lang w:val="en-US"/>
        </w:rPr>
        <w:t xml:space="preserve"> postgraduate research grant from the University of Cantabria.</w:t>
      </w:r>
    </w:p>
    <w:p w:rsidR="00704BDF" w:rsidRPr="008D0BEB" w:rsidRDefault="00F80DA2" w:rsidP="00E67D83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AF0CDA" w:rsidRDefault="00AF0CDA" w:rsidP="00AF0CD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F0CDA">
        <w:rPr>
          <w:rFonts w:asciiTheme="minorHAnsi" w:hAnsiTheme="minorHAnsi"/>
          <w:color w:val="000000"/>
        </w:rPr>
        <w:t>I. K. Herrmann, A. A. Schlegel, R. Graf, W</w:t>
      </w:r>
      <w:r>
        <w:rPr>
          <w:rFonts w:asciiTheme="minorHAnsi" w:hAnsiTheme="minorHAnsi"/>
          <w:color w:val="000000"/>
        </w:rPr>
        <w:t>.</w:t>
      </w:r>
      <w:r w:rsidRPr="00AF0CDA">
        <w:rPr>
          <w:rFonts w:asciiTheme="minorHAnsi" w:hAnsiTheme="minorHAnsi"/>
          <w:color w:val="000000"/>
        </w:rPr>
        <w:t xml:space="preserve"> J</w:t>
      </w:r>
      <w:r>
        <w:rPr>
          <w:rFonts w:asciiTheme="minorHAnsi" w:hAnsiTheme="minorHAnsi"/>
          <w:color w:val="000000"/>
        </w:rPr>
        <w:t>.</w:t>
      </w:r>
      <w:r w:rsidRPr="00AF0CDA">
        <w:rPr>
          <w:rFonts w:asciiTheme="minorHAnsi" w:hAnsiTheme="minorHAnsi"/>
          <w:color w:val="000000"/>
        </w:rPr>
        <w:t xml:space="preserve"> Stark</w:t>
      </w:r>
      <w:r>
        <w:rPr>
          <w:rFonts w:asciiTheme="minorHAnsi" w:hAnsiTheme="minorHAnsi"/>
          <w:color w:val="000000"/>
        </w:rPr>
        <w:t xml:space="preserve">, J </w:t>
      </w:r>
      <w:proofErr w:type="spellStart"/>
      <w:r>
        <w:rPr>
          <w:rFonts w:asciiTheme="minorHAnsi" w:hAnsiTheme="minorHAnsi"/>
          <w:color w:val="000000"/>
        </w:rPr>
        <w:t>Nanobiotechnol</w:t>
      </w:r>
      <w:proofErr w:type="spellEnd"/>
      <w:r>
        <w:rPr>
          <w:rFonts w:asciiTheme="minorHAnsi" w:hAnsiTheme="minorHAnsi"/>
          <w:color w:val="000000"/>
        </w:rPr>
        <w:t xml:space="preserve">, 13 (2015) </w:t>
      </w:r>
      <w:r w:rsidR="003F6DFF">
        <w:rPr>
          <w:rFonts w:asciiTheme="minorHAnsi" w:hAnsiTheme="minorHAnsi"/>
          <w:color w:val="000000"/>
        </w:rPr>
        <w:t>49</w:t>
      </w:r>
    </w:p>
    <w:p w:rsidR="00704BDF" w:rsidRPr="00AB0559" w:rsidRDefault="00056CFE" w:rsidP="000D624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napToGrid w:val="0"/>
        <w:spacing w:after="120"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AB0559">
        <w:rPr>
          <w:rFonts w:asciiTheme="minorHAnsi" w:hAnsiTheme="minorHAnsi"/>
          <w:color w:val="000000"/>
        </w:rPr>
        <w:t xml:space="preserve">J. Gómez-Pastora, E. Bringas, M. </w:t>
      </w:r>
      <w:proofErr w:type="spellStart"/>
      <w:r w:rsidRPr="00AB0559">
        <w:rPr>
          <w:rFonts w:asciiTheme="minorHAnsi" w:hAnsiTheme="minorHAnsi"/>
          <w:color w:val="000000"/>
        </w:rPr>
        <w:t>Lázaro-Díez</w:t>
      </w:r>
      <w:proofErr w:type="spellEnd"/>
      <w:r w:rsidRPr="00AB0559">
        <w:rPr>
          <w:rFonts w:asciiTheme="minorHAnsi" w:hAnsiTheme="minorHAnsi"/>
          <w:color w:val="000000"/>
        </w:rPr>
        <w:t>, J. Ramos-</w:t>
      </w:r>
      <w:proofErr w:type="spellStart"/>
      <w:r w:rsidRPr="00AB0559">
        <w:rPr>
          <w:rFonts w:asciiTheme="minorHAnsi" w:hAnsiTheme="minorHAnsi"/>
          <w:color w:val="000000"/>
        </w:rPr>
        <w:t>Vivas</w:t>
      </w:r>
      <w:proofErr w:type="spellEnd"/>
      <w:r w:rsidRPr="00AB0559">
        <w:rPr>
          <w:rFonts w:asciiTheme="minorHAnsi" w:hAnsiTheme="minorHAnsi"/>
          <w:color w:val="000000"/>
        </w:rPr>
        <w:t>, I. Ortiz, in: From Materials to Medical Devices: Drug Delivery Systems, World Scientific, 2017.</w:t>
      </w:r>
    </w:p>
    <w:sectPr w:rsidR="00704BDF" w:rsidRPr="00AB055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D1" w:rsidRDefault="007646D1" w:rsidP="004F5E36">
      <w:r>
        <w:separator/>
      </w:r>
    </w:p>
  </w:endnote>
  <w:endnote w:type="continuationSeparator" w:id="0">
    <w:p w:rsidR="007646D1" w:rsidRDefault="007646D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D1" w:rsidRDefault="007646D1" w:rsidP="004F5E36">
      <w:r>
        <w:separator/>
      </w:r>
    </w:p>
  </w:footnote>
  <w:footnote w:type="continuationSeparator" w:id="0">
    <w:p w:rsidR="007646D1" w:rsidRDefault="007646D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1D0134F"/>
    <w:multiLevelType w:val="hybridMultilevel"/>
    <w:tmpl w:val="C0180F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4F24"/>
    <w:rsid w:val="00056CFE"/>
    <w:rsid w:val="00062301"/>
    <w:rsid w:val="00062A9A"/>
    <w:rsid w:val="00062EFE"/>
    <w:rsid w:val="00090EC8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12FD8"/>
    <w:rsid w:val="002140F7"/>
    <w:rsid w:val="002447EF"/>
    <w:rsid w:val="00251550"/>
    <w:rsid w:val="0027221A"/>
    <w:rsid w:val="00275B61"/>
    <w:rsid w:val="00285311"/>
    <w:rsid w:val="002D1F12"/>
    <w:rsid w:val="002E3F91"/>
    <w:rsid w:val="002F3171"/>
    <w:rsid w:val="003009B7"/>
    <w:rsid w:val="0030469C"/>
    <w:rsid w:val="003723D4"/>
    <w:rsid w:val="003A7D1C"/>
    <w:rsid w:val="003F6AAA"/>
    <w:rsid w:val="003F6DFF"/>
    <w:rsid w:val="0046164A"/>
    <w:rsid w:val="00462DCD"/>
    <w:rsid w:val="004D1162"/>
    <w:rsid w:val="004E4DD6"/>
    <w:rsid w:val="004F5E36"/>
    <w:rsid w:val="005119A5"/>
    <w:rsid w:val="005278B7"/>
    <w:rsid w:val="005346C8"/>
    <w:rsid w:val="00535513"/>
    <w:rsid w:val="00594E9F"/>
    <w:rsid w:val="005B61E6"/>
    <w:rsid w:val="005C5858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B11D7"/>
    <w:rsid w:val="006B17AE"/>
    <w:rsid w:val="006C4E77"/>
    <w:rsid w:val="006C5579"/>
    <w:rsid w:val="00704BDF"/>
    <w:rsid w:val="00736B13"/>
    <w:rsid w:val="0074202B"/>
    <w:rsid w:val="007447F3"/>
    <w:rsid w:val="007646D1"/>
    <w:rsid w:val="007661C8"/>
    <w:rsid w:val="00783D8C"/>
    <w:rsid w:val="00786AE6"/>
    <w:rsid w:val="007D52CD"/>
    <w:rsid w:val="00813288"/>
    <w:rsid w:val="008168FC"/>
    <w:rsid w:val="008479A2"/>
    <w:rsid w:val="0087637F"/>
    <w:rsid w:val="008A1512"/>
    <w:rsid w:val="008D0BEB"/>
    <w:rsid w:val="008D4735"/>
    <w:rsid w:val="008E566E"/>
    <w:rsid w:val="00901EB6"/>
    <w:rsid w:val="00932E70"/>
    <w:rsid w:val="009450CE"/>
    <w:rsid w:val="0095164B"/>
    <w:rsid w:val="0096487E"/>
    <w:rsid w:val="00996483"/>
    <w:rsid w:val="009A404B"/>
    <w:rsid w:val="009E788A"/>
    <w:rsid w:val="00A111BA"/>
    <w:rsid w:val="00A1763D"/>
    <w:rsid w:val="00A17CEC"/>
    <w:rsid w:val="00A27EF0"/>
    <w:rsid w:val="00A76EFC"/>
    <w:rsid w:val="00A87E03"/>
    <w:rsid w:val="00A9626B"/>
    <w:rsid w:val="00A97F29"/>
    <w:rsid w:val="00AB0559"/>
    <w:rsid w:val="00AB0813"/>
    <w:rsid w:val="00AB0964"/>
    <w:rsid w:val="00AD525A"/>
    <w:rsid w:val="00AE377D"/>
    <w:rsid w:val="00AF0CDA"/>
    <w:rsid w:val="00B3248F"/>
    <w:rsid w:val="00B61DBF"/>
    <w:rsid w:val="00B9178D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4A46"/>
    <w:rsid w:val="00CA5A9C"/>
    <w:rsid w:val="00CD5FE2"/>
    <w:rsid w:val="00D02B4C"/>
    <w:rsid w:val="00D02B6B"/>
    <w:rsid w:val="00D33274"/>
    <w:rsid w:val="00D84576"/>
    <w:rsid w:val="00DE0019"/>
    <w:rsid w:val="00DE264A"/>
    <w:rsid w:val="00E041E7"/>
    <w:rsid w:val="00E23CA1"/>
    <w:rsid w:val="00E409A8"/>
    <w:rsid w:val="00E67D83"/>
    <w:rsid w:val="00E7209D"/>
    <w:rsid w:val="00EA50E1"/>
    <w:rsid w:val="00EE0131"/>
    <w:rsid w:val="00F06246"/>
    <w:rsid w:val="00F24205"/>
    <w:rsid w:val="00F30C64"/>
    <w:rsid w:val="00F60942"/>
    <w:rsid w:val="00F80101"/>
    <w:rsid w:val="00F80DA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09F1-EF41-4B66-82F3-5F376B32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Jenifer</cp:lastModifiedBy>
  <cp:revision>8</cp:revision>
  <cp:lastPrinted>2019-01-15T16:04:00Z</cp:lastPrinted>
  <dcterms:created xsi:type="dcterms:W3CDTF">2019-01-15T16:04:00Z</dcterms:created>
  <dcterms:modified xsi:type="dcterms:W3CDTF">2019-01-15T17:25:00Z</dcterms:modified>
</cp:coreProperties>
</file>